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1567" w:rsidRPr="007C57D2" w:rsidRDefault="008E1D41">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7C57D2">
        <w:rPr>
          <w:rFonts w:ascii="Times New Roman" w:hAnsi="Times New Roman"/>
          <w:sz w:val="28"/>
          <w:szCs w:val="24"/>
        </w:rPr>
        <w:t xml:space="preserve"> </w:t>
      </w:r>
    </w:p>
    <w:p w:rsidR="00A31567" w:rsidRPr="007C57D2" w:rsidRDefault="00A31567">
      <w:pPr>
        <w:widowControl w:val="0"/>
        <w:autoSpaceDE w:val="0"/>
        <w:autoSpaceDN w:val="0"/>
        <w:adjustRightInd w:val="0"/>
        <w:spacing w:after="0" w:line="240" w:lineRule="auto"/>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center"/>
        <w:rPr>
          <w:rFonts w:ascii="Times New Roman" w:hAnsi="Times New Roman"/>
          <w:b/>
          <w:bCs/>
          <w:sz w:val="28"/>
          <w:szCs w:val="28"/>
        </w:rPr>
      </w:pPr>
      <w:r w:rsidRPr="007C57D2">
        <w:rPr>
          <w:rFonts w:ascii="Times New Roman" w:hAnsi="Times New Roman"/>
          <w:b/>
          <w:bCs/>
          <w:sz w:val="28"/>
          <w:szCs w:val="28"/>
        </w:rPr>
        <w:t xml:space="preserve">TEMAS-SUBTEMAS </w:t>
      </w:r>
    </w:p>
    <w:p w:rsidR="00A31567" w:rsidRPr="007C57D2" w:rsidRDefault="00A31567">
      <w:pPr>
        <w:widowControl w:val="0"/>
        <w:autoSpaceDE w:val="0"/>
        <w:autoSpaceDN w:val="0"/>
        <w:adjustRightInd w:val="0"/>
        <w:spacing w:after="0" w:line="240" w:lineRule="auto"/>
        <w:jc w:val="center"/>
        <w:rPr>
          <w:rFonts w:ascii="Times New Roman" w:hAnsi="Times New Roman"/>
          <w:b/>
          <w:bCs/>
          <w:sz w:val="28"/>
          <w:szCs w:val="28"/>
        </w:rPr>
      </w:pPr>
    </w:p>
    <w:p w:rsidR="00A31567" w:rsidRPr="007C57D2" w:rsidRDefault="008E1D41">
      <w:pPr>
        <w:widowControl w:val="0"/>
        <w:autoSpaceDE w:val="0"/>
        <w:autoSpaceDN w:val="0"/>
        <w:adjustRightInd w:val="0"/>
        <w:spacing w:after="0" w:line="240" w:lineRule="auto"/>
        <w:jc w:val="center"/>
        <w:rPr>
          <w:rFonts w:ascii="Times New Roman" w:hAnsi="Times New Roman"/>
          <w:sz w:val="28"/>
          <w:szCs w:val="28"/>
        </w:rPr>
      </w:pPr>
      <w:r w:rsidRPr="007C57D2">
        <w:rPr>
          <w:rFonts w:ascii="Times New Roman" w:hAnsi="Times New Roman"/>
          <w:b/>
          <w:bCs/>
          <w:sz w:val="28"/>
          <w:szCs w:val="28"/>
        </w:rPr>
        <w:t xml:space="preserve">Sentencia C-468/25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CONTROL DE CONSTITUCIONALIDAD DE PROYECTO DE LEY ESTATUTARIA</w:t>
      </w:r>
      <w:r w:rsidRPr="007C57D2">
        <w:rPr>
          <w:rFonts w:ascii="Times New Roman" w:hAnsi="Times New Roman"/>
          <w:sz w:val="28"/>
          <w:szCs w:val="28"/>
        </w:rPr>
        <w:t>-Características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(i) es posterior a su aprobación por parte del Congreso, pero previo a la sanción presidencial; (ii) es automático, en concordancia con lo estatuido en los artículos 153 y 241, numeral 8, de la Constitución; (iii) es integral, toda vez que la Sala Plena tiene competencia para analizar los aspectos formales y materiales; (iv) tiene efectos de cosa juzgada absoluta, en la medida en que esta Corporación confronta estos textos normativos con todo el articulado de la Constitución y de la Ley Orgánica 5 de 1992[7] y (v) es jurisdiccional porque es efectuado por la Corte, de modo que no implica una valoración de aspectos relacionados con la conveniencia u oportunidad del proyecto de ley.</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CONTROL DE CONSTITUCIONALIDAD DE LEY ESTATUTARIA</w:t>
      </w:r>
      <w:r w:rsidRPr="007C57D2">
        <w:rPr>
          <w:rFonts w:ascii="Times New Roman" w:hAnsi="Times New Roman"/>
          <w:sz w:val="28"/>
          <w:szCs w:val="28"/>
        </w:rPr>
        <w:t>-Carácter jurisdiccional</w:t>
      </w:r>
      <w:r w:rsidRPr="007C57D2">
        <w:rPr>
          <w:rFonts w:ascii="Times New Roman" w:hAnsi="Times New Roman"/>
          <w:b/>
          <w:bCs/>
          <w:sz w:val="28"/>
          <w:szCs w:val="28"/>
        </w:rPr>
        <w:t>/CONTROL DE CONSTITUCIONALIDAD DE LEY ESTATUTARIA</w:t>
      </w:r>
      <w:r w:rsidRPr="007C57D2">
        <w:rPr>
          <w:rFonts w:ascii="Times New Roman" w:hAnsi="Times New Roman"/>
          <w:sz w:val="28"/>
          <w:szCs w:val="28"/>
        </w:rPr>
        <w:t>-Improcedencia sobre aspectos de conveniencia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el control constitucional de los proyectos de leyes estatutarias es jurisdiccional porque es efectuado por la Corte para establecer si el PLE cumple los requisitos formales y materiales de validez, de modo que no implica una valoración de aspectos relacionados con la conveniencia u oportunidad del proyecto de ley.</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RESERVA DE LEY ESTATUTARIA</w:t>
      </w:r>
      <w:r w:rsidRPr="007C57D2">
        <w:rPr>
          <w:rFonts w:ascii="Times New Roman" w:hAnsi="Times New Roman"/>
          <w:sz w:val="28"/>
          <w:szCs w:val="28"/>
        </w:rPr>
        <w:t>-Materias sometidas a reserva de ley estatutaria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mediante las leyes estatutarias, el Congreso de la República regulará las siguientes materias: (i) los derechos y deberes fundamentales de las personas y los procedimientos y recursos para su protección; (ii) la administración de justicia; (iii) la organización y el régimen de los partidos y movimientos políticos; (iv) el estatuto de la oposición y las funciones electorales; (v) las instituciones y mecanismos de participación ciudadana; (vi) los estados de excepción y (vii) la igualdad electoral entre los candidatos a la Presidencia de la República que reúnan los requisitos que determine la ley.</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RESERVA DE LEY ESTATUTARIA EN MATERIA DE DERECHOS FUNDAMENTALES</w:t>
      </w:r>
      <w:r w:rsidRPr="007C57D2">
        <w:rPr>
          <w:rFonts w:ascii="Times New Roman" w:hAnsi="Times New Roman"/>
          <w:sz w:val="28"/>
          <w:szCs w:val="28"/>
        </w:rPr>
        <w:t>-Interpretación restrictiva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Tratándose de los derechos fundamentales, la Corte ha sostenido que debe efectuarse una interpretación restrictiva de dicha reserva, por lo que no todas las manifestaciones de esos derechos o todos los aspectos que tengan relación con su ejercicio deben ser regulados mediante ese tipo de leyes. En este orden, la Sala Plena ha sostenido que solo aquellos elementos del núcleo esencial de los derechos fundamentales deben ser tramitados mediante el procedimiento de ley estatutaria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RESERVA DE LEY ESTATUTARIA</w:t>
      </w:r>
      <w:r w:rsidRPr="007C57D2">
        <w:rPr>
          <w:rFonts w:ascii="Times New Roman" w:hAnsi="Times New Roman"/>
          <w:sz w:val="28"/>
          <w:szCs w:val="28"/>
        </w:rPr>
        <w:t>-Alcance en habeas data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dado que el PLE introduce excepciones y limitaciones significativas al régimen de protección del derecho fundamental al habeas data de los niños y niñas menores de doce años, era necesario, como en efecto lo hizo el Congreso de la República, tramitar la iniciativa a través del procedimiento de ley estatutaria. Esto es así, aunque el PLE contenga disposiciones propias de la legislación ordinaria y que, por tanto, no estén sometidas a la reserva de ley estatutaria.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RESERVA DE LEY ESTATUTARIA</w:t>
      </w:r>
      <w:r w:rsidRPr="007C57D2">
        <w:rPr>
          <w:rFonts w:ascii="Times New Roman" w:hAnsi="Times New Roman"/>
          <w:sz w:val="28"/>
          <w:szCs w:val="28"/>
        </w:rPr>
        <w:t>-Jurisprudencia constitucional en que se incluyen materias que no están sujetas a dicha categoría especial de ley</w:t>
      </w:r>
      <w:r w:rsidRPr="007C57D2">
        <w:rPr>
          <w:rFonts w:ascii="Times New Roman" w:hAnsi="Times New Roman"/>
          <w:b/>
          <w:bCs/>
          <w:sz w:val="28"/>
          <w:szCs w:val="28"/>
        </w:rPr>
        <w:t>/RESERVA DE LEY ESTATUTARIA</w:t>
      </w:r>
      <w:r w:rsidRPr="007C57D2">
        <w:rPr>
          <w:rFonts w:ascii="Times New Roman" w:hAnsi="Times New Roman"/>
          <w:sz w:val="28"/>
          <w:szCs w:val="28"/>
        </w:rPr>
        <w:t xml:space="preserve">-Interpretación restrictiva no implica prohibición de introducción de temáticas o asuntos propios del legislador ordinario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w:t>
      </w:r>
      <w:r w:rsidRPr="007C57D2">
        <w:rPr>
          <w:rFonts w:ascii="Times New Roman" w:hAnsi="Times New Roman"/>
          <w:sz w:val="28"/>
          <w:szCs w:val="28"/>
        </w:rPr>
        <w:t xml:space="preserve">-Control formal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PROCEDIMIENTO DE FORMACION DE PROYECTO DE LEY ESTATUTARIA</w:t>
      </w:r>
      <w:r w:rsidRPr="007C57D2">
        <w:rPr>
          <w:rFonts w:ascii="Times New Roman" w:hAnsi="Times New Roman"/>
          <w:sz w:val="28"/>
          <w:szCs w:val="28"/>
        </w:rPr>
        <w:t>-Reglas aplicables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La Constitución, la Ley 5 de 1992 y la jurisprudencia establecen las siguientes tres reglas especiales para la aprobación de proyectos de ley estatutaria: primera, se deben tramitar por el procedimiento legislativo ordinario; segunda, su aprobación debe ser por mayoría absoluta; y, tercera, deben aprobarse en una sola legislatura.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INFORME DE PONENCIA EN TRAMITE LEGISLATIVO</w:t>
      </w:r>
      <w:r w:rsidRPr="007C57D2">
        <w:rPr>
          <w:rFonts w:ascii="Times New Roman" w:hAnsi="Times New Roman"/>
          <w:sz w:val="28"/>
          <w:szCs w:val="28"/>
        </w:rPr>
        <w:t xml:space="preserve">-Criterios orientadores para determinar cumplimiento del requisito de publicidad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COMISION ACCIDENTAL DE CONCILIACION EN TRAMITE LEGISLATIVO</w:t>
      </w:r>
      <w:r w:rsidRPr="007C57D2">
        <w:rPr>
          <w:rFonts w:ascii="Times New Roman" w:hAnsi="Times New Roman"/>
          <w:sz w:val="28"/>
          <w:szCs w:val="28"/>
        </w:rPr>
        <w:t>-Requisitos en la conformación</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la conformación e integración de las comisiones accidentales de conciliación exige dos condiciones. En primer lugar, los presidentes de ambas cámaras deben tener conocimiento cierto, previo y suficiente sobre las discrepancias entre los textos aprobados por las plenarias, para así conformar la respectiva comisión ... en segundo lugar, la conformación debe regirse por tres criterios, a saber: (i) la simetría, es decir, que las comisiones deben estar compuestas por igual número de senadores y representantes; (ii) la calidad de los integrantes, en la medida en que las comisiones deben estar integradas por quienes participaron en la discusión de los proyectos, sus autores y ponentes, así como por quienes formularon reparos, observaciones o propuestas en las plenarias; y (iii) la representación de las bancadas, de modo que se garantice su participación efectiva en esta etapa del trámite legislativo.</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COMISION ACCIDENTAL DE CONCILIACION EN TRAMITE LEGISLATIVO</w:t>
      </w:r>
      <w:r w:rsidRPr="007C57D2">
        <w:rPr>
          <w:rFonts w:ascii="Times New Roman" w:hAnsi="Times New Roman"/>
          <w:sz w:val="28"/>
          <w:szCs w:val="28"/>
        </w:rPr>
        <w:t>-Debe estar integrada por un número plural de congresistas de distintas bancadas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la regla de decisión delimitada en el Auto 1298 de 2024 y precisada en la Sentencia C-340 de 2025, así: (i) las comisiones de conciliación deben estar conformadas por al menos cuatro personas, dos por la Cámara de Representantes y dos por el Senado de la República; (ii) esta conformación debe garantizar la participación de mínimo dos bancadas; (iii) estas dos exigencias deben aplicarse a cualquier trámite legislativo sin distinción de la clase de ley y (iv) únicamente respecto de los proyectos de ley radicados con posterioridad a la notificación del Auto 1298 de 2024, esto es el 15 de noviembre de 2024.</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w:t>
      </w:r>
      <w:r w:rsidRPr="007C57D2">
        <w:rPr>
          <w:rFonts w:ascii="Times New Roman" w:hAnsi="Times New Roman"/>
          <w:sz w:val="28"/>
          <w:szCs w:val="28"/>
        </w:rPr>
        <w:t xml:space="preserve">-Trámite en una sola legislatura se refiere únicamente al trámite en el Congreso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PRINCIPIOS DE UNIDAD DE MATERIA, CONSECUTIVIDAD E IDENTIDAD FLEXIBLE EN PROYECTO DE LEY ESTATUTARIA</w:t>
      </w:r>
      <w:r w:rsidRPr="007C57D2">
        <w:rPr>
          <w:rFonts w:ascii="Times New Roman" w:hAnsi="Times New Roman"/>
          <w:sz w:val="28"/>
          <w:szCs w:val="28"/>
        </w:rPr>
        <w:t xml:space="preserve">-Cumplimiento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CONSULTA PREVIA DE COMUNIDADES INDIGENAS Y GRUPOS ETNICOS EN TRAMITE LEGISLATIVO DE LEY ESTATUTARIA</w:t>
      </w:r>
      <w:r w:rsidRPr="007C57D2">
        <w:rPr>
          <w:rFonts w:ascii="Times New Roman" w:hAnsi="Times New Roman"/>
          <w:sz w:val="28"/>
          <w:szCs w:val="28"/>
        </w:rPr>
        <w:t>-No resulta necesaria cuando regulación tiene carácter general sin que se afecte de manera directa comunidades étnicas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xml:space="preserve">(...) el PLE no contiene medidas que afecten de forma directa a las comunidades indígenas y afrodescendientes colombianas, pues se trata de una norma de carácter general, que no desarrolla las materias contenidas en el Convenio 169 de la OIT o en los artículos 329 y de la Constitución.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ANALISIS DEL IMPACTO FISCAL EN TRAMITE LEGISLATIVO</w:t>
      </w:r>
      <w:r w:rsidRPr="007C57D2">
        <w:rPr>
          <w:rFonts w:ascii="Times New Roman" w:hAnsi="Times New Roman"/>
          <w:sz w:val="28"/>
          <w:szCs w:val="28"/>
        </w:rPr>
        <w:t>-Reglas aplicables a los proyectos de iniciativa de los congresistas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dado que el PLE es una iniciativa congresional, resulta del caso reiterar que las reglas aplicables, en materia del requisito de análisis de impacto fiscal, a ese tipo de iniciativas legislativas son las siguientes: (i) los congresistas están obligados a incluir en la exposición de motivos y en las ponencias de trámite los costos fiscales de sus iniciativas y las posibles fuentes para su financiamiento; (ii) la obligación de Congreso en esta materia “no exige un análisis detallado o exhaustivo del costo fiscal y de las fuentes de financiamiento, aunque sí demanda una mínima consideración al respecto, de modo que sea posible establecer los referentes básicos para analizar los efectos fiscales”; (iii) “la carga principal se encuentra radicada en el MHCP por sus conocimientos técnicos y por su condición de principal ejecutor del gasto público”; y (iv) el incumplimiento del MHCP de rendir concepto y el silencio u oposición del Gobierno a la iniciativa no afectan la decisión del Congreso cuando este ha cumplido su deber.</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ANÁLISIS DE IMPACTO FISCAL EN PROYECTO DE LEY ESTATUTARIA</w:t>
      </w:r>
      <w:r w:rsidRPr="007C57D2">
        <w:rPr>
          <w:rFonts w:ascii="Times New Roman" w:hAnsi="Times New Roman"/>
          <w:sz w:val="28"/>
          <w:szCs w:val="28"/>
        </w:rPr>
        <w:t xml:space="preserve">-No es exigible al no ordenar gasto u otorgar beneficio tributario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CONTROL DE CONSTITUCIONALIDAD DE PROYECTO DE LEY ESTATUTARIA</w:t>
      </w:r>
      <w:r w:rsidRPr="007C57D2">
        <w:rPr>
          <w:rFonts w:ascii="Times New Roman" w:hAnsi="Times New Roman"/>
          <w:sz w:val="28"/>
          <w:szCs w:val="28"/>
        </w:rPr>
        <w:t>-Cumplimiento de requisitos formales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xml:space="preserve">(...) comprobó que el trámite legislativo cumplió todas las reglas de procedimiento que regulan la aprobación de proyectos de ley estatutaria. De este modo, constató lo siguiente: (i) la materia regulada en el PLE tiene reserva de ley estatutaria; (ii) este cumplió las reglas aplicables al procedimiento legislativo ordinario; (iii) fue aprobado en una sola legislatura y por mayoría absoluta tanto en las comisiones como en las plenarias de ambas cámaras; (iv) surtió en debida forma el trámite de conciliación, de acuerdo con las reglas jurisprudenciales vigentes para ese momento; (v) respetó los principios de unidad de materia, identidad flexible y consecutividad; (vi) no debía agotar el requisito de consulta previa; y (vii) tampoco debía satisfacer el requisito de análisis de impacto fiscal.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INTERÉS SUPERIOR DE LOS NIÑOS, NIÑAS Y ADOLESCENTES</w:t>
      </w:r>
      <w:r w:rsidRPr="007C57D2">
        <w:rPr>
          <w:rFonts w:ascii="Times New Roman" w:hAnsi="Times New Roman"/>
          <w:sz w:val="28"/>
          <w:szCs w:val="28"/>
        </w:rPr>
        <w:t>-Contenido y alcance</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xml:space="preserve">(...) es: (i) un derecho sustantivo, en razón a que debe ser una consideración primordial al momento de sopesar los distintos intereses en la toma de una decisión en cualquier ámbito; (ii) una obligación de los Estados, de aplicabilidad inmediata y reclamable ante los jueces; (iii) un principio jurídico interpretativo fundamental, en la medida en que si una disposición admite más de una interpretación debe elegirse aquella que sea más afectiva para el interés superior de los NNA; y, (iv) una norma de procedimiento, ya que la toma de decisiones que involucre un menor de edad debe tener una carga argumentativa que estime las repercusiones positivas y negativas en los derechos de aquel.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INTERÉS SUPERIOR DE LOS NIÑOS, NIÑAS Y ADOLESCENTES</w:t>
      </w:r>
      <w:r w:rsidRPr="007C57D2">
        <w:rPr>
          <w:rFonts w:ascii="Times New Roman" w:hAnsi="Times New Roman"/>
          <w:sz w:val="28"/>
          <w:szCs w:val="28"/>
        </w:rPr>
        <w:t xml:space="preserve">-Deber de la familia, la sociedad y el Estado de brindar especial protección a los niños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INTERÉS SUPERIOR DE LOS NIÑOS, NIÑAS Y ADOLESCENTES</w:t>
      </w:r>
      <w:r w:rsidRPr="007C57D2">
        <w:rPr>
          <w:rFonts w:ascii="Times New Roman" w:hAnsi="Times New Roman"/>
          <w:sz w:val="28"/>
          <w:szCs w:val="28"/>
        </w:rPr>
        <w:t xml:space="preserve">-Protección constitucional e internacional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INTERÉS SUPERIOR DE LOS NIÑOS, NIÑAS Y ADOLESCENTES</w:t>
      </w:r>
      <w:r w:rsidRPr="007C57D2">
        <w:rPr>
          <w:rFonts w:ascii="Times New Roman" w:hAnsi="Times New Roman"/>
          <w:sz w:val="28"/>
          <w:szCs w:val="28"/>
        </w:rPr>
        <w:t xml:space="preserve">-Protección respecto a situaciones de desaparición, extravío, tráfico internacional o trata de personas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DERECHO AL HABEAS DATA</w:t>
      </w:r>
      <w:r w:rsidRPr="007C57D2">
        <w:rPr>
          <w:rFonts w:ascii="Times New Roman" w:hAnsi="Times New Roman"/>
          <w:sz w:val="28"/>
          <w:szCs w:val="28"/>
        </w:rPr>
        <w:t xml:space="preserve">-Alcance y contenido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DERECHO AL HABEAS DATA EN TRATAMIENTO DE DATOS PERSONALES</w:t>
      </w:r>
      <w:r w:rsidRPr="007C57D2">
        <w:rPr>
          <w:rFonts w:ascii="Times New Roman" w:hAnsi="Times New Roman"/>
          <w:sz w:val="28"/>
          <w:szCs w:val="28"/>
        </w:rPr>
        <w:t>-Principios y garantías constitucionales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Mediante sentencias de esta Corporación se han construido un plexo de principios de que deben cumplirse en la recolección, almacenamiento y uso de datos personales: legalidad, libertad, finalidad, necesidad, veracidad o calidad, utilidad, acceso o circulación restringida, incorporación, caducidad o temporalidad, individualidad, confidencialidad, transparencia, integridad y seguridad. Esos principios son los elementos medulares que deben observarse en el tratamiento de datos personales para garantizar el respeto de los derechos de las personas cuando su información es recolectada, usada, circulada o, en general, es objeto de tratamiento.</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TRATAMIENTO DE DATOS PERSONALES</w:t>
      </w:r>
      <w:r w:rsidRPr="007C57D2">
        <w:rPr>
          <w:rFonts w:ascii="Times New Roman" w:hAnsi="Times New Roman"/>
          <w:sz w:val="28"/>
          <w:szCs w:val="28"/>
        </w:rPr>
        <w:t>-Contenido y alcance</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El tratamiento de datos personales comprende cualquier gestión, operación o actividad que se efectúe sobre los datos como, entre otras, la recolección, el almacenamiento, el uso, la circulación, la interrelación, la indexación, la comercialización, la corrección y la supresión. Este no puede efectuarse de cualquier manera sino observado unos principios que, para la Corte, son “límites al tratamiento de datos personales”, razón por la cual son de imperativa observancia junto con una serie de obligaciones que se deben cumplir cuando se pretenda realizar cualquier actividad sobre los datos personales.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TRATAMIENTO DE DATOS PERSONALES</w:t>
      </w:r>
      <w:r w:rsidRPr="007C57D2">
        <w:rPr>
          <w:rFonts w:ascii="Times New Roman" w:hAnsi="Times New Roman"/>
          <w:sz w:val="28"/>
          <w:szCs w:val="28"/>
        </w:rPr>
        <w:t>-Sujetos que intervienen</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xml:space="preserve">La Corte Constitucional, con ocasión del estudio de la regulación estatutaria sobre la protección de datos personales, ha distinguido varios sujetos que intervienen en el tratamiento de esa información, a saber: (i) el Titular del dato personal, (ii) el Responsables del Tratamiento y (iii) el Encargado del Tratamiento.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DATOS PERSONALES</w:t>
      </w:r>
      <w:r w:rsidRPr="007C57D2">
        <w:rPr>
          <w:rFonts w:ascii="Times New Roman" w:hAnsi="Times New Roman"/>
          <w:sz w:val="28"/>
          <w:szCs w:val="28"/>
        </w:rPr>
        <w:t>-Definición</w:t>
      </w:r>
      <w:r w:rsidRPr="007C57D2">
        <w:rPr>
          <w:rFonts w:ascii="Times New Roman" w:hAnsi="Times New Roman"/>
          <w:b/>
          <w:bCs/>
          <w:sz w:val="28"/>
          <w:szCs w:val="28"/>
        </w:rPr>
        <w:t>/DATOS PERSONALES</w:t>
      </w:r>
      <w:r w:rsidRPr="007C57D2">
        <w:rPr>
          <w:rFonts w:ascii="Times New Roman" w:hAnsi="Times New Roman"/>
          <w:sz w:val="28"/>
          <w:szCs w:val="28"/>
        </w:rPr>
        <w:t xml:space="preserve">-Clasificación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DATOS SENSIBLES</w:t>
      </w:r>
      <w:r w:rsidRPr="007C57D2">
        <w:rPr>
          <w:rFonts w:ascii="Times New Roman" w:hAnsi="Times New Roman"/>
          <w:sz w:val="28"/>
          <w:szCs w:val="28"/>
        </w:rPr>
        <w:t>-Concepto</w:t>
      </w:r>
      <w:r w:rsidRPr="007C57D2">
        <w:rPr>
          <w:rFonts w:ascii="Times New Roman" w:hAnsi="Times New Roman"/>
          <w:b/>
          <w:bCs/>
          <w:sz w:val="28"/>
          <w:szCs w:val="28"/>
        </w:rPr>
        <w:t>/DATOS SENSIBLES</w:t>
      </w:r>
      <w:r w:rsidRPr="007C57D2">
        <w:rPr>
          <w:rFonts w:ascii="Times New Roman" w:hAnsi="Times New Roman"/>
          <w:sz w:val="28"/>
          <w:szCs w:val="28"/>
        </w:rPr>
        <w:t>-Contenido</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existen los datos sensibles que se refiere a aquellos que, por su naturaleza, están relacionados con aspectos muy íntimos de la persona o que pueden ser nicho de discriminaciones o comprometer los derechos y libertades de los seres humanos. Esta clase de datos está definida en la Ley Estatutaria 1581 de 2012 y en el decreto 1377 de 2013 como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DERECHO DE HABEAS DATA EN TRATAMIENTO DE DATOS PERSONALES</w:t>
      </w:r>
      <w:r w:rsidRPr="007C57D2">
        <w:rPr>
          <w:rFonts w:ascii="Times New Roman" w:hAnsi="Times New Roman"/>
          <w:sz w:val="28"/>
          <w:szCs w:val="28"/>
        </w:rPr>
        <w:t xml:space="preserve">-Requisito de consentimiento libre, previo, expreso e informado del titular del dato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TRATAMIENTO DE DATOS PERSONALES DE NIÑOS, NIÑAS Y ADOLESCENTES</w:t>
      </w:r>
      <w:r w:rsidRPr="007C57D2">
        <w:rPr>
          <w:rFonts w:ascii="Times New Roman" w:hAnsi="Times New Roman"/>
          <w:sz w:val="28"/>
          <w:szCs w:val="28"/>
        </w:rPr>
        <w:t xml:space="preserve">-Instrumentos internacionales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TRATAMIENTO DE DATOS PERSONALES DE NIÑOS, NIÑAS Y ADOLESCENTES</w:t>
      </w:r>
      <w:r w:rsidRPr="007C57D2">
        <w:rPr>
          <w:rFonts w:ascii="Times New Roman" w:hAnsi="Times New Roman"/>
          <w:sz w:val="28"/>
          <w:szCs w:val="28"/>
        </w:rPr>
        <w:t>-Requisitos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el tratamiento de los datos personales de los menores de 18 años, al margen de su naturaleza, pueden ser objeto de tratamiento siempre y cuando el fin que se persiga con dicho tratamiento responda al interés superior de los niños, las niñas y adolescentes y se asegure sin excepción alguna el respeto de sus derechos prevalentes. (...) En definitiva, el inciso segundo del artículo objeto de estudio es exequible, si se interpreta que los datos de los niños, las niñas y adolescentes pueden ser objeto de tratamiento siempre y cuando no se ponga en riesgo la prevalencia de sus derechos fundamentales e inequívocamente responda a la realización del principio de su interés superior, cuya aplicación específica devendrá del análisis de cada caso en particular.</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LIBERTAD DE EMPRESA</w:t>
      </w:r>
      <w:r w:rsidRPr="007C57D2">
        <w:rPr>
          <w:rFonts w:ascii="Times New Roman" w:hAnsi="Times New Roman"/>
          <w:sz w:val="28"/>
          <w:szCs w:val="28"/>
        </w:rPr>
        <w:t>-Prerrogativas que comprende su núcleo esencial</w:t>
      </w:r>
      <w:r w:rsidRPr="007C57D2">
        <w:rPr>
          <w:rFonts w:ascii="Times New Roman" w:hAnsi="Times New Roman"/>
          <w:b/>
          <w:bCs/>
          <w:sz w:val="28"/>
          <w:szCs w:val="28"/>
        </w:rPr>
        <w:t>/LIBERTAD ECONOMICA</w:t>
      </w:r>
      <w:r w:rsidRPr="007C57D2">
        <w:rPr>
          <w:rFonts w:ascii="Times New Roman" w:hAnsi="Times New Roman"/>
          <w:sz w:val="28"/>
          <w:szCs w:val="28"/>
        </w:rPr>
        <w:t xml:space="preserve">-Límites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ALERTA NACIONAL TEMPRANA PARA APOYAR LA BÚSQUEDA Y LOCALIZACIÓN DE NIÑOS, NIÑAS Y ADOLESCENTES DESAPARECIDOS</w:t>
      </w:r>
      <w:r w:rsidRPr="007C57D2">
        <w:rPr>
          <w:rFonts w:ascii="Times New Roman" w:hAnsi="Times New Roman"/>
          <w:sz w:val="28"/>
          <w:szCs w:val="28"/>
        </w:rPr>
        <w:t xml:space="preserve">-Finalidad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JUICIO ESTRICTO DE IGUALDAD</w:t>
      </w:r>
      <w:r w:rsidRPr="007C57D2">
        <w:rPr>
          <w:rFonts w:ascii="Times New Roman" w:hAnsi="Times New Roman"/>
          <w:sz w:val="28"/>
          <w:szCs w:val="28"/>
        </w:rPr>
        <w:t xml:space="preserve">-Aplicación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TEST DE IGUALDAD</w:t>
      </w:r>
      <w:r w:rsidRPr="007C57D2">
        <w:rPr>
          <w:rFonts w:ascii="Times New Roman" w:hAnsi="Times New Roman"/>
          <w:sz w:val="28"/>
          <w:szCs w:val="28"/>
        </w:rPr>
        <w:t xml:space="preserve">-Edad como criterio de diferenciación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-Finalidad constitucional</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el objeto del PLE es coherente con los mandatos constitucionales y no desconoce ningún artículo de la Constitución porque crea una herramienta especial para buscar y encontrar niños o niñas que se encuentran perdidos y no han sido ubicados por su familia u otras personas cercanas. Con la “Alerta Colombia”, y dependiendo del motivo por el cual se encuentran extraviados, se quiere implementar un mecanismo adicional para, entre otros, proteger la vida, integridad física, la libertad de circular libremente y el derecho de los niños y las niñas a no ser separado de su familia.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-Trato diferenciado injustificado</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La definición de niños y niñas extraviadas del PLE no es adecuada porque es excluyente en la medida que deja por fuera a otras personas especialmente protegidas por la Constitución. En efecto, prevé un trato exclusivo a los menores de 0-12, privando de la misma protección a los menores en entre 13 y 17 que se encuentren en situación de extravío. El literal a) del artículo 2 del PLE genera una carencia de protección, al ofrecer unas herramientas especiales frente a situaciones de extravío o desaparición únicamente a los menores de 12 años y excluir a otras en la misma situación. Si bien busca proteger a un grupo de personas, genera un trato desigual entre sujetos de especial protección constitucional, con lo cual crea discriminación no razonable ni objetivamente justificada por edad.</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 xml:space="preserve">-Se aplica a menores de dieciocho años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-Tratamiento de datos personales de niños, niñas y adolescentes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la Corte declarará la constitucionalidad del artículo 8 del PLE, bajo el entendido de que los receptores de la “Alerta Colombia” también están obligados a suprimir el registro de los datos personales del NNA extraviado y toda la información que recibieron, de manera completa y definitiva. Esta supresión debe efectuarse inmediatamente después de haber recibido la “alerta de éxito” a que se refiere el parágrafo de este artículo. La obligación de eliminación de información se extiende a todos los repositorios digitales y físicos de los receptores de la Alerta, en cumplimiento del principio de supresión integral y de la finalidad temporal de la Alerta Colombia.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DEBER CONSTITUCIONAL DE LA DEBIDA GESTION Y ADMINISTRACION DE ARCHIVOS</w:t>
      </w:r>
      <w:r w:rsidRPr="007C57D2">
        <w:rPr>
          <w:rFonts w:ascii="Times New Roman" w:hAnsi="Times New Roman"/>
          <w:sz w:val="28"/>
          <w:szCs w:val="28"/>
        </w:rPr>
        <w:t xml:space="preserve">-Alcance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PRINCIPIO DE RESPONSABILIDAD DEMOSTRADA</w:t>
      </w:r>
      <w:r w:rsidRPr="007C57D2">
        <w:rPr>
          <w:rFonts w:ascii="Times New Roman" w:hAnsi="Times New Roman"/>
          <w:sz w:val="28"/>
          <w:szCs w:val="28"/>
        </w:rPr>
        <w:t>-Obligaciones de los operadores, las fuentes y los usuarios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xml:space="preserve">(...) la responsabilidad demostrada y las políticas internas efectiva en el tratamiento de datos personales buscan hacer efectivas las garantías previstas en el artículo 15 superior, asegurando que los operadores, usuarios y fuentes de la información cumplan con la normatividad vigente en la materia. Por eso, precisa la Corte bajo el principio de responsabilidad demostrada, a los encargados del tratamiento de datos personales les asiste la obligación general de adoptar medidas apropiadas, efectivas y verificables para proteger el derecho fundamental de habeas data. Estas medidas deberán garantizar, como mínimo y en cualquier operación de procesamiento de datos personales: (i) una organización administrativa para cumplir con estas políticas; (ii) un mecanismo interno para hacerlas efectivas; y, (iii) un proceso adecuado de consultas, peticiones y reclamos que garantice la confidencialidad y seguridad de la información.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PRINCIPIO DE RESPONSABILIDAD DEMOSTRADA</w:t>
      </w:r>
      <w:r w:rsidRPr="007C57D2">
        <w:rPr>
          <w:rFonts w:ascii="Times New Roman" w:hAnsi="Times New Roman"/>
          <w:sz w:val="28"/>
          <w:szCs w:val="28"/>
        </w:rPr>
        <w:t xml:space="preserve">-Aplicación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-Término de 24 horas para presentar denuncia desconoce derechos de los niños, niñas y adolescentes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El término de 24 horas previsto en la disposición para presentar la denuncia por parte del ICBF o de cualquiera de las autoridades responsables de los reportes de NNA extraviados, ante la Fiscalía General de la Nación, desconoce el artículo 44 de la Constitución Política, que reconoce de manera expresa los derechos fundamentales de los niños, niñas y adolescentes, incluyendo su derecho a ser protegidos contra toda forma de abandono, violencia física o moral, secuestro, venta, abuso sexual, explotación laboral o económica y trabajos riesgosos. De esta cláusula, además, se deriva el principio pro infans, “un instrumento jurídico valioso para la ponderación de derechos de rango constitucional, frente a eventuales tensiones, debiendo escogerse la interpretación que brinde la mayor protección a los derechos de los niños, las niñas y los adolescentes”. Adicionalmente, el término de 24 horas también vulnera los artículos 3 y 19 de la Convención sobre los Derechos del Niño, que imponen el principio del interés superior del niño como consideración primordial en toda actuación estatal, puesto que el establecimiento de un plazo de 24 horas constituye una dilación injustificada que desconoce el deber de reacción inmediata y la prioridad de protección de los derechos fundamentales de los NNA.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-Deber de difundir y divulgar la Alerta Colombia de forma gratuita e inmediata</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la fuente de esta carga para los proveedores de redes y servicios de telecomunicaciones, de los operadores de aeropuertos internacionales y de los titulares de medios de comunicación de amplia cobertura se deriva de una decisión del legislador. En segundo lugar, tampoco implica una vulneración del núcleo esencial de la libertad de empresa. No afecta a los empresarios o competidores que están en una misma posición, ni les impide concurrir o retirarse del mercado, ni interfiere en su forma de organización y toma de decisiones, ni limita su libre iniciativa económica, ni les impide crear establecimientos de comercio o recibir un lucro razonable por su actividad económica. Aunque se trata de una intromisión legislativa en la autonomía de los sujetos obligados y puede implicar costos, no se trata de una medida desproporcionada, como se explicará al analizar su idoneidad potencial en el siguiente paso del test. En tercer lugar, la divulgación de la Alerta Colombia es una expresión de los principios de solidaridad y del interés superior del niño.</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LIBERTAD ECONOMICA E INICIATIVA PRIVADA</w:t>
      </w:r>
      <w:r w:rsidRPr="007C57D2">
        <w:rPr>
          <w:rFonts w:ascii="Times New Roman" w:hAnsi="Times New Roman"/>
          <w:sz w:val="28"/>
          <w:szCs w:val="28"/>
        </w:rPr>
        <w:t xml:space="preserve">-No son absolutas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LIBERTAD ECONOMICA</w:t>
      </w:r>
      <w:r w:rsidRPr="007C57D2">
        <w:rPr>
          <w:rFonts w:ascii="Times New Roman" w:hAnsi="Times New Roman"/>
          <w:sz w:val="28"/>
          <w:szCs w:val="28"/>
        </w:rPr>
        <w:t xml:space="preserve">-Ejercicio dentro de límites del bien común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PRINCIPIO DE SOLIDARIDAD</w:t>
      </w:r>
      <w:r w:rsidRPr="007C57D2">
        <w:rPr>
          <w:rFonts w:ascii="Times New Roman" w:hAnsi="Times New Roman"/>
          <w:sz w:val="28"/>
          <w:szCs w:val="28"/>
        </w:rPr>
        <w:t xml:space="preserve">-Manifestaciones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PRINCIPIO DE SOLIDARIDAD</w:t>
      </w:r>
      <w:r w:rsidRPr="007C57D2">
        <w:rPr>
          <w:rFonts w:ascii="Times New Roman" w:hAnsi="Times New Roman"/>
          <w:sz w:val="28"/>
          <w:szCs w:val="28"/>
        </w:rPr>
        <w:t xml:space="preserve">-Incidencia en libertades económicas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-Divulgación de datos de niños y niñas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 xml:space="preserve">(...) con la divulgación de la información que sirva para identificar al niño o niña extraviado y su publicación en la página web del ICBF, se busca lograr su búsqueda, localización y recuperación inmediata; propósitos que también persigue la fijación de un procedimiento para la activación de la Alerta y la creación de un protocolo de difusión. En ese sentido, las normas bajo análisis propenden por la garantía del interés superior de los niños y niñas, y por la prevalencia de sus derechos; principios de raigambre constitucional que guían las actuaciones del Estado y de la sociedad en general, derivados del artículo 44 de la Constitución Política y de varios instrumentos internacionales que integran el bloque de constitucionalidad, como la Convención sobre los Derechos del Niño, la Declaración Universal de Derechos Humanos y la Declaración Americana de los Derechos y Deberes del Hombre, entre otros.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JUICIO DE PROPORCIONALIDAD ESTRICTO</w:t>
      </w:r>
      <w:r w:rsidRPr="007C57D2">
        <w:rPr>
          <w:rFonts w:ascii="Times New Roman" w:hAnsi="Times New Roman"/>
          <w:sz w:val="28"/>
          <w:szCs w:val="28"/>
        </w:rPr>
        <w:t xml:space="preserve">-Aplicación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SOFIA</w:t>
      </w:r>
      <w:r w:rsidRPr="007C57D2">
        <w:rPr>
          <w:rFonts w:ascii="Times New Roman" w:hAnsi="Times New Roman"/>
          <w:sz w:val="28"/>
          <w:szCs w:val="28"/>
        </w:rPr>
        <w:t>-Divulgación de datos del presunto secuestrador</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La aplicación del test de proporcionalidad en su intensidad estricta permite concluir que la expresión “persona que lo secuestró” contenida en el literal h del artículo 6 del PLE es inconstitucional, porque no satisface los requisitos de necesidad ni de proporcionalidad en sentido estricto. Además de sugerir una responsabilidad penal sin juicio previo, en un escenario en el que se requiere una actuación urgente y que no necesariamente implica la criminalización de conductas, parece limitar el contenido de la Alerta Colombia a los presuntos perpetradores de un hecho punible. Al existir una medida menos lesiva que satisface la misma finalidad y de mejor manera, como se explicó en líneas anteriores, la Sala Plena condicionará sus efectos.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PROYECTO DE LEY ESTATUTARIA QUE CREA Y REGLAMENTA ALERTA COLOMBIA, LEY SARA SOFÍA</w:t>
      </w:r>
      <w:r w:rsidRPr="007C57D2">
        <w:rPr>
          <w:rFonts w:ascii="Times New Roman" w:hAnsi="Times New Roman"/>
          <w:sz w:val="28"/>
          <w:szCs w:val="28"/>
        </w:rPr>
        <w:t>-Potestad reglamentaria del Gobierno nacional</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i/>
          <w:iCs/>
          <w:sz w:val="28"/>
          <w:szCs w:val="28"/>
        </w:rPr>
        <w:t>La reglamentación de la Alerta Colombia debería articularse de forma clara con otros mecanismos existentes, como los de la Ley 2326 de 2023 y el Decreto 1428 de 2024, para impedir que se generen solapamientos o duplicidades que debiliten la debida diligencia del Estado en la investigación de desapariciones de niños, niñas y adolescentes. En esa línea, conviene prever mecanismos de coordinación e interoperabilidad entre las instituciones, de modo que no se repitan innecesariamente requisitos, procedimientos y esfuerzos. Asimismo, debería establecerse que, cuando concurran varias herramientas, las autoridades deberán privilegiar siempre el mecanismo más efectivo y ágil para garantizar los derechos de los NNA, reduciendo trámites paralelos, contradicciones normativas, demoras y uso ineficiente de recursos.</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8E1D41">
      <w:pPr>
        <w:widowControl w:val="0"/>
        <w:autoSpaceDE w:val="0"/>
        <w:autoSpaceDN w:val="0"/>
        <w:adjustRightInd w:val="0"/>
        <w:spacing w:after="0" w:line="240" w:lineRule="auto"/>
        <w:jc w:val="both"/>
        <w:rPr>
          <w:rFonts w:ascii="Times New Roman" w:hAnsi="Times New Roman"/>
          <w:sz w:val="28"/>
          <w:szCs w:val="28"/>
        </w:rPr>
      </w:pPr>
      <w:r w:rsidRPr="007C57D2">
        <w:rPr>
          <w:rFonts w:ascii="Times New Roman" w:hAnsi="Times New Roman"/>
          <w:b/>
          <w:bCs/>
          <w:sz w:val="28"/>
          <w:szCs w:val="28"/>
        </w:rPr>
        <w:t>SENTENCIAS INTEGRADORAS INTERPRETATIVAS, ADITIVAS Y SUSTITUTIVAS</w:t>
      </w:r>
      <w:r w:rsidRPr="007C57D2">
        <w:rPr>
          <w:rFonts w:ascii="Times New Roman" w:hAnsi="Times New Roman"/>
          <w:sz w:val="28"/>
          <w:szCs w:val="28"/>
        </w:rPr>
        <w:t>-Técnicas de modulación de los fallos de constitucionalidad</w:t>
      </w:r>
      <w:r w:rsidRPr="007C57D2">
        <w:rPr>
          <w:rFonts w:ascii="Times New Roman" w:hAnsi="Times New Roman"/>
          <w:b/>
          <w:bCs/>
          <w:sz w:val="28"/>
          <w:szCs w:val="28"/>
        </w:rPr>
        <w:t>/SENTENCIA CONDICIONADA</w:t>
      </w:r>
      <w:r w:rsidRPr="007C57D2">
        <w:rPr>
          <w:rFonts w:ascii="Times New Roman" w:hAnsi="Times New Roman"/>
          <w:sz w:val="28"/>
          <w:szCs w:val="28"/>
        </w:rPr>
        <w:t>-Aplicación</w:t>
      </w:r>
      <w:r w:rsidRPr="007C57D2">
        <w:rPr>
          <w:rFonts w:ascii="Times New Roman" w:hAnsi="Times New Roman"/>
          <w:b/>
          <w:bCs/>
          <w:sz w:val="28"/>
          <w:szCs w:val="28"/>
        </w:rPr>
        <w:t>/SENTENCIA INTEGRADORA SUSTITUTIVA</w:t>
      </w:r>
      <w:r w:rsidRPr="007C57D2">
        <w:rPr>
          <w:rFonts w:ascii="Times New Roman" w:hAnsi="Times New Roman"/>
          <w:sz w:val="28"/>
          <w:szCs w:val="28"/>
        </w:rPr>
        <w:t xml:space="preserve">-Procedencia </w:t>
      </w:r>
    </w:p>
    <w:p w:rsidR="00A31567" w:rsidRPr="007C57D2" w:rsidRDefault="00A31567">
      <w:pPr>
        <w:widowControl w:val="0"/>
        <w:autoSpaceDE w:val="0"/>
        <w:autoSpaceDN w:val="0"/>
        <w:adjustRightInd w:val="0"/>
        <w:spacing w:after="0" w:line="240" w:lineRule="auto"/>
        <w:jc w:val="both"/>
        <w:rPr>
          <w:rFonts w:ascii="Times New Roman" w:hAnsi="Times New Roman"/>
          <w:sz w:val="28"/>
          <w:szCs w:val="28"/>
        </w:rPr>
      </w:pPr>
    </w:p>
    <w:p w:rsidR="00A31567" w:rsidRPr="007C57D2" w:rsidRDefault="007C57D2">
      <w:pPr>
        <w:widowControl w:val="0"/>
        <w:autoSpaceDE w:val="0"/>
        <w:autoSpaceDN w:val="0"/>
        <w:adjustRightInd w:val="0"/>
        <w:spacing w:after="0" w:line="240" w:lineRule="auto"/>
        <w:jc w:val="both"/>
        <w:rPr>
          <w:rFonts w:ascii="Times New Roman" w:hAnsi="Times New Roman"/>
          <w:sz w:val="28"/>
        </w:rPr>
      </w:pPr>
      <w:r w:rsidRPr="007C57D2">
        <w:rPr>
          <w:rFonts w:ascii="Times New Roman" w:hAnsi="Times New Roman"/>
          <w:sz w:val="28"/>
          <w:szCs w:val="28"/>
        </w:rPr>
        <w:pict>
          <v:rect id="_x0000_i1025" style="width:0;height:1.5pt" o:hralign="center" o:hrstd="t" o:hr="t" fillcolor="#a0a0a0" stroked="f"/>
        </w:pict>
      </w:r>
    </w:p>
    <w:p w:rsidR="00AF7F6A" w:rsidRPr="007C57D2" w:rsidRDefault="007C57D2" w:rsidP="009B0032">
      <w:pPr>
        <w:overflowPunct w:val="0"/>
        <w:autoSpaceDE w:val="0"/>
        <w:autoSpaceDN w:val="0"/>
        <w:adjustRightInd w:val="0"/>
        <w:spacing w:after="0" w:line="240" w:lineRule="auto"/>
        <w:ind w:left="708" w:hanging="708"/>
        <w:jc w:val="center"/>
        <w:textAlignment w:val="baseline"/>
        <w:rPr>
          <w:rFonts w:ascii="Times New Roman" w:hAnsi="Times New Roman"/>
          <w:b/>
          <w:sz w:val="28"/>
          <w:szCs w:val="28"/>
          <w:lang w:val="pt-PT" w:eastAsia="es-ES"/>
        </w:rPr>
      </w:pPr>
      <w:bookmarkStart w:id="1" w:name="_Hlk111730920"/>
      <w:bookmarkStart w:id="2" w:name="_Hlk115785971"/>
      <w:bookmarkEnd w:id="1"/>
      <w:r w:rsidRPr="007C57D2">
        <w:rPr>
          <w:rFonts w:ascii="Times New Roman" w:hAnsi="Times New Roman"/>
          <w:b/>
          <w:sz w:val="28"/>
          <w:szCs w:val="28"/>
          <w:lang w:val="pt-PT" w:eastAsia="es-ES"/>
        </w:rPr>
        <w:t>REPÚBLICA DE COLOMBIA</w:t>
      </w:r>
    </w:p>
    <w:p w:rsidR="00AF7F6A" w:rsidRPr="007C57D2" w:rsidRDefault="007C57D2" w:rsidP="009B0032">
      <w:pPr>
        <w:overflowPunct w:val="0"/>
        <w:autoSpaceDE w:val="0"/>
        <w:autoSpaceDN w:val="0"/>
        <w:adjustRightInd w:val="0"/>
        <w:spacing w:after="0" w:line="240" w:lineRule="auto"/>
        <w:jc w:val="center"/>
        <w:textAlignment w:val="baseline"/>
        <w:rPr>
          <w:rFonts w:ascii="Times New Roman" w:hAnsi="Times New Roman"/>
          <w:b/>
          <w:sz w:val="28"/>
          <w:szCs w:val="28"/>
          <w:lang w:val="pt-PT" w:eastAsia="es-ES"/>
        </w:rPr>
      </w:pPr>
      <w:r w:rsidRPr="007C57D2">
        <w:rPr>
          <w:rFonts w:ascii="Times New Roman" w:hAnsi="Times New Roman"/>
          <w:b/>
          <w:noProof/>
          <w:sz w:val="28"/>
          <w:szCs w:val="28"/>
          <w:lang w:val="pt-PT"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7pt;height:59.25pt;visibility:visible;mso-wrap-style:square">
            <v:imagedata r:id="rId7" o:title=""/>
          </v:shape>
        </w:pict>
      </w:r>
    </w:p>
    <w:p w:rsidR="00AF7F6A" w:rsidRPr="007C57D2" w:rsidRDefault="007C57D2" w:rsidP="009B0032">
      <w:pPr>
        <w:spacing w:after="0" w:line="240" w:lineRule="auto"/>
        <w:jc w:val="center"/>
        <w:rPr>
          <w:rFonts w:ascii="Times New Roman" w:hAnsi="Times New Roman"/>
          <w:b/>
          <w:sz w:val="28"/>
          <w:szCs w:val="28"/>
          <w:lang w:val="pt-PT" w:eastAsia="es-MX"/>
        </w:rPr>
      </w:pPr>
      <w:r w:rsidRPr="007C57D2">
        <w:rPr>
          <w:rFonts w:ascii="Times New Roman" w:hAnsi="Times New Roman"/>
          <w:b/>
          <w:sz w:val="28"/>
          <w:szCs w:val="28"/>
          <w:lang w:val="pt-PT" w:eastAsia="es-MX"/>
        </w:rPr>
        <w:t>CORTE CONSTITUCIONAL</w:t>
      </w:r>
    </w:p>
    <w:p w:rsidR="00AF7F6A" w:rsidRPr="007C57D2" w:rsidRDefault="007C57D2" w:rsidP="009B0032">
      <w:pPr>
        <w:spacing w:after="0" w:line="240" w:lineRule="auto"/>
        <w:jc w:val="center"/>
        <w:rPr>
          <w:rFonts w:ascii="Times New Roman" w:hAnsi="Times New Roman"/>
          <w:b/>
          <w:sz w:val="28"/>
          <w:szCs w:val="28"/>
          <w:lang w:val="pt-PT" w:eastAsia="es-MX"/>
        </w:rPr>
      </w:pPr>
      <w:r w:rsidRPr="007C57D2">
        <w:rPr>
          <w:rFonts w:ascii="Times New Roman" w:hAnsi="Times New Roman"/>
          <w:b/>
          <w:sz w:val="28"/>
          <w:szCs w:val="28"/>
          <w:lang w:val="pt-PT" w:eastAsia="es-MX"/>
        </w:rPr>
        <w:t>Sala Plena</w:t>
      </w:r>
    </w:p>
    <w:p w:rsidR="00AF7F6A" w:rsidRPr="007C57D2" w:rsidRDefault="007C57D2" w:rsidP="008F3DAB">
      <w:pPr>
        <w:spacing w:after="0" w:line="240" w:lineRule="auto"/>
        <w:ind w:left="4395"/>
        <w:jc w:val="center"/>
        <w:rPr>
          <w:rFonts w:ascii="Times New Roman" w:hAnsi="Times New Roman"/>
          <w:sz w:val="28"/>
          <w:szCs w:val="28"/>
          <w:lang w:val="pt-PT" w:eastAsia="es-ES"/>
        </w:rPr>
      </w:pPr>
    </w:p>
    <w:p w:rsidR="00AF7F6A" w:rsidRPr="007C57D2" w:rsidRDefault="007C57D2" w:rsidP="008F3DAB">
      <w:pPr>
        <w:spacing w:after="0" w:line="240" w:lineRule="auto"/>
        <w:ind w:right="51"/>
        <w:jc w:val="center"/>
        <w:rPr>
          <w:rFonts w:ascii="Times New Roman" w:hAnsi="Times New Roman"/>
          <w:b/>
          <w:sz w:val="28"/>
          <w:szCs w:val="28"/>
          <w:lang w:eastAsia="es-MX"/>
        </w:rPr>
      </w:pPr>
      <w:r w:rsidRPr="007C57D2">
        <w:rPr>
          <w:rFonts w:ascii="Times New Roman" w:hAnsi="Times New Roman"/>
          <w:b/>
          <w:sz w:val="28"/>
          <w:szCs w:val="28"/>
          <w:lang w:eastAsia="es-MX"/>
        </w:rPr>
        <w:t>SENTENCIA C-</w:t>
      </w:r>
      <w:r w:rsidRPr="007C57D2">
        <w:rPr>
          <w:rFonts w:ascii="Times New Roman" w:hAnsi="Times New Roman"/>
          <w:b/>
          <w:sz w:val="28"/>
          <w:szCs w:val="28"/>
          <w:lang w:eastAsia="es-MX"/>
        </w:rPr>
        <w:t>468</w:t>
      </w:r>
      <w:r w:rsidRPr="007C57D2">
        <w:rPr>
          <w:rFonts w:ascii="Times New Roman" w:hAnsi="Times New Roman"/>
          <w:b/>
          <w:sz w:val="28"/>
          <w:szCs w:val="28"/>
          <w:lang w:eastAsia="es-MX"/>
        </w:rPr>
        <w:t xml:space="preserve"> DE 2025</w:t>
      </w:r>
    </w:p>
    <w:p w:rsidR="00AF7F6A" w:rsidRPr="007C57D2" w:rsidRDefault="007C57D2" w:rsidP="008F3DAB">
      <w:pPr>
        <w:spacing w:after="0" w:line="240" w:lineRule="auto"/>
        <w:jc w:val="both"/>
        <w:rPr>
          <w:rFonts w:ascii="Times New Roman" w:hAnsi="Times New Roman"/>
          <w:b/>
          <w:bCs/>
          <w:sz w:val="28"/>
          <w:szCs w:val="28"/>
          <w:lang w:eastAsia="es-MX"/>
        </w:rPr>
      </w:pPr>
    </w:p>
    <w:p w:rsidR="00AF7F6A" w:rsidRPr="007C57D2" w:rsidRDefault="007C57D2" w:rsidP="008F3DAB">
      <w:pPr>
        <w:spacing w:after="0" w:line="240" w:lineRule="auto"/>
        <w:ind w:left="3969"/>
        <w:jc w:val="both"/>
        <w:rPr>
          <w:rFonts w:ascii="Times New Roman" w:hAnsi="Times New Roman"/>
          <w:b/>
          <w:bCs/>
          <w:sz w:val="28"/>
          <w:szCs w:val="28"/>
          <w:lang w:eastAsia="es-MX"/>
        </w:rPr>
      </w:pPr>
      <w:r w:rsidRPr="007C57D2">
        <w:rPr>
          <w:rFonts w:ascii="Times New Roman" w:hAnsi="Times New Roman"/>
          <w:b/>
          <w:bCs/>
          <w:sz w:val="28"/>
          <w:szCs w:val="28"/>
          <w:lang w:eastAsia="es-MX"/>
        </w:rPr>
        <w:t>Ref.: expediente PE-059</w:t>
      </w:r>
    </w:p>
    <w:p w:rsidR="00AF7F6A" w:rsidRPr="007C57D2" w:rsidRDefault="007C57D2" w:rsidP="008F3DAB">
      <w:pPr>
        <w:spacing w:after="0" w:line="240" w:lineRule="auto"/>
        <w:ind w:left="3969"/>
        <w:jc w:val="both"/>
        <w:rPr>
          <w:rFonts w:ascii="Times New Roman" w:hAnsi="Times New Roman"/>
          <w:sz w:val="28"/>
          <w:szCs w:val="28"/>
          <w:lang w:eastAsia="es-MX"/>
        </w:rPr>
      </w:pPr>
    </w:p>
    <w:p w:rsidR="00AF7F6A" w:rsidRPr="007C57D2" w:rsidRDefault="007C57D2" w:rsidP="008F3DAB">
      <w:pPr>
        <w:kinsoku w:val="0"/>
        <w:overflowPunct w:val="0"/>
        <w:autoSpaceDE w:val="0"/>
        <w:autoSpaceDN w:val="0"/>
        <w:adjustRightInd w:val="0"/>
        <w:spacing w:after="0" w:line="240" w:lineRule="auto"/>
        <w:ind w:left="3969"/>
        <w:jc w:val="both"/>
        <w:rPr>
          <w:rFonts w:ascii="Times New Roman" w:hAnsi="Times New Roman"/>
          <w:sz w:val="28"/>
          <w:szCs w:val="28"/>
        </w:rPr>
      </w:pPr>
      <w:bookmarkStart w:id="3" w:name="_Hlk110851705"/>
      <w:r w:rsidRPr="007C57D2">
        <w:rPr>
          <w:rFonts w:ascii="Times New Roman" w:hAnsi="Times New Roman"/>
          <w:sz w:val="28"/>
          <w:szCs w:val="28"/>
          <w:lang w:val="es-ES_tradnl"/>
        </w:rPr>
        <w:t xml:space="preserve">Control de constitucionalidad del </w:t>
      </w:r>
      <w:r w:rsidRPr="007C57D2">
        <w:rPr>
          <w:rFonts w:ascii="Times New Roman" w:hAnsi="Times New Roman"/>
          <w:sz w:val="28"/>
          <w:szCs w:val="28"/>
        </w:rPr>
        <w:t xml:space="preserve">proyecto de ley estatutaria </w:t>
      </w:r>
      <w:bookmarkStart w:id="4" w:name="_Hlk209637275"/>
      <w:r w:rsidRPr="007C57D2">
        <w:rPr>
          <w:rFonts w:ascii="Times New Roman" w:hAnsi="Times New Roman"/>
          <w:sz w:val="28"/>
          <w:szCs w:val="28"/>
        </w:rPr>
        <w:t>número 266 de 2023 Cámara</w:t>
      </w:r>
      <w:r w:rsidRPr="007C57D2">
        <w:rPr>
          <w:rFonts w:ascii="Times New Roman" w:hAnsi="Times New Roman"/>
          <w:sz w:val="28"/>
          <w:szCs w:val="28"/>
        </w:rPr>
        <w:t xml:space="preserve"> -</w:t>
      </w:r>
      <w:r w:rsidRPr="007C57D2">
        <w:rPr>
          <w:rFonts w:ascii="Times New Roman" w:hAnsi="Times New Roman"/>
          <w:sz w:val="28"/>
          <w:szCs w:val="28"/>
        </w:rPr>
        <w:t xml:space="preserve"> 285 de 2024 Senado, </w:t>
      </w:r>
      <w:r w:rsidRPr="007C57D2">
        <w:rPr>
          <w:rFonts w:ascii="Times New Roman" w:hAnsi="Times New Roman"/>
          <w:sz w:val="28"/>
          <w:szCs w:val="28"/>
          <w:lang w:val="es-ES_tradnl"/>
        </w:rPr>
        <w:t>“</w:t>
      </w:r>
      <w:r w:rsidRPr="007C57D2">
        <w:rPr>
          <w:rFonts w:ascii="Times New Roman" w:hAnsi="Times New Roman"/>
          <w:sz w:val="28"/>
          <w:szCs w:val="28"/>
        </w:rPr>
        <w:t xml:space="preserve">[p]or medio de la cual se crea y </w:t>
      </w:r>
      <w:r w:rsidRPr="007C57D2">
        <w:rPr>
          <w:rFonts w:ascii="Times New Roman" w:hAnsi="Times New Roman"/>
          <w:sz w:val="28"/>
          <w:szCs w:val="28"/>
        </w:rPr>
        <w:t>se reglamenta [la] Alerta Colombia Ley Sara Sofía y de dictan otras disposiciones”</w:t>
      </w:r>
    </w:p>
    <w:bookmarkEnd w:id="4"/>
    <w:p w:rsidR="00AF7F6A" w:rsidRPr="007C57D2" w:rsidRDefault="007C57D2" w:rsidP="008F3DAB">
      <w:pPr>
        <w:kinsoku w:val="0"/>
        <w:overflowPunct w:val="0"/>
        <w:autoSpaceDE w:val="0"/>
        <w:autoSpaceDN w:val="0"/>
        <w:adjustRightInd w:val="0"/>
        <w:spacing w:after="0" w:line="240" w:lineRule="auto"/>
        <w:ind w:left="3969"/>
        <w:jc w:val="both"/>
        <w:rPr>
          <w:rFonts w:ascii="Times New Roman" w:hAnsi="Times New Roman"/>
          <w:sz w:val="28"/>
          <w:szCs w:val="28"/>
        </w:rPr>
      </w:pPr>
    </w:p>
    <w:bookmarkEnd w:id="3"/>
    <w:p w:rsidR="00AF7F6A" w:rsidRPr="007C57D2" w:rsidRDefault="007C57D2" w:rsidP="008F3DAB">
      <w:pPr>
        <w:spacing w:after="0" w:line="240" w:lineRule="auto"/>
        <w:ind w:left="3969"/>
        <w:jc w:val="both"/>
        <w:rPr>
          <w:rFonts w:ascii="Times New Roman" w:hAnsi="Times New Roman"/>
          <w:b/>
          <w:bCs/>
          <w:sz w:val="28"/>
          <w:szCs w:val="28"/>
          <w:lang w:eastAsia="es-MX"/>
        </w:rPr>
      </w:pPr>
      <w:r w:rsidRPr="007C57D2">
        <w:rPr>
          <w:rFonts w:ascii="Times New Roman" w:hAnsi="Times New Roman"/>
          <w:b/>
          <w:bCs/>
          <w:sz w:val="28"/>
          <w:szCs w:val="28"/>
          <w:lang w:eastAsia="es-MX"/>
        </w:rPr>
        <w:t>Magistrada ponente:</w:t>
      </w:r>
    </w:p>
    <w:p w:rsidR="00AF7F6A" w:rsidRPr="007C57D2" w:rsidRDefault="007C57D2" w:rsidP="008F3DAB">
      <w:pPr>
        <w:spacing w:after="0" w:line="240" w:lineRule="auto"/>
        <w:ind w:left="3969"/>
        <w:jc w:val="both"/>
        <w:rPr>
          <w:rFonts w:ascii="Times New Roman" w:hAnsi="Times New Roman"/>
          <w:bCs/>
          <w:sz w:val="28"/>
          <w:szCs w:val="28"/>
          <w:lang w:eastAsia="es-MX"/>
        </w:rPr>
      </w:pPr>
      <w:r w:rsidRPr="007C57D2">
        <w:rPr>
          <w:rFonts w:ascii="Times New Roman" w:hAnsi="Times New Roman"/>
          <w:bCs/>
          <w:sz w:val="28"/>
          <w:szCs w:val="28"/>
          <w:lang w:eastAsia="es-MX"/>
        </w:rPr>
        <w:t>Lina Marcela Escobar Martínez</w:t>
      </w:r>
    </w:p>
    <w:p w:rsidR="00AF7F6A" w:rsidRPr="007C57D2" w:rsidRDefault="007C57D2" w:rsidP="008F3DAB">
      <w:pPr>
        <w:spacing w:after="0" w:line="240" w:lineRule="auto"/>
        <w:jc w:val="both"/>
        <w:rPr>
          <w:rFonts w:ascii="Times New Roman" w:hAnsi="Times New Roman"/>
          <w:sz w:val="28"/>
          <w:szCs w:val="28"/>
          <w:lang w:eastAsia="es-MX"/>
        </w:rPr>
      </w:pPr>
    </w:p>
    <w:p w:rsidR="00AF7F6A" w:rsidRPr="007C57D2" w:rsidRDefault="007C57D2" w:rsidP="008F3DAB">
      <w:pPr>
        <w:spacing w:after="0" w:line="240" w:lineRule="auto"/>
        <w:jc w:val="both"/>
        <w:rPr>
          <w:rFonts w:ascii="Times New Roman" w:hAnsi="Times New Roman"/>
          <w:sz w:val="28"/>
          <w:szCs w:val="28"/>
          <w:lang w:eastAsia="es-MX"/>
        </w:rPr>
      </w:pPr>
      <w:r w:rsidRPr="007C57D2">
        <w:rPr>
          <w:rFonts w:ascii="Times New Roman" w:hAnsi="Times New Roman"/>
          <w:sz w:val="28"/>
          <w:szCs w:val="28"/>
          <w:lang w:eastAsia="es-MX"/>
        </w:rPr>
        <w:t xml:space="preserve">Bogotá, D. C., </w:t>
      </w:r>
      <w:r w:rsidRPr="007C57D2">
        <w:rPr>
          <w:rFonts w:ascii="Times New Roman" w:hAnsi="Times New Roman"/>
          <w:sz w:val="28"/>
          <w:szCs w:val="28"/>
          <w:lang w:eastAsia="es-MX"/>
        </w:rPr>
        <w:t xml:space="preserve">trece </w:t>
      </w:r>
      <w:r w:rsidRPr="007C57D2">
        <w:rPr>
          <w:rFonts w:ascii="Times New Roman" w:hAnsi="Times New Roman"/>
          <w:sz w:val="28"/>
          <w:szCs w:val="28"/>
          <w:lang w:eastAsia="es-MX"/>
        </w:rPr>
        <w:t>(</w:t>
      </w:r>
      <w:r w:rsidRPr="007C57D2">
        <w:rPr>
          <w:rFonts w:ascii="Times New Roman" w:hAnsi="Times New Roman"/>
          <w:sz w:val="28"/>
          <w:szCs w:val="28"/>
          <w:lang w:eastAsia="es-MX"/>
        </w:rPr>
        <w:t>13</w:t>
      </w:r>
      <w:r w:rsidRPr="007C57D2">
        <w:rPr>
          <w:rFonts w:ascii="Times New Roman" w:hAnsi="Times New Roman"/>
          <w:sz w:val="28"/>
          <w:szCs w:val="28"/>
          <w:lang w:eastAsia="es-MX"/>
        </w:rPr>
        <w:t xml:space="preserve">) de </w:t>
      </w:r>
      <w:r w:rsidRPr="007C57D2">
        <w:rPr>
          <w:rFonts w:ascii="Times New Roman" w:hAnsi="Times New Roman"/>
          <w:sz w:val="28"/>
          <w:szCs w:val="28"/>
          <w:lang w:eastAsia="es-MX"/>
        </w:rPr>
        <w:t xml:space="preserve">noviembre </w:t>
      </w:r>
      <w:r w:rsidRPr="007C57D2">
        <w:rPr>
          <w:rFonts w:ascii="Times New Roman" w:hAnsi="Times New Roman"/>
          <w:sz w:val="28"/>
          <w:szCs w:val="28"/>
          <w:lang w:eastAsia="es-MX"/>
        </w:rPr>
        <w:t xml:space="preserve">de dos mil veinticinco (2025). </w:t>
      </w:r>
    </w:p>
    <w:p w:rsidR="00AF7F6A" w:rsidRPr="007C57D2" w:rsidRDefault="007C57D2" w:rsidP="008F3DAB">
      <w:pPr>
        <w:spacing w:after="0" w:line="240" w:lineRule="auto"/>
        <w:jc w:val="both"/>
        <w:rPr>
          <w:rFonts w:ascii="Times New Roman" w:hAnsi="Times New Roman"/>
          <w:sz w:val="28"/>
          <w:szCs w:val="28"/>
          <w:lang w:eastAsia="es-MX"/>
        </w:rPr>
      </w:pPr>
    </w:p>
    <w:p w:rsidR="00B24782" w:rsidRPr="007C57D2" w:rsidRDefault="007C57D2" w:rsidP="008F3DAB">
      <w:pPr>
        <w:spacing w:after="0" w:line="240" w:lineRule="auto"/>
        <w:jc w:val="both"/>
        <w:rPr>
          <w:rFonts w:ascii="Times New Roman" w:hAnsi="Times New Roman"/>
          <w:sz w:val="28"/>
          <w:szCs w:val="28"/>
          <w:shd w:val="clear" w:color="auto" w:fill="FFFFFF"/>
          <w:lang w:eastAsia="es-MX"/>
        </w:rPr>
      </w:pPr>
      <w:r w:rsidRPr="007C57D2">
        <w:rPr>
          <w:rFonts w:ascii="Times New Roman" w:hAnsi="Times New Roman"/>
          <w:sz w:val="28"/>
          <w:szCs w:val="28"/>
          <w:shd w:val="clear" w:color="auto" w:fill="FFFFFF"/>
          <w:lang w:eastAsia="es-MX"/>
        </w:rPr>
        <w:t xml:space="preserve">La Sala Plena de la Corte Constitucional, en ejercicio de sus atribuciones constitucionales y </w:t>
      </w:r>
      <w:r w:rsidRPr="007C57D2">
        <w:rPr>
          <w:rFonts w:ascii="Times New Roman" w:hAnsi="Times New Roman"/>
          <w:sz w:val="28"/>
          <w:szCs w:val="28"/>
          <w:shd w:val="clear" w:color="auto" w:fill="FFFFFF"/>
          <w:lang w:eastAsia="es-MX"/>
        </w:rPr>
        <w:t>legales,  en especial, de las previstas en el artículo 241 de la Constitución Política, y cumplidos todos los trámites y requisitos establecidos en el Decreto Ley</w:t>
      </w:r>
      <w:r w:rsidRPr="007C57D2">
        <w:rPr>
          <w:rFonts w:ascii="Times New Roman" w:hAnsi="Times New Roman"/>
          <w:sz w:val="28"/>
          <w:szCs w:val="28"/>
          <w:shd w:val="clear" w:color="auto" w:fill="FFFFFF"/>
          <w:lang w:eastAsia="es-MX"/>
        </w:rPr>
        <w:t xml:space="preserve"> 2067 de 1991, ha proferido la siguiente,</w:t>
      </w:r>
    </w:p>
    <w:p w:rsidR="00AF7F6A" w:rsidRPr="007C57D2" w:rsidRDefault="007C57D2" w:rsidP="008F3DAB">
      <w:pPr>
        <w:spacing w:after="0" w:line="240" w:lineRule="auto"/>
        <w:jc w:val="both"/>
        <w:rPr>
          <w:rFonts w:ascii="Times New Roman" w:hAnsi="Times New Roman"/>
          <w:sz w:val="28"/>
          <w:szCs w:val="28"/>
          <w:lang w:eastAsia="es-MX"/>
        </w:rPr>
      </w:pPr>
    </w:p>
    <w:p w:rsidR="00AF7F6A" w:rsidRPr="007C57D2" w:rsidRDefault="007C57D2" w:rsidP="008F3DAB">
      <w:pPr>
        <w:spacing w:after="0" w:line="240" w:lineRule="auto"/>
        <w:jc w:val="center"/>
        <w:rPr>
          <w:rFonts w:ascii="Times New Roman" w:hAnsi="Times New Roman"/>
          <w:b/>
          <w:sz w:val="28"/>
          <w:szCs w:val="28"/>
          <w:lang w:eastAsia="es-MX"/>
        </w:rPr>
      </w:pPr>
      <w:r w:rsidRPr="007C57D2">
        <w:rPr>
          <w:rFonts w:ascii="Times New Roman" w:hAnsi="Times New Roman"/>
          <w:b/>
          <w:sz w:val="28"/>
          <w:szCs w:val="28"/>
          <w:lang w:eastAsia="es-MX"/>
        </w:rPr>
        <w:t>SENTENCIA</w:t>
      </w:r>
    </w:p>
    <w:bookmarkEnd w:id="2"/>
    <w:p w:rsidR="00AF7F6A" w:rsidRPr="007C57D2" w:rsidRDefault="007C57D2" w:rsidP="008F3DAB">
      <w:pPr>
        <w:spacing w:after="0" w:line="240" w:lineRule="auto"/>
        <w:jc w:val="both"/>
        <w:rPr>
          <w:rFonts w:ascii="Times New Roman" w:hAnsi="Times New Roman"/>
          <w:b/>
          <w:bCs/>
          <w:sz w:val="28"/>
          <w:szCs w:val="28"/>
          <w:lang w:eastAsia="es-MX"/>
        </w:rPr>
      </w:pPr>
    </w:p>
    <w:p w:rsidR="00AF7F6A" w:rsidRPr="007C57D2" w:rsidRDefault="007C57D2" w:rsidP="008F3DAB">
      <w:pPr>
        <w:spacing w:after="0" w:line="240" w:lineRule="auto"/>
        <w:jc w:val="both"/>
        <w:rPr>
          <w:rFonts w:ascii="Times New Roman" w:hAnsi="Times New Roman"/>
          <w:b/>
          <w:bCs/>
          <w:sz w:val="28"/>
          <w:szCs w:val="28"/>
          <w:lang w:eastAsia="es-MX"/>
        </w:rPr>
      </w:pPr>
      <w:r w:rsidRPr="007C57D2">
        <w:rPr>
          <w:rFonts w:ascii="Times New Roman" w:hAnsi="Times New Roman"/>
          <w:b/>
          <w:bCs/>
          <w:sz w:val="28"/>
          <w:szCs w:val="28"/>
          <w:lang w:eastAsia="es-MX"/>
        </w:rPr>
        <w:t>Síntesis de la decisión</w:t>
      </w:r>
    </w:p>
    <w:p w:rsidR="00AF7F6A" w:rsidRPr="007C57D2" w:rsidRDefault="007C57D2" w:rsidP="008F3DAB">
      <w:pPr>
        <w:spacing w:after="0" w:line="240" w:lineRule="auto"/>
        <w:jc w:val="both"/>
        <w:rPr>
          <w:rFonts w:ascii="Times New Roman" w:hAnsi="Times New Roman"/>
          <w:b/>
          <w:bCs/>
          <w:sz w:val="28"/>
          <w:szCs w:val="28"/>
          <w:lang w:eastAsia="es-MX"/>
        </w:rPr>
      </w:pPr>
    </w:p>
    <w:p w:rsidR="00AF7F6A" w:rsidRPr="007C57D2" w:rsidRDefault="007C57D2" w:rsidP="008F3DAB">
      <w:pPr>
        <w:spacing w:after="0" w:line="240" w:lineRule="auto"/>
        <w:jc w:val="both"/>
        <w:rPr>
          <w:rFonts w:ascii="Times New Roman" w:hAnsi="Times New Roman"/>
          <w:sz w:val="28"/>
          <w:szCs w:val="28"/>
          <w:lang w:eastAsia="es-MX"/>
        </w:rPr>
      </w:pPr>
      <w:r w:rsidRPr="007C57D2">
        <w:rPr>
          <w:rFonts w:ascii="Times New Roman" w:hAnsi="Times New Roman"/>
          <w:sz w:val="28"/>
          <w:szCs w:val="28"/>
          <w:lang w:eastAsia="es-MX"/>
        </w:rPr>
        <w:t xml:space="preserve">La Corte Constitucional adelantó el control automático de constitucionalidad del proyecto de ley estatutaria número 266 de 2023 Cámara - 285 de 2024 Senado, “[p]or medio de la </w:t>
      </w:r>
      <w:r w:rsidRPr="007C57D2">
        <w:rPr>
          <w:rFonts w:ascii="Times New Roman" w:hAnsi="Times New Roman"/>
          <w:sz w:val="28"/>
          <w:szCs w:val="28"/>
          <w:lang w:eastAsia="es-MX"/>
        </w:rPr>
        <w:t>cual se crea y se reglamenta [la] Alerta Colombia Ley Sara Sofía y de dictan otras disposiciones” (en adelante, PLE). En razón del alcance del control de los proyectos de ley estatutaria, en primer lugar, la Sala Plena verificó si el PLE cumplía los requis</w:t>
      </w:r>
      <w:r w:rsidRPr="007C57D2">
        <w:rPr>
          <w:rFonts w:ascii="Times New Roman" w:hAnsi="Times New Roman"/>
          <w:sz w:val="28"/>
          <w:szCs w:val="28"/>
          <w:lang w:eastAsia="es-MX"/>
        </w:rPr>
        <w:t>itos formales de validez que exigen la Constitución, la Ley 5 de 1992 y la jurisprudencia.</w:t>
      </w:r>
    </w:p>
    <w:p w:rsidR="006462A8" w:rsidRPr="007C57D2" w:rsidRDefault="007C57D2" w:rsidP="008F3DAB">
      <w:pPr>
        <w:spacing w:after="0" w:line="240" w:lineRule="auto"/>
        <w:jc w:val="both"/>
        <w:rPr>
          <w:rFonts w:ascii="Times New Roman" w:hAnsi="Times New Roman"/>
          <w:sz w:val="28"/>
          <w:szCs w:val="28"/>
          <w:lang w:eastAsia="es-MX"/>
        </w:rPr>
      </w:pPr>
    </w:p>
    <w:p w:rsidR="006462A8" w:rsidRPr="007C57D2" w:rsidRDefault="007C57D2" w:rsidP="008F3DAB">
      <w:pPr>
        <w:spacing w:after="0" w:line="240" w:lineRule="auto"/>
        <w:jc w:val="both"/>
        <w:rPr>
          <w:rFonts w:ascii="Times New Roman" w:hAnsi="Times New Roman"/>
          <w:sz w:val="28"/>
          <w:szCs w:val="28"/>
          <w:lang w:val="es-ES" w:eastAsia="es-MX"/>
        </w:rPr>
      </w:pPr>
      <w:r w:rsidRPr="007C57D2">
        <w:rPr>
          <w:rFonts w:ascii="Times New Roman" w:hAnsi="Times New Roman"/>
          <w:sz w:val="28"/>
          <w:szCs w:val="28"/>
          <w:lang w:val="es-ES" w:eastAsia="es-MX"/>
        </w:rPr>
        <w:t xml:space="preserve">Al respecto, comprobó que el trámite legislativo cumplió todas las reglas de procedimiento que regulan la aprobación de proyectos de ley estatutaria. De este modo, </w:t>
      </w:r>
      <w:r w:rsidRPr="007C57D2">
        <w:rPr>
          <w:rFonts w:ascii="Times New Roman" w:hAnsi="Times New Roman"/>
          <w:sz w:val="28"/>
          <w:szCs w:val="28"/>
          <w:lang w:val="es-ES" w:eastAsia="es-MX"/>
        </w:rPr>
        <w:t>constató lo siguiente: (i) la materia regulada en el PLE tiene reserva de ley estatutaria; (ii) este cumplió las reglas aplicables al procedimiento legislativo ordinario; (iii) fue aprobado en una sola legislatura y por mayoría absoluta tanto en las comisi</w:t>
      </w:r>
      <w:r w:rsidRPr="007C57D2">
        <w:rPr>
          <w:rFonts w:ascii="Times New Roman" w:hAnsi="Times New Roman"/>
          <w:sz w:val="28"/>
          <w:szCs w:val="28"/>
          <w:lang w:val="es-ES" w:eastAsia="es-MX"/>
        </w:rPr>
        <w:t>ones como en las plenarias de ambas cámaras; (iv) surtió en debida forma el trámite de conciliación; (v) respetó los principios de unidad de materia, identidad flexible y consecutividad; (vi) no debía agotar el requisito de consulta previa; y (vii) tampoco</w:t>
      </w:r>
      <w:r w:rsidRPr="007C57D2">
        <w:rPr>
          <w:rFonts w:ascii="Times New Roman" w:hAnsi="Times New Roman"/>
          <w:sz w:val="28"/>
          <w:szCs w:val="28"/>
          <w:lang w:val="es-ES" w:eastAsia="es-MX"/>
        </w:rPr>
        <w:t xml:space="preserve"> debía satisfacer el requisito de análisis de impacto fiscal.</w:t>
      </w:r>
    </w:p>
    <w:p w:rsidR="007F3997" w:rsidRPr="007C57D2" w:rsidRDefault="007C57D2" w:rsidP="008F3DAB">
      <w:pPr>
        <w:spacing w:after="0" w:line="240" w:lineRule="auto"/>
        <w:jc w:val="both"/>
        <w:rPr>
          <w:rFonts w:ascii="Times New Roman" w:hAnsi="Times New Roman"/>
          <w:sz w:val="28"/>
          <w:szCs w:val="28"/>
          <w:lang w:val="es-ES" w:eastAsia="es-MX"/>
        </w:rPr>
      </w:pPr>
    </w:p>
    <w:p w:rsidR="007F3997" w:rsidRPr="007C57D2" w:rsidRDefault="007C57D2" w:rsidP="008F3DAB">
      <w:pPr>
        <w:spacing w:after="0" w:line="240" w:lineRule="auto"/>
        <w:jc w:val="both"/>
        <w:rPr>
          <w:rFonts w:ascii="Times New Roman" w:hAnsi="Times New Roman"/>
          <w:sz w:val="28"/>
          <w:szCs w:val="28"/>
          <w:lang w:val="es-ES_tradnl" w:eastAsia="es-MX"/>
        </w:rPr>
      </w:pPr>
      <w:r w:rsidRPr="007C57D2">
        <w:rPr>
          <w:rFonts w:ascii="Times New Roman" w:hAnsi="Times New Roman"/>
          <w:sz w:val="28"/>
          <w:szCs w:val="28"/>
          <w:lang w:val="es-ES_tradnl" w:eastAsia="es-MX"/>
        </w:rPr>
        <w:t xml:space="preserve">En relación con el trámite de conciliación, la Sala constató que, en virtud de la jurisprudencia anunciada por la Sentencia C-340 de 2025, </w:t>
      </w:r>
      <w:r w:rsidRPr="007C57D2">
        <w:rPr>
          <w:rFonts w:ascii="Times New Roman" w:hAnsi="Times New Roman"/>
          <w:sz w:val="28"/>
          <w:szCs w:val="28"/>
          <w:lang w:eastAsia="es-MX"/>
        </w:rPr>
        <w:t xml:space="preserve">la exigencia relativa a que la comisión de </w:t>
      </w:r>
      <w:r w:rsidRPr="007C57D2">
        <w:rPr>
          <w:rFonts w:ascii="Times New Roman" w:hAnsi="Times New Roman"/>
          <w:sz w:val="28"/>
          <w:szCs w:val="28"/>
          <w:lang w:eastAsia="es-MX"/>
        </w:rPr>
        <w:t>conciliación esté compuesta por miembros de diferentes partidos únicamente tendrá efectos respecto de los proyectos de ley radicados en el Congreso de la República con posterioridad a la notificación del Auto 1298 de 2024, esto es, a partir del 15 de novie</w:t>
      </w:r>
      <w:r w:rsidRPr="007C57D2">
        <w:rPr>
          <w:rFonts w:ascii="Times New Roman" w:hAnsi="Times New Roman"/>
          <w:sz w:val="28"/>
          <w:szCs w:val="28"/>
          <w:lang w:eastAsia="es-MX"/>
        </w:rPr>
        <w:t>mbre de 2024. En consecuencia, concluyó que dicha jurisprudencia no es aplicable al presente caso y, en esa medida, la conformación de la comisión de conciliación por dos miembros del mismo partido no constituye un vicio de procedimiento</w:t>
      </w:r>
      <w:r w:rsidRPr="007C57D2">
        <w:rPr>
          <w:rFonts w:ascii="Times New Roman" w:hAnsi="Times New Roman"/>
          <w:sz w:val="28"/>
          <w:szCs w:val="28"/>
          <w:lang w:eastAsia="es-MX"/>
        </w:rPr>
        <w:t xml:space="preserve"> en el asunto de la</w:t>
      </w:r>
      <w:r w:rsidRPr="007C57D2">
        <w:rPr>
          <w:rFonts w:ascii="Times New Roman" w:hAnsi="Times New Roman"/>
          <w:sz w:val="28"/>
          <w:szCs w:val="28"/>
          <w:lang w:eastAsia="es-MX"/>
        </w:rPr>
        <w:t xml:space="preserve"> referencia</w:t>
      </w:r>
      <w:r w:rsidRPr="007C57D2">
        <w:rPr>
          <w:rFonts w:ascii="Times New Roman" w:hAnsi="Times New Roman"/>
          <w:sz w:val="28"/>
          <w:szCs w:val="28"/>
          <w:lang w:eastAsia="es-MX"/>
        </w:rPr>
        <w:t xml:space="preserve">. </w:t>
      </w:r>
    </w:p>
    <w:p w:rsidR="007F3997" w:rsidRPr="007C57D2" w:rsidRDefault="007C57D2" w:rsidP="008F3DAB">
      <w:pPr>
        <w:spacing w:after="0" w:line="240" w:lineRule="auto"/>
        <w:jc w:val="both"/>
        <w:rPr>
          <w:rFonts w:ascii="Times New Roman" w:hAnsi="Times New Roman"/>
          <w:sz w:val="28"/>
          <w:szCs w:val="28"/>
          <w:lang w:val="es-ES_tradnl" w:eastAsia="es-MX"/>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Por lo anterior, en segundo lugar, procedió a adelantar el control material del PLE. Previo al análisis de constitucionalidad del articulado del PLE, la Corte consideró relevante referirse a algunos aspectos pertinentes de los siguientes tem</w:t>
      </w:r>
      <w:r w:rsidRPr="007C57D2">
        <w:rPr>
          <w:rFonts w:ascii="Times New Roman" w:hAnsi="Times New Roman"/>
          <w:sz w:val="28"/>
          <w:szCs w:val="28"/>
          <w:lang w:val="es-ES"/>
        </w:rPr>
        <w:t xml:space="preserve">as que guardan relación con el PLE: (i) el interés superior y la prevalencia de los derechos de los </w:t>
      </w:r>
      <w:r w:rsidRPr="007C57D2">
        <w:rPr>
          <w:rFonts w:ascii="Times New Roman" w:hAnsi="Times New Roman"/>
          <w:sz w:val="28"/>
          <w:szCs w:val="28"/>
          <w:lang w:val="es-ES"/>
        </w:rPr>
        <w:t xml:space="preserve">niños, niñas y adolescentes </w:t>
      </w:r>
      <w:r w:rsidRPr="007C57D2">
        <w:rPr>
          <w:rFonts w:ascii="Times New Roman" w:hAnsi="Times New Roman"/>
          <w:sz w:val="28"/>
          <w:szCs w:val="28"/>
          <w:lang w:val="es-ES"/>
        </w:rPr>
        <w:t>(en adelante, NNA) en la Constitución Política; (ii) el tratamiento de datos personales con especial referencia a los datos sens</w:t>
      </w:r>
      <w:r w:rsidRPr="007C57D2">
        <w:rPr>
          <w:rFonts w:ascii="Times New Roman" w:hAnsi="Times New Roman"/>
          <w:sz w:val="28"/>
          <w:szCs w:val="28"/>
          <w:lang w:val="es-ES"/>
        </w:rPr>
        <w:t>ibles, las fotos y la información de los NNA; (iii) los límites a la libertad económica, y (iv) las herramientas existentes para localizar personas desaparecidas y sistema de alertas tempranas sobre la niñez colombiana.</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 xml:space="preserve">La Corte consideró que los </w:t>
      </w:r>
      <w:r w:rsidRPr="007C57D2">
        <w:rPr>
          <w:rFonts w:ascii="Times New Roman" w:hAnsi="Times New Roman"/>
          <w:sz w:val="28"/>
          <w:szCs w:val="28"/>
          <w:lang w:val="es-ES"/>
        </w:rPr>
        <w:t>artículos 1, 7, 10, 11, 12, 13, 14 y 15 se ajustan al texto superior. No obstante, declaró la inconstitucionalidad de la expresión “entre los 0 y 12 años”, contenida en los artículos 2 y 9, y la sustituyó por “menores de 18 años” y “menos de 18 años” respe</w:t>
      </w:r>
      <w:r w:rsidRPr="007C57D2">
        <w:rPr>
          <w:rFonts w:ascii="Times New Roman" w:hAnsi="Times New Roman"/>
          <w:sz w:val="28"/>
          <w:szCs w:val="28"/>
          <w:lang w:val="es-ES"/>
        </w:rPr>
        <w:t>ctivamente. Lo anterior, porque la limitación de edad de 0 a 12 años prevista en el PLE desconoce el mandato de protección integral ordenado en los artículos 44 y 45 de la Constitución al establecer un trato desigual entre niños</w:t>
      </w:r>
      <w:r w:rsidRPr="007C57D2">
        <w:rPr>
          <w:rFonts w:ascii="Times New Roman" w:hAnsi="Times New Roman"/>
          <w:sz w:val="28"/>
          <w:szCs w:val="28"/>
          <w:lang w:val="es-ES"/>
        </w:rPr>
        <w:t>, niñas</w:t>
      </w:r>
      <w:r w:rsidRPr="007C57D2">
        <w:rPr>
          <w:rFonts w:ascii="Times New Roman" w:hAnsi="Times New Roman"/>
          <w:sz w:val="28"/>
          <w:szCs w:val="28"/>
          <w:lang w:val="es-ES"/>
        </w:rPr>
        <w:t xml:space="preserve"> y adolescentes sin f</w:t>
      </w:r>
      <w:r w:rsidRPr="007C57D2">
        <w:rPr>
          <w:rFonts w:ascii="Times New Roman" w:hAnsi="Times New Roman"/>
          <w:sz w:val="28"/>
          <w:szCs w:val="28"/>
          <w:lang w:val="es-ES"/>
        </w:rPr>
        <w:t>undamento objetivo y razonable. La medida no supera el test de igualdad, ya que sacrifica de manera injustificada la protección de los derechos fundamentales de un grupo especialmente protegido, contrariando el principio de igualdad material y la obligació</w:t>
      </w:r>
      <w:r w:rsidRPr="007C57D2">
        <w:rPr>
          <w:rFonts w:ascii="Times New Roman" w:hAnsi="Times New Roman"/>
          <w:sz w:val="28"/>
          <w:szCs w:val="28"/>
          <w:lang w:val="es-ES"/>
        </w:rPr>
        <w:t>n estatal de brindar amparo reforzado a todas las personas menores de dieciocho años.</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 xml:space="preserve">También declaró constitucional el artículo 3 en el entendido de que </w:t>
      </w:r>
      <w:r w:rsidRPr="007C57D2">
        <w:rPr>
          <w:rFonts w:ascii="Times New Roman" w:hAnsi="Times New Roman"/>
          <w:sz w:val="28"/>
          <w:szCs w:val="28"/>
        </w:rPr>
        <w:t>cuando la autorización es diligenciada y suscrita por los “familiares” del menor extraviado, es neces</w:t>
      </w:r>
      <w:r w:rsidRPr="007C57D2">
        <w:rPr>
          <w:rFonts w:ascii="Times New Roman" w:hAnsi="Times New Roman"/>
          <w:sz w:val="28"/>
          <w:szCs w:val="28"/>
        </w:rPr>
        <w:t xml:space="preserve">ario que la persona que autorice el tratamiento de datos personales acredite esa calidad. Lo anterior es </w:t>
      </w:r>
      <w:r w:rsidRPr="007C57D2">
        <w:rPr>
          <w:rFonts w:ascii="Times New Roman" w:hAnsi="Times New Roman"/>
          <w:sz w:val="28"/>
          <w:szCs w:val="28"/>
        </w:rPr>
        <w:t>imprescindible</w:t>
      </w:r>
      <w:r w:rsidRPr="007C57D2">
        <w:rPr>
          <w:rFonts w:ascii="Times New Roman" w:hAnsi="Times New Roman"/>
          <w:sz w:val="28"/>
          <w:szCs w:val="28"/>
        </w:rPr>
        <w:t xml:space="preserve"> para proteger el interés superior del menor</w:t>
      </w:r>
      <w:r w:rsidRPr="007C57D2">
        <w:rPr>
          <w:rFonts w:ascii="Times New Roman" w:hAnsi="Times New Roman"/>
          <w:sz w:val="28"/>
          <w:szCs w:val="28"/>
        </w:rPr>
        <w:t xml:space="preserve"> de edad</w:t>
      </w:r>
      <w:r w:rsidRPr="007C57D2">
        <w:rPr>
          <w:rFonts w:ascii="Times New Roman" w:hAnsi="Times New Roman"/>
          <w:sz w:val="28"/>
          <w:szCs w:val="28"/>
        </w:rPr>
        <w:t xml:space="preserve">. Esta finalidad se garantiza mediante la constatación de que la persona que suscribe el consentimiento informado es efectivamente un familiar del </w:t>
      </w:r>
      <w:r w:rsidRPr="007C57D2">
        <w:rPr>
          <w:rFonts w:ascii="Times New Roman" w:hAnsi="Times New Roman"/>
          <w:sz w:val="28"/>
          <w:szCs w:val="28"/>
        </w:rPr>
        <w:t xml:space="preserve">niño, niña o adolescente </w:t>
      </w:r>
      <w:r w:rsidRPr="007C57D2">
        <w:rPr>
          <w:rFonts w:ascii="Times New Roman" w:hAnsi="Times New Roman"/>
          <w:sz w:val="28"/>
          <w:szCs w:val="28"/>
        </w:rPr>
        <w:t>extraviado</w:t>
      </w:r>
      <w:r w:rsidRPr="007C57D2">
        <w:rPr>
          <w:rFonts w:ascii="Times New Roman" w:hAnsi="Times New Roman"/>
          <w:sz w:val="28"/>
          <w:szCs w:val="28"/>
        </w:rPr>
        <w:t xml:space="preserve"> (a)</w:t>
      </w:r>
      <w:r w:rsidRPr="007C57D2">
        <w:rPr>
          <w:rFonts w:ascii="Times New Roman" w:hAnsi="Times New Roman"/>
          <w:sz w:val="28"/>
          <w:szCs w:val="28"/>
        </w:rPr>
        <w:t xml:space="preserve">, y no un tercero. </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Así mismo, declaró la constitucionalidad condicio</w:t>
      </w:r>
      <w:r w:rsidRPr="007C57D2">
        <w:rPr>
          <w:rFonts w:ascii="Times New Roman" w:hAnsi="Times New Roman"/>
          <w:sz w:val="28"/>
          <w:szCs w:val="28"/>
          <w:lang w:val="es-ES"/>
        </w:rPr>
        <w:t>nada del artículo 4, bajos los siguientes entendidos: (i) los datos biométricos y personales mínimos requeridos para la adopción de la Alerta Colombia deberán valorarse en función del riesgo, las circunstancias particulares y los requerimientos tecnológico</w:t>
      </w:r>
      <w:r w:rsidRPr="007C57D2">
        <w:rPr>
          <w:rFonts w:ascii="Times New Roman" w:hAnsi="Times New Roman"/>
          <w:sz w:val="28"/>
          <w:szCs w:val="28"/>
          <w:lang w:val="es-ES"/>
        </w:rPr>
        <w:t>s, y (ii) cualquier información exigida por la autoridad competente y adicional a los “mínimos requeridos que se deben utilizar en la Alerta Colombia”, deberá ser justificada como estrictamente necesaria para la búsqueda, localización y recuperación del me</w:t>
      </w:r>
      <w:r w:rsidRPr="007C57D2">
        <w:rPr>
          <w:rFonts w:ascii="Times New Roman" w:hAnsi="Times New Roman"/>
          <w:sz w:val="28"/>
          <w:szCs w:val="28"/>
          <w:lang w:val="es-ES"/>
        </w:rPr>
        <w:t xml:space="preserv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extraviado.</w:t>
      </w:r>
    </w:p>
    <w:p w:rsidR="00C72422"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lang w:val="es-ES"/>
        </w:rPr>
        <w:t>El tratamiento de datos personales debe circunscribirse a aquellos que resulten adecuados, relevantes y no excesivos en relación con la finalidad de la recolección y uso de estos (buscar, localizar y recuperar niños y niñas extravia</w:t>
      </w:r>
      <w:r w:rsidRPr="007C57D2">
        <w:rPr>
          <w:rFonts w:ascii="Times New Roman" w:hAnsi="Times New Roman"/>
          <w:sz w:val="28"/>
          <w:szCs w:val="28"/>
          <w:lang w:val="es-ES"/>
        </w:rPr>
        <w:t>das). Únicamente se pueden tratar los datos personales estrictamente necesarios para el cumplimiento de las finalidades del tratamiento, de tal forma que se encuentra prohibido el registro y divulgación de datos que no guarden estrecha relación con el obje</w:t>
      </w:r>
      <w:r w:rsidRPr="007C57D2">
        <w:rPr>
          <w:rFonts w:ascii="Times New Roman" w:hAnsi="Times New Roman"/>
          <w:sz w:val="28"/>
          <w:szCs w:val="28"/>
          <w:lang w:val="es-ES"/>
        </w:rPr>
        <w:t xml:space="preserve">tivo de este. En consecuencia, debe hacerse todo lo razonablemente posible para limitar el procesamiento de datos personales al mínimo necesario. Es decir, los datos deberán ser: (i) adecuados, (ii) pertinentes y (iii) acordes con las finalidades para las </w:t>
      </w:r>
      <w:r w:rsidRPr="007C57D2">
        <w:rPr>
          <w:rFonts w:ascii="Times New Roman" w:hAnsi="Times New Roman"/>
          <w:sz w:val="28"/>
          <w:szCs w:val="28"/>
          <w:lang w:val="es-ES"/>
        </w:rPr>
        <w:t>cuales fueron previstos.</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Igualmente, declaró la inconstitucionalidad de la frase “Transcurridas (24) horas de realizar el reporte en la plataforma virtual o de manera personal y de no encontrarse el niño o niña extraviado”, contenida en el último inciso d</w:t>
      </w:r>
      <w:r w:rsidRPr="007C57D2">
        <w:rPr>
          <w:rFonts w:ascii="Times New Roman" w:hAnsi="Times New Roman"/>
          <w:sz w:val="28"/>
          <w:szCs w:val="28"/>
          <w:lang w:val="es-ES"/>
        </w:rPr>
        <w:t>el artículo 5, y la sustituyó por la expresión “Inmediatamente después”. Para el efecto, la Sala, en línea con lo planteado por la Defensoría del Pueblo sobre este tema, argumentó que las primeras horas luego de una desaparición son definitivas para encont</w:t>
      </w:r>
      <w:r w:rsidRPr="007C57D2">
        <w:rPr>
          <w:rFonts w:ascii="Times New Roman" w:hAnsi="Times New Roman"/>
          <w:sz w:val="28"/>
          <w:szCs w:val="28"/>
          <w:lang w:val="es-ES"/>
        </w:rPr>
        <w:t>rar a las personas, de manera que esperar 24 horas para presentar la denuncia ante la Fiscalía General de la Nación (FGN) constituye una dilación grave e injustificada que pueden atentar contra la integridad y la vida de los NNA. Admitir este término, sign</w:t>
      </w:r>
      <w:r w:rsidRPr="007C57D2">
        <w:rPr>
          <w:rFonts w:ascii="Times New Roman" w:hAnsi="Times New Roman"/>
          <w:sz w:val="28"/>
          <w:szCs w:val="28"/>
          <w:lang w:val="es-ES"/>
        </w:rPr>
        <w:t>ificaría aceptar un incumplimiento de la debida diligencia de las autoridades administrativas y judiciales responsables de la protección de NNA, cuando ellos pueden estar siendo víctimas de los más variados abusos que van desde la trata con fines de explot</w:t>
      </w:r>
      <w:r w:rsidRPr="007C57D2">
        <w:rPr>
          <w:rFonts w:ascii="Times New Roman" w:hAnsi="Times New Roman"/>
          <w:sz w:val="28"/>
          <w:szCs w:val="28"/>
          <w:lang w:val="es-ES"/>
        </w:rPr>
        <w:t>ación hasta el reclutamiento forzado por parte de grupos armados al margen de la ley.</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Dado lo anterior, la Corte concluy</w:t>
      </w:r>
      <w:r w:rsidRPr="007C57D2">
        <w:rPr>
          <w:rFonts w:ascii="Times New Roman" w:hAnsi="Times New Roman"/>
          <w:sz w:val="28"/>
          <w:szCs w:val="28"/>
          <w:lang w:val="es-ES"/>
        </w:rPr>
        <w:t>ó</w:t>
      </w:r>
      <w:r w:rsidRPr="007C57D2">
        <w:rPr>
          <w:rFonts w:ascii="Times New Roman" w:hAnsi="Times New Roman"/>
          <w:sz w:val="28"/>
          <w:szCs w:val="28"/>
          <w:lang w:val="es-ES"/>
        </w:rPr>
        <w:t xml:space="preserve"> que ante el más mínimo riesgo de vulneración de los derechos a la vida e integridad de los NNA las autoridades administrativas y judi</w:t>
      </w:r>
      <w:r w:rsidRPr="007C57D2">
        <w:rPr>
          <w:rFonts w:ascii="Times New Roman" w:hAnsi="Times New Roman"/>
          <w:sz w:val="28"/>
          <w:szCs w:val="28"/>
          <w:lang w:val="es-ES"/>
        </w:rPr>
        <w:t>ciales tienen el deber de máxima precaución y diligencia, actuando de manera célere e inmediata para asegurar en la medida de lo posible el éxito en la ubicación de los NNA sanos y salvos.</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La Corte decidió que el artículo 6 es constitucional bajo los sigu</w:t>
      </w:r>
      <w:r w:rsidRPr="007C57D2">
        <w:rPr>
          <w:rFonts w:ascii="Times New Roman" w:hAnsi="Times New Roman"/>
          <w:sz w:val="28"/>
          <w:szCs w:val="28"/>
          <w:lang w:val="es-ES"/>
        </w:rPr>
        <w:t xml:space="preserve">ientes entendidos: (i) la expresión “a la persona que lo secuestró” del literal h), se refiere a la persona que presuntamente </w:t>
      </w:r>
      <w:r w:rsidRPr="007C57D2">
        <w:rPr>
          <w:rFonts w:ascii="Times New Roman" w:hAnsi="Times New Roman"/>
          <w:sz w:val="28"/>
          <w:szCs w:val="28"/>
        </w:rPr>
        <w:t xml:space="preserve">extravió al menor </w:t>
      </w:r>
      <w:r w:rsidRPr="007C57D2">
        <w:rPr>
          <w:rFonts w:ascii="Times New Roman" w:hAnsi="Times New Roman"/>
          <w:sz w:val="28"/>
          <w:szCs w:val="28"/>
        </w:rPr>
        <w:t xml:space="preserve">de edad </w:t>
      </w:r>
      <w:r w:rsidRPr="007C57D2">
        <w:rPr>
          <w:rFonts w:ascii="Times New Roman" w:hAnsi="Times New Roman"/>
          <w:sz w:val="28"/>
          <w:szCs w:val="28"/>
        </w:rPr>
        <w:t>o fue la última persona vista con este</w:t>
      </w:r>
      <w:r w:rsidRPr="007C57D2">
        <w:rPr>
          <w:rFonts w:ascii="Times New Roman" w:hAnsi="Times New Roman"/>
          <w:sz w:val="28"/>
          <w:szCs w:val="28"/>
          <w:lang w:val="es-ES"/>
        </w:rPr>
        <w:t>; (ii) la eventual publicación de la imagen de la última persona v</w:t>
      </w:r>
      <w:r w:rsidRPr="007C57D2">
        <w:rPr>
          <w:rFonts w:ascii="Times New Roman" w:hAnsi="Times New Roman"/>
          <w:sz w:val="28"/>
          <w:szCs w:val="28"/>
          <w:lang w:val="es-ES"/>
        </w:rPr>
        <w:t xml:space="preserve">ista con el menor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extraviado a que se refiere el literal h) deberá ser evaluada caso por caso por las autoridades competentes, respetando el principio de proporcionalidad; y (iii) la determinación de la periodicidad y la duración de la alerta in</w:t>
      </w:r>
      <w:r w:rsidRPr="007C57D2">
        <w:rPr>
          <w:rFonts w:ascii="Times New Roman" w:hAnsi="Times New Roman"/>
          <w:sz w:val="28"/>
          <w:szCs w:val="28"/>
          <w:lang w:val="es-ES"/>
        </w:rPr>
        <w:t xml:space="preserve">icial señalada en el parágrafo 2 deberán ser las estrictamente necesarias para la búsqueda, localización y pronta recuperación del </w:t>
      </w:r>
      <w:r w:rsidRPr="007C57D2">
        <w:rPr>
          <w:rFonts w:ascii="Times New Roman" w:hAnsi="Times New Roman"/>
          <w:sz w:val="28"/>
          <w:szCs w:val="28"/>
          <w:lang w:val="es-ES"/>
        </w:rPr>
        <w:t>niño, niña o adolescente</w:t>
      </w:r>
      <w:r w:rsidRPr="007C57D2">
        <w:rPr>
          <w:rFonts w:ascii="Times New Roman" w:hAnsi="Times New Roman"/>
          <w:sz w:val="28"/>
          <w:szCs w:val="28"/>
          <w:lang w:val="es-ES"/>
        </w:rPr>
        <w:t xml:space="preserve"> extraviado</w:t>
      </w:r>
      <w:r w:rsidRPr="007C57D2">
        <w:rPr>
          <w:rFonts w:ascii="Times New Roman" w:hAnsi="Times New Roman"/>
          <w:sz w:val="28"/>
          <w:szCs w:val="28"/>
          <w:lang w:val="es-ES"/>
        </w:rPr>
        <w:t xml:space="preserve"> (a)</w:t>
      </w:r>
      <w:r w:rsidRPr="007C57D2">
        <w:rPr>
          <w:rFonts w:ascii="Times New Roman" w:hAnsi="Times New Roman"/>
          <w:sz w:val="28"/>
          <w:szCs w:val="28"/>
          <w:lang w:val="es-ES"/>
        </w:rPr>
        <w:t>, según las circunstancias particulares del caso. En eventos excepcionales y debidamen</w:t>
      </w:r>
      <w:r w:rsidRPr="007C57D2">
        <w:rPr>
          <w:rFonts w:ascii="Times New Roman" w:hAnsi="Times New Roman"/>
          <w:sz w:val="28"/>
          <w:szCs w:val="28"/>
          <w:lang w:val="es-ES"/>
        </w:rPr>
        <w:t>te justificados por razones de seguridad, es posible que no se active la alerta o que se utilice bajo condiciones especiales.</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Para la Corte son relevantes las anteriores precisiones por lo siguiente:</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En primer lugar, respetar la presunción de inocencia d</w:t>
      </w:r>
      <w:r w:rsidRPr="007C57D2">
        <w:rPr>
          <w:rFonts w:ascii="Times New Roman" w:hAnsi="Times New Roman"/>
          <w:sz w:val="28"/>
          <w:szCs w:val="28"/>
          <w:lang w:val="es-ES"/>
        </w:rPr>
        <w:t xml:space="preserve">e la persona que fue vista por última vez con el menor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extraviado porque no siempre se trata de situaciones de secuestro o de conductas que sean tipificadas como delitos. El término “persona que lo secuestró” introduce una atribución directa de res</w:t>
      </w:r>
      <w:r w:rsidRPr="007C57D2">
        <w:rPr>
          <w:rFonts w:ascii="Times New Roman" w:hAnsi="Times New Roman"/>
          <w:sz w:val="28"/>
          <w:szCs w:val="28"/>
          <w:lang w:val="es-ES"/>
        </w:rPr>
        <w:t>ponsabilidad penal a una persona, sin un proceso previo, en contravía del artículo 29 de la Constitución y de los estándares internacionales sobre presunción de inocencia. Es decir, esa expresión sugiere que aquel que fue visto con el NNA puede ser el secu</w:t>
      </w:r>
      <w:r w:rsidRPr="007C57D2">
        <w:rPr>
          <w:rFonts w:ascii="Times New Roman" w:hAnsi="Times New Roman"/>
          <w:sz w:val="28"/>
          <w:szCs w:val="28"/>
          <w:lang w:val="es-ES"/>
        </w:rPr>
        <w:t>estrador, a pesar de que no existe un proceso penal que así lo determine. Al tratarse de información divulgada de manera masiva y con un alto grado de urgencia, puede generar daños irreparables al buen nombre.</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En segundo lugar, es necesario que la periodi</w:t>
      </w:r>
      <w:r w:rsidRPr="007C57D2">
        <w:rPr>
          <w:rFonts w:ascii="Times New Roman" w:hAnsi="Times New Roman"/>
          <w:sz w:val="28"/>
          <w:szCs w:val="28"/>
          <w:lang w:val="es-ES"/>
        </w:rPr>
        <w:t xml:space="preserve">cidad y la duración de la alerta inicial sean las estrictamente necesarias para la búsqueda, localización y pronta recuperación del menor </w:t>
      </w:r>
      <w:r w:rsidRPr="007C57D2">
        <w:rPr>
          <w:rFonts w:ascii="Times New Roman" w:hAnsi="Times New Roman"/>
          <w:sz w:val="28"/>
          <w:szCs w:val="28"/>
          <w:lang w:val="es-ES"/>
        </w:rPr>
        <w:t>de 18 años</w:t>
      </w:r>
      <w:r w:rsidRPr="007C57D2">
        <w:rPr>
          <w:rFonts w:ascii="Times New Roman" w:hAnsi="Times New Roman"/>
          <w:sz w:val="28"/>
          <w:szCs w:val="28"/>
          <w:lang w:val="es-ES"/>
        </w:rPr>
        <w:t xml:space="preserve"> </w:t>
      </w:r>
      <w:r w:rsidRPr="007C57D2">
        <w:rPr>
          <w:rFonts w:ascii="Times New Roman" w:hAnsi="Times New Roman"/>
          <w:sz w:val="28"/>
          <w:szCs w:val="28"/>
          <w:lang w:val="es-ES"/>
        </w:rPr>
        <w:t>extraviado, sin que ello cause una saturación desproporcionada de las redes de comunicaciones y de los equi</w:t>
      </w:r>
      <w:r w:rsidRPr="007C57D2">
        <w:rPr>
          <w:rFonts w:ascii="Times New Roman" w:hAnsi="Times New Roman"/>
          <w:sz w:val="28"/>
          <w:szCs w:val="28"/>
          <w:lang w:val="es-ES"/>
        </w:rPr>
        <w:t>pos móviles o una eventual revictimización del menor de edad.</w:t>
      </w:r>
      <w:r w:rsidRPr="007C57D2">
        <w:rPr>
          <w:rFonts w:ascii="Times New Roman" w:hAnsi="Times New Roman"/>
          <w:color w:val="09090B"/>
          <w:sz w:val="28"/>
          <w:shd w:val="clear" w:color="auto" w:fill="FFFFFF"/>
        </w:rPr>
        <w:t xml:space="preserve"> </w:t>
      </w:r>
      <w:r w:rsidRPr="007C57D2">
        <w:rPr>
          <w:rFonts w:ascii="Times New Roman" w:hAnsi="Times New Roman"/>
          <w:sz w:val="28"/>
          <w:szCs w:val="28"/>
        </w:rPr>
        <w:t xml:space="preserve">La exposición excesiva de su imagen puede ocasionarle nuevos perjuicios y traumas, y aumenta los riesgos asociados a la divulgación innecesaria y prolongada de datos personales e información </w:t>
      </w:r>
      <w:r w:rsidRPr="007C57D2">
        <w:rPr>
          <w:rFonts w:ascii="Times New Roman" w:hAnsi="Times New Roman"/>
          <w:sz w:val="28"/>
          <w:szCs w:val="28"/>
        </w:rPr>
        <w:t>sensible de niños y niñas extraviadas</w:t>
      </w:r>
      <w:r w:rsidRPr="007C57D2">
        <w:rPr>
          <w:rFonts w:ascii="Times New Roman" w:hAnsi="Times New Roman"/>
          <w:sz w:val="28"/>
          <w:szCs w:val="28"/>
          <w:lang w:val="es-ES"/>
        </w:rPr>
        <w:t>.</w:t>
      </w:r>
    </w:p>
    <w:p w:rsidR="00C72422" w:rsidRPr="007C57D2" w:rsidRDefault="007C57D2" w:rsidP="008F3DAB">
      <w:pPr>
        <w:spacing w:after="0" w:line="240" w:lineRule="auto"/>
        <w:jc w:val="both"/>
        <w:rPr>
          <w:rFonts w:ascii="Times New Roman" w:hAnsi="Times New Roman"/>
          <w:sz w:val="28"/>
          <w:szCs w:val="28"/>
          <w:lang w:val="es-ES_tradnl"/>
        </w:rPr>
      </w:pPr>
    </w:p>
    <w:p w:rsidR="00580324"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lang w:val="es-ES_tradnl"/>
        </w:rPr>
        <w:t xml:space="preserve">Finalmente, la Corte declaró la constitucionalidad condicionada del artículo 8, </w:t>
      </w:r>
      <w:r w:rsidRPr="007C57D2">
        <w:rPr>
          <w:rFonts w:ascii="Times New Roman" w:hAnsi="Times New Roman"/>
          <w:sz w:val="28"/>
          <w:szCs w:val="28"/>
          <w:lang w:val="es-ES"/>
        </w:rPr>
        <w:t>bajo el entendido de que los receptores de la “Alerta Colombia” deben eliminar de manera completa y definitiva toda la información que r</w:t>
      </w:r>
      <w:r w:rsidRPr="007C57D2">
        <w:rPr>
          <w:rFonts w:ascii="Times New Roman" w:hAnsi="Times New Roman"/>
          <w:sz w:val="28"/>
          <w:szCs w:val="28"/>
          <w:lang w:val="es-ES"/>
        </w:rPr>
        <w:t xml:space="preserve">ecibieron. Esta supresión debe efectuarse inmediatamente después de haber recibido la “alerta de éxito” a que se refiere el parágrafo de este artículo. </w:t>
      </w:r>
      <w:r w:rsidRPr="007C57D2">
        <w:rPr>
          <w:rFonts w:ascii="Times New Roman" w:hAnsi="Times New Roman"/>
          <w:sz w:val="28"/>
          <w:szCs w:val="28"/>
        </w:rPr>
        <w:t xml:space="preserve">La obligación de eliminación de información se extiende a todos los repositorios digitales y físicos de </w:t>
      </w:r>
      <w:r w:rsidRPr="007C57D2">
        <w:rPr>
          <w:rFonts w:ascii="Times New Roman" w:hAnsi="Times New Roman"/>
          <w:sz w:val="28"/>
          <w:szCs w:val="28"/>
        </w:rPr>
        <w:t>los receptores de la Alerta, en cumplimiento del principio de supresión integral y de la finalidad temporal de la Alerta Colombia.</w:t>
      </w:r>
    </w:p>
    <w:p w:rsidR="00580324" w:rsidRPr="007C57D2" w:rsidRDefault="007C57D2" w:rsidP="008F3DAB">
      <w:pPr>
        <w:spacing w:after="0" w:line="240" w:lineRule="auto"/>
        <w:jc w:val="both"/>
        <w:rPr>
          <w:rFonts w:ascii="Times New Roman" w:hAnsi="Times New Roman"/>
          <w:sz w:val="28"/>
          <w:szCs w:val="28"/>
          <w:lang w:val="es-ES"/>
        </w:rPr>
      </w:pPr>
    </w:p>
    <w:p w:rsidR="00580324"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 xml:space="preserve">Para la Sala, los receptores de la “Alerta Colombia” también deben realizar un debido tratamiento de los datos personales, </w:t>
      </w:r>
      <w:r w:rsidRPr="007C57D2">
        <w:rPr>
          <w:rFonts w:ascii="Times New Roman" w:hAnsi="Times New Roman"/>
          <w:sz w:val="28"/>
          <w:szCs w:val="28"/>
          <w:lang w:val="es-ES"/>
        </w:rPr>
        <w:t>lo cual no solo implica usar la información únicamente para los fines que se les proporcionó (búsqueda, localización y recuperación de los NNA extraviados), sino eliminar definitivamente de sus equipos o bases de datos la información recibida una vez se cu</w:t>
      </w:r>
      <w:r w:rsidRPr="007C57D2">
        <w:rPr>
          <w:rFonts w:ascii="Times New Roman" w:hAnsi="Times New Roman"/>
          <w:sz w:val="28"/>
          <w:szCs w:val="28"/>
          <w:lang w:val="es-ES"/>
        </w:rPr>
        <w:t xml:space="preserve">mpla la finalidad de la alerta, es decir, la recuperación de las personas extraviadas. </w:t>
      </w:r>
    </w:p>
    <w:p w:rsidR="00C72422" w:rsidRPr="007C57D2" w:rsidRDefault="007C57D2" w:rsidP="008F3DAB">
      <w:pPr>
        <w:spacing w:after="0" w:line="240" w:lineRule="auto"/>
        <w:jc w:val="both"/>
        <w:rPr>
          <w:rFonts w:ascii="Times New Roman" w:hAnsi="Times New Roman"/>
          <w:sz w:val="28"/>
          <w:szCs w:val="28"/>
          <w:lang w:val="es-ES"/>
        </w:rPr>
      </w:pPr>
    </w:p>
    <w:p w:rsidR="00C72422"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El deber de eliminación de los datos personales cobija a todos los sujetos que han intervenido en el tratamiento de esa información, es decir, a los Responsables, even</w:t>
      </w:r>
      <w:r w:rsidRPr="007C57D2">
        <w:rPr>
          <w:rFonts w:ascii="Times New Roman" w:hAnsi="Times New Roman"/>
          <w:sz w:val="28"/>
          <w:szCs w:val="28"/>
          <w:lang w:val="es-ES"/>
        </w:rPr>
        <w:t>tuales Encargados, a los usuarios de esa información y, en general, a todas las personas que recibieron la “Alerta Colombia” en sus equipos móviles o a través de canales digitales. Esto último es muy importante porque los usuarios no pueden almacenar indef</w:t>
      </w:r>
      <w:r w:rsidRPr="007C57D2">
        <w:rPr>
          <w:rFonts w:ascii="Times New Roman" w:hAnsi="Times New Roman"/>
          <w:sz w:val="28"/>
          <w:szCs w:val="28"/>
          <w:lang w:val="es-ES"/>
        </w:rPr>
        <w:t>inidamente la información que reciben con ocasión de la alerta. Almacenar o usar indefinidamente esa información generaría un tratamiento indebido de datos personales en detrimento de los derechos de los NNA que se pretenden proteger con ocasión de la impl</w:t>
      </w:r>
      <w:r w:rsidRPr="007C57D2">
        <w:rPr>
          <w:rFonts w:ascii="Times New Roman" w:hAnsi="Times New Roman"/>
          <w:sz w:val="28"/>
          <w:szCs w:val="28"/>
          <w:lang w:val="es-ES"/>
        </w:rPr>
        <w:t>ementación y difusión de la alerta.</w:t>
      </w:r>
    </w:p>
    <w:p w:rsidR="00475CB8" w:rsidRPr="007C57D2" w:rsidRDefault="007C57D2" w:rsidP="008F3DAB">
      <w:pPr>
        <w:spacing w:after="0" w:line="240" w:lineRule="auto"/>
        <w:jc w:val="both"/>
        <w:rPr>
          <w:rFonts w:ascii="Times New Roman" w:hAnsi="Times New Roman"/>
          <w:sz w:val="28"/>
          <w:szCs w:val="28"/>
          <w:lang w:val="es-ES"/>
        </w:rPr>
      </w:pPr>
    </w:p>
    <w:p w:rsidR="00065DB9" w:rsidRPr="007C57D2" w:rsidRDefault="007C57D2" w:rsidP="008F3DAB">
      <w:pPr>
        <w:pStyle w:val="TtuloTDC"/>
        <w:spacing w:before="0" w:line="240" w:lineRule="auto"/>
        <w:rPr>
          <w:rFonts w:ascii="Times New Roman" w:hAnsi="Times New Roman"/>
          <w:color w:val="auto"/>
          <w:lang w:val="es-ES"/>
        </w:rPr>
      </w:pPr>
      <w:r w:rsidRPr="007C57D2">
        <w:rPr>
          <w:rFonts w:ascii="Times New Roman" w:hAnsi="Times New Roman"/>
          <w:color w:val="auto"/>
          <w:lang w:val="es-ES"/>
        </w:rPr>
        <w:t>Tabla de contenido</w:t>
      </w:r>
    </w:p>
    <w:p w:rsidR="007F3997" w:rsidRPr="007C57D2" w:rsidRDefault="007C57D2" w:rsidP="008F3DAB">
      <w:pPr>
        <w:spacing w:after="0" w:line="240" w:lineRule="auto"/>
        <w:rPr>
          <w:rFonts w:ascii="Times New Roman" w:hAnsi="Times New Roman"/>
          <w:sz w:val="28"/>
          <w:lang w:val="es-ES" w:eastAsia="zh-CN"/>
        </w:rPr>
      </w:pPr>
    </w:p>
    <w:p w:rsidR="00F543B3" w:rsidRPr="007C57D2" w:rsidRDefault="007C57D2" w:rsidP="008F3DAB">
      <w:pPr>
        <w:pStyle w:val="TDC1"/>
        <w:tabs>
          <w:tab w:val="right" w:leader="dot" w:pos="8828"/>
        </w:tabs>
        <w:spacing w:before="0" w:line="240" w:lineRule="auto"/>
        <w:rPr>
          <w:rFonts w:ascii="Times New Roman" w:hAnsi="Times New Roman" w:cs="Times New Roman"/>
          <w:b w:val="0"/>
          <w:bCs w:val="0"/>
          <w:i w:val="0"/>
          <w:iCs w:val="0"/>
          <w:noProof/>
          <w:kern w:val="2"/>
          <w:sz w:val="28"/>
          <w:szCs w:val="24"/>
          <w:lang w:eastAsia="zh-CN"/>
        </w:rPr>
      </w:pPr>
      <w:r w:rsidRPr="007C57D2">
        <w:rPr>
          <w:rFonts w:ascii="Times New Roman" w:hAnsi="Times New Roman" w:cs="Times New Roman"/>
          <w:b w:val="0"/>
          <w:bCs w:val="0"/>
          <w:sz w:val="28"/>
        </w:rPr>
        <w:fldChar w:fldCharType="begin"/>
      </w:r>
      <w:r w:rsidRPr="007C57D2">
        <w:rPr>
          <w:rFonts w:ascii="Times New Roman" w:hAnsi="Times New Roman" w:cs="Times New Roman"/>
          <w:b w:val="0"/>
          <w:bCs w:val="0"/>
          <w:sz w:val="28"/>
        </w:rPr>
        <w:instrText>TOC \o "1-3" \h \z \u</w:instrText>
      </w:r>
      <w:r w:rsidRPr="007C57D2">
        <w:rPr>
          <w:rFonts w:ascii="Times New Roman" w:hAnsi="Times New Roman" w:cs="Times New Roman"/>
          <w:b w:val="0"/>
          <w:bCs w:val="0"/>
          <w:sz w:val="28"/>
        </w:rPr>
        <w:fldChar w:fldCharType="separate"/>
      </w:r>
      <w:hyperlink w:anchor="_Toc222728021" w:history="1">
        <w:r w:rsidRPr="007C57D2">
          <w:rPr>
            <w:rStyle w:val="Hipervnculo"/>
            <w:rFonts w:ascii="Times New Roman" w:hAnsi="Times New Roman" w:cs="Times New Roman"/>
            <w:noProof/>
            <w:sz w:val="28"/>
            <w:lang w:eastAsia="es-MX"/>
          </w:rPr>
          <w:t>I. ANTECEDENTES</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_Toc222728021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5</w:t>
        </w:r>
        <w:r w:rsidRPr="007C57D2">
          <w:rPr>
            <w:rFonts w:ascii="Times New Roman" w:hAnsi="Times New Roman" w:cs="Times New Roman"/>
            <w:noProof/>
            <w:webHidden/>
            <w:sz w:val="28"/>
          </w:rPr>
          <w:fldChar w:fldCharType="end"/>
        </w:r>
      </w:hyperlink>
    </w:p>
    <w:p w:rsidR="00F543B3" w:rsidRPr="007C57D2" w:rsidRDefault="007C57D2" w:rsidP="008F3DAB">
      <w:pPr>
        <w:pStyle w:val="TDC1"/>
        <w:tabs>
          <w:tab w:val="right" w:leader="dot" w:pos="8828"/>
        </w:tabs>
        <w:spacing w:before="0" w:line="240" w:lineRule="auto"/>
        <w:rPr>
          <w:rFonts w:ascii="Times New Roman" w:hAnsi="Times New Roman" w:cs="Times New Roman"/>
          <w:b w:val="0"/>
          <w:bCs w:val="0"/>
          <w:i w:val="0"/>
          <w:iCs w:val="0"/>
          <w:noProof/>
          <w:kern w:val="2"/>
          <w:sz w:val="28"/>
          <w:szCs w:val="24"/>
          <w:lang w:eastAsia="zh-CN"/>
        </w:rPr>
      </w:pPr>
      <w:hyperlink w:anchor="_Toc222728022" w:history="1">
        <w:r w:rsidRPr="007C57D2">
          <w:rPr>
            <w:rStyle w:val="Hipervnculo"/>
            <w:rFonts w:ascii="Times New Roman" w:hAnsi="Times New Roman" w:cs="Times New Roman"/>
            <w:noProof/>
            <w:sz w:val="28"/>
            <w:lang w:eastAsia="es-MX"/>
          </w:rPr>
          <w:t xml:space="preserve">II. </w:t>
        </w:r>
        <w:r w:rsidRPr="007C57D2">
          <w:rPr>
            <w:rStyle w:val="Hipervnculo"/>
            <w:rFonts w:ascii="Times New Roman" w:hAnsi="Times New Roman" w:cs="Times New Roman"/>
            <w:noProof/>
            <w:sz w:val="28"/>
            <w:bdr w:val="none" w:sz="0" w:space="0" w:color="auto" w:frame="1"/>
            <w:lang w:eastAsia="es-MX"/>
          </w:rPr>
          <w:t>CONCEPTO DEL MINISTERIO PÚBLICO</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_Toc222728022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8</w:t>
        </w:r>
        <w:r w:rsidRPr="007C57D2">
          <w:rPr>
            <w:rFonts w:ascii="Times New Roman" w:hAnsi="Times New Roman" w:cs="Times New Roman"/>
            <w:noProof/>
            <w:webHidden/>
            <w:sz w:val="28"/>
          </w:rPr>
          <w:fldChar w:fldCharType="end"/>
        </w:r>
      </w:hyperlink>
    </w:p>
    <w:p w:rsidR="00F543B3" w:rsidRPr="007C57D2" w:rsidRDefault="007C57D2" w:rsidP="008F3DAB">
      <w:pPr>
        <w:pStyle w:val="TDC1"/>
        <w:tabs>
          <w:tab w:val="right" w:leader="dot" w:pos="8828"/>
        </w:tabs>
        <w:spacing w:before="0" w:line="240" w:lineRule="auto"/>
        <w:rPr>
          <w:rFonts w:ascii="Times New Roman" w:hAnsi="Times New Roman" w:cs="Times New Roman"/>
          <w:b w:val="0"/>
          <w:bCs w:val="0"/>
          <w:i w:val="0"/>
          <w:iCs w:val="0"/>
          <w:noProof/>
          <w:kern w:val="2"/>
          <w:sz w:val="28"/>
          <w:szCs w:val="24"/>
          <w:lang w:eastAsia="zh-CN"/>
        </w:rPr>
      </w:pPr>
      <w:hyperlink w:anchor="_Toc222728023" w:history="1">
        <w:r w:rsidRPr="007C57D2">
          <w:rPr>
            <w:rStyle w:val="Hipervnculo"/>
            <w:rFonts w:ascii="Times New Roman" w:hAnsi="Times New Roman" w:cs="Times New Roman"/>
            <w:noProof/>
            <w:sz w:val="28"/>
            <w:lang w:eastAsia="es-ES"/>
          </w:rPr>
          <w:t>III. CONSIDERACIONES DE LA CORTE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_Toc222728023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12</w:t>
        </w:r>
        <w:r w:rsidRPr="007C57D2">
          <w:rPr>
            <w:rFonts w:ascii="Times New Roman" w:hAnsi="Times New Roman" w:cs="Times New Roman"/>
            <w:noProof/>
            <w:webHidden/>
            <w:sz w:val="28"/>
          </w:rPr>
          <w:fldChar w:fldCharType="end"/>
        </w:r>
      </w:hyperlink>
    </w:p>
    <w:p w:rsidR="00F543B3" w:rsidRPr="007C57D2" w:rsidRDefault="007C57D2" w:rsidP="008F3DAB">
      <w:pPr>
        <w:pStyle w:val="TDC2"/>
        <w:tabs>
          <w:tab w:val="right" w:leader="dot" w:pos="8828"/>
        </w:tabs>
        <w:spacing w:before="0" w:line="240" w:lineRule="auto"/>
        <w:rPr>
          <w:rFonts w:ascii="Times New Roman" w:hAnsi="Times New Roman" w:cs="Times New Roman"/>
          <w:b w:val="0"/>
          <w:bCs w:val="0"/>
          <w:noProof/>
          <w:kern w:val="2"/>
          <w:sz w:val="28"/>
          <w:szCs w:val="24"/>
          <w:lang w:eastAsia="zh-CN"/>
        </w:rPr>
      </w:pPr>
      <w:hyperlink w:anchor="_Toc222728024" w:history="1">
        <w:r w:rsidRPr="007C57D2">
          <w:rPr>
            <w:rStyle w:val="Hipervnculo"/>
            <w:rFonts w:ascii="Times New Roman" w:hAnsi="Times New Roman" w:cs="Times New Roman"/>
            <w:noProof/>
            <w:sz w:val="28"/>
            <w:lang w:eastAsia="es-ES"/>
          </w:rPr>
          <w:t>1. Competencia</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_Toc222728024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12</w:t>
        </w:r>
        <w:r w:rsidRPr="007C57D2">
          <w:rPr>
            <w:rFonts w:ascii="Times New Roman" w:hAnsi="Times New Roman" w:cs="Times New Roman"/>
            <w:noProof/>
            <w:webHidden/>
            <w:sz w:val="28"/>
          </w:rPr>
          <w:fldChar w:fldCharType="end"/>
        </w:r>
      </w:hyperlink>
    </w:p>
    <w:p w:rsidR="00F543B3" w:rsidRPr="007C57D2" w:rsidRDefault="007C57D2" w:rsidP="008F3DAB">
      <w:pPr>
        <w:pStyle w:val="TDC2"/>
        <w:tabs>
          <w:tab w:val="right" w:leader="dot" w:pos="8828"/>
        </w:tabs>
        <w:spacing w:before="0" w:line="240" w:lineRule="auto"/>
        <w:rPr>
          <w:rFonts w:ascii="Times New Roman" w:hAnsi="Times New Roman" w:cs="Times New Roman"/>
          <w:b w:val="0"/>
          <w:bCs w:val="0"/>
          <w:noProof/>
          <w:kern w:val="2"/>
          <w:sz w:val="28"/>
          <w:szCs w:val="24"/>
          <w:lang w:eastAsia="zh-CN"/>
        </w:rPr>
      </w:pPr>
      <w:hyperlink w:anchor="_Toc222728025" w:history="1">
        <w:r w:rsidRPr="007C57D2">
          <w:rPr>
            <w:rStyle w:val="Hipervnculo"/>
            <w:rFonts w:ascii="Times New Roman" w:hAnsi="Times New Roman" w:cs="Times New Roman"/>
            <w:noProof/>
            <w:sz w:val="28"/>
            <w:lang w:eastAsia="es-MX"/>
          </w:rPr>
          <w:t>2. Asunto bajo</w:t>
        </w:r>
        <w:r w:rsidRPr="007C57D2">
          <w:rPr>
            <w:rStyle w:val="Hipervnculo"/>
            <w:rFonts w:ascii="Times New Roman" w:hAnsi="Times New Roman" w:cs="Times New Roman"/>
            <w:noProof/>
            <w:sz w:val="28"/>
            <w:lang w:eastAsia="es-MX"/>
          </w:rPr>
          <w:t xml:space="preserve"> revisión, problema jurídico y metodología de la decisión</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_Toc222728025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12</w:t>
        </w:r>
        <w:r w:rsidRPr="007C57D2">
          <w:rPr>
            <w:rFonts w:ascii="Times New Roman" w:hAnsi="Times New Roman" w:cs="Times New Roman"/>
            <w:noProof/>
            <w:webHidden/>
            <w:sz w:val="28"/>
          </w:rPr>
          <w:fldChar w:fldCharType="end"/>
        </w:r>
      </w:hyperlink>
    </w:p>
    <w:p w:rsidR="00F543B3" w:rsidRPr="007C57D2" w:rsidRDefault="007C57D2" w:rsidP="008F3DAB">
      <w:pPr>
        <w:pStyle w:val="TDC2"/>
        <w:tabs>
          <w:tab w:val="right" w:leader="dot" w:pos="8828"/>
        </w:tabs>
        <w:spacing w:before="0" w:line="240" w:lineRule="auto"/>
        <w:rPr>
          <w:rFonts w:ascii="Times New Roman" w:hAnsi="Times New Roman" w:cs="Times New Roman"/>
          <w:b w:val="0"/>
          <w:bCs w:val="0"/>
          <w:noProof/>
          <w:kern w:val="2"/>
          <w:sz w:val="28"/>
          <w:szCs w:val="24"/>
          <w:lang w:eastAsia="zh-CN"/>
        </w:rPr>
      </w:pPr>
      <w:hyperlink w:anchor="_Toc222728026" w:history="1">
        <w:r w:rsidRPr="007C57D2">
          <w:rPr>
            <w:rStyle w:val="Hipervnculo"/>
            <w:rFonts w:ascii="Times New Roman" w:hAnsi="Times New Roman" w:cs="Times New Roman"/>
            <w:noProof/>
            <w:sz w:val="28"/>
            <w:bdr w:val="none" w:sz="0" w:space="0" w:color="auto" w:frame="1"/>
            <w:shd w:val="clear" w:color="auto" w:fill="FFFFFF"/>
          </w:rPr>
          <w:t>3. El alcance y el objeto del PLE. La materia regulada en el PLE tie</w:t>
        </w:r>
        <w:r w:rsidRPr="007C57D2">
          <w:rPr>
            <w:rStyle w:val="Hipervnculo"/>
            <w:rFonts w:ascii="Times New Roman" w:hAnsi="Times New Roman" w:cs="Times New Roman"/>
            <w:noProof/>
            <w:sz w:val="28"/>
            <w:bdr w:val="none" w:sz="0" w:space="0" w:color="auto" w:frame="1"/>
            <w:shd w:val="clear" w:color="auto" w:fill="FFFFFF"/>
          </w:rPr>
          <w:t>ne reserva de ley estatutaria</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_Toc222728026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13</w:t>
        </w:r>
        <w:r w:rsidRPr="007C57D2">
          <w:rPr>
            <w:rFonts w:ascii="Times New Roman" w:hAnsi="Times New Roman" w:cs="Times New Roman"/>
            <w:noProof/>
            <w:webHidden/>
            <w:sz w:val="28"/>
          </w:rPr>
          <w:fldChar w:fldCharType="end"/>
        </w:r>
      </w:hyperlink>
    </w:p>
    <w:p w:rsidR="00F543B3" w:rsidRPr="007C57D2" w:rsidRDefault="007C57D2" w:rsidP="008F3DAB">
      <w:pPr>
        <w:pStyle w:val="TDC2"/>
        <w:tabs>
          <w:tab w:val="right" w:leader="dot" w:pos="8828"/>
        </w:tabs>
        <w:spacing w:before="0" w:line="240" w:lineRule="auto"/>
        <w:rPr>
          <w:rFonts w:ascii="Times New Roman" w:hAnsi="Times New Roman" w:cs="Times New Roman"/>
          <w:b w:val="0"/>
          <w:bCs w:val="0"/>
          <w:noProof/>
          <w:kern w:val="2"/>
          <w:sz w:val="28"/>
          <w:szCs w:val="24"/>
          <w:lang w:eastAsia="zh-CN"/>
        </w:rPr>
      </w:pPr>
      <w:hyperlink w:anchor="_Toc222728027" w:history="1">
        <w:r w:rsidRPr="007C57D2">
          <w:rPr>
            <w:rStyle w:val="Hipervnculo"/>
            <w:rFonts w:ascii="Times New Roman" w:hAnsi="Times New Roman" w:cs="Times New Roman"/>
            <w:noProof/>
            <w:sz w:val="28"/>
          </w:rPr>
          <w:t>4. Cumplimiento de los requisitos de forma durante el trámite legislativo</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_Toc222728027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19</w:t>
        </w:r>
        <w:r w:rsidRPr="007C57D2">
          <w:rPr>
            <w:rFonts w:ascii="Times New Roman" w:hAnsi="Times New Roman" w:cs="Times New Roman"/>
            <w:noProof/>
            <w:webHidden/>
            <w:sz w:val="28"/>
          </w:rPr>
          <w:fldChar w:fldCharType="end"/>
        </w:r>
      </w:hyperlink>
    </w:p>
    <w:p w:rsidR="00F543B3" w:rsidRPr="007C57D2" w:rsidRDefault="007C57D2" w:rsidP="008F3DAB">
      <w:pPr>
        <w:pStyle w:val="TDC2"/>
        <w:tabs>
          <w:tab w:val="right" w:leader="dot" w:pos="8828"/>
        </w:tabs>
        <w:spacing w:before="0" w:line="240" w:lineRule="auto"/>
        <w:rPr>
          <w:rFonts w:ascii="Times New Roman" w:hAnsi="Times New Roman" w:cs="Times New Roman"/>
          <w:b w:val="0"/>
          <w:bCs w:val="0"/>
          <w:noProof/>
          <w:kern w:val="2"/>
          <w:sz w:val="28"/>
          <w:szCs w:val="24"/>
          <w:lang w:eastAsia="zh-CN"/>
        </w:rPr>
      </w:pPr>
      <w:hyperlink w:anchor="_Toc222728028" w:history="1">
        <w:r w:rsidRPr="007C57D2">
          <w:rPr>
            <w:rStyle w:val="Hipervnculo"/>
            <w:rFonts w:ascii="Times New Roman" w:hAnsi="Times New Roman" w:cs="Times New Roman"/>
            <w:noProof/>
            <w:sz w:val="28"/>
            <w:lang w:val="es-ES" w:eastAsia="es-MX"/>
          </w:rPr>
          <w:t>5. Control material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_Toc222728028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84</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29" w:history="1">
        <w:r w:rsidRPr="007C57D2">
          <w:rPr>
            <w:rStyle w:val="Hipervnculo"/>
            <w:rFonts w:ascii="Times New Roman" w:hAnsi="Times New Roman" w:cs="Times New Roman"/>
            <w:b/>
            <w:bCs/>
            <w:noProof/>
            <w:sz w:val="28"/>
          </w:rPr>
          <w:t xml:space="preserve">5.1. El interés superior y la prevalencia de los </w:t>
        </w:r>
        <w:r w:rsidRPr="007C57D2">
          <w:rPr>
            <w:rStyle w:val="Hipervnculo"/>
            <w:rFonts w:ascii="Times New Roman" w:hAnsi="Times New Roman" w:cs="Times New Roman"/>
            <w:b/>
            <w:bCs/>
            <w:noProof/>
            <w:sz w:val="28"/>
          </w:rPr>
          <w:t>derechos de los NNA en la Constitución Política</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_Toc222728029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86</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0" w:history="1">
        <w:r w:rsidRPr="007C57D2">
          <w:rPr>
            <w:rStyle w:val="Hipervnculo"/>
            <w:rFonts w:ascii="Times New Roman" w:hAnsi="Times New Roman" w:cs="Times New Roman"/>
            <w:b/>
            <w:bCs/>
            <w:noProof/>
            <w:sz w:val="28"/>
            <w:lang w:val="es-MX"/>
          </w:rPr>
          <w:t>5.2. Tratamiento de datos personales con especial referencia a los datos sensi</w:t>
        </w:r>
        <w:r w:rsidRPr="007C57D2">
          <w:rPr>
            <w:rStyle w:val="Hipervnculo"/>
            <w:rFonts w:ascii="Times New Roman" w:hAnsi="Times New Roman" w:cs="Times New Roman"/>
            <w:b/>
            <w:bCs/>
            <w:noProof/>
            <w:sz w:val="28"/>
            <w:lang w:val="es-MX"/>
          </w:rPr>
          <w:t>bles, las fotos y la información de los niños, niñas y adolescentes (NNA)</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_Toc222728030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90</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1" w:history="1">
        <w:r w:rsidRPr="007C57D2">
          <w:rPr>
            <w:rStyle w:val="Hipervnculo"/>
            <w:rFonts w:ascii="Times New Roman" w:hAnsi="Times New Roman" w:cs="Times New Roman"/>
            <w:b/>
            <w:bCs/>
            <w:noProof/>
            <w:sz w:val="28"/>
            <w:lang w:val="es-ES"/>
          </w:rPr>
          <w:t>5.3. Límites a la libertad económica</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w:instrText>
        </w:r>
        <w:r w:rsidRPr="007C57D2">
          <w:rPr>
            <w:rFonts w:ascii="Times New Roman" w:hAnsi="Times New Roman" w:cs="Times New Roman"/>
            <w:noProof/>
            <w:webHidden/>
            <w:sz w:val="28"/>
          </w:rPr>
          <w:instrText xml:space="preserve">2728031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107</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2" w:history="1">
        <w:r w:rsidRPr="007C57D2">
          <w:rPr>
            <w:rStyle w:val="Hipervnculo"/>
            <w:rFonts w:ascii="Times New Roman" w:hAnsi="Times New Roman" w:cs="Times New Roman"/>
            <w:b/>
            <w:bCs/>
            <w:noProof/>
            <w:sz w:val="28"/>
          </w:rPr>
          <w:t>5.4. Herramientas existentes para localizar personas desaparecidas y sistema de alertas tempranas sobre la niñez colombiana</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_Toc222728032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109</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3" w:history="1">
        <w:r w:rsidRPr="007C57D2">
          <w:rPr>
            <w:rStyle w:val="Hipervnculo"/>
            <w:rFonts w:ascii="Times New Roman" w:hAnsi="Times New Roman" w:cs="Times New Roman"/>
            <w:b/>
            <w:bCs/>
            <w:noProof/>
            <w:sz w:val="28"/>
            <w:lang w:val="es-ES"/>
          </w:rPr>
          <w:t>5.5. Análisis temático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_Toc222728033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112</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4" w:history="1">
        <w:r w:rsidRPr="007C57D2">
          <w:rPr>
            <w:rStyle w:val="Hipervnculo"/>
            <w:rFonts w:ascii="Times New Roman" w:hAnsi="Times New Roman" w:cs="Times New Roman"/>
            <w:b/>
            <w:bCs/>
            <w:noProof/>
            <w:sz w:val="28"/>
            <w:lang w:val="es-ES_tradnl"/>
          </w:rPr>
          <w:t>5.5.1. Objetivo del proyecto de ley (Examen de constitucionalidad del artículo 1°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_Toc222728034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112</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5" w:history="1">
        <w:r w:rsidRPr="007C57D2">
          <w:rPr>
            <w:rStyle w:val="Hipervnculo"/>
            <w:rFonts w:ascii="Times New Roman" w:hAnsi="Times New Roman" w:cs="Times New Roman"/>
            <w:b/>
            <w:bCs/>
            <w:noProof/>
            <w:sz w:val="28"/>
            <w:lang w:val="es-ES_tradnl"/>
          </w:rPr>
          <w:t>5.5.2. Definiciones (Examen de constitucionalidad del artículo 2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_Toc222728035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116</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6" w:history="1">
        <w:r w:rsidRPr="007C57D2">
          <w:rPr>
            <w:rStyle w:val="Hipervnculo"/>
            <w:rFonts w:ascii="Times New Roman" w:hAnsi="Times New Roman" w:cs="Times New Roman"/>
            <w:b/>
            <w:bCs/>
            <w:noProof/>
            <w:sz w:val="28"/>
            <w:lang w:val="es-ES_tradnl"/>
          </w:rPr>
          <w:t>5.5.3. Tratamiento de datos personales: legitimación, limitación temporal y necesidad (Examen de constitucionalidad de los artículos 3, 4, 7 y 8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w:instrText>
        </w:r>
        <w:r w:rsidRPr="007C57D2">
          <w:rPr>
            <w:rFonts w:ascii="Times New Roman" w:hAnsi="Times New Roman" w:cs="Times New Roman"/>
            <w:noProof/>
            <w:webHidden/>
            <w:sz w:val="28"/>
          </w:rPr>
          <w:instrText xml:space="preserve">EREF _Toc222728036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133</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7" w:history="1">
        <w:r w:rsidRPr="007C57D2">
          <w:rPr>
            <w:rStyle w:val="Hipervnculo"/>
            <w:rFonts w:ascii="Times New Roman" w:hAnsi="Times New Roman" w:cs="Times New Roman"/>
            <w:b/>
            <w:bCs/>
            <w:noProof/>
            <w:sz w:val="28"/>
            <w:lang w:val="es-ES_tradnl"/>
          </w:rPr>
          <w:t>5.5.4. Requisitos para activar la “Alerta Colombia” (Examen de constitucionalidad del artículo 9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_Toc222728037 \</w:instrText>
        </w:r>
        <w:r w:rsidRPr="007C57D2">
          <w:rPr>
            <w:rFonts w:ascii="Times New Roman" w:hAnsi="Times New Roman" w:cs="Times New Roman"/>
            <w:noProof/>
            <w:webHidden/>
            <w:sz w:val="28"/>
          </w:rPr>
          <w:instrText xml:space="preserve">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149</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8" w:history="1">
        <w:r w:rsidRPr="007C57D2">
          <w:rPr>
            <w:rStyle w:val="Hipervnculo"/>
            <w:rFonts w:ascii="Times New Roman" w:hAnsi="Times New Roman" w:cs="Times New Roman"/>
            <w:b/>
            <w:bCs/>
            <w:noProof/>
            <w:sz w:val="28"/>
            <w:lang w:val="es-ES_tradnl"/>
          </w:rPr>
          <w:t>5.5.5. Sistema nacional de reporte virtual (Examen de constitucionalidad del artículo 5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_Toc222728038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154</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39" w:history="1">
        <w:r w:rsidRPr="007C57D2">
          <w:rPr>
            <w:rStyle w:val="Hipervnculo"/>
            <w:rFonts w:ascii="Times New Roman" w:hAnsi="Times New Roman" w:cs="Times New Roman"/>
            <w:b/>
            <w:bCs/>
            <w:noProof/>
            <w:sz w:val="28"/>
            <w:lang w:val="es-ES_tradnl"/>
          </w:rPr>
          <w:t>5.5.6. Divulgación de la “Alerta Colombia” (Examen de constitucionalidad de los artículos 6, 10 y 11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_Toc222728039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159</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40" w:history="1">
        <w:r w:rsidRPr="007C57D2">
          <w:rPr>
            <w:rStyle w:val="Hipervnculo"/>
            <w:rFonts w:ascii="Times New Roman" w:hAnsi="Times New Roman" w:cs="Times New Roman"/>
            <w:b/>
            <w:bCs/>
            <w:noProof/>
            <w:sz w:val="28"/>
            <w:lang w:val="es-ES_tradnl"/>
          </w:rPr>
          <w:t>5.5.7. Mecanismos de búsqueda, localización y recuperación de niños (as) (Examen de constitucionalidad del artículo 12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_Toc222728040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197</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41" w:history="1">
        <w:r w:rsidRPr="007C57D2">
          <w:rPr>
            <w:rStyle w:val="Hipervnculo"/>
            <w:rFonts w:ascii="Times New Roman" w:hAnsi="Times New Roman" w:cs="Times New Roman"/>
            <w:b/>
            <w:bCs/>
            <w:noProof/>
            <w:sz w:val="28"/>
          </w:rPr>
          <w:t>5.5.8. Informe de gestión sobre niños (as) extraviados (as) (Examen de constitucionalidad del artículo 13 del PLE )</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_Toc222728041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203</w:t>
        </w:r>
        <w:r w:rsidRPr="007C57D2">
          <w:rPr>
            <w:rFonts w:ascii="Times New Roman" w:hAnsi="Times New Roman" w:cs="Times New Roman"/>
            <w:noProof/>
            <w:webHidden/>
            <w:sz w:val="28"/>
          </w:rPr>
          <w:fldChar w:fldCharType="end"/>
        </w:r>
      </w:hyperlink>
    </w:p>
    <w:p w:rsidR="00F543B3" w:rsidRPr="007C57D2" w:rsidRDefault="007C57D2" w:rsidP="008F3DAB">
      <w:pPr>
        <w:pStyle w:val="TDC3"/>
        <w:tabs>
          <w:tab w:val="right" w:leader="dot" w:pos="8828"/>
        </w:tabs>
        <w:spacing w:line="240" w:lineRule="auto"/>
        <w:rPr>
          <w:rFonts w:ascii="Times New Roman" w:hAnsi="Times New Roman" w:cs="Times New Roman"/>
          <w:noProof/>
          <w:kern w:val="2"/>
          <w:sz w:val="28"/>
          <w:lang w:eastAsia="zh-CN"/>
        </w:rPr>
      </w:pPr>
      <w:hyperlink w:anchor="_Toc222728042" w:history="1">
        <w:r w:rsidRPr="007C57D2">
          <w:rPr>
            <w:rStyle w:val="Hipervnculo"/>
            <w:rFonts w:ascii="Times New Roman" w:hAnsi="Times New Roman" w:cs="Times New Roman"/>
            <w:b/>
            <w:bCs/>
            <w:noProof/>
            <w:sz w:val="28"/>
            <w:lang w:val="es-ES_tradnl"/>
          </w:rPr>
          <w:t>5.5.9. Reglamentación y vigencia (</w:t>
        </w:r>
        <w:r w:rsidRPr="007C57D2">
          <w:rPr>
            <w:rStyle w:val="Hipervnculo"/>
            <w:rFonts w:ascii="Times New Roman" w:hAnsi="Times New Roman" w:cs="Times New Roman"/>
            <w:b/>
            <w:bCs/>
            <w:noProof/>
            <w:sz w:val="28"/>
          </w:rPr>
          <w:t>Examen de constitucionalidad de los artículos 14 y 15 del PLE)</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_Toc222728042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207</w:t>
        </w:r>
        <w:r w:rsidRPr="007C57D2">
          <w:rPr>
            <w:rFonts w:ascii="Times New Roman" w:hAnsi="Times New Roman" w:cs="Times New Roman"/>
            <w:noProof/>
            <w:webHidden/>
            <w:sz w:val="28"/>
          </w:rPr>
          <w:fldChar w:fldCharType="end"/>
        </w:r>
      </w:hyperlink>
    </w:p>
    <w:p w:rsidR="00F543B3" w:rsidRPr="007C57D2" w:rsidRDefault="007C57D2" w:rsidP="008F3DAB">
      <w:pPr>
        <w:pStyle w:val="TDC1"/>
        <w:tabs>
          <w:tab w:val="right" w:leader="dot" w:pos="8828"/>
        </w:tabs>
        <w:spacing w:before="0" w:line="240" w:lineRule="auto"/>
        <w:rPr>
          <w:rFonts w:ascii="Times New Roman" w:hAnsi="Times New Roman" w:cs="Times New Roman"/>
          <w:b w:val="0"/>
          <w:bCs w:val="0"/>
          <w:i w:val="0"/>
          <w:iCs w:val="0"/>
          <w:noProof/>
          <w:kern w:val="2"/>
          <w:sz w:val="28"/>
          <w:szCs w:val="24"/>
          <w:lang w:eastAsia="zh-CN"/>
        </w:rPr>
      </w:pPr>
      <w:hyperlink w:anchor="_Toc222728043" w:history="1">
        <w:r w:rsidRPr="007C57D2">
          <w:rPr>
            <w:rStyle w:val="Hipervnculo"/>
            <w:rFonts w:ascii="Times New Roman" w:hAnsi="Times New Roman" w:cs="Times New Roman"/>
            <w:noProof/>
            <w:sz w:val="28"/>
          </w:rPr>
          <w:t>III. DECISIÓN</w:t>
        </w:r>
        <w:r w:rsidRPr="007C57D2">
          <w:rPr>
            <w:rFonts w:ascii="Times New Roman" w:hAnsi="Times New Roman" w:cs="Times New Roman"/>
            <w:noProof/>
            <w:webHidden/>
            <w:sz w:val="28"/>
          </w:rPr>
          <w:tab/>
        </w:r>
        <w:r w:rsidRPr="007C57D2">
          <w:rPr>
            <w:rFonts w:ascii="Times New Roman" w:hAnsi="Times New Roman" w:cs="Times New Roman"/>
            <w:noProof/>
            <w:webHidden/>
            <w:sz w:val="28"/>
          </w:rPr>
          <w:fldChar w:fldCharType="begin"/>
        </w:r>
        <w:r w:rsidRPr="007C57D2">
          <w:rPr>
            <w:rFonts w:ascii="Times New Roman" w:hAnsi="Times New Roman" w:cs="Times New Roman"/>
            <w:noProof/>
            <w:webHidden/>
            <w:sz w:val="28"/>
          </w:rPr>
          <w:instrText xml:space="preserve"> PAGEREF _Toc222728043 \h </w:instrText>
        </w:r>
        <w:r w:rsidRPr="007C57D2">
          <w:rPr>
            <w:rFonts w:ascii="Times New Roman" w:hAnsi="Times New Roman" w:cs="Times New Roman"/>
            <w:noProof/>
            <w:webHidden/>
            <w:sz w:val="28"/>
          </w:rPr>
        </w:r>
        <w:r w:rsidRPr="007C57D2">
          <w:rPr>
            <w:rFonts w:ascii="Times New Roman" w:hAnsi="Times New Roman" w:cs="Times New Roman"/>
            <w:noProof/>
            <w:webHidden/>
            <w:sz w:val="28"/>
          </w:rPr>
          <w:fldChar w:fldCharType="separate"/>
        </w:r>
        <w:r w:rsidRPr="007C57D2">
          <w:rPr>
            <w:rFonts w:ascii="Times New Roman" w:hAnsi="Times New Roman" w:cs="Times New Roman"/>
            <w:noProof/>
            <w:webHidden/>
            <w:sz w:val="28"/>
          </w:rPr>
          <w:t>210</w:t>
        </w:r>
        <w:r w:rsidRPr="007C57D2">
          <w:rPr>
            <w:rFonts w:ascii="Times New Roman" w:hAnsi="Times New Roman" w:cs="Times New Roman"/>
            <w:noProof/>
            <w:webHidden/>
            <w:sz w:val="28"/>
          </w:rPr>
          <w:fldChar w:fldCharType="end"/>
        </w:r>
      </w:hyperlink>
    </w:p>
    <w:p w:rsidR="00065DB9" w:rsidRPr="007C57D2" w:rsidRDefault="007C57D2" w:rsidP="008F3DAB">
      <w:pPr>
        <w:spacing w:after="0" w:line="240" w:lineRule="auto"/>
        <w:rPr>
          <w:rFonts w:ascii="Times New Roman" w:hAnsi="Times New Roman"/>
          <w:sz w:val="28"/>
        </w:rPr>
      </w:pPr>
      <w:r w:rsidRPr="007C57D2">
        <w:rPr>
          <w:rFonts w:ascii="Times New Roman" w:hAnsi="Times New Roman"/>
          <w:noProof/>
          <w:sz w:val="28"/>
          <w:szCs w:val="28"/>
        </w:rPr>
        <w:fldChar w:fldCharType="end"/>
      </w:r>
    </w:p>
    <w:p w:rsidR="00AF7F6A" w:rsidRPr="007C57D2" w:rsidRDefault="007C57D2" w:rsidP="008F3DAB">
      <w:pPr>
        <w:pStyle w:val="Ttulo1"/>
        <w:spacing w:before="0" w:line="240" w:lineRule="auto"/>
        <w:rPr>
          <w:rFonts w:ascii="Times New Roman" w:hAnsi="Times New Roman"/>
          <w:b/>
          <w:bCs/>
          <w:color w:val="000000"/>
          <w:sz w:val="28"/>
          <w:lang w:eastAsia="es-MX"/>
        </w:rPr>
      </w:pPr>
      <w:bookmarkStart w:id="5" w:name="_Toc222728021"/>
      <w:r w:rsidRPr="007C57D2">
        <w:rPr>
          <w:rFonts w:ascii="Times New Roman" w:hAnsi="Times New Roman"/>
          <w:b/>
          <w:bCs/>
          <w:color w:val="000000"/>
          <w:sz w:val="28"/>
          <w:lang w:eastAsia="es-MX"/>
        </w:rPr>
        <w:t>I. ANTECEDENTES</w:t>
      </w:r>
      <w:bookmarkEnd w:id="5"/>
    </w:p>
    <w:p w:rsidR="00AF7F6A" w:rsidRPr="007C57D2" w:rsidRDefault="007C57D2" w:rsidP="008F3DAB">
      <w:pPr>
        <w:spacing w:after="0" w:line="240" w:lineRule="auto"/>
        <w:jc w:val="both"/>
        <w:rPr>
          <w:rFonts w:ascii="Times New Roman" w:hAnsi="Times New Roman"/>
          <w:b/>
          <w:bCs/>
          <w:sz w:val="28"/>
          <w:szCs w:val="28"/>
          <w:lang w:eastAsia="es-MX"/>
        </w:rPr>
      </w:pPr>
    </w:p>
    <w:p w:rsidR="003B491A" w:rsidRPr="007C57D2" w:rsidRDefault="007C57D2" w:rsidP="008F3DAB">
      <w:pPr>
        <w:spacing w:after="0" w:line="240" w:lineRule="auto"/>
        <w:jc w:val="both"/>
        <w:rPr>
          <w:rFonts w:ascii="Times New Roman" w:hAnsi="Times New Roman"/>
          <w:b/>
          <w:bCs/>
          <w:sz w:val="28"/>
          <w:szCs w:val="28"/>
          <w:lang w:eastAsia="es-MX"/>
        </w:rPr>
      </w:pPr>
      <w:r w:rsidRPr="007C57D2">
        <w:rPr>
          <w:rFonts w:ascii="Times New Roman" w:hAnsi="Times New Roman"/>
          <w:b/>
          <w:bCs/>
          <w:sz w:val="28"/>
          <w:szCs w:val="28"/>
          <w:lang w:eastAsia="es-MX"/>
        </w:rPr>
        <w:t>1. Hechos</w:t>
      </w:r>
    </w:p>
    <w:p w:rsidR="003B491A" w:rsidRPr="007C57D2" w:rsidRDefault="007C57D2" w:rsidP="008F3DAB">
      <w:pPr>
        <w:spacing w:after="0" w:line="240" w:lineRule="auto"/>
        <w:jc w:val="both"/>
        <w:rPr>
          <w:rFonts w:ascii="Times New Roman" w:hAnsi="Times New Roman"/>
          <w:b/>
          <w:bCs/>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lang w:eastAsia="es-MX"/>
        </w:rPr>
        <w:t xml:space="preserve">De conformidad con lo </w:t>
      </w:r>
      <w:r w:rsidRPr="007C57D2">
        <w:rPr>
          <w:rFonts w:ascii="Times New Roman" w:hAnsi="Times New Roman"/>
          <w:sz w:val="28"/>
          <w:szCs w:val="28"/>
        </w:rPr>
        <w:t>previsto en los artículos 153 de la Constitución, 208 de la Ley 5 de 1992 y 39 del Decreto 2067 de 1991, el 21</w:t>
      </w:r>
      <w:r w:rsidRPr="007C57D2">
        <w:rPr>
          <w:rFonts w:ascii="Times New Roman" w:hAnsi="Times New Roman"/>
          <w:sz w:val="28"/>
          <w:szCs w:val="28"/>
        </w:rPr>
        <w:t xml:space="preserve"> </w:t>
      </w:r>
      <w:r w:rsidRPr="007C57D2">
        <w:rPr>
          <w:rFonts w:ascii="Times New Roman" w:hAnsi="Times New Roman"/>
          <w:sz w:val="28"/>
          <w:szCs w:val="28"/>
        </w:rPr>
        <w:t xml:space="preserve">de octubre de 2024, la Secretaría del Senado de la República remitió a la Secretaría de la Corte, para su revisión de constitucionalidad, el expediente del proyecto de ley estatutaria número 266 de 2023 Cámara - 285 de 2024 Senado, </w:t>
      </w:r>
      <w:r w:rsidRPr="007C57D2">
        <w:rPr>
          <w:rFonts w:ascii="Times New Roman" w:hAnsi="Times New Roman"/>
          <w:sz w:val="28"/>
          <w:szCs w:val="28"/>
          <w:lang w:val="es-ES_tradnl"/>
        </w:rPr>
        <w:t>“</w:t>
      </w:r>
      <w:r w:rsidRPr="007C57D2">
        <w:rPr>
          <w:rFonts w:ascii="Times New Roman" w:hAnsi="Times New Roman"/>
          <w:sz w:val="28"/>
          <w:szCs w:val="28"/>
        </w:rPr>
        <w:t xml:space="preserve">[p]or medio de la cual </w:t>
      </w:r>
      <w:r w:rsidRPr="007C57D2">
        <w:rPr>
          <w:rFonts w:ascii="Times New Roman" w:hAnsi="Times New Roman"/>
          <w:sz w:val="28"/>
          <w:szCs w:val="28"/>
        </w:rPr>
        <w:t>se crea y se reglamenta [la] Alerta Colombia Ley Sara Sofía y de dictan otras disposiciones”.</w:t>
      </w:r>
    </w:p>
    <w:p w:rsidR="00AF7F6A" w:rsidRPr="007C57D2" w:rsidRDefault="007C57D2" w:rsidP="008F3DAB">
      <w:pPr>
        <w:tabs>
          <w:tab w:val="left" w:pos="567"/>
        </w:tabs>
        <w:spacing w:after="0" w:line="240" w:lineRule="auto"/>
        <w:jc w:val="both"/>
        <w:rPr>
          <w:rFonts w:ascii="Times New Roman" w:hAnsi="Times New Roman"/>
          <w:sz w:val="28"/>
          <w:szCs w:val="28"/>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Mediante comunicación del 8 de noviembre de 2024, previo sorteo realizado por la Sala Plena el día 6 del mismo mes y año, el expediente fue enviado al despacho d</w:t>
      </w:r>
      <w:r w:rsidRPr="007C57D2">
        <w:rPr>
          <w:rFonts w:ascii="Times New Roman" w:hAnsi="Times New Roman"/>
          <w:sz w:val="28"/>
          <w:szCs w:val="28"/>
          <w:lang w:eastAsia="es-MX"/>
        </w:rPr>
        <w:t xml:space="preserve">e la magistrada </w:t>
      </w:r>
      <w:r w:rsidRPr="007C57D2">
        <w:rPr>
          <w:rFonts w:ascii="Times New Roman" w:hAnsi="Times New Roman"/>
          <w:bCs/>
          <w:sz w:val="28"/>
          <w:szCs w:val="28"/>
          <w:lang w:eastAsia="es-MX"/>
        </w:rPr>
        <w:t>Diana Constanza Fajardo Rivera</w:t>
      </w:r>
      <w:r w:rsidRPr="007C57D2">
        <w:rPr>
          <w:rFonts w:ascii="Times New Roman" w:hAnsi="Times New Roman"/>
          <w:sz w:val="28"/>
          <w:szCs w:val="28"/>
          <w:lang w:eastAsia="es-MX"/>
        </w:rPr>
        <w:t xml:space="preserve"> para que impartiera el trámite correspondiente. </w:t>
      </w:r>
    </w:p>
    <w:p w:rsidR="00AF7F6A" w:rsidRPr="007C57D2" w:rsidRDefault="007C57D2" w:rsidP="008F3DAB">
      <w:pPr>
        <w:tabs>
          <w:tab w:val="left" w:pos="142"/>
          <w:tab w:val="left" w:pos="284"/>
          <w:tab w:val="left" w:pos="567"/>
        </w:tabs>
        <w:spacing w:after="0" w:line="240" w:lineRule="auto"/>
        <w:contextualSpacing/>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lang w:eastAsia="es-ES"/>
        </w:rPr>
      </w:pPr>
      <w:r w:rsidRPr="007C57D2">
        <w:rPr>
          <w:rFonts w:ascii="Times New Roman" w:hAnsi="Times New Roman"/>
          <w:sz w:val="28"/>
          <w:szCs w:val="28"/>
          <w:lang w:eastAsia="es-MX"/>
        </w:rPr>
        <w:t>En Auto del 19 de noviembre de 2024, la magistrada ponente asumió el conocimiento del asunto y ordenó la práctica de pruebas. Así mismo, dispuso comunicar la i</w:t>
      </w:r>
      <w:r w:rsidRPr="007C57D2">
        <w:rPr>
          <w:rFonts w:ascii="Times New Roman" w:hAnsi="Times New Roman"/>
          <w:sz w:val="28"/>
          <w:szCs w:val="28"/>
          <w:lang w:eastAsia="es-MX"/>
        </w:rPr>
        <w:t xml:space="preserve">niciación del proceso </w:t>
      </w:r>
      <w:r w:rsidRPr="007C57D2">
        <w:rPr>
          <w:rFonts w:ascii="Times New Roman" w:hAnsi="Times New Roman"/>
          <w:sz w:val="28"/>
          <w:szCs w:val="28"/>
          <w:lang w:eastAsia="es-ES"/>
        </w:rPr>
        <w:t>al presidente de la República, al presidente del Congreso de la República, a los secretarios generales del Senado de la República y de la Cámara de Representantes, quienes debían informar de este proceso a los senadores y representant</w:t>
      </w:r>
      <w:r w:rsidRPr="007C57D2">
        <w:rPr>
          <w:rFonts w:ascii="Times New Roman" w:hAnsi="Times New Roman"/>
          <w:sz w:val="28"/>
          <w:szCs w:val="28"/>
          <w:lang w:eastAsia="es-ES"/>
        </w:rPr>
        <w:t xml:space="preserve">es a la Cámara que fueron autores y ponentes del proyecto de ley estatutaria de la referencia, así como al Centro de Investigaciones y Altos Estudios Legislativos del Senado de la República. De igual forma, </w:t>
      </w:r>
      <w:r w:rsidRPr="007C57D2">
        <w:rPr>
          <w:rFonts w:ascii="Times New Roman" w:hAnsi="Times New Roman"/>
          <w:sz w:val="28"/>
          <w:szCs w:val="28"/>
          <w:lang w:eastAsia="es-MX"/>
        </w:rPr>
        <w:t>ordenó fijar en lista el proceso e invitó a inter</w:t>
      </w:r>
      <w:r w:rsidRPr="007C57D2">
        <w:rPr>
          <w:rFonts w:ascii="Times New Roman" w:hAnsi="Times New Roman"/>
          <w:sz w:val="28"/>
          <w:szCs w:val="28"/>
          <w:lang w:eastAsia="es-MX"/>
        </w:rPr>
        <w:t>venir en él a diferentes instituciones públicas y privadas</w:t>
      </w:r>
      <w:r w:rsidRPr="007C57D2">
        <w:rPr>
          <w:rFonts w:ascii="Times New Roman" w:hAnsi="Times New Roman"/>
          <w:sz w:val="28"/>
          <w:vertAlign w:val="superscript"/>
        </w:rPr>
        <w:footnoteReference w:id="1"/>
      </w:r>
      <w:r w:rsidRPr="007C57D2">
        <w:rPr>
          <w:rFonts w:ascii="Times New Roman" w:hAnsi="Times New Roman"/>
          <w:sz w:val="28"/>
          <w:szCs w:val="28"/>
          <w:lang w:eastAsia="es-MX"/>
        </w:rPr>
        <w:t>. Por último, dispuso correr traslado a la Procuraduría General de la Nación para que rindiera concepto.</w:t>
      </w: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Mediante auto del 12 de febrero de 2025, la magistrada sustanciadora requirió a </w:t>
      </w:r>
      <w:r w:rsidRPr="007C57D2">
        <w:rPr>
          <w:rFonts w:ascii="Times New Roman" w:hAnsi="Times New Roman"/>
          <w:sz w:val="28"/>
          <w:szCs w:val="28"/>
          <w:lang w:eastAsia="es-ES"/>
        </w:rPr>
        <w:t>los secretar</w:t>
      </w:r>
      <w:r w:rsidRPr="007C57D2">
        <w:rPr>
          <w:rFonts w:ascii="Times New Roman" w:hAnsi="Times New Roman"/>
          <w:sz w:val="28"/>
          <w:szCs w:val="28"/>
          <w:lang w:eastAsia="es-ES"/>
        </w:rPr>
        <w:t xml:space="preserve">ios generales del Senado de la República y de la Cámara de Representantes que remitieran las pruebas solicitadas. En la misma providencia, decretó la práctica de nuevas pruebas. </w:t>
      </w:r>
      <w:r w:rsidRPr="007C57D2">
        <w:rPr>
          <w:rFonts w:ascii="Times New Roman" w:hAnsi="Times New Roman"/>
          <w:sz w:val="28"/>
          <w:szCs w:val="28"/>
          <w:lang w:eastAsia="es-MX"/>
        </w:rPr>
        <w:t>El 1 de abril de 2024, una vez allegadas y valoradas todas las pruebas, ordenó</w:t>
      </w:r>
      <w:r w:rsidRPr="007C57D2">
        <w:rPr>
          <w:rFonts w:ascii="Times New Roman" w:hAnsi="Times New Roman"/>
          <w:sz w:val="28"/>
          <w:szCs w:val="28"/>
          <w:lang w:eastAsia="es-MX"/>
        </w:rPr>
        <w:t xml:space="preserve"> continuar con el proceso.</w:t>
      </w:r>
    </w:p>
    <w:p w:rsidR="00AF7F6A" w:rsidRPr="007C57D2" w:rsidRDefault="007C57D2" w:rsidP="008F3DAB">
      <w:pPr>
        <w:tabs>
          <w:tab w:val="left" w:pos="567"/>
        </w:tabs>
        <w:spacing w:after="0" w:line="240" w:lineRule="auto"/>
        <w:contextualSpacing/>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El 15 de mayo de 2025, el procurador general de la nación, Gregorio Eljach Pacheco</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manifestó su impedimento para emitir concepto por haber intervenido en la expedición de la norma objeto de control. En Auto 829 de 2025, la Sala Plena declaró fundado el impedimento formulado. </w:t>
      </w:r>
    </w:p>
    <w:p w:rsidR="00AF7F6A" w:rsidRPr="007C57D2" w:rsidRDefault="007C57D2" w:rsidP="008F3DAB">
      <w:pPr>
        <w:tabs>
          <w:tab w:val="left" w:pos="567"/>
        </w:tabs>
        <w:spacing w:after="0" w:line="240" w:lineRule="auto"/>
        <w:contextualSpacing/>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magistrada Diana Constanza Fajardo Rivera terminó su </w:t>
      </w:r>
      <w:r w:rsidRPr="007C57D2">
        <w:rPr>
          <w:rFonts w:ascii="Times New Roman" w:hAnsi="Times New Roman"/>
          <w:sz w:val="28"/>
          <w:szCs w:val="28"/>
          <w:lang w:eastAsia="es-MX"/>
        </w:rPr>
        <w:t>período constitucional el 5 de junio de 2025. El día 12 del mismo mes y año, la doctora Lina Marcela Escobar Martínez se posesionó en el cargo, en reemplazo de la doctora Fajardo Rivera. En consecuencia, a partir de ese día, la sustanciación de los expedie</w:t>
      </w:r>
      <w:r w:rsidRPr="007C57D2">
        <w:rPr>
          <w:rFonts w:ascii="Times New Roman" w:hAnsi="Times New Roman"/>
          <w:sz w:val="28"/>
          <w:szCs w:val="28"/>
          <w:lang w:eastAsia="es-MX"/>
        </w:rPr>
        <w:t>ntes del despacho, incluido el presente asunto, quedó a cargo de la magistrada Lina Marcela Escobar Martínez.</w:t>
      </w:r>
    </w:p>
    <w:p w:rsidR="00AF7F6A" w:rsidRPr="007C57D2" w:rsidRDefault="007C57D2" w:rsidP="008F3DAB">
      <w:pPr>
        <w:tabs>
          <w:tab w:val="left" w:pos="567"/>
        </w:tabs>
        <w:spacing w:after="0" w:line="240" w:lineRule="auto"/>
        <w:contextualSpacing/>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lang w:eastAsia="en-US"/>
        </w:rPr>
      </w:pPr>
      <w:r w:rsidRPr="007C57D2">
        <w:rPr>
          <w:rFonts w:ascii="Times New Roman" w:hAnsi="Times New Roman"/>
          <w:sz w:val="28"/>
          <w:szCs w:val="28"/>
          <w:lang w:eastAsia="es-MX"/>
        </w:rPr>
        <w:t xml:space="preserve">Cumplidos los trámites pertinentes, la Sala Plena procede a adelantar el control de constitucionalidad </w:t>
      </w:r>
      <w:r w:rsidRPr="007C57D2">
        <w:rPr>
          <w:rFonts w:ascii="Times New Roman" w:hAnsi="Times New Roman"/>
          <w:sz w:val="28"/>
          <w:szCs w:val="28"/>
          <w:lang w:eastAsia="es-ES"/>
        </w:rPr>
        <w:t xml:space="preserve">del </w:t>
      </w:r>
      <w:r w:rsidRPr="007C57D2">
        <w:rPr>
          <w:rFonts w:ascii="Times New Roman" w:hAnsi="Times New Roman"/>
          <w:sz w:val="28"/>
          <w:szCs w:val="28"/>
        </w:rPr>
        <w:t>proyecto de ley estatutaria número 266</w:t>
      </w:r>
      <w:r w:rsidRPr="007C57D2">
        <w:rPr>
          <w:rFonts w:ascii="Times New Roman" w:hAnsi="Times New Roman"/>
          <w:sz w:val="28"/>
          <w:szCs w:val="28"/>
        </w:rPr>
        <w:t xml:space="preserve"> de 2023 Cámara - 285 de 2024 Senado, </w:t>
      </w:r>
      <w:r w:rsidRPr="007C57D2">
        <w:rPr>
          <w:rFonts w:ascii="Times New Roman" w:hAnsi="Times New Roman"/>
          <w:sz w:val="28"/>
          <w:szCs w:val="28"/>
          <w:lang w:val="es-ES_tradnl"/>
        </w:rPr>
        <w:t>“</w:t>
      </w:r>
      <w:r w:rsidRPr="007C57D2">
        <w:rPr>
          <w:rFonts w:ascii="Times New Roman" w:hAnsi="Times New Roman"/>
          <w:sz w:val="28"/>
          <w:szCs w:val="28"/>
        </w:rPr>
        <w:t>[p]or medio de la cual se crea y se reglamenta [la] Alerta Colombia Ley Sara Sofía y de dictan otras disposiciones”</w:t>
      </w:r>
      <w:r w:rsidRPr="007C57D2">
        <w:rPr>
          <w:rFonts w:ascii="Times New Roman" w:hAnsi="Times New Roman"/>
          <w:sz w:val="28"/>
          <w:szCs w:val="28"/>
          <w:lang w:val="es-ES_tradnl"/>
        </w:rPr>
        <w:t>.</w:t>
      </w:r>
    </w:p>
    <w:p w:rsidR="003E0726" w:rsidRPr="007C57D2" w:rsidRDefault="007C57D2" w:rsidP="008F3DAB">
      <w:pPr>
        <w:pStyle w:val="Prrafodelista"/>
        <w:tabs>
          <w:tab w:val="left" w:pos="567"/>
        </w:tabs>
        <w:ind w:left="0"/>
        <w:jc w:val="both"/>
        <w:rPr>
          <w:rFonts w:ascii="Times New Roman" w:eastAsia="Calibri" w:hAnsi="Times New Roman"/>
          <w:sz w:val="28"/>
          <w:szCs w:val="28"/>
          <w:lang w:eastAsia="en-US"/>
        </w:rPr>
      </w:pPr>
    </w:p>
    <w:p w:rsidR="003B491A" w:rsidRPr="007C57D2" w:rsidRDefault="007C57D2" w:rsidP="008F3DAB">
      <w:pPr>
        <w:pStyle w:val="Prrafodelista"/>
        <w:tabs>
          <w:tab w:val="left" w:pos="567"/>
        </w:tabs>
        <w:ind w:left="0"/>
        <w:jc w:val="both"/>
        <w:rPr>
          <w:rFonts w:ascii="Times New Roman" w:eastAsia="Calibri" w:hAnsi="Times New Roman"/>
          <w:b/>
          <w:bCs/>
          <w:sz w:val="28"/>
          <w:szCs w:val="28"/>
          <w:lang w:eastAsia="en-US"/>
        </w:rPr>
      </w:pPr>
      <w:r w:rsidRPr="007C57D2">
        <w:rPr>
          <w:rFonts w:ascii="Times New Roman" w:eastAsia="Calibri" w:hAnsi="Times New Roman"/>
          <w:b/>
          <w:bCs/>
          <w:sz w:val="28"/>
          <w:szCs w:val="28"/>
          <w:lang w:eastAsia="en-US"/>
        </w:rPr>
        <w:t>2. Texto objeto de control</w:t>
      </w:r>
    </w:p>
    <w:p w:rsidR="003B491A" w:rsidRPr="007C57D2" w:rsidRDefault="007C57D2" w:rsidP="008F3DAB">
      <w:pPr>
        <w:pStyle w:val="MediumGrid1-Accent21"/>
        <w:spacing w:after="0" w:line="240" w:lineRule="auto"/>
        <w:ind w:left="0" w:right="49"/>
        <w:jc w:val="both"/>
        <w:rPr>
          <w:rFonts w:ascii="Times New Roman" w:hAnsi="Times New Roman"/>
          <w:b/>
          <w:sz w:val="28"/>
          <w:szCs w:val="28"/>
          <w:lang w:eastAsia="es-ES"/>
        </w:rPr>
      </w:pPr>
    </w:p>
    <w:p w:rsidR="003B491A" w:rsidRPr="007C57D2" w:rsidRDefault="007C57D2" w:rsidP="008F3DAB">
      <w:pPr>
        <w:pStyle w:val="MediumGrid1-Accent21"/>
        <w:numPr>
          <w:ilvl w:val="0"/>
          <w:numId w:val="3"/>
        </w:numPr>
        <w:spacing w:after="0" w:line="240" w:lineRule="auto"/>
        <w:ind w:left="0" w:right="49" w:firstLine="0"/>
        <w:jc w:val="both"/>
        <w:rPr>
          <w:rFonts w:ascii="Times New Roman" w:hAnsi="Times New Roman"/>
          <w:bCs/>
          <w:sz w:val="28"/>
          <w:szCs w:val="28"/>
          <w:lang w:eastAsia="es-ES"/>
        </w:rPr>
      </w:pPr>
      <w:r w:rsidRPr="007C57D2">
        <w:rPr>
          <w:rFonts w:ascii="Times New Roman" w:hAnsi="Times New Roman"/>
          <w:bCs/>
          <w:sz w:val="28"/>
          <w:szCs w:val="28"/>
          <w:lang w:eastAsia="es-ES"/>
        </w:rPr>
        <w:t xml:space="preserve">El contenido de las normas objeto de control, de conformidad con el </w:t>
      </w:r>
      <w:r w:rsidRPr="007C57D2">
        <w:rPr>
          <w:rFonts w:ascii="Times New Roman" w:hAnsi="Times New Roman"/>
          <w:bCs/>
          <w:sz w:val="28"/>
          <w:szCs w:val="28"/>
          <w:lang w:eastAsia="es-ES"/>
        </w:rPr>
        <w:t>texto aprobado por el Congreso de la República, se presentará en la sección correspondiente al examen material de constitucionalidad.</w:t>
      </w:r>
    </w:p>
    <w:p w:rsidR="003B491A" w:rsidRPr="007C57D2" w:rsidRDefault="007C57D2" w:rsidP="008F3DAB">
      <w:pPr>
        <w:pStyle w:val="Prrafodelista"/>
        <w:tabs>
          <w:tab w:val="left" w:pos="567"/>
        </w:tabs>
        <w:ind w:left="0"/>
        <w:jc w:val="both"/>
        <w:rPr>
          <w:rFonts w:ascii="Times New Roman" w:eastAsia="Calibri" w:hAnsi="Times New Roman"/>
          <w:sz w:val="28"/>
          <w:szCs w:val="28"/>
          <w:lang w:eastAsia="en-US"/>
        </w:rPr>
      </w:pPr>
    </w:p>
    <w:p w:rsidR="005E5A1E" w:rsidRPr="007C57D2" w:rsidRDefault="007C57D2" w:rsidP="008F3DAB">
      <w:pPr>
        <w:pStyle w:val="MediumGrid1-Accent21"/>
        <w:spacing w:after="0" w:line="240" w:lineRule="auto"/>
        <w:ind w:left="0" w:right="49"/>
        <w:jc w:val="both"/>
        <w:rPr>
          <w:rFonts w:ascii="Times New Roman" w:hAnsi="Times New Roman"/>
          <w:b/>
          <w:sz w:val="28"/>
          <w:szCs w:val="28"/>
          <w:lang w:eastAsia="es-ES"/>
        </w:rPr>
      </w:pPr>
      <w:r w:rsidRPr="007C57D2">
        <w:rPr>
          <w:rFonts w:ascii="Times New Roman" w:hAnsi="Times New Roman"/>
          <w:b/>
          <w:sz w:val="28"/>
          <w:szCs w:val="28"/>
          <w:lang w:eastAsia="es-ES"/>
        </w:rPr>
        <w:t>3. Relación de siglas, abreviaturas y equivalencias</w:t>
      </w:r>
    </w:p>
    <w:p w:rsidR="005E5A1E" w:rsidRPr="007C57D2" w:rsidRDefault="007C57D2" w:rsidP="008F3DAB">
      <w:pPr>
        <w:pStyle w:val="MediumGrid1-Accent21"/>
        <w:spacing w:after="0" w:line="240" w:lineRule="auto"/>
        <w:ind w:left="0" w:right="49"/>
        <w:jc w:val="both"/>
        <w:rPr>
          <w:rFonts w:ascii="Times New Roman" w:hAnsi="Times New Roman"/>
          <w:b/>
          <w:sz w:val="28"/>
          <w:szCs w:val="28"/>
          <w:lang w:eastAsia="es-ES"/>
        </w:rPr>
      </w:pPr>
    </w:p>
    <w:p w:rsidR="007F3997" w:rsidRPr="007C57D2" w:rsidRDefault="007C57D2" w:rsidP="008F3DAB">
      <w:pPr>
        <w:pStyle w:val="MediumGrid1-Accent21"/>
        <w:numPr>
          <w:ilvl w:val="0"/>
          <w:numId w:val="3"/>
        </w:numPr>
        <w:spacing w:after="0" w:line="240" w:lineRule="auto"/>
        <w:ind w:left="0" w:right="49" w:firstLine="0"/>
        <w:jc w:val="both"/>
        <w:rPr>
          <w:rFonts w:ascii="Times New Roman" w:hAnsi="Times New Roman"/>
          <w:sz w:val="28"/>
          <w:szCs w:val="28"/>
          <w:lang w:eastAsia="es-ES"/>
        </w:rPr>
      </w:pPr>
      <w:r w:rsidRPr="007C57D2">
        <w:rPr>
          <w:rFonts w:ascii="Times New Roman" w:hAnsi="Times New Roman"/>
          <w:sz w:val="28"/>
          <w:szCs w:val="28"/>
          <w:lang w:val="es-ES_tradnl" w:eastAsia="es-ES"/>
        </w:rPr>
        <w:t>La Corte utilizará algunas siglas o abreviaturas que son empleadas e</w:t>
      </w:r>
      <w:r w:rsidRPr="007C57D2">
        <w:rPr>
          <w:rFonts w:ascii="Times New Roman" w:hAnsi="Times New Roman"/>
          <w:sz w:val="28"/>
          <w:szCs w:val="28"/>
          <w:lang w:val="es-ES_tradnl" w:eastAsia="es-ES"/>
        </w:rPr>
        <w:t xml:space="preserve">n la norma objeto de control y los intervinientes, y otras que considera necesarias para facilitar la lectura de esta sentencia. Las siglas son las siguientes: </w:t>
      </w:r>
    </w:p>
    <w:p w:rsidR="00C72422" w:rsidRPr="007C57D2" w:rsidRDefault="007C57D2" w:rsidP="008F3DAB">
      <w:pPr>
        <w:pStyle w:val="MediumGrid1-Accent21"/>
        <w:spacing w:after="0" w:line="240" w:lineRule="auto"/>
        <w:ind w:left="0" w:right="49"/>
        <w:jc w:val="both"/>
        <w:rPr>
          <w:rFonts w:ascii="Times New Roman" w:hAnsi="Times New Roman"/>
          <w:sz w:val="28"/>
          <w:szCs w:val="2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3191"/>
      </w:tblGrid>
      <w:tr w:rsidR="00A0085A" w:rsidRPr="007C57D2" w:rsidTr="007C57D2">
        <w:tc>
          <w:tcPr>
            <w:tcW w:w="5637" w:type="dxa"/>
            <w:shd w:val="clear" w:color="auto" w:fill="F2F2F2"/>
          </w:tcPr>
          <w:p w:rsidR="005E5A1E" w:rsidRPr="007C57D2" w:rsidRDefault="007C57D2" w:rsidP="008F3DAB">
            <w:pPr>
              <w:pStyle w:val="MediumShading1-Accent11"/>
              <w:jc w:val="center"/>
              <w:rPr>
                <w:rFonts w:ascii="Times New Roman" w:hAnsi="Times New Roman" w:cs="Times New Roman"/>
                <w:b/>
                <w:bCs/>
                <w:color w:val="auto"/>
                <w:sz w:val="28"/>
                <w:szCs w:val="24"/>
                <w:lang w:val="es-CO"/>
              </w:rPr>
            </w:pPr>
            <w:r w:rsidRPr="007C57D2">
              <w:rPr>
                <w:rFonts w:ascii="Times New Roman" w:hAnsi="Times New Roman" w:cs="Times New Roman"/>
                <w:b/>
                <w:bCs/>
                <w:color w:val="auto"/>
                <w:sz w:val="28"/>
                <w:szCs w:val="24"/>
                <w:lang w:val="es-CO"/>
              </w:rPr>
              <w:t>Expresión o nombre</w:t>
            </w:r>
          </w:p>
        </w:tc>
        <w:tc>
          <w:tcPr>
            <w:tcW w:w="3191" w:type="dxa"/>
            <w:shd w:val="clear" w:color="auto" w:fill="F2F2F2"/>
          </w:tcPr>
          <w:p w:rsidR="005E5A1E" w:rsidRPr="007C57D2" w:rsidRDefault="007C57D2" w:rsidP="008F3DAB">
            <w:pPr>
              <w:pStyle w:val="MediumShading1-Accent11"/>
              <w:jc w:val="center"/>
              <w:rPr>
                <w:rFonts w:ascii="Times New Roman" w:hAnsi="Times New Roman" w:cs="Times New Roman"/>
                <w:b/>
                <w:bCs/>
                <w:color w:val="auto"/>
                <w:sz w:val="28"/>
                <w:szCs w:val="24"/>
              </w:rPr>
            </w:pPr>
            <w:r w:rsidRPr="007C57D2">
              <w:rPr>
                <w:rFonts w:ascii="Times New Roman" w:hAnsi="Times New Roman" w:cs="Times New Roman"/>
                <w:b/>
                <w:bCs/>
                <w:color w:val="auto"/>
                <w:sz w:val="28"/>
                <w:szCs w:val="24"/>
              </w:rPr>
              <w:t>Sigla o abreviatura</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 xml:space="preserve">Proyecto de ley estatutaria número 266 de 2023 Cámara </w:t>
            </w:r>
            <w:r w:rsidRPr="007C57D2">
              <w:rPr>
                <w:rFonts w:ascii="Times New Roman" w:hAnsi="Times New Roman" w:cs="Times New Roman"/>
                <w:color w:val="auto"/>
                <w:sz w:val="28"/>
                <w:szCs w:val="24"/>
                <w:lang w:val="es-CO"/>
              </w:rPr>
              <w:t>- 285 de 2024 Senado, “[p]or medio de la cual se crea y se reglamenta [la] Alerta Colombia Ley Sara Sofía y de dictan otras disposiciones”</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PLE</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CO"/>
              </w:rPr>
            </w:pPr>
            <w:r w:rsidRPr="007C57D2">
              <w:rPr>
                <w:rFonts w:ascii="Times New Roman" w:hAnsi="Times New Roman" w:cs="Times New Roman"/>
                <w:color w:val="auto"/>
                <w:sz w:val="28"/>
                <w:szCs w:val="24"/>
                <w:lang w:val="es-ES_tradnl"/>
              </w:rPr>
              <w:t>Niños, niñas y adolescentes</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NNA</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Comisión de Regulación de Comunicaciones</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CRC</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Instituto Colombiano de Bienestar</w:t>
            </w:r>
            <w:r w:rsidRPr="007C57D2">
              <w:rPr>
                <w:rFonts w:ascii="Times New Roman" w:hAnsi="Times New Roman" w:cs="Times New Roman"/>
                <w:color w:val="auto"/>
                <w:sz w:val="28"/>
                <w:szCs w:val="24"/>
                <w:lang w:val="es-CO"/>
              </w:rPr>
              <w:t xml:space="preserve"> Familiar</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ICBF</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Asociación de la Industria Móvil de Colombia</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Asomóvil</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Organización Internacional del Trabajo</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OIT</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Marco Fiscal de Mediano Plazo</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MFMP</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Ministerio de Hacienda y Crédito Público</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MHCP</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 xml:space="preserve">Ministerio de Tecnologías de la Información y las </w:t>
            </w:r>
            <w:r w:rsidRPr="007C57D2">
              <w:rPr>
                <w:rFonts w:ascii="Times New Roman" w:hAnsi="Times New Roman" w:cs="Times New Roman"/>
                <w:color w:val="auto"/>
                <w:sz w:val="28"/>
                <w:szCs w:val="24"/>
                <w:lang w:val="es-CO"/>
              </w:rPr>
              <w:t>Comunicaciones </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lang w:val="es-MX"/>
              </w:rPr>
              <w:t>MinTIC</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Carta Iberoamericana de Principios y Derechos en Entornos Digitales</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CIPDED</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Global Privacy Assembly</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GPA (por sus siglas en inglés)</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Red iberoamericana de Protección de Datos</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RIPD</w:t>
            </w:r>
          </w:p>
        </w:tc>
      </w:tr>
      <w:tr w:rsidR="00A0085A" w:rsidRPr="007C57D2" w:rsidTr="007F3997">
        <w:trPr>
          <w:trHeight w:val="266"/>
        </w:trPr>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Mecanismo de Búsqueda Urgente</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MBU</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 xml:space="preserve">Universidad </w:t>
            </w:r>
            <w:r w:rsidRPr="007C57D2">
              <w:rPr>
                <w:rFonts w:ascii="Times New Roman" w:hAnsi="Times New Roman" w:cs="Times New Roman"/>
                <w:color w:val="auto"/>
                <w:sz w:val="28"/>
                <w:szCs w:val="24"/>
                <w:lang w:val="es-CO"/>
              </w:rPr>
              <w:t>Pontificia Bolivariana</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UPB Medellín</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ES_tradnl"/>
              </w:rPr>
              <w:t>Fiscalía General de la Nación</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rPr>
              <w:t>FGN</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ES_tradnl"/>
              </w:rPr>
              <w:t>Instituto Nacional de Medicina Legal y Ciencias Forenses</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rPr>
            </w:pPr>
            <w:r w:rsidRPr="007C57D2">
              <w:rPr>
                <w:rFonts w:ascii="Times New Roman" w:hAnsi="Times New Roman" w:cs="Times New Roman"/>
                <w:color w:val="auto"/>
                <w:sz w:val="28"/>
                <w:szCs w:val="24"/>
                <w:lang w:val="es-CO"/>
              </w:rPr>
              <w:t>INMLCF</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ES_tradnl"/>
              </w:rPr>
            </w:pPr>
            <w:r w:rsidRPr="007C57D2">
              <w:rPr>
                <w:rFonts w:ascii="Times New Roman" w:hAnsi="Times New Roman" w:cs="Times New Roman"/>
                <w:color w:val="auto"/>
                <w:sz w:val="28"/>
                <w:szCs w:val="24"/>
                <w:lang w:val="es-CO"/>
              </w:rPr>
              <w:t>Sistema de Seguimiento al Desarrollo Integral de la Primera Infancia</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lang w:val="es-CO"/>
              </w:rPr>
            </w:pPr>
            <w:r w:rsidRPr="007C57D2">
              <w:rPr>
                <w:rFonts w:ascii="Times New Roman" w:hAnsi="Times New Roman" w:cs="Times New Roman"/>
                <w:color w:val="auto"/>
                <w:sz w:val="28"/>
                <w:szCs w:val="24"/>
                <w:lang w:val="es-CO"/>
              </w:rPr>
              <w:t>SSDIPI</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CO"/>
              </w:rPr>
            </w:pPr>
            <w:r w:rsidRPr="007C57D2">
              <w:rPr>
                <w:rFonts w:ascii="Times New Roman" w:hAnsi="Times New Roman" w:cs="Times New Roman"/>
                <w:color w:val="auto"/>
                <w:sz w:val="28"/>
                <w:szCs w:val="24"/>
                <w:lang w:val="es-CO"/>
              </w:rPr>
              <w:t>Sistema de Información Misional</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lang w:val="es-CO"/>
              </w:rPr>
            </w:pPr>
            <w:r w:rsidRPr="007C57D2">
              <w:rPr>
                <w:rFonts w:ascii="Times New Roman" w:hAnsi="Times New Roman" w:cs="Times New Roman"/>
                <w:color w:val="auto"/>
                <w:sz w:val="28"/>
                <w:szCs w:val="24"/>
                <w:lang w:val="es-CO"/>
              </w:rPr>
              <w:t>SIM</w:t>
            </w:r>
          </w:p>
        </w:tc>
      </w:tr>
      <w:tr w:rsidR="00A0085A"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CO"/>
              </w:rPr>
            </w:pPr>
            <w:r w:rsidRPr="007C57D2">
              <w:rPr>
                <w:rFonts w:ascii="Times New Roman" w:hAnsi="Times New Roman" w:cs="Times New Roman"/>
                <w:color w:val="auto"/>
                <w:sz w:val="28"/>
                <w:szCs w:val="24"/>
                <w:lang w:val="es-MX"/>
              </w:rPr>
              <w:t>Sistema de Alertas Tempranas sobre niñez colombiana</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lang w:val="es-CO"/>
              </w:rPr>
            </w:pPr>
            <w:r w:rsidRPr="007C57D2">
              <w:rPr>
                <w:rFonts w:ascii="Times New Roman" w:hAnsi="Times New Roman" w:cs="Times New Roman"/>
                <w:color w:val="auto"/>
                <w:sz w:val="28"/>
                <w:szCs w:val="24"/>
                <w:lang w:val="es-MX"/>
              </w:rPr>
              <w:t>SATSNC</w:t>
            </w:r>
          </w:p>
        </w:tc>
      </w:tr>
      <w:tr w:rsidR="000237A4" w:rsidRPr="007C57D2" w:rsidTr="007F3997">
        <w:tc>
          <w:tcPr>
            <w:tcW w:w="5637" w:type="dxa"/>
          </w:tcPr>
          <w:p w:rsidR="005E5A1E" w:rsidRPr="007C57D2" w:rsidRDefault="007C57D2" w:rsidP="008F3DAB">
            <w:pPr>
              <w:pStyle w:val="MediumShading1-Accent11"/>
              <w:jc w:val="both"/>
              <w:rPr>
                <w:rFonts w:ascii="Times New Roman" w:hAnsi="Times New Roman" w:cs="Times New Roman"/>
                <w:color w:val="auto"/>
                <w:sz w:val="28"/>
                <w:szCs w:val="24"/>
                <w:lang w:val="es-MX"/>
              </w:rPr>
            </w:pPr>
            <w:r w:rsidRPr="007C57D2">
              <w:rPr>
                <w:rFonts w:ascii="Times New Roman" w:hAnsi="Times New Roman" w:cs="Times New Roman"/>
                <w:color w:val="auto"/>
                <w:sz w:val="28"/>
                <w:szCs w:val="24"/>
                <w:lang w:val="es-CO"/>
              </w:rPr>
              <w:t>Sistema de Seguimiento al Desarrollo Integral de la Primera Infancia</w:t>
            </w:r>
          </w:p>
        </w:tc>
        <w:tc>
          <w:tcPr>
            <w:tcW w:w="3191" w:type="dxa"/>
          </w:tcPr>
          <w:p w:rsidR="005E5A1E" w:rsidRPr="007C57D2" w:rsidRDefault="007C57D2" w:rsidP="008F3DAB">
            <w:pPr>
              <w:pStyle w:val="MediumShading1-Accent11"/>
              <w:jc w:val="center"/>
              <w:rPr>
                <w:rFonts w:ascii="Times New Roman" w:hAnsi="Times New Roman" w:cs="Times New Roman"/>
                <w:color w:val="auto"/>
                <w:sz w:val="28"/>
                <w:szCs w:val="24"/>
                <w:lang w:val="es-MX"/>
              </w:rPr>
            </w:pPr>
            <w:r w:rsidRPr="007C57D2">
              <w:rPr>
                <w:rFonts w:ascii="Times New Roman" w:hAnsi="Times New Roman" w:cs="Times New Roman"/>
                <w:color w:val="auto"/>
                <w:sz w:val="28"/>
                <w:szCs w:val="24"/>
                <w:lang w:val="es-CO"/>
              </w:rPr>
              <w:t>SSD IPL</w:t>
            </w:r>
          </w:p>
        </w:tc>
      </w:tr>
    </w:tbl>
    <w:p w:rsidR="005E5A1E" w:rsidRPr="007C57D2" w:rsidRDefault="007C57D2" w:rsidP="008F3DAB">
      <w:pPr>
        <w:pStyle w:val="Prrafodelista"/>
        <w:tabs>
          <w:tab w:val="left" w:pos="567"/>
        </w:tabs>
        <w:ind w:left="0"/>
        <w:jc w:val="center"/>
        <w:rPr>
          <w:rFonts w:ascii="Times New Roman" w:eastAsia="Calibri" w:hAnsi="Times New Roman"/>
          <w:sz w:val="28"/>
          <w:lang w:eastAsia="en-US"/>
        </w:rPr>
      </w:pPr>
      <w:r w:rsidRPr="007C57D2">
        <w:rPr>
          <w:rFonts w:ascii="Times New Roman" w:eastAsia="Calibri" w:hAnsi="Times New Roman"/>
          <w:sz w:val="28"/>
          <w:lang w:eastAsia="en-US"/>
        </w:rPr>
        <w:t>Tabla 1.</w:t>
      </w:r>
      <w:r w:rsidRPr="007C57D2">
        <w:rPr>
          <w:rFonts w:ascii="Times New Roman" w:eastAsia="Calibri" w:hAnsi="Times New Roman"/>
          <w:i/>
          <w:iCs/>
          <w:sz w:val="28"/>
          <w:lang w:eastAsia="en-US"/>
        </w:rPr>
        <w:t xml:space="preserve"> Relación de siglas, abreviaturas y equivalencias</w:t>
      </w:r>
      <w:r w:rsidRPr="007C57D2">
        <w:rPr>
          <w:rFonts w:ascii="Times New Roman" w:eastAsia="Calibri" w:hAnsi="Times New Roman"/>
          <w:sz w:val="28"/>
          <w:lang w:eastAsia="en-US"/>
        </w:rPr>
        <w:t>.</w:t>
      </w:r>
    </w:p>
    <w:p w:rsidR="00A46175" w:rsidRPr="007C57D2" w:rsidRDefault="007C57D2" w:rsidP="008F3DAB">
      <w:pPr>
        <w:pStyle w:val="Prrafodelista"/>
        <w:tabs>
          <w:tab w:val="left" w:pos="567"/>
        </w:tabs>
        <w:ind w:left="0"/>
        <w:jc w:val="both"/>
        <w:rPr>
          <w:rFonts w:ascii="Times New Roman" w:eastAsia="Calibri" w:hAnsi="Times New Roman"/>
          <w:sz w:val="28"/>
          <w:szCs w:val="28"/>
          <w:lang w:eastAsia="en-US"/>
        </w:rPr>
      </w:pPr>
    </w:p>
    <w:p w:rsidR="00AF7F6A" w:rsidRPr="007C57D2" w:rsidRDefault="007C57D2" w:rsidP="008F3DAB">
      <w:pPr>
        <w:tabs>
          <w:tab w:val="left" w:pos="360"/>
        </w:tabs>
        <w:spacing w:after="0" w:line="240" w:lineRule="auto"/>
        <w:jc w:val="both"/>
        <w:rPr>
          <w:rFonts w:ascii="Times New Roman" w:hAnsi="Times New Roman"/>
          <w:sz w:val="28"/>
          <w:szCs w:val="28"/>
          <w:lang w:eastAsia="es-MX"/>
        </w:rPr>
      </w:pPr>
      <w:r w:rsidRPr="007C57D2">
        <w:rPr>
          <w:rFonts w:ascii="Times New Roman" w:hAnsi="Times New Roman"/>
          <w:b/>
          <w:bCs/>
          <w:sz w:val="28"/>
          <w:szCs w:val="28"/>
          <w:lang w:eastAsia="es-MX"/>
        </w:rPr>
        <w:t>4</w:t>
      </w:r>
      <w:r w:rsidRPr="007C57D2">
        <w:rPr>
          <w:rFonts w:ascii="Times New Roman" w:hAnsi="Times New Roman"/>
          <w:b/>
          <w:bCs/>
          <w:sz w:val="28"/>
          <w:szCs w:val="28"/>
          <w:lang w:eastAsia="es-MX"/>
        </w:rPr>
        <w:t>. Pruebas</w:t>
      </w:r>
      <w:r w:rsidRPr="007C57D2">
        <w:rPr>
          <w:rFonts w:ascii="Times New Roman" w:hAnsi="Times New Roman"/>
          <w:b/>
          <w:sz w:val="28"/>
          <w:szCs w:val="28"/>
          <w:lang w:eastAsia="es-MX"/>
        </w:rPr>
        <w:t xml:space="preserve"> decretadas </w:t>
      </w:r>
    </w:p>
    <w:p w:rsidR="00AF7F6A" w:rsidRPr="007C57D2" w:rsidRDefault="007C57D2" w:rsidP="008F3DAB">
      <w:pPr>
        <w:tabs>
          <w:tab w:val="left" w:pos="284"/>
        </w:tabs>
        <w:spacing w:after="0" w:line="240" w:lineRule="auto"/>
        <w:contextualSpacing/>
        <w:jc w:val="both"/>
        <w:rPr>
          <w:rFonts w:ascii="Times New Roman" w:hAnsi="Times New Roman"/>
          <w:sz w:val="28"/>
          <w:szCs w:val="28"/>
          <w:lang w:eastAsia="es-MX"/>
        </w:rPr>
      </w:pPr>
    </w:p>
    <w:p w:rsidR="00E176AF" w:rsidRPr="007C57D2" w:rsidRDefault="007C57D2" w:rsidP="008F3DAB">
      <w:pPr>
        <w:pStyle w:val="Prrafodelista"/>
        <w:numPr>
          <w:ilvl w:val="0"/>
          <w:numId w:val="3"/>
        </w:numPr>
        <w:tabs>
          <w:tab w:val="left" w:pos="709"/>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Las respuestas a las preguntas formuladas en el auto de pruebas serán abordadas en los acápites en los que se adelantará el control de constitucionalidad formal del </w:t>
      </w:r>
      <w:r w:rsidRPr="007C57D2">
        <w:rPr>
          <w:rFonts w:ascii="Times New Roman" w:hAnsi="Times New Roman"/>
          <w:sz w:val="28"/>
          <w:szCs w:val="28"/>
          <w:lang w:eastAsia="es-MX"/>
        </w:rPr>
        <w:t>PLE</w:t>
      </w:r>
      <w:r w:rsidRPr="007C57D2">
        <w:rPr>
          <w:rFonts w:ascii="Times New Roman" w:hAnsi="Times New Roman"/>
          <w:sz w:val="28"/>
          <w:szCs w:val="28"/>
          <w:lang w:eastAsia="es-MX"/>
        </w:rPr>
        <w:t xml:space="preserve">. </w:t>
      </w:r>
    </w:p>
    <w:p w:rsidR="1B64A7DA"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tabs>
          <w:tab w:val="left" w:pos="567"/>
          <w:tab w:val="left" w:pos="3171"/>
        </w:tabs>
        <w:spacing w:after="0" w:line="240" w:lineRule="auto"/>
        <w:jc w:val="both"/>
        <w:rPr>
          <w:rFonts w:ascii="Times New Roman" w:hAnsi="Times New Roman"/>
          <w:b/>
          <w:bCs/>
          <w:iCs/>
          <w:sz w:val="28"/>
          <w:szCs w:val="28"/>
          <w:lang w:eastAsia="es-ES"/>
        </w:rPr>
      </w:pPr>
      <w:bookmarkStart w:id="6" w:name="_Hlk209423452"/>
      <w:r w:rsidRPr="007C57D2">
        <w:rPr>
          <w:rFonts w:ascii="Times New Roman" w:hAnsi="Times New Roman"/>
          <w:b/>
          <w:bCs/>
          <w:iCs/>
          <w:sz w:val="28"/>
          <w:szCs w:val="28"/>
          <w:lang w:eastAsia="es-ES"/>
        </w:rPr>
        <w:t>5</w:t>
      </w:r>
      <w:r w:rsidRPr="007C57D2">
        <w:rPr>
          <w:rFonts w:ascii="Times New Roman" w:hAnsi="Times New Roman"/>
          <w:b/>
          <w:bCs/>
          <w:iCs/>
          <w:sz w:val="28"/>
          <w:szCs w:val="28"/>
          <w:lang w:eastAsia="es-ES"/>
        </w:rPr>
        <w:t xml:space="preserve">. Intervenciones </w:t>
      </w:r>
    </w:p>
    <w:p w:rsidR="00AF7F6A"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Corte Constitucional recibió </w:t>
      </w:r>
      <w:r w:rsidRPr="007C57D2">
        <w:rPr>
          <w:rFonts w:ascii="Times New Roman" w:hAnsi="Times New Roman"/>
          <w:sz w:val="28"/>
          <w:szCs w:val="28"/>
          <w:lang w:eastAsia="es-MX"/>
        </w:rPr>
        <w:t>quince</w:t>
      </w:r>
      <w:r w:rsidRPr="007C57D2">
        <w:rPr>
          <w:rFonts w:ascii="Times New Roman" w:hAnsi="Times New Roman"/>
          <w:sz w:val="28"/>
          <w:szCs w:val="28"/>
          <w:lang w:eastAsia="es-MX"/>
        </w:rPr>
        <w:t xml:space="preserve"> intervenciones dentro del </w:t>
      </w:r>
      <w:r w:rsidRPr="007C57D2">
        <w:rPr>
          <w:rFonts w:ascii="Times New Roman" w:hAnsi="Times New Roman"/>
          <w:sz w:val="28"/>
          <w:szCs w:val="28"/>
          <w:lang w:eastAsia="es-MX"/>
        </w:rPr>
        <w:t xml:space="preserve">término de fijación en lista, el cual transcurrió entre </w:t>
      </w:r>
      <w:r w:rsidRPr="007C57D2">
        <w:rPr>
          <w:rFonts w:ascii="Times New Roman" w:hAnsi="Times New Roman"/>
          <w:sz w:val="28"/>
          <w:szCs w:val="28"/>
          <w:lang w:eastAsia="es-MX"/>
        </w:rPr>
        <w:t xml:space="preserve">los días </w:t>
      </w:r>
      <w:r w:rsidRPr="007C57D2">
        <w:rPr>
          <w:rFonts w:ascii="Times New Roman" w:hAnsi="Times New Roman"/>
          <w:sz w:val="28"/>
          <w:szCs w:val="28"/>
          <w:lang w:eastAsia="es-MX"/>
        </w:rPr>
        <w:t>4 y 24 de abril de 2025</w:t>
      </w:r>
      <w:r w:rsidRPr="007C57D2">
        <w:rPr>
          <w:rStyle w:val="Refdenotaalpie"/>
          <w:rFonts w:ascii="Times New Roman" w:hAnsi="Times New Roman"/>
          <w:sz w:val="28"/>
          <w:szCs w:val="28"/>
          <w:lang w:eastAsia="es-MX"/>
        </w:rPr>
        <w:footnoteReference w:id="2"/>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Las intervenciones </w:t>
      </w:r>
      <w:r w:rsidRPr="007C57D2">
        <w:rPr>
          <w:rFonts w:ascii="Times New Roman" w:hAnsi="Times New Roman"/>
          <w:sz w:val="28"/>
          <w:szCs w:val="28"/>
          <w:lang w:eastAsia="es-MX"/>
        </w:rPr>
        <w:t>se encuentran resumidas</w:t>
      </w:r>
      <w:r w:rsidRPr="007C57D2">
        <w:rPr>
          <w:rFonts w:ascii="Times New Roman" w:hAnsi="Times New Roman"/>
          <w:sz w:val="28"/>
          <w:szCs w:val="28"/>
          <w:lang w:eastAsia="es-MX"/>
        </w:rPr>
        <w:t xml:space="preserve"> en el Anexo </w:t>
      </w:r>
      <w:r w:rsidRPr="007C57D2">
        <w:rPr>
          <w:rFonts w:ascii="Times New Roman" w:hAnsi="Times New Roman"/>
          <w:sz w:val="28"/>
          <w:szCs w:val="28"/>
          <w:lang w:eastAsia="es-MX"/>
        </w:rPr>
        <w:t>de esta providencia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A continuación, se presenta un cuadro que las sintetiza, en </w:t>
      </w:r>
      <w:r w:rsidRPr="007C57D2">
        <w:rPr>
          <w:rFonts w:ascii="Times New Roman" w:hAnsi="Times New Roman"/>
          <w:sz w:val="28"/>
          <w:szCs w:val="28"/>
          <w:lang w:eastAsia="es-MX"/>
        </w:rPr>
        <w:t>función de la solicitud</w:t>
      </w:r>
      <w:r w:rsidRPr="007C57D2">
        <w:rPr>
          <w:rFonts w:ascii="Times New Roman" w:hAnsi="Times New Roman"/>
          <w:sz w:val="28"/>
          <w:szCs w:val="28"/>
          <w:lang w:eastAsia="es-MX"/>
        </w:rPr>
        <w:t xml:space="preserve"> que hicieron</w:t>
      </w:r>
      <w:r w:rsidRPr="007C57D2">
        <w:rPr>
          <w:rFonts w:ascii="Times New Roman" w:hAnsi="Times New Roman"/>
          <w:sz w:val="28"/>
          <w:szCs w:val="28"/>
          <w:lang w:eastAsia="es-MX"/>
        </w:rPr>
        <w:t xml:space="preserve"> a la Corte</w:t>
      </w:r>
      <w:r w:rsidRPr="007C57D2">
        <w:rPr>
          <w:rFonts w:ascii="Times New Roman" w:hAnsi="Times New Roman"/>
          <w:sz w:val="28"/>
          <w:szCs w:val="28"/>
          <w:lang w:eastAsia="es-MX"/>
        </w:rPr>
        <w:t xml:space="preserve"> (exequibilidad, inexequibilidad o exequibilidad condicionada)</w:t>
      </w:r>
      <w:r w:rsidRPr="007C57D2">
        <w:rPr>
          <w:rFonts w:ascii="Times New Roman" w:hAnsi="Times New Roman"/>
          <w:sz w:val="28"/>
          <w:szCs w:val="28"/>
          <w:lang w:eastAsia="es-MX"/>
        </w:rPr>
        <w:t>:</w:t>
      </w:r>
    </w:p>
    <w:p w:rsidR="004F50C5" w:rsidRPr="007C57D2" w:rsidRDefault="007C57D2" w:rsidP="008F3DAB">
      <w:pPr>
        <w:pStyle w:val="Prrafodelista"/>
        <w:tabs>
          <w:tab w:val="left" w:pos="567"/>
        </w:tabs>
        <w:ind w:left="0"/>
        <w:jc w:val="both"/>
        <w:rPr>
          <w:rFonts w:ascii="Times New Roman" w:hAnsi="Times New Roman"/>
          <w:sz w:val="28"/>
          <w:szCs w:val="28"/>
          <w:lang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431"/>
      </w:tblGrid>
      <w:tr w:rsidR="00A0085A" w:rsidRPr="007C57D2" w:rsidTr="007C57D2">
        <w:tc>
          <w:tcPr>
            <w:tcW w:w="3397" w:type="dxa"/>
            <w:shd w:val="clear" w:color="auto" w:fill="auto"/>
            <w:vAlign w:val="center"/>
          </w:tcPr>
          <w:p w:rsidR="004F50C5" w:rsidRPr="007C57D2" w:rsidRDefault="007C57D2" w:rsidP="007C57D2">
            <w:pPr>
              <w:tabs>
                <w:tab w:val="left" w:pos="567"/>
              </w:tabs>
              <w:spacing w:after="0" w:line="240" w:lineRule="auto"/>
              <w:jc w:val="center"/>
              <w:rPr>
                <w:rFonts w:ascii="Times New Roman" w:hAnsi="Times New Roman"/>
                <w:b/>
                <w:bCs/>
                <w:sz w:val="28"/>
                <w:lang w:eastAsia="es-MX"/>
              </w:rPr>
            </w:pPr>
            <w:r w:rsidRPr="007C57D2">
              <w:rPr>
                <w:rFonts w:ascii="Times New Roman" w:hAnsi="Times New Roman"/>
                <w:b/>
                <w:bCs/>
                <w:sz w:val="28"/>
                <w:lang w:eastAsia="es-MX"/>
              </w:rPr>
              <w:t>Interviniente</w:t>
            </w:r>
          </w:p>
        </w:tc>
        <w:tc>
          <w:tcPr>
            <w:tcW w:w="5431" w:type="dxa"/>
            <w:shd w:val="clear" w:color="auto" w:fill="auto"/>
          </w:tcPr>
          <w:p w:rsidR="004F50C5" w:rsidRPr="007C57D2" w:rsidRDefault="007C57D2" w:rsidP="007C57D2">
            <w:pPr>
              <w:tabs>
                <w:tab w:val="left" w:pos="567"/>
              </w:tabs>
              <w:spacing w:after="0" w:line="240" w:lineRule="auto"/>
              <w:jc w:val="center"/>
              <w:rPr>
                <w:rFonts w:ascii="Times New Roman" w:hAnsi="Times New Roman"/>
                <w:b/>
                <w:bCs/>
                <w:sz w:val="28"/>
                <w:lang w:eastAsia="es-MX"/>
              </w:rPr>
            </w:pPr>
            <w:r w:rsidRPr="007C57D2">
              <w:rPr>
                <w:rFonts w:ascii="Times New Roman" w:hAnsi="Times New Roman"/>
                <w:b/>
                <w:bCs/>
                <w:sz w:val="28"/>
                <w:lang w:eastAsia="es-MX"/>
              </w:rPr>
              <w:t>Solicitud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lang w:eastAsia="es-MX"/>
              </w:rPr>
              <w:t>Ministerio de Justicia y del Derecho</w:t>
            </w:r>
          </w:p>
        </w:tc>
        <w:tc>
          <w:tcPr>
            <w:tcW w:w="5431" w:type="dxa"/>
            <w:shd w:val="clear" w:color="auto" w:fill="auto"/>
            <w:vAlign w:val="center"/>
          </w:tcPr>
          <w:p w:rsidR="004F50C5"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Exequibilidad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MinTIC</w:t>
            </w:r>
          </w:p>
        </w:tc>
        <w:tc>
          <w:tcPr>
            <w:tcW w:w="5431" w:type="dxa"/>
            <w:shd w:val="clear" w:color="auto" w:fill="auto"/>
            <w:vAlign w:val="center"/>
          </w:tcPr>
          <w:p w:rsidR="004F50C5"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Sin solicitud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77"/>
              </w:tabs>
              <w:ind w:left="30"/>
              <w:jc w:val="center"/>
              <w:rPr>
                <w:rFonts w:ascii="Times New Roman" w:hAnsi="Times New Roman"/>
                <w:sz w:val="28"/>
                <w:lang w:eastAsia="es-MX"/>
              </w:rPr>
            </w:pPr>
            <w:r w:rsidRPr="007C57D2">
              <w:rPr>
                <w:rFonts w:ascii="Times New Roman" w:hAnsi="Times New Roman"/>
                <w:sz w:val="28"/>
              </w:rPr>
              <w:t>CRC</w:t>
            </w:r>
          </w:p>
        </w:tc>
        <w:tc>
          <w:tcPr>
            <w:tcW w:w="5431" w:type="dxa"/>
            <w:shd w:val="clear" w:color="auto" w:fill="auto"/>
          </w:tcPr>
          <w:p w:rsidR="004F50C5"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xml:space="preserve">- </w:t>
            </w:r>
            <w:r w:rsidRPr="007C57D2">
              <w:rPr>
                <w:rFonts w:ascii="Times New Roman" w:hAnsi="Times New Roman"/>
                <w:sz w:val="28"/>
                <w:lang w:eastAsia="es-MX"/>
              </w:rPr>
              <w:t xml:space="preserve">Inexequibilidad o, en su defecto, </w:t>
            </w:r>
            <w:r w:rsidRPr="007C57D2">
              <w:rPr>
                <w:rFonts w:ascii="Times New Roman" w:hAnsi="Times New Roman"/>
                <w:sz w:val="28"/>
                <w:lang w:eastAsia="es-MX"/>
              </w:rPr>
              <w:t xml:space="preserve">exequibilidad condicionada en el entendido de que las “disposiciones contenidas en el proyecto de ley objeto de revisión, particularmente que lo dispuesto en los artículos 6 (Divulgación) y 10 (Procedimiento para la difusión de la alerta), son ejecutables </w:t>
            </w:r>
            <w:r w:rsidRPr="007C57D2">
              <w:rPr>
                <w:rFonts w:ascii="Times New Roman" w:hAnsi="Times New Roman"/>
                <w:sz w:val="28"/>
                <w:lang w:eastAsia="es-MX"/>
              </w:rPr>
              <w:t>cuando son técnicamente viables en consideración a los principios de la función administrativa.</w:t>
            </w:r>
          </w:p>
          <w:p w:rsidR="00A82095" w:rsidRPr="007C57D2" w:rsidRDefault="007C57D2" w:rsidP="007C57D2">
            <w:pPr>
              <w:tabs>
                <w:tab w:val="left" w:pos="567"/>
              </w:tabs>
              <w:spacing w:after="0" w:line="240" w:lineRule="auto"/>
              <w:jc w:val="both"/>
              <w:rPr>
                <w:rFonts w:ascii="Times New Roman" w:hAnsi="Times New Roman"/>
                <w:sz w:val="28"/>
                <w:lang w:eastAsia="es-MX"/>
              </w:rPr>
            </w:pPr>
          </w:p>
          <w:p w:rsidR="00A82095"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xml:space="preserve">- </w:t>
            </w:r>
            <w:r w:rsidRPr="007C57D2">
              <w:rPr>
                <w:rFonts w:ascii="Times New Roman" w:hAnsi="Times New Roman"/>
                <w:sz w:val="28"/>
                <w:lang w:eastAsia="es-MX"/>
              </w:rPr>
              <w:t>Exequibilidad condicionada de</w:t>
            </w:r>
            <w:r w:rsidRPr="007C57D2">
              <w:rPr>
                <w:rFonts w:ascii="Times New Roman" w:hAnsi="Times New Roman"/>
                <w:sz w:val="28"/>
                <w:lang w:eastAsia="es-MX"/>
              </w:rPr>
              <w:t>l parágrafo 1 del artículo 6, en el entendido de que “la Alerta Colombia Sara Sofia pueda instrumentalizarse a través de mensaje</w:t>
            </w:r>
            <w:r w:rsidRPr="007C57D2">
              <w:rPr>
                <w:rFonts w:ascii="Times New Roman" w:hAnsi="Times New Roman"/>
                <w:sz w:val="28"/>
                <w:lang w:eastAsia="es-MX"/>
              </w:rPr>
              <w:t xml:space="preserve"> de texto utilizando el CBS en el que se deberá incluir la URL para que el usuario destinatario de dicho mensaje pueda consultar información adicional sobre la persona desaparecida, siguiendo las pautas de orden técnico plasmadas en la Resolución CRC 6141 </w:t>
            </w:r>
            <w:r w:rsidRPr="007C57D2">
              <w:rPr>
                <w:rFonts w:ascii="Times New Roman" w:hAnsi="Times New Roman"/>
                <w:sz w:val="28"/>
                <w:lang w:eastAsia="es-MX"/>
              </w:rPr>
              <w:t>de 2021 o aquella que haga sus veces”</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ICBF</w:t>
            </w:r>
          </w:p>
        </w:tc>
        <w:tc>
          <w:tcPr>
            <w:tcW w:w="5431" w:type="dxa"/>
            <w:shd w:val="clear" w:color="auto" w:fill="auto"/>
          </w:tcPr>
          <w:p w:rsidR="00AB5F30"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Exequibilidad condicionada de las expresiones “niños y niñas” o “niño o niña” utilizadas en el PLE, en el entendido de que comprende a las personas menores de 18 años.</w:t>
            </w:r>
          </w:p>
          <w:p w:rsidR="00AB5F30"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“[L]a Corte debe analizar si lo dispuest</w:t>
            </w:r>
            <w:r w:rsidRPr="007C57D2">
              <w:rPr>
                <w:rFonts w:ascii="Times New Roman" w:hAnsi="Times New Roman"/>
                <w:sz w:val="28"/>
                <w:lang w:eastAsia="es-MX"/>
              </w:rPr>
              <w:t>o en los artículos 3, parágrafo 1 del artículo 4° y el artículo 13 representa una asignación inconstitucional de funciones al ICBF, o existe alguna manera de interpretar aquellas disposiciones de modo que sean compatibles con la Constitución Política”.</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De</w:t>
            </w:r>
            <w:r w:rsidRPr="007C57D2">
              <w:rPr>
                <w:rFonts w:ascii="Times New Roman" w:hAnsi="Times New Roman"/>
                <w:sz w:val="28"/>
              </w:rPr>
              <w:t>fensoría del Pueblo</w:t>
            </w:r>
          </w:p>
        </w:tc>
        <w:tc>
          <w:tcPr>
            <w:tcW w:w="5431" w:type="dxa"/>
            <w:shd w:val="clear" w:color="auto" w:fill="auto"/>
          </w:tcPr>
          <w:p w:rsidR="00AB5F30"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Inexequibilidad de las expresiones “</w:t>
            </w:r>
            <w:r w:rsidRPr="007C57D2">
              <w:rPr>
                <w:rFonts w:ascii="Times New Roman" w:hAnsi="Times New Roman"/>
                <w:sz w:val="28"/>
              </w:rPr>
              <w:t>(i) ‘12 años’ contenidos en el literal a del artículo 2 de este proyecto de ley y (ii) “[t]ranscurridas (24) horas de realizar el reporte en la plataforma virtual o de manera personal y de no encont</w:t>
            </w:r>
            <w:r w:rsidRPr="007C57D2">
              <w:rPr>
                <w:rFonts w:ascii="Times New Roman" w:hAnsi="Times New Roman"/>
                <w:sz w:val="28"/>
              </w:rPr>
              <w:t>rarse el niño o niña extraviado’ del inciso 5 del artículo 5 de este proyecto”.</w:t>
            </w:r>
          </w:p>
        </w:tc>
      </w:tr>
      <w:tr w:rsidR="00A0085A" w:rsidRPr="007C57D2" w:rsidTr="007C57D2">
        <w:tc>
          <w:tcPr>
            <w:tcW w:w="3397" w:type="dxa"/>
            <w:shd w:val="clear" w:color="auto" w:fill="auto"/>
            <w:vAlign w:val="center"/>
          </w:tcPr>
          <w:p w:rsidR="00E34D34" w:rsidRPr="007C57D2" w:rsidRDefault="007C57D2" w:rsidP="007C57D2">
            <w:pPr>
              <w:pStyle w:val="Prrafodelista"/>
              <w:tabs>
                <w:tab w:val="left" w:pos="597"/>
              </w:tabs>
              <w:ind w:left="30"/>
              <w:jc w:val="center"/>
              <w:rPr>
                <w:rFonts w:ascii="Times New Roman" w:hAnsi="Times New Roman"/>
                <w:sz w:val="28"/>
              </w:rPr>
            </w:pPr>
            <w:r w:rsidRPr="007C57D2">
              <w:rPr>
                <w:rFonts w:ascii="Times New Roman" w:hAnsi="Times New Roman"/>
                <w:sz w:val="28"/>
              </w:rPr>
              <w:t>Unidad de Búsqueda de Personas dadas por Desaparecidas</w:t>
            </w:r>
          </w:p>
        </w:tc>
        <w:tc>
          <w:tcPr>
            <w:tcW w:w="5431" w:type="dxa"/>
            <w:shd w:val="clear" w:color="auto" w:fill="auto"/>
            <w:vAlign w:val="center"/>
          </w:tcPr>
          <w:p w:rsidR="00E34D34"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Exequibilidad</w:t>
            </w:r>
          </w:p>
        </w:tc>
      </w:tr>
      <w:tr w:rsidR="00A0085A" w:rsidRPr="007C57D2" w:rsidTr="007C57D2">
        <w:tc>
          <w:tcPr>
            <w:tcW w:w="3397" w:type="dxa"/>
            <w:shd w:val="clear" w:color="auto" w:fill="auto"/>
            <w:vAlign w:val="center"/>
          </w:tcPr>
          <w:p w:rsidR="00DE5896" w:rsidRPr="007C57D2" w:rsidRDefault="007C57D2" w:rsidP="007C57D2">
            <w:pPr>
              <w:pStyle w:val="Prrafodelista"/>
              <w:tabs>
                <w:tab w:val="left" w:pos="597"/>
              </w:tabs>
              <w:ind w:left="30"/>
              <w:jc w:val="center"/>
              <w:rPr>
                <w:rFonts w:ascii="Times New Roman" w:hAnsi="Times New Roman"/>
                <w:sz w:val="28"/>
              </w:rPr>
            </w:pPr>
            <w:r w:rsidRPr="007C57D2">
              <w:rPr>
                <w:rFonts w:ascii="Times New Roman" w:hAnsi="Times New Roman"/>
                <w:sz w:val="28"/>
              </w:rPr>
              <w:t>FGN</w:t>
            </w:r>
          </w:p>
        </w:tc>
        <w:tc>
          <w:tcPr>
            <w:tcW w:w="5431" w:type="dxa"/>
            <w:shd w:val="clear" w:color="auto" w:fill="auto"/>
            <w:vAlign w:val="center"/>
          </w:tcPr>
          <w:p w:rsidR="00DE5896"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Exequibilidad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Universidad Libre sede Bogotá</w:t>
            </w:r>
          </w:p>
        </w:tc>
        <w:tc>
          <w:tcPr>
            <w:tcW w:w="5431" w:type="dxa"/>
            <w:shd w:val="clear" w:color="auto" w:fill="auto"/>
          </w:tcPr>
          <w:p w:rsidR="004F50C5"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Exequibilidad condicionada de “las expresiones señaladas</w:t>
            </w:r>
            <w:r w:rsidRPr="007C57D2">
              <w:rPr>
                <w:rFonts w:ascii="Times New Roman" w:hAnsi="Times New Roman"/>
                <w:sz w:val="28"/>
                <w:lang w:eastAsia="es-MX"/>
              </w:rPr>
              <w:t xml:space="preserve"> en el art</w:t>
            </w:r>
            <w:r w:rsidRPr="007C57D2">
              <w:rPr>
                <w:rFonts w:ascii="Times New Roman" w:hAnsi="Times New Roman"/>
                <w:sz w:val="28"/>
                <w:lang w:eastAsia="es-MX"/>
              </w:rPr>
              <w:t xml:space="preserve">ículo </w:t>
            </w:r>
            <w:r w:rsidRPr="007C57D2">
              <w:rPr>
                <w:rFonts w:ascii="Times New Roman" w:hAnsi="Times New Roman"/>
                <w:sz w:val="28"/>
                <w:lang w:eastAsia="es-MX"/>
              </w:rPr>
              <w:t>2 literal a ‘entre los 0 y 12 años’ y el art</w:t>
            </w:r>
            <w:r w:rsidRPr="007C57D2">
              <w:rPr>
                <w:rFonts w:ascii="Times New Roman" w:hAnsi="Times New Roman"/>
                <w:sz w:val="28"/>
                <w:lang w:eastAsia="es-MX"/>
              </w:rPr>
              <w:t xml:space="preserve">ículo </w:t>
            </w:r>
            <w:r w:rsidRPr="007C57D2">
              <w:rPr>
                <w:rFonts w:ascii="Times New Roman" w:hAnsi="Times New Roman"/>
                <w:sz w:val="28"/>
                <w:lang w:eastAsia="es-MX"/>
              </w:rPr>
              <w:t>9 literal a ‘entre 0 y 12 años’, en el entendido a que ello aplicará para todos los menores de edad de 18 años”.</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Clínica Jurídica Carlos Gaviria Díaz de la Universidad Industrial de Santand</w:t>
            </w:r>
            <w:r w:rsidRPr="007C57D2">
              <w:rPr>
                <w:rFonts w:ascii="Times New Roman" w:hAnsi="Times New Roman"/>
                <w:sz w:val="28"/>
              </w:rPr>
              <w:t>er</w:t>
            </w:r>
          </w:p>
        </w:tc>
        <w:tc>
          <w:tcPr>
            <w:tcW w:w="5431" w:type="dxa"/>
            <w:shd w:val="clear" w:color="auto" w:fill="auto"/>
            <w:vAlign w:val="center"/>
          </w:tcPr>
          <w:p w:rsidR="004F50C5"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Exequibilidad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455"/>
              </w:tabs>
              <w:ind w:left="30"/>
              <w:jc w:val="center"/>
              <w:rPr>
                <w:rFonts w:ascii="Times New Roman" w:hAnsi="Times New Roman"/>
                <w:sz w:val="28"/>
                <w:lang w:eastAsia="es-MX"/>
              </w:rPr>
            </w:pPr>
            <w:r w:rsidRPr="007C57D2">
              <w:rPr>
                <w:rFonts w:ascii="Times New Roman" w:hAnsi="Times New Roman"/>
                <w:sz w:val="28"/>
                <w:lang w:eastAsia="es-MX"/>
              </w:rPr>
              <w:t>Universidad del Norte</w:t>
            </w:r>
          </w:p>
        </w:tc>
        <w:tc>
          <w:tcPr>
            <w:tcW w:w="5431" w:type="dxa"/>
            <w:shd w:val="clear" w:color="auto" w:fill="auto"/>
          </w:tcPr>
          <w:p w:rsidR="004F50C5"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Sin solicitud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Semillero de Derechos Humanos y Derecho Internacional Humanitario Antônio Cançado Trindade de la</w:t>
            </w:r>
            <w:r w:rsidRPr="007C57D2">
              <w:rPr>
                <w:rFonts w:ascii="Times New Roman" w:hAnsi="Times New Roman"/>
                <w:sz w:val="28"/>
                <w:lang w:eastAsia="es-MX"/>
              </w:rPr>
              <w:t xml:space="preserve"> </w:t>
            </w:r>
            <w:r w:rsidRPr="007C57D2">
              <w:rPr>
                <w:rFonts w:ascii="Times New Roman" w:hAnsi="Times New Roman"/>
                <w:sz w:val="28"/>
                <w:lang w:eastAsia="es-MX"/>
              </w:rPr>
              <w:t>Universidad Católica de Colombia</w:t>
            </w:r>
          </w:p>
        </w:tc>
        <w:tc>
          <w:tcPr>
            <w:tcW w:w="5431" w:type="dxa"/>
            <w:shd w:val="clear" w:color="auto" w:fill="auto"/>
            <w:vAlign w:val="center"/>
          </w:tcPr>
          <w:p w:rsidR="004F50C5"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Inexequibilidad</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lang w:eastAsia="es-MX"/>
              </w:rPr>
              <w:t>Universidad Pontificia Bolivariana</w:t>
            </w:r>
          </w:p>
        </w:tc>
        <w:tc>
          <w:tcPr>
            <w:tcW w:w="5431" w:type="dxa"/>
            <w:shd w:val="clear" w:color="auto" w:fill="auto"/>
          </w:tcPr>
          <w:p w:rsidR="004F50C5"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xml:space="preserve">Exequibilidad </w:t>
            </w:r>
            <w:r w:rsidRPr="007C57D2">
              <w:rPr>
                <w:rFonts w:ascii="Times New Roman" w:hAnsi="Times New Roman"/>
                <w:sz w:val="28"/>
                <w:lang w:eastAsia="es-MX"/>
              </w:rPr>
              <w:t>condicionada, en el entendido “de que los efectos jurídicos de la norma se extienden,</w:t>
            </w:r>
            <w:r w:rsidRPr="007C57D2">
              <w:rPr>
                <w:rFonts w:ascii="Times New Roman" w:hAnsi="Times New Roman"/>
                <w:sz w:val="28"/>
                <w:lang w:eastAsia="es-MX"/>
              </w:rPr>
              <w:t xml:space="preserve"> </w:t>
            </w:r>
            <w:r w:rsidRPr="007C57D2">
              <w:rPr>
                <w:rFonts w:ascii="Times New Roman" w:hAnsi="Times New Roman"/>
                <w:sz w:val="28"/>
                <w:lang w:eastAsia="es-MX"/>
              </w:rPr>
              <w:t>en su integridad, a las personas comprendidas entre los 13 y los 17 años”.</w:t>
            </w:r>
          </w:p>
        </w:tc>
      </w:tr>
      <w:tr w:rsidR="00A0085A" w:rsidRPr="007C57D2" w:rsidTr="007C57D2">
        <w:tc>
          <w:tcPr>
            <w:tcW w:w="3397" w:type="dxa"/>
            <w:shd w:val="clear" w:color="auto" w:fill="auto"/>
            <w:vAlign w:val="center"/>
          </w:tcPr>
          <w:p w:rsidR="004F50C5" w:rsidRPr="007C57D2" w:rsidRDefault="007C57D2" w:rsidP="007C57D2">
            <w:pPr>
              <w:pStyle w:val="Prrafodelista"/>
              <w:tabs>
                <w:tab w:val="left" w:pos="597"/>
              </w:tabs>
              <w:ind w:left="30"/>
              <w:jc w:val="center"/>
              <w:rPr>
                <w:rFonts w:ascii="Times New Roman" w:hAnsi="Times New Roman"/>
                <w:sz w:val="28"/>
                <w:lang w:eastAsia="es-MX"/>
              </w:rPr>
            </w:pPr>
            <w:r w:rsidRPr="007C57D2">
              <w:rPr>
                <w:rFonts w:ascii="Times New Roman" w:hAnsi="Times New Roman"/>
                <w:sz w:val="28"/>
              </w:rPr>
              <w:t>Organización Aldeas Infantiles SOS Colombia</w:t>
            </w:r>
          </w:p>
        </w:tc>
        <w:tc>
          <w:tcPr>
            <w:tcW w:w="5431" w:type="dxa"/>
            <w:shd w:val="clear" w:color="auto" w:fill="auto"/>
            <w:vAlign w:val="center"/>
          </w:tcPr>
          <w:p w:rsidR="004F50C5"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Exequibilidad</w:t>
            </w:r>
          </w:p>
        </w:tc>
      </w:tr>
      <w:tr w:rsidR="00A0085A" w:rsidRPr="007C57D2" w:rsidTr="007C57D2">
        <w:tc>
          <w:tcPr>
            <w:tcW w:w="3397" w:type="dxa"/>
            <w:shd w:val="clear" w:color="auto" w:fill="auto"/>
            <w:vAlign w:val="center"/>
          </w:tcPr>
          <w:p w:rsidR="00E34D34" w:rsidRPr="007C57D2" w:rsidRDefault="007C57D2" w:rsidP="007C57D2">
            <w:pPr>
              <w:pStyle w:val="Prrafodelista"/>
              <w:tabs>
                <w:tab w:val="left" w:pos="597"/>
                <w:tab w:val="left" w:pos="739"/>
              </w:tabs>
              <w:ind w:left="30"/>
              <w:jc w:val="center"/>
              <w:rPr>
                <w:rFonts w:ascii="Times New Roman" w:hAnsi="Times New Roman"/>
                <w:sz w:val="28"/>
                <w:lang w:eastAsia="es-MX"/>
              </w:rPr>
            </w:pPr>
            <w:r w:rsidRPr="007C57D2">
              <w:rPr>
                <w:rFonts w:ascii="Times New Roman" w:hAnsi="Times New Roman"/>
                <w:sz w:val="28"/>
              </w:rPr>
              <w:t>Asomóvil</w:t>
            </w:r>
          </w:p>
        </w:tc>
        <w:tc>
          <w:tcPr>
            <w:tcW w:w="5431" w:type="dxa"/>
            <w:shd w:val="clear" w:color="auto" w:fill="auto"/>
            <w:vAlign w:val="center"/>
          </w:tcPr>
          <w:p w:rsidR="00E34D34"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Inexequibilidad</w:t>
            </w:r>
          </w:p>
        </w:tc>
      </w:tr>
      <w:tr w:rsidR="000237A4" w:rsidRPr="007C57D2" w:rsidTr="007C57D2">
        <w:tc>
          <w:tcPr>
            <w:tcW w:w="3397" w:type="dxa"/>
            <w:shd w:val="clear" w:color="auto" w:fill="auto"/>
            <w:vAlign w:val="center"/>
          </w:tcPr>
          <w:p w:rsidR="00E34D34" w:rsidRPr="007C57D2" w:rsidRDefault="007C57D2" w:rsidP="007C57D2">
            <w:pPr>
              <w:pStyle w:val="Prrafodelista"/>
              <w:tabs>
                <w:tab w:val="left" w:pos="314"/>
                <w:tab w:val="left" w:pos="597"/>
              </w:tabs>
              <w:ind w:left="30"/>
              <w:jc w:val="center"/>
              <w:rPr>
                <w:rFonts w:ascii="Times New Roman" w:hAnsi="Times New Roman"/>
                <w:sz w:val="28"/>
                <w:lang w:eastAsia="es-MX"/>
              </w:rPr>
            </w:pPr>
            <w:r w:rsidRPr="007C57D2">
              <w:rPr>
                <w:rFonts w:ascii="Times New Roman" w:hAnsi="Times New Roman"/>
                <w:sz w:val="28"/>
                <w:lang w:eastAsia="es-MX"/>
              </w:rPr>
              <w:t xml:space="preserve">Harold </w:t>
            </w:r>
            <w:r w:rsidRPr="007C57D2">
              <w:rPr>
                <w:rFonts w:ascii="Times New Roman" w:hAnsi="Times New Roman"/>
                <w:sz w:val="28"/>
                <w:lang w:eastAsia="es-MX"/>
              </w:rPr>
              <w:t>Eduardo Sua Montaña</w:t>
            </w:r>
          </w:p>
        </w:tc>
        <w:tc>
          <w:tcPr>
            <w:tcW w:w="5431" w:type="dxa"/>
            <w:shd w:val="clear" w:color="auto" w:fill="auto"/>
          </w:tcPr>
          <w:p w:rsidR="00E34D34"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Exequibilidad, “con excepción de la expresión ‘entre o y 12 años’ en los literales a) de sus artículos 2 y 9 y excluyendo a sus artículos 12 y 13 del control constitucional en curso”.</w:t>
            </w:r>
          </w:p>
        </w:tc>
      </w:tr>
    </w:tbl>
    <w:p w:rsidR="003F6807" w:rsidRPr="007C57D2" w:rsidRDefault="007C57D2" w:rsidP="008F3DAB">
      <w:pPr>
        <w:pStyle w:val="Prrafodelista"/>
        <w:tabs>
          <w:tab w:val="left" w:pos="567"/>
        </w:tabs>
        <w:ind w:left="0"/>
        <w:jc w:val="center"/>
        <w:rPr>
          <w:rFonts w:ascii="Times New Roman" w:eastAsia="Calibri" w:hAnsi="Times New Roman"/>
          <w:sz w:val="28"/>
          <w:lang w:eastAsia="en-US"/>
        </w:rPr>
      </w:pPr>
      <w:r w:rsidRPr="007C57D2">
        <w:rPr>
          <w:rFonts w:ascii="Times New Roman" w:eastAsia="Calibri" w:hAnsi="Times New Roman"/>
          <w:sz w:val="28"/>
          <w:lang w:eastAsia="en-US"/>
        </w:rPr>
        <w:t>Tabla 2.</w:t>
      </w:r>
      <w:r w:rsidRPr="007C57D2">
        <w:rPr>
          <w:rFonts w:ascii="Times New Roman" w:eastAsia="Calibri" w:hAnsi="Times New Roman"/>
          <w:i/>
          <w:iCs/>
          <w:sz w:val="28"/>
          <w:lang w:eastAsia="en-US"/>
        </w:rPr>
        <w:t xml:space="preserve"> Intervenciones</w:t>
      </w:r>
      <w:r w:rsidRPr="007C57D2">
        <w:rPr>
          <w:rFonts w:ascii="Times New Roman" w:eastAsia="Calibri" w:hAnsi="Times New Roman"/>
          <w:sz w:val="28"/>
          <w:lang w:eastAsia="en-US"/>
        </w:rPr>
        <w:t>.</w:t>
      </w:r>
    </w:p>
    <w:p w:rsidR="008F3DAB" w:rsidRPr="007C57D2" w:rsidRDefault="007C57D2" w:rsidP="008F3DAB">
      <w:pPr>
        <w:pStyle w:val="Prrafodelista"/>
        <w:tabs>
          <w:tab w:val="left" w:pos="567"/>
        </w:tabs>
        <w:ind w:left="0"/>
        <w:jc w:val="center"/>
        <w:rPr>
          <w:rFonts w:ascii="Times New Roman" w:eastAsia="Calibri" w:hAnsi="Times New Roman"/>
          <w:sz w:val="28"/>
          <w:szCs w:val="28"/>
          <w:lang w:eastAsia="en-US"/>
        </w:rPr>
      </w:pPr>
    </w:p>
    <w:p w:rsidR="00AF7F6A" w:rsidRPr="007C57D2" w:rsidRDefault="007C57D2" w:rsidP="008F3DAB">
      <w:pPr>
        <w:pStyle w:val="Ttulo1"/>
        <w:spacing w:before="0" w:line="240" w:lineRule="auto"/>
        <w:rPr>
          <w:rFonts w:ascii="Times New Roman" w:hAnsi="Times New Roman"/>
          <w:b/>
          <w:bCs/>
          <w:color w:val="000000"/>
          <w:sz w:val="28"/>
          <w:bdr w:val="none" w:sz="0" w:space="0" w:color="auto" w:frame="1"/>
          <w:lang w:eastAsia="es-MX"/>
        </w:rPr>
      </w:pPr>
      <w:bookmarkStart w:id="7" w:name="_Toc222728022"/>
      <w:r w:rsidRPr="007C57D2">
        <w:rPr>
          <w:rFonts w:ascii="Times New Roman" w:hAnsi="Times New Roman"/>
          <w:b/>
          <w:bCs/>
          <w:color w:val="000000"/>
          <w:sz w:val="28"/>
          <w:lang w:eastAsia="es-MX"/>
        </w:rPr>
        <w:t xml:space="preserve">II. </w:t>
      </w:r>
      <w:r w:rsidRPr="007C57D2">
        <w:rPr>
          <w:rFonts w:ascii="Times New Roman" w:hAnsi="Times New Roman"/>
          <w:b/>
          <w:bCs/>
          <w:color w:val="000000"/>
          <w:sz w:val="28"/>
          <w:bdr w:val="none" w:sz="0" w:space="0" w:color="auto" w:frame="1"/>
          <w:lang w:eastAsia="es-MX"/>
        </w:rPr>
        <w:t xml:space="preserve">CONCEPTO DEL </w:t>
      </w:r>
      <w:r w:rsidRPr="007C57D2">
        <w:rPr>
          <w:rFonts w:ascii="Times New Roman" w:hAnsi="Times New Roman"/>
          <w:b/>
          <w:bCs/>
          <w:color w:val="000000"/>
          <w:sz w:val="28"/>
          <w:bdr w:val="none" w:sz="0" w:space="0" w:color="auto" w:frame="1"/>
          <w:lang w:eastAsia="es-MX"/>
        </w:rPr>
        <w:t>MINISTERIO PÚBLICO</w:t>
      </w:r>
      <w:bookmarkEnd w:id="7"/>
    </w:p>
    <w:bookmarkEnd w:id="6"/>
    <w:p w:rsidR="00AF7F6A" w:rsidRPr="007C57D2" w:rsidRDefault="007C57D2" w:rsidP="008F3DAB">
      <w:pPr>
        <w:spacing w:after="0" w:line="240" w:lineRule="auto"/>
        <w:jc w:val="both"/>
        <w:rPr>
          <w:rFonts w:ascii="Times New Roman" w:hAnsi="Times New Roman"/>
          <w:b/>
          <w:bCs/>
          <w:sz w:val="28"/>
          <w:szCs w:val="28"/>
          <w:bdr w:val="none" w:sz="0" w:space="0" w:color="auto" w:frame="1"/>
          <w:lang w:eastAsia="es-MX"/>
        </w:rPr>
      </w:pPr>
    </w:p>
    <w:p w:rsidR="007C60C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bCs/>
          <w:sz w:val="28"/>
          <w:szCs w:val="28"/>
          <w:bdr w:val="none" w:sz="0" w:space="0" w:color="auto" w:frame="1"/>
          <w:lang w:eastAsia="es-MX"/>
        </w:rPr>
        <w:t xml:space="preserve">El </w:t>
      </w:r>
      <w:r w:rsidRPr="007C57D2">
        <w:rPr>
          <w:rFonts w:ascii="Times New Roman" w:hAnsi="Times New Roman"/>
          <w:bCs/>
          <w:sz w:val="28"/>
          <w:szCs w:val="28"/>
          <w:bdr w:val="none" w:sz="0" w:space="0" w:color="auto" w:frame="1"/>
          <w:lang w:eastAsia="es-MX"/>
        </w:rPr>
        <w:t>vice</w:t>
      </w:r>
      <w:r w:rsidRPr="007C57D2">
        <w:rPr>
          <w:rFonts w:ascii="Times New Roman" w:hAnsi="Times New Roman"/>
          <w:bCs/>
          <w:sz w:val="28"/>
          <w:szCs w:val="28"/>
          <w:bdr w:val="none" w:sz="0" w:space="0" w:color="auto" w:frame="1"/>
          <w:lang w:eastAsia="es-MX"/>
        </w:rPr>
        <w:t>procurador general de la nación</w:t>
      </w:r>
      <w:r w:rsidRPr="007C57D2">
        <w:rPr>
          <w:rFonts w:ascii="Times New Roman" w:hAnsi="Times New Roman"/>
          <w:bCs/>
          <w:sz w:val="28"/>
          <w:szCs w:val="28"/>
          <w:bdr w:val="none" w:sz="0" w:space="0" w:color="auto" w:frame="1"/>
          <w:lang w:eastAsia="es-MX"/>
        </w:rPr>
        <w:t>,</w:t>
      </w:r>
      <w:r w:rsidRPr="007C57D2">
        <w:rPr>
          <w:rFonts w:ascii="Times New Roman" w:hAnsi="Times New Roman"/>
          <w:bCs/>
          <w:sz w:val="28"/>
          <w:szCs w:val="28"/>
          <w:bdr w:val="none" w:sz="0" w:space="0" w:color="auto" w:frame="1"/>
          <w:lang w:eastAsia="es-MX"/>
        </w:rPr>
        <w:t xml:space="preserve"> </w:t>
      </w:r>
      <w:r w:rsidRPr="007C57D2">
        <w:rPr>
          <w:rFonts w:ascii="Times New Roman" w:hAnsi="Times New Roman"/>
          <w:sz w:val="28"/>
          <w:szCs w:val="28"/>
          <w:lang w:val="es-ES"/>
        </w:rPr>
        <w:t>Silvano Gómez Strauch,</w:t>
      </w:r>
      <w:r w:rsidRPr="007C57D2">
        <w:rPr>
          <w:rFonts w:ascii="Times New Roman" w:hAnsi="Times New Roman"/>
          <w:bCs/>
          <w:sz w:val="28"/>
          <w:szCs w:val="28"/>
          <w:bdr w:val="none" w:sz="0" w:space="0" w:color="auto" w:frame="1"/>
          <w:lang w:eastAsia="es-MX"/>
        </w:rPr>
        <w:t xml:space="preserve"> </w:t>
      </w:r>
      <w:r w:rsidRPr="007C57D2">
        <w:rPr>
          <w:rFonts w:ascii="Times New Roman" w:hAnsi="Times New Roman"/>
          <w:bCs/>
          <w:sz w:val="28"/>
          <w:szCs w:val="28"/>
          <w:bdr w:val="none" w:sz="0" w:space="0" w:color="auto" w:frame="1"/>
          <w:lang w:eastAsia="es-MX"/>
        </w:rPr>
        <w:t>solicit</w:t>
      </w:r>
      <w:r w:rsidRPr="007C57D2">
        <w:rPr>
          <w:rFonts w:ascii="Times New Roman" w:hAnsi="Times New Roman"/>
          <w:bCs/>
          <w:sz w:val="28"/>
          <w:szCs w:val="28"/>
          <w:bdr w:val="none" w:sz="0" w:space="0" w:color="auto" w:frame="1"/>
          <w:lang w:eastAsia="es-MX"/>
        </w:rPr>
        <w:t>ó</w:t>
      </w:r>
      <w:r w:rsidRPr="007C57D2">
        <w:rPr>
          <w:rFonts w:ascii="Times New Roman" w:hAnsi="Times New Roman"/>
          <w:bCs/>
          <w:sz w:val="28"/>
          <w:szCs w:val="28"/>
          <w:bdr w:val="none" w:sz="0" w:space="0" w:color="auto" w:frame="1"/>
          <w:lang w:eastAsia="es-MX"/>
        </w:rPr>
        <w:t xml:space="preserve"> a la Corte Constitucional</w:t>
      </w:r>
      <w:r w:rsidRPr="007C57D2">
        <w:rPr>
          <w:rFonts w:ascii="Times New Roman" w:hAnsi="Times New Roman"/>
          <w:bCs/>
          <w:sz w:val="28"/>
          <w:szCs w:val="28"/>
          <w:bdr w:val="none" w:sz="0" w:space="0" w:color="auto" w:frame="1"/>
          <w:lang w:eastAsia="es-MX"/>
        </w:rPr>
        <w:t xml:space="preserve"> </w:t>
      </w:r>
      <w:r w:rsidRPr="007C57D2">
        <w:rPr>
          <w:rFonts w:ascii="Times New Roman" w:hAnsi="Times New Roman"/>
          <w:bCs/>
          <w:sz w:val="28"/>
          <w:szCs w:val="28"/>
          <w:bdr w:val="none" w:sz="0" w:space="0" w:color="auto" w:frame="1"/>
          <w:lang w:eastAsia="es-MX"/>
        </w:rPr>
        <w:t xml:space="preserve">que </w:t>
      </w:r>
      <w:r w:rsidRPr="007C57D2">
        <w:rPr>
          <w:rFonts w:ascii="Times New Roman" w:hAnsi="Times New Roman"/>
          <w:sz w:val="28"/>
          <w:szCs w:val="28"/>
        </w:rPr>
        <w:t>declar</w:t>
      </w:r>
      <w:r w:rsidRPr="007C57D2">
        <w:rPr>
          <w:rFonts w:ascii="Times New Roman" w:hAnsi="Times New Roman"/>
          <w:sz w:val="28"/>
          <w:szCs w:val="28"/>
        </w:rPr>
        <w:t xml:space="preserve">e </w:t>
      </w:r>
      <w:r w:rsidRPr="007C57D2">
        <w:rPr>
          <w:rFonts w:ascii="Times New Roman" w:hAnsi="Times New Roman"/>
          <w:sz w:val="28"/>
          <w:szCs w:val="28"/>
        </w:rPr>
        <w:t xml:space="preserve">la exequibilidad de los artículos 1 a 15 del </w:t>
      </w:r>
      <w:r w:rsidRPr="007C57D2">
        <w:rPr>
          <w:rFonts w:ascii="Times New Roman" w:hAnsi="Times New Roman"/>
          <w:bCs/>
          <w:sz w:val="28"/>
          <w:szCs w:val="28"/>
          <w:bdr w:val="none" w:sz="0" w:space="0" w:color="auto" w:frame="1"/>
          <w:lang w:eastAsia="es-MX"/>
        </w:rPr>
        <w:t>PLE</w:t>
      </w:r>
      <w:r w:rsidRPr="007C57D2">
        <w:rPr>
          <w:rFonts w:ascii="Times New Roman" w:hAnsi="Times New Roman"/>
          <w:bCs/>
          <w:sz w:val="28"/>
          <w:szCs w:val="28"/>
          <w:bdr w:val="none" w:sz="0" w:space="0" w:color="auto" w:frame="1"/>
          <w:lang w:eastAsia="es-MX"/>
        </w:rPr>
        <w:t xml:space="preserve">; la exequibilidad condicionada de </w:t>
      </w:r>
      <w:r w:rsidRPr="007C57D2">
        <w:rPr>
          <w:rFonts w:ascii="Times New Roman" w:hAnsi="Times New Roman"/>
          <w:bCs/>
          <w:sz w:val="28"/>
          <w:szCs w:val="28"/>
          <w:bdr w:val="none" w:sz="0" w:space="0" w:color="auto" w:frame="1"/>
          <w:lang w:eastAsia="es-MX"/>
        </w:rPr>
        <w:t xml:space="preserve">las expresiones </w:t>
      </w:r>
      <w:r w:rsidRPr="007C57D2">
        <w:rPr>
          <w:rFonts w:ascii="Times New Roman" w:hAnsi="Times New Roman"/>
          <w:sz w:val="28"/>
          <w:szCs w:val="28"/>
        </w:rPr>
        <w:t>“0 y 12 años”, contenida en</w:t>
      </w:r>
      <w:r w:rsidRPr="007C57D2">
        <w:rPr>
          <w:rFonts w:ascii="Times New Roman" w:hAnsi="Times New Roman"/>
          <w:sz w:val="28"/>
          <w:szCs w:val="28"/>
        </w:rPr>
        <w:t xml:space="preserve"> el literal a) del artículo 2</w:t>
      </w:r>
      <w:r w:rsidRPr="007C57D2">
        <w:rPr>
          <w:rFonts w:ascii="Times New Roman" w:hAnsi="Times New Roman"/>
          <w:sz w:val="28"/>
          <w:szCs w:val="28"/>
        </w:rPr>
        <w:t>, y</w:t>
      </w:r>
      <w:r w:rsidRPr="007C57D2">
        <w:rPr>
          <w:rFonts w:ascii="Times New Roman" w:hAnsi="Times New Roman"/>
          <w:sz w:val="28"/>
          <w:szCs w:val="28"/>
        </w:rPr>
        <w:t xml:space="preserve"> “ser menor de 12 años”, dispuesta en el literal a) del artículo 9</w:t>
      </w:r>
      <w:r w:rsidRPr="007C57D2">
        <w:rPr>
          <w:rFonts w:ascii="Times New Roman" w:hAnsi="Times New Roman"/>
          <w:sz w:val="28"/>
          <w:szCs w:val="28"/>
        </w:rPr>
        <w:t>, en el entendido de que “los niños y niñas son todas las personas menores de 18 años y que para la activación del mecanismo de búsqueda, el niño, niña o adol</w:t>
      </w:r>
      <w:r w:rsidRPr="007C57D2">
        <w:rPr>
          <w:rFonts w:ascii="Times New Roman" w:hAnsi="Times New Roman"/>
          <w:sz w:val="28"/>
          <w:szCs w:val="28"/>
        </w:rPr>
        <w:t>escente deberá ser menor de 18 años”</w:t>
      </w:r>
      <w:r w:rsidRPr="007C57D2">
        <w:rPr>
          <w:rStyle w:val="Refdenotaalpie"/>
          <w:rFonts w:ascii="Times New Roman" w:hAnsi="Times New Roman"/>
          <w:sz w:val="28"/>
          <w:szCs w:val="28"/>
        </w:rPr>
        <w:footnoteReference w:id="3"/>
      </w:r>
      <w:r w:rsidRPr="007C57D2">
        <w:rPr>
          <w:rFonts w:ascii="Times New Roman" w:hAnsi="Times New Roman"/>
          <w:sz w:val="28"/>
          <w:szCs w:val="28"/>
        </w:rPr>
        <w:t xml:space="preserve">; y la inexequibilidad de la locución </w:t>
      </w:r>
      <w:r w:rsidRPr="007C57D2">
        <w:rPr>
          <w:rFonts w:ascii="Times New Roman" w:hAnsi="Times New Roman"/>
          <w:sz w:val="28"/>
          <w:szCs w:val="28"/>
        </w:rPr>
        <w:t>“transcurridas 24 horas”</w:t>
      </w:r>
      <w:r w:rsidRPr="007C57D2">
        <w:rPr>
          <w:rFonts w:ascii="Times New Roman" w:hAnsi="Times New Roman"/>
          <w:sz w:val="28"/>
          <w:szCs w:val="28"/>
        </w:rPr>
        <w:t>, prevista en e</w:t>
      </w:r>
      <w:r w:rsidRPr="007C57D2">
        <w:rPr>
          <w:rFonts w:ascii="Times New Roman" w:hAnsi="Times New Roman"/>
          <w:sz w:val="28"/>
          <w:szCs w:val="28"/>
        </w:rPr>
        <w:t xml:space="preserve">l inciso quinto del artículo 5. </w:t>
      </w:r>
      <w:r w:rsidRPr="007C57D2">
        <w:rPr>
          <w:rFonts w:ascii="Times New Roman" w:hAnsi="Times New Roman"/>
          <w:bCs/>
          <w:sz w:val="28"/>
          <w:szCs w:val="28"/>
          <w:bdr w:val="none" w:sz="0" w:space="0" w:color="auto" w:frame="1"/>
          <w:lang w:eastAsia="es-MX"/>
        </w:rPr>
        <w:t>Para sustentar su</w:t>
      </w:r>
      <w:r w:rsidRPr="007C57D2">
        <w:rPr>
          <w:rFonts w:ascii="Times New Roman" w:hAnsi="Times New Roman"/>
          <w:bCs/>
          <w:sz w:val="28"/>
          <w:szCs w:val="28"/>
          <w:bdr w:val="none" w:sz="0" w:space="0" w:color="auto" w:frame="1"/>
          <w:lang w:eastAsia="es-MX"/>
        </w:rPr>
        <w:t>s</w:t>
      </w:r>
      <w:r w:rsidRPr="007C57D2">
        <w:rPr>
          <w:rFonts w:ascii="Times New Roman" w:hAnsi="Times New Roman"/>
          <w:bCs/>
          <w:sz w:val="28"/>
          <w:szCs w:val="28"/>
          <w:bdr w:val="none" w:sz="0" w:space="0" w:color="auto" w:frame="1"/>
          <w:lang w:eastAsia="es-MX"/>
        </w:rPr>
        <w:t xml:space="preserve"> petici</w:t>
      </w:r>
      <w:r w:rsidRPr="007C57D2">
        <w:rPr>
          <w:rFonts w:ascii="Times New Roman" w:hAnsi="Times New Roman"/>
          <w:bCs/>
          <w:sz w:val="28"/>
          <w:szCs w:val="28"/>
          <w:bdr w:val="none" w:sz="0" w:space="0" w:color="auto" w:frame="1"/>
          <w:lang w:eastAsia="es-MX"/>
        </w:rPr>
        <w:t>ones</w:t>
      </w:r>
      <w:r w:rsidRPr="007C57D2">
        <w:rPr>
          <w:rFonts w:ascii="Times New Roman" w:hAnsi="Times New Roman"/>
          <w:bCs/>
          <w:sz w:val="28"/>
          <w:szCs w:val="28"/>
          <w:bdr w:val="none" w:sz="0" w:space="0" w:color="auto" w:frame="1"/>
          <w:lang w:eastAsia="es-MX"/>
        </w:rPr>
        <w:t xml:space="preserve">, </w:t>
      </w:r>
      <w:r w:rsidRPr="007C57D2">
        <w:rPr>
          <w:rFonts w:ascii="Times New Roman" w:hAnsi="Times New Roman"/>
          <w:bCs/>
          <w:sz w:val="28"/>
          <w:szCs w:val="28"/>
          <w:bdr w:val="none" w:sz="0" w:space="0" w:color="auto" w:frame="1"/>
          <w:lang w:eastAsia="es-MX"/>
        </w:rPr>
        <w:t xml:space="preserve">el viceprocurador general de la nación </w:t>
      </w:r>
      <w:r w:rsidRPr="007C57D2">
        <w:rPr>
          <w:rFonts w:ascii="Times New Roman" w:hAnsi="Times New Roman"/>
          <w:bCs/>
          <w:sz w:val="28"/>
          <w:szCs w:val="28"/>
          <w:bdr w:val="none" w:sz="0" w:space="0" w:color="auto" w:frame="1"/>
          <w:lang w:eastAsia="es-MX"/>
        </w:rPr>
        <w:t>manifestó lo siguiente</w:t>
      </w:r>
      <w:r w:rsidRPr="007C57D2">
        <w:rPr>
          <w:rFonts w:ascii="Times New Roman" w:hAnsi="Times New Roman"/>
          <w:bCs/>
          <w:sz w:val="28"/>
          <w:szCs w:val="28"/>
          <w:bdr w:val="none" w:sz="0" w:space="0" w:color="auto" w:frame="1"/>
          <w:lang w:eastAsia="es-MX"/>
        </w:rPr>
        <w:t>:</w:t>
      </w:r>
    </w:p>
    <w:p w:rsidR="00E74A3A"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primer lugar, </w:t>
      </w:r>
      <w:r w:rsidRPr="007C57D2">
        <w:rPr>
          <w:rFonts w:ascii="Times New Roman" w:hAnsi="Times New Roman"/>
          <w:sz w:val="28"/>
          <w:szCs w:val="28"/>
          <w:lang w:val="es-ES"/>
        </w:rPr>
        <w:t xml:space="preserve">señaló que </w:t>
      </w:r>
      <w:r w:rsidRPr="007C57D2">
        <w:rPr>
          <w:rFonts w:ascii="Times New Roman" w:hAnsi="Times New Roman"/>
          <w:sz w:val="28"/>
          <w:szCs w:val="28"/>
        </w:rPr>
        <w:t xml:space="preserve">el PLE debía ser </w:t>
      </w:r>
      <w:r w:rsidRPr="007C57D2">
        <w:rPr>
          <w:rFonts w:ascii="Times New Roman" w:hAnsi="Times New Roman"/>
          <w:sz w:val="28"/>
          <w:szCs w:val="28"/>
        </w:rPr>
        <w:t>aprobado</w:t>
      </w:r>
      <w:r w:rsidRPr="007C57D2">
        <w:rPr>
          <w:rFonts w:ascii="Times New Roman" w:hAnsi="Times New Roman"/>
          <w:sz w:val="28"/>
          <w:szCs w:val="28"/>
        </w:rPr>
        <w:t xml:space="preserve"> mediante el trámite legislativo de las leyes estatutarias</w:t>
      </w:r>
      <w:r w:rsidRPr="007C57D2">
        <w:rPr>
          <w:rFonts w:ascii="Times New Roman" w:hAnsi="Times New Roman"/>
          <w:sz w:val="28"/>
          <w:szCs w:val="28"/>
          <w:lang w:val="es-ES"/>
        </w:rPr>
        <w:t xml:space="preserve"> porque regula un procedimiento para la protección de los derechos fundamentales de los niños y niñas, quienes son sujetos de especial protección</w:t>
      </w:r>
      <w:r w:rsidRPr="007C57D2">
        <w:rPr>
          <w:rFonts w:ascii="Times New Roman" w:hAnsi="Times New Roman"/>
          <w:sz w:val="28"/>
          <w:szCs w:val="28"/>
          <w:lang w:val="es-ES"/>
        </w:rPr>
        <w:t xml:space="preserve"> constitucional. Además, protege el derecho a la vida y a la integridad física del menor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 xml:space="preserve">extraviado, mediante su búsqueda, localización y recuperación oportuna. Sin perjuicio de lo anterior, la entidad resaltó que, aunque 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 xml:space="preserve"> contiene artículos propios de una ley ordinaria, de acuerdo con la Sentencia C-032 de 2021, tal situación no afecta su constitucionalidad. </w:t>
      </w:r>
    </w:p>
    <w:p w:rsidR="00E74A3A" w:rsidRPr="007C57D2" w:rsidRDefault="007C57D2" w:rsidP="008F3DAB">
      <w:pPr>
        <w:pStyle w:val="Prrafodelista"/>
        <w:ind w:left="0"/>
        <w:rPr>
          <w:rFonts w:ascii="Times New Roman" w:hAnsi="Times New Roman"/>
          <w:sz w:val="28"/>
          <w:szCs w:val="28"/>
          <w:lang w:val="es-ES"/>
        </w:rPr>
      </w:pPr>
    </w:p>
    <w:p w:rsidR="005A05B2"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segundo lugar, </w:t>
      </w:r>
      <w:r w:rsidRPr="007C57D2">
        <w:rPr>
          <w:rFonts w:ascii="Times New Roman" w:hAnsi="Times New Roman"/>
          <w:sz w:val="28"/>
          <w:szCs w:val="28"/>
          <w:lang w:val="es-ES"/>
        </w:rPr>
        <w:t xml:space="preserve">advirtió que </w:t>
      </w:r>
      <w:r w:rsidRPr="007C57D2">
        <w:rPr>
          <w:rFonts w:ascii="Times New Roman" w:hAnsi="Times New Roman"/>
          <w:sz w:val="28"/>
          <w:szCs w:val="28"/>
          <w:lang w:val="es-ES"/>
        </w:rPr>
        <w:t xml:space="preserve">el trámite legislativo que surtió 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 xml:space="preserve"> se ajustó a los mandatos superiores</w:t>
      </w:r>
      <w:r w:rsidRPr="007C57D2">
        <w:rPr>
          <w:rFonts w:ascii="Times New Roman" w:hAnsi="Times New Roman"/>
          <w:sz w:val="28"/>
          <w:szCs w:val="28"/>
          <w:lang w:val="es-ES"/>
        </w:rPr>
        <w:t xml:space="preserve"> y a la</w:t>
      </w:r>
      <w:r w:rsidRPr="007C57D2">
        <w:rPr>
          <w:rFonts w:ascii="Times New Roman" w:hAnsi="Times New Roman"/>
          <w:sz w:val="28"/>
          <w:szCs w:val="28"/>
          <w:lang w:val="es-ES"/>
        </w:rPr>
        <w:t>s reglas jurisprudenciales establecidas en la S</w:t>
      </w:r>
      <w:r w:rsidRPr="007C57D2">
        <w:rPr>
          <w:rFonts w:ascii="Times New Roman" w:hAnsi="Times New Roman"/>
          <w:sz w:val="28"/>
          <w:szCs w:val="28"/>
          <w:lang w:val="es-ES"/>
        </w:rPr>
        <w:t>entencia C-379 de 2016</w:t>
      </w:r>
      <w:r w:rsidRPr="007C57D2">
        <w:rPr>
          <w:rFonts w:ascii="Times New Roman" w:hAnsi="Times New Roman"/>
          <w:sz w:val="28"/>
          <w:szCs w:val="28"/>
          <w:lang w:val="es-ES"/>
        </w:rPr>
        <w:t>.</w:t>
      </w:r>
      <w:r w:rsidRPr="007C57D2">
        <w:rPr>
          <w:rFonts w:ascii="Times New Roman" w:hAnsi="Times New Roman"/>
          <w:sz w:val="28"/>
          <w:szCs w:val="28"/>
          <w:lang w:val="es-ES"/>
        </w:rPr>
        <w:t xml:space="preserve"> Al respecto, </w:t>
      </w:r>
      <w:r w:rsidRPr="007C57D2">
        <w:rPr>
          <w:rFonts w:ascii="Times New Roman" w:hAnsi="Times New Roman"/>
          <w:sz w:val="28"/>
          <w:szCs w:val="28"/>
          <w:lang w:val="es-ES"/>
        </w:rPr>
        <w:t>destacó lo siguiente</w:t>
      </w:r>
      <w:r w:rsidRPr="007C57D2">
        <w:rPr>
          <w:rFonts w:ascii="Times New Roman" w:hAnsi="Times New Roman"/>
          <w:sz w:val="28"/>
          <w:szCs w:val="28"/>
          <w:lang w:val="es-ES"/>
        </w:rPr>
        <w:t xml:space="preserve">: (i) 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 xml:space="preserve"> fue tramitado por la</w:t>
      </w:r>
      <w:r w:rsidRPr="007C57D2">
        <w:rPr>
          <w:rFonts w:ascii="Times New Roman" w:hAnsi="Times New Roman"/>
          <w:sz w:val="28"/>
          <w:szCs w:val="28"/>
          <w:lang w:val="es-ES"/>
        </w:rPr>
        <w:t>s</w:t>
      </w:r>
      <w:r w:rsidRPr="007C57D2">
        <w:rPr>
          <w:rFonts w:ascii="Times New Roman" w:hAnsi="Times New Roman"/>
          <w:sz w:val="28"/>
          <w:szCs w:val="28"/>
          <w:lang w:val="es-ES"/>
        </w:rPr>
        <w:t xml:space="preserve"> comisiones primeras constitucionales permanentes de la Cámara de Representantes y del Senado; (ii) la exposición de m</w:t>
      </w:r>
      <w:r w:rsidRPr="007C57D2">
        <w:rPr>
          <w:rFonts w:ascii="Times New Roman" w:hAnsi="Times New Roman"/>
          <w:sz w:val="28"/>
          <w:szCs w:val="28"/>
          <w:lang w:val="es-ES"/>
        </w:rPr>
        <w:t>otivos</w:t>
      </w:r>
      <w:r w:rsidRPr="007C57D2">
        <w:rPr>
          <w:rFonts w:ascii="Times New Roman" w:hAnsi="Times New Roman"/>
          <w:sz w:val="28"/>
          <w:szCs w:val="28"/>
          <w:lang w:val="es-ES"/>
        </w:rPr>
        <w:t xml:space="preserve">, </w:t>
      </w:r>
      <w:r w:rsidRPr="007C57D2">
        <w:rPr>
          <w:rFonts w:ascii="Times New Roman" w:hAnsi="Times New Roman"/>
          <w:sz w:val="28"/>
          <w:szCs w:val="28"/>
          <w:lang w:val="es-ES"/>
        </w:rPr>
        <w:t>las respectivas ponencias y el informe de conciliación</w:t>
      </w:r>
      <w:r w:rsidRPr="007C57D2">
        <w:rPr>
          <w:rFonts w:ascii="Times New Roman" w:hAnsi="Times New Roman"/>
          <w:sz w:val="28"/>
          <w:szCs w:val="28"/>
          <w:lang w:val="es-ES"/>
        </w:rPr>
        <w:t xml:space="preserve"> fueron publicados en la Gaceta del Congreso</w:t>
      </w:r>
      <w:r w:rsidRPr="007C57D2">
        <w:rPr>
          <w:rFonts w:ascii="Times New Roman" w:hAnsi="Times New Roman"/>
          <w:sz w:val="28"/>
          <w:szCs w:val="28"/>
          <w:lang w:val="es-ES"/>
        </w:rPr>
        <w:t xml:space="preserve">; (iii) 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 xml:space="preserve"> fue discutido y votado </w:t>
      </w:r>
      <w:r w:rsidRPr="007C57D2">
        <w:rPr>
          <w:rFonts w:ascii="Times New Roman" w:hAnsi="Times New Roman"/>
          <w:sz w:val="28"/>
          <w:szCs w:val="28"/>
          <w:lang w:val="es-ES"/>
        </w:rPr>
        <w:t xml:space="preserve">por </w:t>
      </w:r>
      <w:r w:rsidRPr="007C57D2">
        <w:rPr>
          <w:rFonts w:ascii="Times New Roman" w:hAnsi="Times New Roman"/>
          <w:sz w:val="28"/>
          <w:szCs w:val="28"/>
          <w:lang w:val="es-ES"/>
        </w:rPr>
        <w:t xml:space="preserve">las dos cámaras; (iv) 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 xml:space="preserve"> se radicó el 4 de octubre de 2023 y su trámite finalizó el 19 de junio de 2024,</w:t>
      </w:r>
      <w:r w:rsidRPr="007C57D2">
        <w:rPr>
          <w:rFonts w:ascii="Times New Roman" w:hAnsi="Times New Roman"/>
          <w:sz w:val="28"/>
          <w:szCs w:val="28"/>
          <w:lang w:val="es-ES"/>
        </w:rPr>
        <w:t xml:space="preserve"> por lo que se tramitó en una sola legislatura; </w:t>
      </w:r>
      <w:r w:rsidRPr="007C57D2">
        <w:rPr>
          <w:rFonts w:ascii="Times New Roman" w:hAnsi="Times New Roman"/>
          <w:sz w:val="28"/>
          <w:szCs w:val="28"/>
          <w:lang w:val="es-ES"/>
        </w:rPr>
        <w:t xml:space="preserve">y </w:t>
      </w:r>
      <w:r w:rsidRPr="007C57D2">
        <w:rPr>
          <w:rFonts w:ascii="Times New Roman" w:hAnsi="Times New Roman"/>
          <w:sz w:val="28"/>
          <w:szCs w:val="28"/>
          <w:lang w:val="es-ES"/>
        </w:rPr>
        <w:t xml:space="preserve">(v) las disposiciones del proyecto fueron aprobadas por mayoría absoluta en votaciones nominales y públicas, previa constatación del </w:t>
      </w:r>
      <w:r w:rsidRPr="007C57D2">
        <w:rPr>
          <w:rFonts w:ascii="Times New Roman" w:hAnsi="Times New Roman"/>
          <w:i/>
          <w:iCs/>
          <w:sz w:val="28"/>
          <w:szCs w:val="28"/>
          <w:lang w:val="es-ES"/>
        </w:rPr>
        <w:t>quorum</w:t>
      </w:r>
      <w:r w:rsidRPr="007C57D2">
        <w:rPr>
          <w:rFonts w:ascii="Times New Roman" w:hAnsi="Times New Roman"/>
          <w:sz w:val="28"/>
          <w:szCs w:val="28"/>
          <w:lang w:val="es-ES"/>
        </w:rPr>
        <w:t xml:space="preserve"> decisorio</w:t>
      </w:r>
      <w:r w:rsidRPr="007C57D2">
        <w:rPr>
          <w:rFonts w:ascii="Times New Roman" w:hAnsi="Times New Roman"/>
          <w:sz w:val="28"/>
          <w:szCs w:val="28"/>
          <w:lang w:val="es-ES"/>
        </w:rPr>
        <w:t>.</w:t>
      </w:r>
    </w:p>
    <w:p w:rsidR="005A05B2"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As</w:t>
      </w:r>
      <w:r w:rsidRPr="007C57D2">
        <w:rPr>
          <w:rFonts w:ascii="Times New Roman" w:hAnsi="Times New Roman"/>
          <w:sz w:val="28"/>
          <w:szCs w:val="28"/>
          <w:lang w:val="es-ES"/>
        </w:rPr>
        <w:t>i</w:t>
      </w:r>
      <w:r w:rsidRPr="007C57D2">
        <w:rPr>
          <w:rFonts w:ascii="Times New Roman" w:hAnsi="Times New Roman"/>
          <w:sz w:val="28"/>
          <w:szCs w:val="28"/>
          <w:lang w:val="es-ES"/>
        </w:rPr>
        <w:t xml:space="preserve">mismo, </w:t>
      </w:r>
      <w:r w:rsidRPr="007C57D2">
        <w:rPr>
          <w:rFonts w:ascii="Times New Roman" w:hAnsi="Times New Roman"/>
          <w:sz w:val="28"/>
          <w:szCs w:val="28"/>
          <w:lang w:val="es-ES"/>
        </w:rPr>
        <w:t xml:space="preserve">(vi) </w:t>
      </w:r>
      <w:r w:rsidRPr="007C57D2">
        <w:rPr>
          <w:rFonts w:ascii="Times New Roman" w:hAnsi="Times New Roman"/>
          <w:sz w:val="28"/>
          <w:szCs w:val="28"/>
          <w:lang w:val="es-ES"/>
        </w:rPr>
        <w:t xml:space="preserve">como resultado de las </w:t>
      </w:r>
      <w:r w:rsidRPr="007C57D2">
        <w:rPr>
          <w:rFonts w:ascii="Times New Roman" w:hAnsi="Times New Roman"/>
          <w:sz w:val="28"/>
          <w:szCs w:val="28"/>
          <w:lang w:val="es-ES"/>
        </w:rPr>
        <w:t xml:space="preserve">divergencias </w:t>
      </w:r>
      <w:r w:rsidRPr="007C57D2">
        <w:rPr>
          <w:rFonts w:ascii="Times New Roman" w:hAnsi="Times New Roman"/>
          <w:sz w:val="28"/>
          <w:szCs w:val="28"/>
          <w:lang w:val="es-ES"/>
        </w:rPr>
        <w:t>entre los textos aprobados por las cámaras</w:t>
      </w:r>
      <w:r w:rsidRPr="007C57D2">
        <w:rPr>
          <w:rFonts w:ascii="Times New Roman" w:hAnsi="Times New Roman"/>
          <w:sz w:val="28"/>
          <w:szCs w:val="28"/>
          <w:lang w:val="es-ES"/>
        </w:rPr>
        <w:t>, se conformó la comisión accidental de conciliación</w:t>
      </w:r>
      <w:r w:rsidRPr="007C57D2">
        <w:rPr>
          <w:rFonts w:ascii="Times New Roman" w:hAnsi="Times New Roman"/>
          <w:sz w:val="28"/>
          <w:szCs w:val="28"/>
          <w:lang w:val="es-ES"/>
        </w:rPr>
        <w:t xml:space="preserve">; (vii) </w:t>
      </w:r>
      <w:r w:rsidRPr="007C57D2">
        <w:rPr>
          <w:rFonts w:ascii="Times New Roman" w:hAnsi="Times New Roman"/>
          <w:sz w:val="28"/>
          <w:szCs w:val="28"/>
          <w:lang w:val="es-ES"/>
        </w:rPr>
        <w:t>el trámite</w:t>
      </w:r>
      <w:r w:rsidRPr="007C57D2">
        <w:rPr>
          <w:rFonts w:ascii="Times New Roman" w:hAnsi="Times New Roman"/>
          <w:sz w:val="28"/>
          <w:szCs w:val="28"/>
          <w:lang w:val="es-ES"/>
        </w:rPr>
        <w:t xml:space="preserve"> cumplió con las exigencias de consecutividad</w:t>
      </w:r>
      <w:r w:rsidRPr="007C57D2">
        <w:rPr>
          <w:rFonts w:ascii="Times New Roman" w:hAnsi="Times New Roman"/>
          <w:sz w:val="28"/>
          <w:szCs w:val="28"/>
          <w:lang w:val="es-ES"/>
        </w:rPr>
        <w:t>,</w:t>
      </w:r>
      <w:r w:rsidRPr="007C57D2">
        <w:rPr>
          <w:rFonts w:ascii="Times New Roman" w:hAnsi="Times New Roman"/>
          <w:sz w:val="28"/>
          <w:szCs w:val="28"/>
          <w:lang w:val="es-ES"/>
        </w:rPr>
        <w:t xml:space="preserve"> identidad flexible</w:t>
      </w:r>
      <w:r w:rsidRPr="007C57D2">
        <w:rPr>
          <w:rFonts w:ascii="Times New Roman" w:hAnsi="Times New Roman"/>
          <w:sz w:val="28"/>
          <w:szCs w:val="28"/>
          <w:lang w:val="es-ES"/>
        </w:rPr>
        <w:t xml:space="preserve"> y unidad de materia</w:t>
      </w:r>
      <w:r w:rsidRPr="007C57D2">
        <w:rPr>
          <w:rFonts w:ascii="Times New Roman" w:hAnsi="Times New Roman"/>
          <w:sz w:val="28"/>
          <w:szCs w:val="28"/>
          <w:lang w:val="es-ES"/>
        </w:rPr>
        <w:t xml:space="preserve">; (viii) </w:t>
      </w:r>
      <w:r w:rsidRPr="007C57D2">
        <w:rPr>
          <w:rFonts w:ascii="Times New Roman" w:hAnsi="Times New Roman"/>
          <w:sz w:val="28"/>
          <w:szCs w:val="28"/>
          <w:lang w:val="es-ES"/>
        </w:rPr>
        <w:t>el PLE no desconoce</w:t>
      </w:r>
      <w:r w:rsidRPr="007C57D2">
        <w:rPr>
          <w:rFonts w:ascii="Times New Roman" w:hAnsi="Times New Roman"/>
          <w:sz w:val="28"/>
          <w:szCs w:val="28"/>
          <w:lang w:val="es-ES"/>
        </w:rPr>
        <w:t xml:space="preserve"> el criterio de sostenibilidad </w:t>
      </w:r>
      <w:r w:rsidRPr="007C57D2">
        <w:rPr>
          <w:rFonts w:ascii="Times New Roman" w:hAnsi="Times New Roman"/>
          <w:sz w:val="28"/>
          <w:szCs w:val="28"/>
          <w:lang w:val="es-ES"/>
        </w:rPr>
        <w:t xml:space="preserve">fiscal, </w:t>
      </w:r>
      <w:r w:rsidRPr="007C57D2">
        <w:rPr>
          <w:rFonts w:ascii="Times New Roman" w:hAnsi="Times New Roman"/>
          <w:sz w:val="28"/>
          <w:szCs w:val="28"/>
          <w:lang w:val="es-ES"/>
        </w:rPr>
        <w:t>dado</w:t>
      </w:r>
      <w:r w:rsidRPr="007C57D2">
        <w:rPr>
          <w:rFonts w:ascii="Times New Roman" w:hAnsi="Times New Roman"/>
          <w:sz w:val="28"/>
          <w:szCs w:val="28"/>
          <w:lang w:val="es-ES"/>
        </w:rPr>
        <w:t xml:space="preserve"> que se tuvieron en cuenta las consideraciones de los costos fiscales y, por ello, se realizaron modificaciones para incorporar </w:t>
      </w:r>
      <w:r w:rsidRPr="007C57D2">
        <w:rPr>
          <w:rFonts w:ascii="Times New Roman" w:hAnsi="Times New Roman"/>
          <w:sz w:val="28"/>
          <w:szCs w:val="28"/>
          <w:lang w:val="es-ES"/>
        </w:rPr>
        <w:t>la Alerta Colombia</w:t>
      </w:r>
      <w:r w:rsidRPr="007C57D2">
        <w:rPr>
          <w:rFonts w:ascii="Times New Roman" w:hAnsi="Times New Roman"/>
          <w:sz w:val="28"/>
          <w:szCs w:val="28"/>
          <w:lang w:val="es-ES"/>
        </w:rPr>
        <w:t xml:space="preserve"> a las herramientas ya existentes; y (</w:t>
      </w:r>
      <w:r w:rsidRPr="007C57D2">
        <w:rPr>
          <w:rFonts w:ascii="Times New Roman" w:hAnsi="Times New Roman"/>
          <w:sz w:val="28"/>
          <w:szCs w:val="28"/>
          <w:lang w:val="es-ES"/>
        </w:rPr>
        <w:t>i</w:t>
      </w:r>
      <w:r w:rsidRPr="007C57D2">
        <w:rPr>
          <w:rFonts w:ascii="Times New Roman" w:hAnsi="Times New Roman"/>
          <w:sz w:val="28"/>
          <w:szCs w:val="28"/>
          <w:lang w:val="es-ES"/>
        </w:rPr>
        <w:t xml:space="preserve">x) 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 xml:space="preserve"> no requirió la realización de una consulta previa</w:t>
      </w:r>
      <w:r w:rsidRPr="007C57D2">
        <w:rPr>
          <w:rFonts w:ascii="Times New Roman" w:hAnsi="Times New Roman"/>
          <w:sz w:val="28"/>
          <w:szCs w:val="28"/>
          <w:lang w:val="es-ES"/>
        </w:rPr>
        <w:t>, ya que no incluye medidas que puedan afectar directamente a comunidades étnicas.</w:t>
      </w:r>
    </w:p>
    <w:p w:rsidR="00E74A3A"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En tercer lugar, de manera general, la Procuraduría General de la Nación manifestó que el articulado objeto de examen es constitucional</w:t>
      </w:r>
      <w:r w:rsidRPr="007C57D2">
        <w:rPr>
          <w:rFonts w:ascii="Times New Roman" w:hAnsi="Times New Roman"/>
          <w:sz w:val="28"/>
          <w:szCs w:val="28"/>
          <w:lang w:val="es-ES"/>
        </w:rPr>
        <w:t>. Esto es así, en la medida en que cr</w:t>
      </w:r>
      <w:r w:rsidRPr="007C57D2">
        <w:rPr>
          <w:rFonts w:ascii="Times New Roman" w:hAnsi="Times New Roman"/>
          <w:sz w:val="28"/>
          <w:szCs w:val="28"/>
          <w:lang w:val="es-ES"/>
        </w:rPr>
        <w:t>ea</w:t>
      </w:r>
      <w:r w:rsidRPr="007C57D2">
        <w:rPr>
          <w:rFonts w:ascii="Times New Roman" w:hAnsi="Times New Roman"/>
          <w:sz w:val="28"/>
          <w:szCs w:val="28"/>
          <w:lang w:val="es-ES"/>
        </w:rPr>
        <w:t xml:space="preserve"> un sistema de alerta que busca garantizar la protección integral y los derechos fundamentales de los menores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extrav</w:t>
      </w:r>
      <w:r w:rsidRPr="007C57D2">
        <w:rPr>
          <w:rFonts w:ascii="Times New Roman" w:hAnsi="Times New Roman"/>
          <w:sz w:val="28"/>
          <w:szCs w:val="28"/>
          <w:lang w:val="es-ES"/>
        </w:rPr>
        <w:t>iado</w:t>
      </w:r>
      <w:r w:rsidRPr="007C57D2">
        <w:rPr>
          <w:rFonts w:ascii="Times New Roman" w:hAnsi="Times New Roman"/>
          <w:sz w:val="28"/>
          <w:szCs w:val="28"/>
          <w:lang w:val="es-ES"/>
        </w:rPr>
        <w:t>s</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En este orden, explicó que la Alerta Colombia se </w:t>
      </w:r>
      <w:r w:rsidRPr="007C57D2">
        <w:rPr>
          <w:rFonts w:ascii="Times New Roman" w:hAnsi="Times New Roman"/>
          <w:sz w:val="28"/>
          <w:szCs w:val="28"/>
          <w:lang w:val="es-ES"/>
        </w:rPr>
        <w:t>fundamenta en la Alerta Amber de Estado</w:t>
      </w:r>
      <w:r w:rsidRPr="007C57D2">
        <w:rPr>
          <w:rFonts w:ascii="Times New Roman" w:hAnsi="Times New Roman"/>
          <w:sz w:val="28"/>
          <w:szCs w:val="28"/>
          <w:lang w:val="es-ES"/>
        </w:rPr>
        <w:t>s</w:t>
      </w:r>
      <w:r w:rsidRPr="007C57D2">
        <w:rPr>
          <w:rFonts w:ascii="Times New Roman" w:hAnsi="Times New Roman"/>
          <w:sz w:val="28"/>
          <w:szCs w:val="28"/>
          <w:lang w:val="es-ES"/>
        </w:rPr>
        <w:t xml:space="preserve"> Unidos. No obstante, resaltó que en el ordenamiento jurídico colombiano ya existe </w:t>
      </w:r>
      <w:r w:rsidRPr="007C57D2">
        <w:rPr>
          <w:rFonts w:ascii="Times New Roman" w:hAnsi="Times New Roman"/>
          <w:sz w:val="28"/>
          <w:szCs w:val="28"/>
          <w:lang w:val="es-ES"/>
        </w:rPr>
        <w:t xml:space="preserve">el </w:t>
      </w:r>
      <w:r w:rsidRPr="007C57D2">
        <w:rPr>
          <w:rFonts w:ascii="Times New Roman" w:hAnsi="Times New Roman"/>
          <w:sz w:val="28"/>
          <w:szCs w:val="28"/>
          <w:lang w:val="es-ES"/>
        </w:rPr>
        <w:t>sistema de alerta masiva multicanal denominado Alerta Rosa</w:t>
      </w:r>
      <w:r w:rsidRPr="007C57D2">
        <w:rPr>
          <w:rFonts w:ascii="Times New Roman" w:hAnsi="Times New Roman"/>
          <w:sz w:val="28"/>
          <w:szCs w:val="28"/>
          <w:lang w:val="es-ES"/>
        </w:rPr>
        <w:t xml:space="preserve"> y el </w:t>
      </w:r>
      <w:r w:rsidRPr="007C57D2">
        <w:rPr>
          <w:rFonts w:ascii="Times New Roman" w:hAnsi="Times New Roman"/>
          <w:sz w:val="28"/>
          <w:szCs w:val="28"/>
        </w:rPr>
        <w:t>Mecanismo de Búsqueda Urgente</w:t>
      </w:r>
      <w:r w:rsidRPr="007C57D2">
        <w:rPr>
          <w:rFonts w:ascii="Times New Roman" w:hAnsi="Times New Roman"/>
          <w:sz w:val="28"/>
          <w:szCs w:val="28"/>
        </w:rPr>
        <w:t>,</w:t>
      </w:r>
      <w:r w:rsidRPr="007C57D2">
        <w:rPr>
          <w:rFonts w:ascii="Times New Roman" w:hAnsi="Times New Roman"/>
          <w:sz w:val="28"/>
          <w:szCs w:val="28"/>
        </w:rPr>
        <w:t xml:space="preserve"> creados, respectivamente, por las leyes </w:t>
      </w:r>
      <w:r w:rsidRPr="007C57D2">
        <w:rPr>
          <w:rFonts w:ascii="Times New Roman" w:hAnsi="Times New Roman"/>
          <w:sz w:val="28"/>
          <w:szCs w:val="28"/>
          <w:lang w:val="es-ES"/>
        </w:rPr>
        <w:t>2326 de 2023</w:t>
      </w:r>
      <w:r w:rsidRPr="007C57D2">
        <w:rPr>
          <w:rFonts w:ascii="Times New Roman" w:hAnsi="Times New Roman"/>
          <w:sz w:val="28"/>
          <w:szCs w:val="28"/>
        </w:rPr>
        <w:t xml:space="preserve"> y 971 de 2005</w:t>
      </w:r>
      <w:r w:rsidRPr="007C57D2">
        <w:rPr>
          <w:rFonts w:ascii="Times New Roman" w:hAnsi="Times New Roman"/>
          <w:sz w:val="28"/>
          <w:szCs w:val="28"/>
          <w:lang w:val="es-ES"/>
        </w:rPr>
        <w:t>.</w:t>
      </w:r>
      <w:r w:rsidRPr="007C57D2">
        <w:rPr>
          <w:rFonts w:ascii="Times New Roman" w:hAnsi="Times New Roman"/>
          <w:sz w:val="28"/>
          <w:szCs w:val="28"/>
          <w:lang w:val="es-ES"/>
        </w:rPr>
        <w:t xml:space="preserve"> </w:t>
      </w:r>
    </w:p>
    <w:p w:rsidR="00513004"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En cu</w:t>
      </w:r>
      <w:r w:rsidRPr="007C57D2">
        <w:rPr>
          <w:rFonts w:ascii="Times New Roman" w:hAnsi="Times New Roman"/>
          <w:sz w:val="28"/>
          <w:szCs w:val="28"/>
          <w:lang w:val="es-ES"/>
        </w:rPr>
        <w:t>arto lugar</w:t>
      </w:r>
      <w:r w:rsidRPr="007C57D2">
        <w:rPr>
          <w:rFonts w:ascii="Times New Roman" w:hAnsi="Times New Roman"/>
          <w:sz w:val="28"/>
          <w:szCs w:val="28"/>
          <w:lang w:val="es-ES"/>
        </w:rPr>
        <w:t xml:space="preserve">, la Procuraduría General de la Nación realizó las siguientes consideraciones </w:t>
      </w:r>
      <w:r w:rsidRPr="007C57D2">
        <w:rPr>
          <w:rFonts w:ascii="Times New Roman" w:hAnsi="Times New Roman"/>
          <w:sz w:val="28"/>
          <w:szCs w:val="28"/>
          <w:lang w:val="es-ES"/>
        </w:rPr>
        <w:t xml:space="preserve">sobre </w:t>
      </w:r>
      <w:r w:rsidRPr="007C57D2">
        <w:rPr>
          <w:rFonts w:ascii="Times New Roman" w:hAnsi="Times New Roman"/>
          <w:sz w:val="28"/>
          <w:szCs w:val="28"/>
          <w:lang w:val="es-ES"/>
        </w:rPr>
        <w:t xml:space="preserve">los artículos del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w:t>
      </w:r>
      <w:r w:rsidRPr="007C57D2">
        <w:rPr>
          <w:rFonts w:ascii="Times New Roman" w:hAnsi="Times New Roman"/>
          <w:sz w:val="28"/>
          <w:szCs w:val="28"/>
          <w:lang w:val="es-ES"/>
        </w:rPr>
        <w:t xml:space="preserve"> </w:t>
      </w:r>
    </w:p>
    <w:p w:rsidR="00E74A3A" w:rsidRPr="007C57D2" w:rsidRDefault="007C57D2" w:rsidP="008F3DAB">
      <w:pPr>
        <w:pStyle w:val="Prrafodelista"/>
        <w:ind w:left="0"/>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Frente al </w:t>
      </w:r>
      <w:r w:rsidRPr="007C57D2">
        <w:rPr>
          <w:rFonts w:ascii="Times New Roman" w:hAnsi="Times New Roman"/>
          <w:sz w:val="28"/>
          <w:szCs w:val="28"/>
          <w:u w:val="single"/>
          <w:lang w:val="es-ES"/>
        </w:rPr>
        <w:t>artículo 1</w:t>
      </w:r>
      <w:r w:rsidRPr="007C57D2">
        <w:rPr>
          <w:rFonts w:ascii="Times New Roman" w:hAnsi="Times New Roman"/>
          <w:sz w:val="28"/>
          <w:szCs w:val="28"/>
          <w:lang w:val="es-ES"/>
        </w:rPr>
        <w:t xml:space="preserve">, señaló que </w:t>
      </w:r>
      <w:r w:rsidRPr="007C57D2">
        <w:rPr>
          <w:rFonts w:ascii="Times New Roman" w:hAnsi="Times New Roman"/>
          <w:sz w:val="28"/>
          <w:szCs w:val="28"/>
          <w:lang w:val="es-ES"/>
        </w:rPr>
        <w:t>el</w:t>
      </w:r>
      <w:r w:rsidRPr="007C57D2">
        <w:rPr>
          <w:rFonts w:ascii="Times New Roman" w:hAnsi="Times New Roman"/>
          <w:sz w:val="28"/>
          <w:szCs w:val="28"/>
          <w:lang w:val="es-ES"/>
        </w:rPr>
        <w:t xml:space="preserve"> </w:t>
      </w:r>
      <w:r w:rsidRPr="007C57D2">
        <w:rPr>
          <w:rFonts w:ascii="Times New Roman" w:hAnsi="Times New Roman"/>
          <w:sz w:val="28"/>
          <w:szCs w:val="28"/>
          <w:lang w:val="es-ES"/>
        </w:rPr>
        <w:t>objeto</w:t>
      </w:r>
      <w:r w:rsidRPr="007C57D2">
        <w:rPr>
          <w:rFonts w:ascii="Times New Roman" w:hAnsi="Times New Roman"/>
          <w:sz w:val="28"/>
          <w:szCs w:val="28"/>
          <w:lang w:val="es-ES"/>
        </w:rPr>
        <w:t xml:space="preserve"> </w:t>
      </w:r>
      <w:r w:rsidRPr="007C57D2">
        <w:rPr>
          <w:rFonts w:ascii="Times New Roman" w:hAnsi="Times New Roman"/>
          <w:sz w:val="28"/>
          <w:szCs w:val="28"/>
          <w:lang w:val="es-ES"/>
        </w:rPr>
        <w:t>del PLE se ajusta a</w:t>
      </w:r>
      <w:r w:rsidRPr="007C57D2">
        <w:rPr>
          <w:rFonts w:ascii="Times New Roman" w:hAnsi="Times New Roman"/>
          <w:sz w:val="28"/>
          <w:szCs w:val="28"/>
          <w:lang w:val="es-ES"/>
        </w:rPr>
        <w:t xml:space="preserve"> los mandatos del artículo 44 superior</w:t>
      </w:r>
      <w:r w:rsidRPr="007C57D2">
        <w:rPr>
          <w:rFonts w:ascii="Times New Roman" w:hAnsi="Times New Roman"/>
          <w:sz w:val="28"/>
          <w:szCs w:val="28"/>
          <w:lang w:val="es-ES"/>
        </w:rPr>
        <w:t xml:space="preserve"> y de los artículos 3 y 9 de </w:t>
      </w:r>
      <w:r w:rsidRPr="007C57D2">
        <w:rPr>
          <w:rFonts w:ascii="Times New Roman" w:hAnsi="Times New Roman"/>
          <w:sz w:val="28"/>
          <w:szCs w:val="28"/>
        </w:rPr>
        <w:t xml:space="preserve">la Convención sobre los Derechos del Niño, aprobada mediante la Ley 12 de 1991. </w:t>
      </w:r>
      <w:r w:rsidRPr="007C57D2">
        <w:rPr>
          <w:rFonts w:ascii="Times New Roman" w:hAnsi="Times New Roman"/>
          <w:sz w:val="28"/>
          <w:szCs w:val="28"/>
          <w:lang w:val="es-ES"/>
        </w:rPr>
        <w:t>L</w:t>
      </w:r>
      <w:r w:rsidRPr="007C57D2">
        <w:rPr>
          <w:rFonts w:ascii="Times New Roman" w:hAnsi="Times New Roman"/>
          <w:sz w:val="28"/>
          <w:szCs w:val="28"/>
          <w:lang w:val="es-ES"/>
        </w:rPr>
        <w:t xml:space="preserve">a Alerta Colombia es </w:t>
      </w:r>
      <w:r w:rsidRPr="007C57D2">
        <w:rPr>
          <w:rFonts w:ascii="Times New Roman" w:hAnsi="Times New Roman"/>
          <w:sz w:val="28"/>
          <w:szCs w:val="28"/>
          <w:lang w:val="es-ES"/>
        </w:rPr>
        <w:t xml:space="preserve">un </w:t>
      </w:r>
      <w:r w:rsidRPr="007C57D2">
        <w:rPr>
          <w:rFonts w:ascii="Times New Roman" w:hAnsi="Times New Roman"/>
          <w:sz w:val="28"/>
          <w:szCs w:val="28"/>
          <w:lang w:val="es-ES"/>
        </w:rPr>
        <w:t>mecanismo eficaz y ágil para lograr la localización de los niños y niñas</w:t>
      </w:r>
      <w:r w:rsidRPr="007C57D2">
        <w:rPr>
          <w:rFonts w:ascii="Times New Roman" w:hAnsi="Times New Roman"/>
          <w:sz w:val="28"/>
          <w:szCs w:val="28"/>
          <w:lang w:val="es-ES"/>
        </w:rPr>
        <w:t xml:space="preserve">, que </w:t>
      </w:r>
      <w:r w:rsidRPr="007C57D2">
        <w:rPr>
          <w:rFonts w:ascii="Times New Roman" w:hAnsi="Times New Roman"/>
          <w:sz w:val="28"/>
          <w:szCs w:val="28"/>
          <w:lang w:val="es-ES"/>
        </w:rPr>
        <w:t>busca garantizar los derechos fundamentales de los menores de edad extrav</w:t>
      </w:r>
      <w:r w:rsidRPr="007C57D2">
        <w:rPr>
          <w:rFonts w:ascii="Times New Roman" w:hAnsi="Times New Roman"/>
          <w:sz w:val="28"/>
          <w:szCs w:val="28"/>
          <w:lang w:val="es-ES"/>
        </w:rPr>
        <w:t xml:space="preserve">iados. </w:t>
      </w:r>
    </w:p>
    <w:p w:rsidR="008B56DA" w:rsidRPr="007C57D2" w:rsidRDefault="007C57D2" w:rsidP="008F3DAB">
      <w:pPr>
        <w:pStyle w:val="Prrafodelista"/>
        <w:tabs>
          <w:tab w:val="left" w:pos="567"/>
        </w:tabs>
        <w:ind w:left="0"/>
        <w:jc w:val="both"/>
        <w:rPr>
          <w:rFonts w:ascii="Times New Roman" w:hAnsi="Times New Roman"/>
          <w:sz w:val="28"/>
          <w:szCs w:val="28"/>
          <w:lang w:val="es-ES"/>
        </w:rPr>
      </w:pPr>
    </w:p>
    <w:p w:rsidR="00183E94"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relación con el </w:t>
      </w:r>
      <w:r w:rsidRPr="007C57D2">
        <w:rPr>
          <w:rFonts w:ascii="Times New Roman" w:hAnsi="Times New Roman"/>
          <w:sz w:val="28"/>
          <w:szCs w:val="28"/>
          <w:u w:val="single"/>
          <w:lang w:val="es-ES"/>
        </w:rPr>
        <w:t>artículo 2</w:t>
      </w:r>
      <w:r w:rsidRPr="007C57D2">
        <w:rPr>
          <w:rFonts w:ascii="Times New Roman" w:hAnsi="Times New Roman"/>
          <w:sz w:val="28"/>
          <w:szCs w:val="28"/>
          <w:lang w:val="es-ES"/>
        </w:rPr>
        <w:t xml:space="preserve">, </w:t>
      </w:r>
      <w:r w:rsidRPr="007C57D2">
        <w:rPr>
          <w:rFonts w:ascii="Times New Roman" w:hAnsi="Times New Roman"/>
          <w:sz w:val="28"/>
          <w:szCs w:val="28"/>
          <w:lang w:val="es-ES"/>
        </w:rPr>
        <w:t>la Procuraduría General hizo dos prec</w:t>
      </w:r>
      <w:r w:rsidRPr="007C57D2">
        <w:rPr>
          <w:rFonts w:ascii="Times New Roman" w:hAnsi="Times New Roman"/>
          <w:sz w:val="28"/>
          <w:szCs w:val="28"/>
          <w:lang w:val="es-ES"/>
        </w:rPr>
        <w:t>isiones</w:t>
      </w:r>
      <w:r w:rsidRPr="007C57D2">
        <w:rPr>
          <w:rFonts w:ascii="Times New Roman" w:hAnsi="Times New Roman"/>
          <w:sz w:val="28"/>
          <w:szCs w:val="28"/>
          <w:lang w:val="es-ES"/>
        </w:rPr>
        <w:t xml:space="preserve">. </w:t>
      </w:r>
      <w:r w:rsidRPr="007C57D2">
        <w:rPr>
          <w:rFonts w:ascii="Times New Roman" w:hAnsi="Times New Roman"/>
          <w:sz w:val="28"/>
          <w:szCs w:val="28"/>
          <w:lang w:val="es-ES"/>
        </w:rPr>
        <w:t>I</w:t>
      </w:r>
      <w:r w:rsidRPr="007C57D2">
        <w:rPr>
          <w:rFonts w:ascii="Times New Roman" w:hAnsi="Times New Roman"/>
          <w:sz w:val="28"/>
          <w:szCs w:val="28"/>
          <w:lang w:val="es-ES"/>
        </w:rPr>
        <w:t xml:space="preserve">ndicó que las definiciones </w:t>
      </w:r>
      <w:r w:rsidRPr="007C57D2">
        <w:rPr>
          <w:rFonts w:ascii="Times New Roman" w:hAnsi="Times New Roman"/>
          <w:sz w:val="28"/>
          <w:szCs w:val="28"/>
          <w:lang w:val="es-ES"/>
        </w:rPr>
        <w:t xml:space="preserve">allí </w:t>
      </w:r>
      <w:r w:rsidRPr="007C57D2">
        <w:rPr>
          <w:rFonts w:ascii="Times New Roman" w:hAnsi="Times New Roman"/>
          <w:sz w:val="28"/>
          <w:szCs w:val="28"/>
          <w:lang w:val="es-ES"/>
        </w:rPr>
        <w:t>establecidas guardan coherencia con regulaciones similares</w:t>
      </w:r>
      <w:r w:rsidRPr="007C57D2">
        <w:rPr>
          <w:rFonts w:ascii="Times New Roman" w:hAnsi="Times New Roman"/>
          <w:sz w:val="28"/>
          <w:szCs w:val="28"/>
          <w:lang w:val="es-ES"/>
        </w:rPr>
        <w:t>,</w:t>
      </w:r>
      <w:r w:rsidRPr="007C57D2">
        <w:rPr>
          <w:rFonts w:ascii="Times New Roman" w:hAnsi="Times New Roman"/>
          <w:sz w:val="28"/>
          <w:szCs w:val="28"/>
          <w:lang w:val="es-ES"/>
        </w:rPr>
        <w:t xml:space="preserve"> como</w:t>
      </w:r>
      <w:r w:rsidRPr="007C57D2">
        <w:rPr>
          <w:rFonts w:ascii="Times New Roman" w:hAnsi="Times New Roman"/>
          <w:sz w:val="28"/>
          <w:szCs w:val="28"/>
          <w:lang w:val="es-ES"/>
        </w:rPr>
        <w:t xml:space="preserve"> lo es</w:t>
      </w:r>
      <w:r w:rsidRPr="007C57D2">
        <w:rPr>
          <w:rFonts w:ascii="Times New Roman" w:hAnsi="Times New Roman"/>
          <w:sz w:val="28"/>
          <w:szCs w:val="28"/>
          <w:lang w:val="es-ES"/>
        </w:rPr>
        <w:t xml:space="preserve"> la Ley 1581 de 2012. </w:t>
      </w:r>
      <w:r w:rsidRPr="007C57D2">
        <w:rPr>
          <w:rFonts w:ascii="Times New Roman" w:hAnsi="Times New Roman"/>
          <w:sz w:val="28"/>
          <w:szCs w:val="28"/>
          <w:lang w:val="es-ES"/>
        </w:rPr>
        <w:t>De otro lado</w:t>
      </w:r>
      <w:r w:rsidRPr="007C57D2">
        <w:rPr>
          <w:rFonts w:ascii="Times New Roman" w:hAnsi="Times New Roman"/>
          <w:sz w:val="28"/>
          <w:szCs w:val="28"/>
          <w:lang w:val="es-ES"/>
        </w:rPr>
        <w:t xml:space="preserve">, advirtió que el literal a) del artículo 2 </w:t>
      </w:r>
      <w:r w:rsidRPr="007C57D2">
        <w:rPr>
          <w:rFonts w:ascii="Times New Roman" w:hAnsi="Times New Roman"/>
          <w:sz w:val="28"/>
          <w:szCs w:val="28"/>
          <w:lang w:val="es-ES"/>
        </w:rPr>
        <w:t xml:space="preserve">vulnera </w:t>
      </w:r>
      <w:r w:rsidRPr="007C57D2">
        <w:rPr>
          <w:rFonts w:ascii="Times New Roman" w:hAnsi="Times New Roman"/>
          <w:sz w:val="28"/>
          <w:szCs w:val="28"/>
          <w:lang w:val="es-ES"/>
        </w:rPr>
        <w:t xml:space="preserve">el derecho a la igualdad y el carácter prevalente de los derechos de los </w:t>
      </w:r>
      <w:r w:rsidRPr="007C57D2">
        <w:rPr>
          <w:rFonts w:ascii="Times New Roman" w:hAnsi="Times New Roman"/>
          <w:sz w:val="28"/>
          <w:szCs w:val="28"/>
          <w:lang w:val="es-ES"/>
        </w:rPr>
        <w:t>NNA</w:t>
      </w:r>
      <w:r w:rsidRPr="007C57D2">
        <w:rPr>
          <w:rFonts w:ascii="Times New Roman" w:hAnsi="Times New Roman"/>
          <w:sz w:val="28"/>
          <w:szCs w:val="28"/>
          <w:lang w:val="es-ES"/>
        </w:rPr>
        <w:t xml:space="preserve">, toda vez que excluye </w:t>
      </w:r>
      <w:r w:rsidRPr="007C57D2">
        <w:rPr>
          <w:rFonts w:ascii="Times New Roman" w:hAnsi="Times New Roman"/>
          <w:sz w:val="28"/>
          <w:szCs w:val="28"/>
          <w:lang w:val="es-ES"/>
        </w:rPr>
        <w:t xml:space="preserve">de la activación de la Alerta Colombia </w:t>
      </w:r>
      <w:r w:rsidRPr="007C57D2">
        <w:rPr>
          <w:rFonts w:ascii="Times New Roman" w:hAnsi="Times New Roman"/>
          <w:sz w:val="28"/>
          <w:szCs w:val="28"/>
          <w:lang w:val="es-ES"/>
        </w:rPr>
        <w:t xml:space="preserve">a la población con edades entre los 13 y 17 años. </w:t>
      </w:r>
    </w:p>
    <w:p w:rsidR="005B0B4E"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Consideró que </w:t>
      </w:r>
      <w:r w:rsidRPr="007C57D2">
        <w:rPr>
          <w:rFonts w:ascii="Times New Roman" w:hAnsi="Times New Roman"/>
          <w:sz w:val="28"/>
          <w:szCs w:val="28"/>
          <w:lang w:val="es-ES"/>
        </w:rPr>
        <w:t>esta disposición desconoce el mandato de no discriminación y</w:t>
      </w:r>
      <w:r w:rsidRPr="007C57D2">
        <w:rPr>
          <w:rFonts w:ascii="Times New Roman" w:hAnsi="Times New Roman"/>
          <w:sz w:val="28"/>
          <w:szCs w:val="28"/>
          <w:lang w:val="es-ES"/>
        </w:rPr>
        <w:t>, además,</w:t>
      </w:r>
      <w:r w:rsidRPr="007C57D2">
        <w:rPr>
          <w:rFonts w:ascii="Times New Roman" w:hAnsi="Times New Roman"/>
          <w:sz w:val="28"/>
          <w:szCs w:val="28"/>
          <w:lang w:val="es-ES"/>
        </w:rPr>
        <w:t xml:space="preserve"> carece de justificación. Las personas entre 0 y 12 años y entre 13 y 17 años son menores de edad de conformidad con el artículo 98 de la Constitución Política y el artículo 3 de la Ley 1</w:t>
      </w:r>
      <w:r w:rsidRPr="007C57D2">
        <w:rPr>
          <w:rFonts w:ascii="Times New Roman" w:hAnsi="Times New Roman"/>
          <w:sz w:val="28"/>
          <w:szCs w:val="28"/>
          <w:lang w:val="es-ES"/>
        </w:rPr>
        <w:t xml:space="preserve">098 de 2006. </w:t>
      </w:r>
      <w:r w:rsidRPr="007C57D2">
        <w:rPr>
          <w:rFonts w:ascii="Times New Roman" w:hAnsi="Times New Roman"/>
          <w:sz w:val="28"/>
          <w:szCs w:val="28"/>
          <w:lang w:val="es-ES"/>
        </w:rPr>
        <w:t>T</w:t>
      </w:r>
      <w:r w:rsidRPr="007C57D2">
        <w:rPr>
          <w:rFonts w:ascii="Times New Roman" w:hAnsi="Times New Roman"/>
          <w:sz w:val="28"/>
          <w:szCs w:val="28"/>
          <w:lang w:val="es-ES"/>
        </w:rPr>
        <w:t xml:space="preserve">al exclusión contradice la finalidad del proyecto, dado que dicha población también </w:t>
      </w:r>
      <w:r w:rsidRPr="007C57D2">
        <w:rPr>
          <w:rFonts w:ascii="Times New Roman" w:hAnsi="Times New Roman"/>
          <w:sz w:val="28"/>
          <w:szCs w:val="28"/>
          <w:lang w:val="es-ES"/>
        </w:rPr>
        <w:t>puede extraviarse</w:t>
      </w:r>
      <w:r w:rsidRPr="007C57D2">
        <w:rPr>
          <w:rFonts w:ascii="Times New Roman" w:hAnsi="Times New Roman"/>
          <w:sz w:val="28"/>
          <w:szCs w:val="28"/>
          <w:lang w:val="es-ES"/>
        </w:rPr>
        <w:t xml:space="preserve">. </w:t>
      </w:r>
      <w:r w:rsidRPr="007C57D2">
        <w:rPr>
          <w:rFonts w:ascii="Times New Roman" w:hAnsi="Times New Roman"/>
          <w:sz w:val="28"/>
          <w:szCs w:val="28"/>
          <w:lang w:val="es-ES"/>
        </w:rPr>
        <w:t>Es más</w:t>
      </w:r>
      <w:r w:rsidRPr="007C57D2">
        <w:rPr>
          <w:rFonts w:ascii="Times New Roman" w:hAnsi="Times New Roman"/>
          <w:sz w:val="28"/>
          <w:szCs w:val="28"/>
          <w:lang w:val="es-ES"/>
        </w:rPr>
        <w:t>, según un reporte de la Unidad de Búsqueda de Personas dadas por Desaparecidas, con corte al 29 de enero de 2025, los adolescentes s</w:t>
      </w:r>
      <w:r w:rsidRPr="007C57D2">
        <w:rPr>
          <w:rFonts w:ascii="Times New Roman" w:hAnsi="Times New Roman"/>
          <w:sz w:val="28"/>
          <w:szCs w:val="28"/>
          <w:lang w:val="es-ES"/>
        </w:rPr>
        <w:t>uperaron en cifras a los niños y niñas extraviados</w:t>
      </w:r>
      <w:r w:rsidRPr="007C57D2">
        <w:rPr>
          <w:rStyle w:val="Refdenotaalpie"/>
          <w:rFonts w:ascii="Times New Roman" w:hAnsi="Times New Roman"/>
          <w:sz w:val="28"/>
          <w:szCs w:val="28"/>
          <w:lang w:val="es-ES"/>
        </w:rPr>
        <w:footnoteReference w:id="4"/>
      </w:r>
      <w:r w:rsidRPr="007C57D2">
        <w:rPr>
          <w:rFonts w:ascii="Times New Roman" w:hAnsi="Times New Roman"/>
          <w:sz w:val="28"/>
          <w:szCs w:val="28"/>
          <w:lang w:val="es-ES"/>
        </w:rPr>
        <w:t xml:space="preserve">. Por lo expuesto, la entidad consideró que no existe justificación para el trato diferenciador que </w:t>
      </w:r>
      <w:r w:rsidRPr="007C57D2">
        <w:rPr>
          <w:rFonts w:ascii="Times New Roman" w:hAnsi="Times New Roman"/>
          <w:sz w:val="28"/>
          <w:szCs w:val="28"/>
          <w:lang w:val="es-ES"/>
        </w:rPr>
        <w:t>introduce el artículo 2 d</w:t>
      </w:r>
      <w:r w:rsidRPr="007C57D2">
        <w:rPr>
          <w:rFonts w:ascii="Times New Roman" w:hAnsi="Times New Roman"/>
          <w:sz w:val="28"/>
          <w:szCs w:val="28"/>
          <w:lang w:val="es-ES"/>
        </w:rPr>
        <w:t xml:space="preserve">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lang w:val="es-ES"/>
        </w:rPr>
        <w:t>.</w:t>
      </w:r>
    </w:p>
    <w:p w:rsidR="00102702"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Respecto d</w:t>
      </w:r>
      <w:r w:rsidRPr="007C57D2">
        <w:rPr>
          <w:rFonts w:ascii="Times New Roman" w:hAnsi="Times New Roman"/>
          <w:sz w:val="28"/>
          <w:szCs w:val="28"/>
          <w:lang w:val="es-ES"/>
        </w:rPr>
        <w:t xml:space="preserve">el </w:t>
      </w:r>
      <w:r w:rsidRPr="007C57D2">
        <w:rPr>
          <w:rFonts w:ascii="Times New Roman" w:hAnsi="Times New Roman"/>
          <w:sz w:val="28"/>
          <w:szCs w:val="28"/>
          <w:u w:val="single"/>
          <w:lang w:val="es-ES"/>
        </w:rPr>
        <w:t>artículo 3</w:t>
      </w:r>
      <w:r w:rsidRPr="007C57D2">
        <w:rPr>
          <w:rFonts w:ascii="Times New Roman" w:hAnsi="Times New Roman"/>
          <w:sz w:val="28"/>
          <w:szCs w:val="28"/>
          <w:u w:val="single"/>
          <w:lang w:val="es-ES"/>
        </w:rPr>
        <w:t>,</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la entidad </w:t>
      </w:r>
      <w:r w:rsidRPr="007C57D2">
        <w:rPr>
          <w:rFonts w:ascii="Times New Roman" w:hAnsi="Times New Roman"/>
          <w:sz w:val="28"/>
          <w:szCs w:val="28"/>
          <w:lang w:val="es-ES"/>
        </w:rPr>
        <w:t>solicitó a la Corte que</w:t>
      </w:r>
      <w:r w:rsidRPr="007C57D2">
        <w:rPr>
          <w:rFonts w:ascii="Times New Roman" w:hAnsi="Times New Roman"/>
          <w:sz w:val="28"/>
          <w:szCs w:val="28"/>
          <w:lang w:val="es-ES"/>
        </w:rPr>
        <w:t xml:space="preserve"> precis</w:t>
      </w:r>
      <w:r w:rsidRPr="007C57D2">
        <w:rPr>
          <w:rFonts w:ascii="Times New Roman" w:hAnsi="Times New Roman"/>
          <w:sz w:val="28"/>
          <w:szCs w:val="28"/>
          <w:lang w:val="es-ES"/>
        </w:rPr>
        <w:t>e</w:t>
      </w:r>
      <w:r w:rsidRPr="007C57D2">
        <w:rPr>
          <w:rFonts w:ascii="Times New Roman" w:hAnsi="Times New Roman"/>
          <w:sz w:val="28"/>
          <w:szCs w:val="28"/>
          <w:lang w:val="es-ES"/>
        </w:rPr>
        <w:t xml:space="preserve"> el término “riesgo inminente”</w:t>
      </w:r>
      <w:r w:rsidRPr="007C57D2">
        <w:rPr>
          <w:rFonts w:ascii="Times New Roman" w:hAnsi="Times New Roman"/>
          <w:sz w:val="28"/>
          <w:szCs w:val="28"/>
          <w:lang w:val="es-ES"/>
        </w:rPr>
        <w:t>,</w:t>
      </w:r>
      <w:r w:rsidRPr="007C57D2">
        <w:rPr>
          <w:rFonts w:ascii="Times New Roman" w:hAnsi="Times New Roman"/>
          <w:sz w:val="28"/>
          <w:szCs w:val="28"/>
          <w:lang w:val="es-ES"/>
        </w:rPr>
        <w:t xml:space="preserve"> que utiliza </w:t>
      </w:r>
      <w:r w:rsidRPr="007C57D2">
        <w:rPr>
          <w:rFonts w:ascii="Times New Roman" w:hAnsi="Times New Roman"/>
          <w:sz w:val="28"/>
          <w:szCs w:val="28"/>
          <w:lang w:val="es-ES"/>
        </w:rPr>
        <w:t xml:space="preserve">dicho artículo </w:t>
      </w:r>
      <w:r w:rsidRPr="007C57D2">
        <w:rPr>
          <w:rFonts w:ascii="Times New Roman" w:hAnsi="Times New Roman"/>
          <w:sz w:val="28"/>
          <w:szCs w:val="28"/>
          <w:lang w:val="es-ES"/>
        </w:rPr>
        <w:t xml:space="preserve">en relación con la activación de la Alerta Colombia. </w:t>
      </w:r>
      <w:r w:rsidRPr="007C57D2">
        <w:rPr>
          <w:rFonts w:ascii="Times New Roman" w:hAnsi="Times New Roman"/>
          <w:sz w:val="28"/>
          <w:szCs w:val="28"/>
          <w:lang w:val="es-ES"/>
        </w:rPr>
        <w:t>Se trata de</w:t>
      </w:r>
      <w:r w:rsidRPr="007C57D2">
        <w:rPr>
          <w:rFonts w:ascii="Times New Roman" w:hAnsi="Times New Roman"/>
          <w:sz w:val="28"/>
          <w:szCs w:val="28"/>
          <w:lang w:val="es-ES"/>
        </w:rPr>
        <w:t xml:space="preserve"> un concepto indeterminado y subjetivo que no especifica los elementos para su configuración.</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También resaltó que la exigencia de un consentimiento informado para el tratamiento de datos </w:t>
      </w:r>
      <w:r w:rsidRPr="007C57D2">
        <w:rPr>
          <w:rFonts w:ascii="Times New Roman" w:hAnsi="Times New Roman"/>
          <w:sz w:val="28"/>
          <w:szCs w:val="28"/>
          <w:lang w:val="es-ES"/>
        </w:rPr>
        <w:t xml:space="preserve">personales </w:t>
      </w:r>
      <w:r w:rsidRPr="007C57D2">
        <w:rPr>
          <w:rFonts w:ascii="Times New Roman" w:hAnsi="Times New Roman"/>
          <w:sz w:val="28"/>
          <w:szCs w:val="28"/>
          <w:lang w:val="es-ES"/>
        </w:rPr>
        <w:t>de los niños y niñas se encuentra en consonancia con los postulados superiores y la Ley estatutaria 1581 de 2012</w:t>
      </w:r>
      <w:r w:rsidRPr="007C57D2">
        <w:rPr>
          <w:rFonts w:ascii="Times New Roman" w:hAnsi="Times New Roman"/>
          <w:sz w:val="28"/>
          <w:szCs w:val="28"/>
          <w:lang w:val="es-ES"/>
        </w:rPr>
        <w:t>. Agregó que los datos personales de los</w:t>
      </w:r>
      <w:r w:rsidRPr="007C57D2">
        <w:rPr>
          <w:rFonts w:ascii="Times New Roman" w:hAnsi="Times New Roman"/>
          <w:sz w:val="28"/>
          <w:szCs w:val="28"/>
          <w:lang w:val="es-ES"/>
        </w:rPr>
        <w:t xml:space="preserve"> menores</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 xml:space="preserve">deben ser utilizados exclusivamente para la protección del menor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extrav</w:t>
      </w:r>
      <w:r w:rsidRPr="007C57D2">
        <w:rPr>
          <w:rFonts w:ascii="Times New Roman" w:hAnsi="Times New Roman"/>
          <w:sz w:val="28"/>
          <w:szCs w:val="28"/>
          <w:lang w:val="es-ES"/>
        </w:rPr>
        <w:t>iado</w:t>
      </w:r>
      <w:r w:rsidRPr="007C57D2">
        <w:rPr>
          <w:rFonts w:ascii="Times New Roman" w:hAnsi="Times New Roman"/>
          <w:sz w:val="28"/>
          <w:szCs w:val="28"/>
          <w:lang w:val="es-ES"/>
        </w:rPr>
        <w:t xml:space="preserve">. </w:t>
      </w:r>
    </w:p>
    <w:p w:rsidR="00704AB8"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cuanto al </w:t>
      </w:r>
      <w:r w:rsidRPr="007C57D2">
        <w:rPr>
          <w:rFonts w:ascii="Times New Roman" w:hAnsi="Times New Roman"/>
          <w:sz w:val="28"/>
          <w:szCs w:val="28"/>
          <w:u w:val="single"/>
          <w:lang w:val="es-ES"/>
        </w:rPr>
        <w:t>artículo 4</w:t>
      </w:r>
      <w:r w:rsidRPr="007C57D2">
        <w:rPr>
          <w:rFonts w:ascii="Times New Roman" w:hAnsi="Times New Roman"/>
          <w:sz w:val="28"/>
          <w:szCs w:val="28"/>
          <w:lang w:val="es-ES"/>
        </w:rPr>
        <w:t xml:space="preserve">, el Ministerio Público </w:t>
      </w:r>
      <w:r w:rsidRPr="007C57D2">
        <w:rPr>
          <w:rFonts w:ascii="Times New Roman" w:hAnsi="Times New Roman"/>
          <w:sz w:val="28"/>
          <w:szCs w:val="28"/>
          <w:lang w:val="es-ES"/>
        </w:rPr>
        <w:t>afirmó</w:t>
      </w:r>
      <w:r w:rsidRPr="007C57D2">
        <w:rPr>
          <w:rFonts w:ascii="Times New Roman" w:hAnsi="Times New Roman"/>
          <w:sz w:val="28"/>
          <w:szCs w:val="28"/>
          <w:lang w:val="es-ES"/>
        </w:rPr>
        <w:t xml:space="preserve"> que </w:t>
      </w:r>
      <w:r w:rsidRPr="007C57D2">
        <w:rPr>
          <w:rFonts w:ascii="Times New Roman" w:hAnsi="Times New Roman"/>
          <w:sz w:val="28"/>
          <w:szCs w:val="28"/>
          <w:lang w:val="es-ES"/>
        </w:rPr>
        <w:t>la Corte debe</w:t>
      </w:r>
      <w:r w:rsidRPr="007C57D2">
        <w:rPr>
          <w:rFonts w:ascii="Times New Roman" w:hAnsi="Times New Roman"/>
          <w:sz w:val="28"/>
          <w:szCs w:val="28"/>
          <w:lang w:val="es-ES"/>
        </w:rPr>
        <w:t xml:space="preserve"> señalar que los datos personales y biométricos establecidos en los literales </w:t>
      </w:r>
      <w:r w:rsidRPr="007C57D2">
        <w:rPr>
          <w:rFonts w:ascii="Times New Roman" w:hAnsi="Times New Roman"/>
          <w:sz w:val="28"/>
          <w:szCs w:val="28"/>
          <w:lang w:val="es-ES"/>
        </w:rPr>
        <w:t xml:space="preserve">a) a f) son los datos mínimos requeridos para aumentar las probabilidades de encontrar al menor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extraviado. Además, expuso que, primero, la autorización de los padres o representantes legales del niño o niña extraviado que establece el artículo 7 g</w:t>
      </w:r>
      <w:r w:rsidRPr="007C57D2">
        <w:rPr>
          <w:rFonts w:ascii="Times New Roman" w:hAnsi="Times New Roman"/>
          <w:sz w:val="28"/>
          <w:szCs w:val="28"/>
          <w:lang w:val="es-ES"/>
        </w:rPr>
        <w:t>arantiza la protección del</w:t>
      </w:r>
      <w:r w:rsidRPr="007C57D2">
        <w:rPr>
          <w:rFonts w:ascii="Times New Roman" w:hAnsi="Times New Roman"/>
          <w:sz w:val="28"/>
          <w:szCs w:val="28"/>
          <w:lang w:val="es-ES"/>
        </w:rPr>
        <w:t xml:space="preserve"> derecho al</w:t>
      </w:r>
      <w:r w:rsidRPr="007C57D2">
        <w:rPr>
          <w:rFonts w:ascii="Times New Roman" w:hAnsi="Times New Roman"/>
          <w:sz w:val="28"/>
          <w:szCs w:val="28"/>
          <w:lang w:val="es-ES"/>
        </w:rPr>
        <w:t xml:space="preserve"> </w:t>
      </w:r>
      <w:r w:rsidRPr="007C57D2">
        <w:rPr>
          <w:rFonts w:ascii="Times New Roman" w:hAnsi="Times New Roman"/>
          <w:i/>
          <w:iCs/>
          <w:sz w:val="28"/>
          <w:szCs w:val="28"/>
          <w:lang w:val="es-ES"/>
        </w:rPr>
        <w:t>habeas data</w:t>
      </w:r>
      <w:r w:rsidRPr="007C57D2">
        <w:rPr>
          <w:rFonts w:ascii="Times New Roman" w:hAnsi="Times New Roman"/>
          <w:sz w:val="28"/>
          <w:szCs w:val="28"/>
          <w:lang w:val="es-ES"/>
        </w:rPr>
        <w:t>. Y, segundo,</w:t>
      </w:r>
      <w:r w:rsidRPr="007C57D2">
        <w:rPr>
          <w:rFonts w:ascii="Times New Roman" w:hAnsi="Times New Roman"/>
          <w:sz w:val="28"/>
          <w:szCs w:val="28"/>
          <w:lang w:val="es-ES"/>
        </w:rPr>
        <w:t xml:space="preserve"> que</w:t>
      </w:r>
      <w:r w:rsidRPr="007C57D2">
        <w:rPr>
          <w:rFonts w:ascii="Times New Roman" w:hAnsi="Times New Roman"/>
          <w:sz w:val="28"/>
          <w:szCs w:val="28"/>
          <w:lang w:val="es-ES"/>
        </w:rPr>
        <w:t xml:space="preserve"> la obligación de eliminar los datos en los términos del artículo 8 ayuda a que los datos personales y biométricos se</w:t>
      </w:r>
      <w:r w:rsidRPr="007C57D2">
        <w:rPr>
          <w:rFonts w:ascii="Times New Roman" w:hAnsi="Times New Roman"/>
          <w:sz w:val="28"/>
          <w:szCs w:val="28"/>
          <w:lang w:val="es-ES"/>
        </w:rPr>
        <w:t>an utilizados</w:t>
      </w:r>
      <w:r w:rsidRPr="007C57D2">
        <w:rPr>
          <w:rFonts w:ascii="Times New Roman" w:hAnsi="Times New Roman"/>
          <w:sz w:val="28"/>
          <w:szCs w:val="28"/>
          <w:lang w:val="es-ES"/>
        </w:rPr>
        <w:t xml:space="preserve"> exclusiv</w:t>
      </w:r>
      <w:r w:rsidRPr="007C57D2">
        <w:rPr>
          <w:rFonts w:ascii="Times New Roman" w:hAnsi="Times New Roman"/>
          <w:sz w:val="28"/>
          <w:szCs w:val="28"/>
          <w:lang w:val="es-ES"/>
        </w:rPr>
        <w:t>a</w:t>
      </w:r>
      <w:r w:rsidRPr="007C57D2">
        <w:rPr>
          <w:rFonts w:ascii="Times New Roman" w:hAnsi="Times New Roman"/>
          <w:sz w:val="28"/>
          <w:szCs w:val="28"/>
          <w:lang w:val="es-ES"/>
        </w:rPr>
        <w:t>mente</w:t>
      </w:r>
      <w:r w:rsidRPr="007C57D2">
        <w:rPr>
          <w:rFonts w:ascii="Times New Roman" w:hAnsi="Times New Roman"/>
          <w:sz w:val="28"/>
          <w:szCs w:val="28"/>
          <w:lang w:val="es-ES"/>
        </w:rPr>
        <w:t xml:space="preserve"> por el tiempo </w:t>
      </w:r>
      <w:r w:rsidRPr="007C57D2">
        <w:rPr>
          <w:rFonts w:ascii="Times New Roman" w:hAnsi="Times New Roman"/>
          <w:sz w:val="28"/>
          <w:szCs w:val="28"/>
          <w:lang w:val="es-ES"/>
        </w:rPr>
        <w:t xml:space="preserve">en que el menor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permanezca extraviado</w:t>
      </w:r>
      <w:r w:rsidRPr="007C57D2">
        <w:rPr>
          <w:rFonts w:ascii="Times New Roman" w:hAnsi="Times New Roman"/>
          <w:sz w:val="28"/>
          <w:szCs w:val="28"/>
          <w:lang w:val="es-ES"/>
        </w:rPr>
        <w:t xml:space="preserve">. </w:t>
      </w:r>
    </w:p>
    <w:p w:rsidR="0031715C"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Frente al </w:t>
      </w:r>
      <w:r w:rsidRPr="007C57D2">
        <w:rPr>
          <w:rFonts w:ascii="Times New Roman" w:hAnsi="Times New Roman"/>
          <w:sz w:val="28"/>
          <w:szCs w:val="28"/>
          <w:u w:val="single"/>
          <w:lang w:val="es-ES"/>
        </w:rPr>
        <w:t>artículo 5</w:t>
      </w:r>
      <w:r w:rsidRPr="007C57D2">
        <w:rPr>
          <w:rFonts w:ascii="Times New Roman" w:hAnsi="Times New Roman"/>
          <w:sz w:val="28"/>
          <w:szCs w:val="28"/>
          <w:u w:val="single"/>
          <w:lang w:val="es-ES"/>
        </w:rPr>
        <w:t>,</w:t>
      </w:r>
      <w:r w:rsidRPr="007C57D2">
        <w:rPr>
          <w:rFonts w:ascii="Times New Roman" w:hAnsi="Times New Roman"/>
          <w:sz w:val="28"/>
          <w:szCs w:val="28"/>
          <w:lang w:val="es-ES"/>
        </w:rPr>
        <w:t xml:space="preserve"> la entidad consideró que la expresión “transcurridas 24 horas”</w:t>
      </w:r>
      <w:r w:rsidRPr="007C57D2">
        <w:rPr>
          <w:rFonts w:ascii="Times New Roman" w:hAnsi="Times New Roman"/>
          <w:sz w:val="28"/>
          <w:szCs w:val="28"/>
          <w:lang w:val="es-ES"/>
        </w:rPr>
        <w:t xml:space="preserve">, la cual se refiere al tiempo posterior al cual el Instituto </w:t>
      </w:r>
      <w:r w:rsidRPr="007C57D2">
        <w:rPr>
          <w:rFonts w:ascii="Times New Roman" w:hAnsi="Times New Roman"/>
          <w:sz w:val="28"/>
          <w:szCs w:val="28"/>
          <w:lang w:val="es-ES"/>
        </w:rPr>
        <w:t xml:space="preserve">Colombiano </w:t>
      </w:r>
      <w:r w:rsidRPr="007C57D2">
        <w:rPr>
          <w:rFonts w:ascii="Times New Roman" w:hAnsi="Times New Roman"/>
          <w:sz w:val="28"/>
          <w:szCs w:val="28"/>
          <w:lang w:val="es-ES"/>
        </w:rPr>
        <w:t xml:space="preserve">de Bienestar Familiar (ICBF) debe denunciar la desaparición del menor </w:t>
      </w:r>
      <w:r w:rsidRPr="007C57D2">
        <w:rPr>
          <w:rFonts w:ascii="Times New Roman" w:hAnsi="Times New Roman"/>
          <w:sz w:val="28"/>
          <w:szCs w:val="28"/>
          <w:lang w:val="es-ES"/>
        </w:rPr>
        <w:t>de e</w:t>
      </w:r>
      <w:r w:rsidRPr="007C57D2">
        <w:rPr>
          <w:rFonts w:ascii="Times New Roman" w:hAnsi="Times New Roman"/>
          <w:sz w:val="28"/>
          <w:szCs w:val="28"/>
          <w:lang w:val="es-ES"/>
        </w:rPr>
        <w:t xml:space="preserve">dad </w:t>
      </w:r>
      <w:r w:rsidRPr="007C57D2">
        <w:rPr>
          <w:rFonts w:ascii="Times New Roman" w:hAnsi="Times New Roman"/>
          <w:sz w:val="28"/>
          <w:szCs w:val="28"/>
          <w:lang w:val="es-ES"/>
        </w:rPr>
        <w:t xml:space="preserve">ante la Fiscalía, </w:t>
      </w:r>
      <w:r w:rsidRPr="007C57D2">
        <w:rPr>
          <w:rFonts w:ascii="Times New Roman" w:hAnsi="Times New Roman"/>
          <w:sz w:val="28"/>
          <w:szCs w:val="28"/>
          <w:lang w:val="es-ES"/>
        </w:rPr>
        <w:t>es inconstitucional</w:t>
      </w:r>
      <w:r w:rsidRPr="007C57D2">
        <w:rPr>
          <w:rFonts w:ascii="Times New Roman" w:hAnsi="Times New Roman"/>
          <w:sz w:val="28"/>
          <w:szCs w:val="28"/>
          <w:lang w:val="es-ES"/>
        </w:rPr>
        <w:t xml:space="preserve">. A su juicio, la mencionada expresión </w:t>
      </w:r>
      <w:r w:rsidRPr="007C57D2">
        <w:rPr>
          <w:rFonts w:ascii="Times New Roman" w:hAnsi="Times New Roman"/>
          <w:sz w:val="28"/>
          <w:szCs w:val="28"/>
          <w:lang w:val="es-ES"/>
        </w:rPr>
        <w:t>desconoce el principio del interés superior del menor</w:t>
      </w:r>
      <w:r w:rsidRPr="007C57D2">
        <w:rPr>
          <w:rFonts w:ascii="Times New Roman" w:hAnsi="Times New Roman"/>
          <w:sz w:val="28"/>
          <w:szCs w:val="28"/>
          <w:lang w:val="es-ES"/>
        </w:rPr>
        <w:t xml:space="preserve"> de 18 años</w:t>
      </w:r>
      <w:r w:rsidRPr="007C57D2">
        <w:rPr>
          <w:rFonts w:ascii="Times New Roman" w:hAnsi="Times New Roman"/>
          <w:sz w:val="28"/>
          <w:szCs w:val="28"/>
          <w:lang w:val="es-ES"/>
        </w:rPr>
        <w:t>,</w:t>
      </w:r>
      <w:r w:rsidRPr="007C57D2">
        <w:rPr>
          <w:rFonts w:ascii="Times New Roman" w:hAnsi="Times New Roman"/>
          <w:sz w:val="28"/>
          <w:szCs w:val="28"/>
          <w:lang w:val="es-ES"/>
        </w:rPr>
        <w:t xml:space="preserve"> establecido en el artículo 44 de la Constitución Política</w:t>
      </w:r>
      <w:r w:rsidRPr="007C57D2">
        <w:rPr>
          <w:rFonts w:ascii="Times New Roman" w:hAnsi="Times New Roman"/>
          <w:sz w:val="28"/>
          <w:szCs w:val="28"/>
          <w:lang w:val="es-ES"/>
        </w:rPr>
        <w:t>;</w:t>
      </w:r>
      <w:r w:rsidRPr="007C57D2">
        <w:rPr>
          <w:rFonts w:ascii="Times New Roman" w:hAnsi="Times New Roman"/>
          <w:sz w:val="28"/>
          <w:szCs w:val="28"/>
          <w:lang w:val="es-ES"/>
        </w:rPr>
        <w:t xml:space="preserve"> </w:t>
      </w:r>
      <w:r w:rsidRPr="007C57D2">
        <w:rPr>
          <w:rFonts w:ascii="Times New Roman" w:hAnsi="Times New Roman"/>
          <w:sz w:val="28"/>
          <w:szCs w:val="28"/>
          <w:lang w:val="es-ES"/>
        </w:rPr>
        <w:t>y</w:t>
      </w:r>
      <w:r w:rsidRPr="007C57D2">
        <w:rPr>
          <w:rFonts w:ascii="Times New Roman" w:hAnsi="Times New Roman"/>
          <w:sz w:val="28"/>
          <w:szCs w:val="28"/>
          <w:lang w:val="es-ES"/>
        </w:rPr>
        <w:t xml:space="preserve"> el </w:t>
      </w:r>
      <w:r w:rsidRPr="007C57D2">
        <w:rPr>
          <w:rFonts w:ascii="Times New Roman" w:hAnsi="Times New Roman"/>
          <w:sz w:val="28"/>
          <w:szCs w:val="28"/>
          <w:lang w:val="es-ES"/>
        </w:rPr>
        <w:t xml:space="preserve">deber del Estado colombiano de proceder inmediatamente a la investigación preliminar o averiguación de la desaparición, </w:t>
      </w:r>
      <w:r w:rsidRPr="007C57D2">
        <w:rPr>
          <w:rFonts w:ascii="Times New Roman" w:hAnsi="Times New Roman"/>
          <w:sz w:val="28"/>
          <w:szCs w:val="28"/>
          <w:lang w:val="es-ES"/>
        </w:rPr>
        <w:t>establecido</w:t>
      </w:r>
      <w:r w:rsidRPr="007C57D2">
        <w:rPr>
          <w:rFonts w:ascii="Times New Roman" w:hAnsi="Times New Roman"/>
          <w:sz w:val="28"/>
          <w:szCs w:val="28"/>
          <w:lang w:val="es-ES"/>
        </w:rPr>
        <w:t xml:space="preserve"> en el </w:t>
      </w:r>
      <w:r w:rsidRPr="007C57D2">
        <w:rPr>
          <w:rFonts w:ascii="Times New Roman" w:hAnsi="Times New Roman"/>
          <w:sz w:val="28"/>
          <w:szCs w:val="28"/>
          <w:lang w:val="es-ES"/>
        </w:rPr>
        <w:t xml:space="preserve">numeral 2 del artículo 10 de la </w:t>
      </w:r>
      <w:r w:rsidRPr="007C57D2">
        <w:rPr>
          <w:rFonts w:ascii="Times New Roman" w:hAnsi="Times New Roman"/>
          <w:sz w:val="28"/>
          <w:szCs w:val="28"/>
        </w:rPr>
        <w:t>Convención Internacional para la Protección de todas las Personas contra las Desaparic</w:t>
      </w:r>
      <w:r w:rsidRPr="007C57D2">
        <w:rPr>
          <w:rFonts w:ascii="Times New Roman" w:hAnsi="Times New Roman"/>
          <w:sz w:val="28"/>
          <w:szCs w:val="28"/>
        </w:rPr>
        <w:t>iones Forzadas</w:t>
      </w:r>
      <w:r w:rsidRPr="007C57D2">
        <w:rPr>
          <w:rStyle w:val="Refdenotaalpie"/>
          <w:rFonts w:ascii="Times New Roman" w:hAnsi="Times New Roman"/>
          <w:sz w:val="28"/>
          <w:szCs w:val="28"/>
        </w:rPr>
        <w:footnoteReference w:id="5"/>
      </w:r>
      <w:r w:rsidRPr="007C57D2">
        <w:rPr>
          <w:rFonts w:ascii="Times New Roman" w:hAnsi="Times New Roman"/>
          <w:sz w:val="28"/>
          <w:szCs w:val="28"/>
        </w:rPr>
        <w:t>.</w:t>
      </w:r>
    </w:p>
    <w:p w:rsidR="00E74A3A" w:rsidRPr="007C57D2" w:rsidRDefault="007C57D2" w:rsidP="008F3DAB">
      <w:pPr>
        <w:pStyle w:val="Prrafodelista"/>
        <w:ind w:left="0"/>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relación con el </w:t>
      </w:r>
      <w:r w:rsidRPr="007C57D2">
        <w:rPr>
          <w:rFonts w:ascii="Times New Roman" w:hAnsi="Times New Roman"/>
          <w:sz w:val="28"/>
          <w:szCs w:val="28"/>
          <w:u w:val="single"/>
          <w:lang w:val="es-ES"/>
        </w:rPr>
        <w:t>artículo 6</w:t>
      </w:r>
      <w:r w:rsidRPr="007C57D2">
        <w:rPr>
          <w:rFonts w:ascii="Times New Roman" w:hAnsi="Times New Roman"/>
          <w:sz w:val="28"/>
          <w:szCs w:val="28"/>
          <w:lang w:val="es-ES"/>
        </w:rPr>
        <w:t>, consideró</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que la </w:t>
      </w:r>
      <w:r w:rsidRPr="007C57D2">
        <w:rPr>
          <w:rFonts w:ascii="Times New Roman" w:hAnsi="Times New Roman"/>
          <w:sz w:val="28"/>
          <w:szCs w:val="28"/>
          <w:lang w:val="es-ES"/>
        </w:rPr>
        <w:t>obligación de</w:t>
      </w:r>
      <w:r w:rsidRPr="007C57D2">
        <w:rPr>
          <w:rFonts w:ascii="Times New Roman" w:hAnsi="Times New Roman"/>
          <w:sz w:val="28"/>
          <w:szCs w:val="28"/>
          <w:lang w:val="es-ES"/>
        </w:rPr>
        <w:t xml:space="preserve"> los prestadores de telecomunicaciones y redes móviles de divulga</w:t>
      </w:r>
      <w:r w:rsidRPr="007C57D2">
        <w:rPr>
          <w:rFonts w:ascii="Times New Roman" w:hAnsi="Times New Roman"/>
          <w:sz w:val="28"/>
          <w:szCs w:val="28"/>
          <w:lang w:val="es-ES"/>
        </w:rPr>
        <w:t>r</w:t>
      </w:r>
      <w:r w:rsidRPr="007C57D2">
        <w:rPr>
          <w:rFonts w:ascii="Times New Roman" w:hAnsi="Times New Roman"/>
          <w:sz w:val="28"/>
          <w:szCs w:val="28"/>
          <w:lang w:val="es-ES"/>
        </w:rPr>
        <w:t xml:space="preserve"> de forma gratuita</w:t>
      </w:r>
      <w:r w:rsidRPr="007C57D2">
        <w:rPr>
          <w:rFonts w:ascii="Times New Roman" w:hAnsi="Times New Roman"/>
          <w:sz w:val="28"/>
          <w:szCs w:val="28"/>
          <w:lang w:val="es-ES"/>
        </w:rPr>
        <w:t xml:space="preserve"> la Alerta Colombia</w:t>
      </w:r>
      <w:r w:rsidRPr="007C57D2">
        <w:rPr>
          <w:rFonts w:ascii="Times New Roman" w:hAnsi="Times New Roman"/>
          <w:sz w:val="28"/>
          <w:szCs w:val="28"/>
          <w:lang w:val="es-ES"/>
        </w:rPr>
        <w:t xml:space="preserve"> es constitucional, porque protege los derechos fundamentales de los menores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 xml:space="preserve">y se fundamenta en el principio de solidaridad. Además, </w:t>
      </w:r>
      <w:r w:rsidRPr="007C57D2">
        <w:rPr>
          <w:rFonts w:ascii="Times New Roman" w:hAnsi="Times New Roman"/>
          <w:sz w:val="28"/>
          <w:szCs w:val="28"/>
          <w:lang w:val="es-ES"/>
        </w:rPr>
        <w:t xml:space="preserve">indicó que esa obligación </w:t>
      </w:r>
      <w:r w:rsidRPr="007C57D2">
        <w:rPr>
          <w:rFonts w:ascii="Times New Roman" w:hAnsi="Times New Roman"/>
          <w:sz w:val="28"/>
          <w:szCs w:val="28"/>
          <w:lang w:val="es-ES"/>
        </w:rPr>
        <w:t>es inherente al servicio público de telecomunicaciones</w:t>
      </w:r>
      <w:r w:rsidRPr="007C57D2">
        <w:rPr>
          <w:rFonts w:ascii="Times New Roman" w:hAnsi="Times New Roman"/>
          <w:sz w:val="28"/>
          <w:szCs w:val="28"/>
          <w:lang w:val="es-ES"/>
        </w:rPr>
        <w:t>,</w:t>
      </w:r>
      <w:r w:rsidRPr="007C57D2">
        <w:rPr>
          <w:rFonts w:ascii="Times New Roman" w:hAnsi="Times New Roman"/>
          <w:sz w:val="28"/>
          <w:szCs w:val="28"/>
          <w:lang w:val="es-ES"/>
        </w:rPr>
        <w:t xml:space="preserve"> de conformidad con lo </w:t>
      </w:r>
      <w:r w:rsidRPr="007C57D2">
        <w:rPr>
          <w:rFonts w:ascii="Times New Roman" w:hAnsi="Times New Roman"/>
          <w:sz w:val="28"/>
          <w:szCs w:val="28"/>
          <w:lang w:val="es-ES"/>
        </w:rPr>
        <w:t>previsto</w:t>
      </w:r>
      <w:r w:rsidRPr="007C57D2">
        <w:rPr>
          <w:rFonts w:ascii="Times New Roman" w:hAnsi="Times New Roman"/>
          <w:sz w:val="28"/>
          <w:szCs w:val="28"/>
          <w:lang w:val="es-ES"/>
        </w:rPr>
        <w:t xml:space="preserve"> en el artículo 333 de la Constitución Política. </w:t>
      </w:r>
      <w:r w:rsidRPr="007C57D2">
        <w:rPr>
          <w:rFonts w:ascii="Times New Roman" w:hAnsi="Times New Roman"/>
          <w:sz w:val="28"/>
          <w:szCs w:val="28"/>
          <w:lang w:val="es-ES"/>
        </w:rPr>
        <w:t xml:space="preserve">Igualmente, la entidad adujo que </w:t>
      </w:r>
      <w:r w:rsidRPr="007C57D2">
        <w:rPr>
          <w:rFonts w:ascii="Times New Roman" w:hAnsi="Times New Roman"/>
          <w:sz w:val="28"/>
          <w:szCs w:val="28"/>
          <w:lang w:val="es-ES"/>
        </w:rPr>
        <w:t xml:space="preserve">la </w:t>
      </w:r>
      <w:r w:rsidRPr="007C57D2">
        <w:rPr>
          <w:rFonts w:ascii="Times New Roman" w:hAnsi="Times New Roman"/>
          <w:sz w:val="28"/>
          <w:szCs w:val="28"/>
          <w:lang w:val="es-ES"/>
        </w:rPr>
        <w:t xml:space="preserve">atribución de </w:t>
      </w:r>
      <w:r w:rsidRPr="007C57D2">
        <w:rPr>
          <w:rFonts w:ascii="Times New Roman" w:hAnsi="Times New Roman"/>
          <w:sz w:val="28"/>
          <w:szCs w:val="28"/>
          <w:lang w:val="es-ES"/>
        </w:rPr>
        <w:t xml:space="preserve">responsabilidad disciplinaria </w:t>
      </w:r>
      <w:r w:rsidRPr="007C57D2">
        <w:rPr>
          <w:rFonts w:ascii="Times New Roman" w:hAnsi="Times New Roman"/>
          <w:sz w:val="28"/>
          <w:szCs w:val="28"/>
          <w:lang w:val="es-ES"/>
        </w:rPr>
        <w:t>al</w:t>
      </w:r>
      <w:r w:rsidRPr="007C57D2">
        <w:rPr>
          <w:rFonts w:ascii="Times New Roman" w:hAnsi="Times New Roman"/>
          <w:sz w:val="28"/>
          <w:szCs w:val="28"/>
          <w:lang w:val="es-ES"/>
        </w:rPr>
        <w:t xml:space="preserve"> funcionario público que reciba el reporte del niño o niña extraviado y no active la alerta</w:t>
      </w:r>
      <w:r w:rsidRPr="007C57D2">
        <w:rPr>
          <w:rFonts w:ascii="Times New Roman" w:hAnsi="Times New Roman"/>
          <w:sz w:val="28"/>
          <w:szCs w:val="28"/>
          <w:lang w:val="es-ES"/>
        </w:rPr>
        <w:t xml:space="preserve"> también se ajusta a la Constituci</w:t>
      </w:r>
      <w:r w:rsidRPr="007C57D2">
        <w:rPr>
          <w:rFonts w:ascii="Times New Roman" w:hAnsi="Times New Roman"/>
          <w:sz w:val="28"/>
          <w:szCs w:val="28"/>
          <w:lang w:val="es-ES"/>
        </w:rPr>
        <w:t>ón</w:t>
      </w:r>
      <w:r w:rsidRPr="007C57D2">
        <w:rPr>
          <w:rFonts w:ascii="Times New Roman" w:hAnsi="Times New Roman"/>
          <w:sz w:val="28"/>
          <w:szCs w:val="28"/>
          <w:lang w:val="es-ES"/>
        </w:rPr>
        <w:t xml:space="preserve">, </w:t>
      </w:r>
      <w:r w:rsidRPr="007C57D2">
        <w:rPr>
          <w:rFonts w:ascii="Times New Roman" w:hAnsi="Times New Roman"/>
          <w:sz w:val="28"/>
          <w:szCs w:val="28"/>
          <w:lang w:val="es-ES"/>
        </w:rPr>
        <w:t>pues tal omisión implica</w:t>
      </w:r>
      <w:r w:rsidRPr="007C57D2">
        <w:rPr>
          <w:rFonts w:ascii="Times New Roman" w:hAnsi="Times New Roman"/>
          <w:sz w:val="28"/>
          <w:szCs w:val="28"/>
          <w:lang w:val="es-ES"/>
        </w:rPr>
        <w:t xml:space="preserve"> el incumplimiento de los deberes y obligaciones </w:t>
      </w:r>
      <w:r w:rsidRPr="007C57D2">
        <w:rPr>
          <w:rFonts w:ascii="Times New Roman" w:hAnsi="Times New Roman"/>
          <w:sz w:val="28"/>
          <w:szCs w:val="28"/>
          <w:lang w:val="es-ES"/>
        </w:rPr>
        <w:t>a cargo</w:t>
      </w:r>
      <w:r w:rsidRPr="007C57D2">
        <w:rPr>
          <w:rFonts w:ascii="Times New Roman" w:hAnsi="Times New Roman"/>
          <w:sz w:val="28"/>
          <w:szCs w:val="28"/>
          <w:lang w:val="es-ES"/>
        </w:rPr>
        <w:t xml:space="preserve">. </w:t>
      </w:r>
    </w:p>
    <w:p w:rsidR="00E74A3A" w:rsidRPr="007C57D2" w:rsidRDefault="007C57D2" w:rsidP="008F3DAB">
      <w:pPr>
        <w:pStyle w:val="Prrafodelista"/>
        <w:ind w:left="0"/>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Por otro lado, consideró que el tratamiento de datos personales que dispone el </w:t>
      </w:r>
      <w:r w:rsidRPr="007C57D2">
        <w:rPr>
          <w:rFonts w:ascii="Times New Roman" w:hAnsi="Times New Roman"/>
          <w:sz w:val="28"/>
          <w:szCs w:val="28"/>
          <w:u w:val="single"/>
          <w:lang w:val="es-ES"/>
        </w:rPr>
        <w:t>artículo 7</w:t>
      </w:r>
      <w:r w:rsidRPr="007C57D2">
        <w:rPr>
          <w:rFonts w:ascii="Times New Roman" w:hAnsi="Times New Roman"/>
          <w:sz w:val="28"/>
          <w:szCs w:val="28"/>
          <w:u w:val="single"/>
          <w:lang w:val="es-ES"/>
        </w:rPr>
        <w:t>,</w:t>
      </w:r>
      <w:r w:rsidRPr="007C57D2">
        <w:rPr>
          <w:rFonts w:ascii="Times New Roman" w:hAnsi="Times New Roman"/>
          <w:sz w:val="28"/>
          <w:szCs w:val="28"/>
          <w:lang w:val="es-ES"/>
        </w:rPr>
        <w:t xml:space="preserve"> únicamente por </w:t>
      </w:r>
      <w:r w:rsidRPr="007C57D2">
        <w:rPr>
          <w:rFonts w:ascii="Times New Roman" w:hAnsi="Times New Roman"/>
          <w:sz w:val="28"/>
          <w:szCs w:val="28"/>
          <w:lang w:val="es-ES"/>
        </w:rPr>
        <w:t>el tiempo de la desaparición, garantiza el derecho a la intimi</w:t>
      </w:r>
      <w:r w:rsidRPr="007C57D2">
        <w:rPr>
          <w:rFonts w:ascii="Times New Roman" w:hAnsi="Times New Roman"/>
          <w:sz w:val="28"/>
          <w:szCs w:val="28"/>
          <w:lang w:val="es-ES"/>
        </w:rPr>
        <w:t>dad</w:t>
      </w:r>
      <w:r w:rsidRPr="007C57D2">
        <w:rPr>
          <w:rFonts w:ascii="Times New Roman" w:hAnsi="Times New Roman"/>
          <w:sz w:val="28"/>
          <w:szCs w:val="28"/>
          <w:lang w:val="es-ES"/>
        </w:rPr>
        <w:t xml:space="preserve"> personal de los menores</w:t>
      </w:r>
      <w:r w:rsidRPr="007C57D2">
        <w:rPr>
          <w:rFonts w:ascii="Times New Roman" w:hAnsi="Times New Roman"/>
          <w:sz w:val="28"/>
          <w:szCs w:val="28"/>
          <w:lang w:val="es-ES"/>
        </w:rPr>
        <w:t xml:space="preserve"> de 18 años</w:t>
      </w:r>
      <w:r w:rsidRPr="007C57D2">
        <w:rPr>
          <w:rFonts w:ascii="Times New Roman" w:hAnsi="Times New Roman"/>
          <w:sz w:val="28"/>
          <w:szCs w:val="28"/>
          <w:lang w:val="es-ES"/>
        </w:rPr>
        <w:t xml:space="preserve">. Asimismo, </w:t>
      </w:r>
      <w:r w:rsidRPr="007C57D2">
        <w:rPr>
          <w:rFonts w:ascii="Times New Roman" w:hAnsi="Times New Roman"/>
          <w:sz w:val="28"/>
          <w:szCs w:val="28"/>
          <w:lang w:val="es-ES"/>
        </w:rPr>
        <w:t xml:space="preserve">explicó </w:t>
      </w:r>
      <w:r w:rsidRPr="007C57D2">
        <w:rPr>
          <w:rFonts w:ascii="Times New Roman" w:hAnsi="Times New Roman"/>
          <w:sz w:val="28"/>
          <w:szCs w:val="28"/>
          <w:lang w:val="es-ES"/>
        </w:rPr>
        <w:t xml:space="preserve">que </w:t>
      </w:r>
      <w:r w:rsidRPr="007C57D2">
        <w:rPr>
          <w:rFonts w:ascii="Times New Roman" w:hAnsi="Times New Roman"/>
          <w:sz w:val="28"/>
          <w:szCs w:val="28"/>
          <w:lang w:val="es-ES"/>
        </w:rPr>
        <w:t xml:space="preserve">el </w:t>
      </w:r>
      <w:r w:rsidRPr="007C57D2">
        <w:rPr>
          <w:rFonts w:ascii="Times New Roman" w:hAnsi="Times New Roman"/>
          <w:sz w:val="28"/>
          <w:szCs w:val="28"/>
          <w:u w:val="single"/>
          <w:lang w:val="es-ES"/>
        </w:rPr>
        <w:t>artículo 8,</w:t>
      </w:r>
      <w:r w:rsidRPr="007C57D2">
        <w:rPr>
          <w:rFonts w:ascii="Times New Roman" w:hAnsi="Times New Roman"/>
          <w:sz w:val="28"/>
          <w:szCs w:val="28"/>
          <w:lang w:val="es-ES"/>
        </w:rPr>
        <w:t xml:space="preserve"> a cuyo tenor procede </w:t>
      </w:r>
      <w:r w:rsidRPr="007C57D2">
        <w:rPr>
          <w:rFonts w:ascii="Times New Roman" w:hAnsi="Times New Roman"/>
          <w:sz w:val="28"/>
          <w:szCs w:val="28"/>
          <w:lang w:val="es-ES"/>
        </w:rPr>
        <w:t xml:space="preserve">la eliminación </w:t>
      </w:r>
      <w:r w:rsidRPr="007C57D2">
        <w:rPr>
          <w:rFonts w:ascii="Times New Roman" w:hAnsi="Times New Roman"/>
          <w:sz w:val="28"/>
          <w:szCs w:val="28"/>
          <w:lang w:val="es-ES"/>
        </w:rPr>
        <w:t xml:space="preserve">inmediata </w:t>
      </w:r>
      <w:r w:rsidRPr="007C57D2">
        <w:rPr>
          <w:rFonts w:ascii="Times New Roman" w:hAnsi="Times New Roman"/>
          <w:sz w:val="28"/>
          <w:szCs w:val="28"/>
          <w:lang w:val="es-ES"/>
        </w:rPr>
        <w:t xml:space="preserve">de los datos </w:t>
      </w:r>
      <w:r w:rsidRPr="007C57D2">
        <w:rPr>
          <w:rFonts w:ascii="Times New Roman" w:hAnsi="Times New Roman"/>
          <w:sz w:val="28"/>
          <w:szCs w:val="28"/>
          <w:lang w:val="es-ES"/>
        </w:rPr>
        <w:t>personales del menor</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 xml:space="preserve">cuando </w:t>
      </w:r>
      <w:r w:rsidRPr="007C57D2">
        <w:rPr>
          <w:rFonts w:ascii="Times New Roman" w:hAnsi="Times New Roman"/>
          <w:sz w:val="28"/>
          <w:szCs w:val="28"/>
          <w:lang w:val="es-ES"/>
        </w:rPr>
        <w:t xml:space="preserve">este es encontrado, </w:t>
      </w:r>
      <w:r w:rsidRPr="007C57D2">
        <w:rPr>
          <w:rFonts w:ascii="Times New Roman" w:hAnsi="Times New Roman"/>
          <w:sz w:val="28"/>
          <w:szCs w:val="28"/>
          <w:lang w:val="es-ES"/>
        </w:rPr>
        <w:t xml:space="preserve">protege el derecho </w:t>
      </w:r>
      <w:r w:rsidRPr="007C57D2">
        <w:rPr>
          <w:rFonts w:ascii="Times New Roman" w:hAnsi="Times New Roman"/>
          <w:sz w:val="28"/>
          <w:szCs w:val="28"/>
          <w:lang w:val="es-ES"/>
        </w:rPr>
        <w:t xml:space="preserve">fundamental </w:t>
      </w:r>
      <w:r w:rsidRPr="007C57D2">
        <w:rPr>
          <w:rFonts w:ascii="Times New Roman" w:hAnsi="Times New Roman"/>
          <w:sz w:val="28"/>
          <w:szCs w:val="28"/>
          <w:lang w:val="es-ES"/>
        </w:rPr>
        <w:t xml:space="preserve">al </w:t>
      </w:r>
      <w:r w:rsidRPr="007C57D2">
        <w:rPr>
          <w:rFonts w:ascii="Times New Roman" w:hAnsi="Times New Roman"/>
          <w:i/>
          <w:iCs/>
          <w:sz w:val="28"/>
          <w:szCs w:val="28"/>
          <w:lang w:val="es-ES"/>
        </w:rPr>
        <w:t>habeas data</w:t>
      </w:r>
      <w:r w:rsidRPr="007C57D2">
        <w:rPr>
          <w:rFonts w:ascii="Times New Roman" w:hAnsi="Times New Roman"/>
          <w:sz w:val="28"/>
          <w:szCs w:val="28"/>
          <w:lang w:val="es-ES"/>
        </w:rPr>
        <w:t>.</w:t>
      </w:r>
    </w:p>
    <w:p w:rsidR="00E74A3A" w:rsidRPr="007C57D2" w:rsidRDefault="007C57D2" w:rsidP="008F3DAB">
      <w:pPr>
        <w:pStyle w:val="Prrafodelista"/>
        <w:ind w:left="0"/>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Frente al </w:t>
      </w:r>
      <w:r w:rsidRPr="007C57D2">
        <w:rPr>
          <w:rFonts w:ascii="Times New Roman" w:hAnsi="Times New Roman"/>
          <w:sz w:val="28"/>
          <w:szCs w:val="28"/>
          <w:u w:val="single"/>
          <w:lang w:val="es-ES"/>
        </w:rPr>
        <w:t>artículo 9</w:t>
      </w:r>
      <w:r w:rsidRPr="007C57D2">
        <w:rPr>
          <w:rFonts w:ascii="Times New Roman" w:hAnsi="Times New Roman"/>
          <w:sz w:val="28"/>
          <w:szCs w:val="28"/>
          <w:lang w:val="es-ES"/>
        </w:rPr>
        <w:t xml:space="preserve">, el Ministerio Público reiteró </w:t>
      </w:r>
      <w:r w:rsidRPr="007C57D2">
        <w:rPr>
          <w:rFonts w:ascii="Times New Roman" w:hAnsi="Times New Roman"/>
          <w:sz w:val="28"/>
          <w:szCs w:val="28"/>
          <w:lang w:val="es-ES"/>
        </w:rPr>
        <w:t>los</w:t>
      </w:r>
      <w:r w:rsidRPr="007C57D2">
        <w:rPr>
          <w:rFonts w:ascii="Times New Roman" w:hAnsi="Times New Roman"/>
          <w:sz w:val="28"/>
          <w:szCs w:val="28"/>
          <w:lang w:val="es-ES"/>
        </w:rPr>
        <w:t xml:space="preserve"> argumentos </w:t>
      </w:r>
      <w:r w:rsidRPr="007C57D2">
        <w:rPr>
          <w:rFonts w:ascii="Times New Roman" w:hAnsi="Times New Roman"/>
          <w:sz w:val="28"/>
          <w:szCs w:val="28"/>
          <w:lang w:val="es-ES"/>
        </w:rPr>
        <w:t xml:space="preserve">expuestos en relación con </w:t>
      </w:r>
      <w:r w:rsidRPr="007C57D2">
        <w:rPr>
          <w:rFonts w:ascii="Times New Roman" w:hAnsi="Times New Roman"/>
          <w:sz w:val="28"/>
          <w:szCs w:val="28"/>
          <w:lang w:val="es-ES"/>
        </w:rPr>
        <w:t xml:space="preserve">el literal a) del artículo 2, </w:t>
      </w:r>
      <w:r w:rsidRPr="007C57D2">
        <w:rPr>
          <w:rFonts w:ascii="Times New Roman" w:hAnsi="Times New Roman"/>
          <w:sz w:val="28"/>
          <w:szCs w:val="28"/>
          <w:lang w:val="es-ES"/>
        </w:rPr>
        <w:t>sobre</w:t>
      </w:r>
      <w:r w:rsidRPr="007C57D2">
        <w:rPr>
          <w:rFonts w:ascii="Times New Roman" w:hAnsi="Times New Roman"/>
          <w:sz w:val="28"/>
          <w:szCs w:val="28"/>
          <w:lang w:val="es-ES"/>
        </w:rPr>
        <w:t xml:space="preserve"> la exclusión </w:t>
      </w:r>
      <w:r w:rsidRPr="007C57D2">
        <w:rPr>
          <w:rFonts w:ascii="Times New Roman" w:hAnsi="Times New Roman"/>
          <w:sz w:val="28"/>
          <w:szCs w:val="28"/>
          <w:lang w:val="es-ES"/>
        </w:rPr>
        <w:t xml:space="preserve">de la población entre los 13 y 17 años </w:t>
      </w:r>
      <w:r w:rsidRPr="007C57D2">
        <w:rPr>
          <w:rFonts w:ascii="Times New Roman" w:hAnsi="Times New Roman"/>
          <w:sz w:val="28"/>
          <w:szCs w:val="28"/>
          <w:lang w:val="es-ES"/>
        </w:rPr>
        <w:t xml:space="preserve">de la </w:t>
      </w:r>
      <w:r w:rsidRPr="007C57D2">
        <w:rPr>
          <w:rFonts w:ascii="Times New Roman" w:hAnsi="Times New Roman"/>
          <w:sz w:val="28"/>
          <w:szCs w:val="28"/>
          <w:lang w:val="es-ES"/>
        </w:rPr>
        <w:t>Alerta Colombia</w:t>
      </w:r>
      <w:r w:rsidRPr="007C57D2">
        <w:rPr>
          <w:rFonts w:ascii="Times New Roman" w:hAnsi="Times New Roman"/>
          <w:sz w:val="28"/>
          <w:szCs w:val="28"/>
          <w:lang w:val="es-ES"/>
        </w:rPr>
        <w:t xml:space="preserve">. </w:t>
      </w:r>
    </w:p>
    <w:p w:rsidR="00E74A3A" w:rsidRPr="007C57D2" w:rsidRDefault="007C57D2" w:rsidP="008F3DAB">
      <w:pPr>
        <w:pStyle w:val="Prrafodelista"/>
        <w:ind w:left="0"/>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Respecto del </w:t>
      </w:r>
      <w:r w:rsidRPr="007C57D2">
        <w:rPr>
          <w:rFonts w:ascii="Times New Roman" w:hAnsi="Times New Roman"/>
          <w:sz w:val="28"/>
          <w:szCs w:val="28"/>
          <w:u w:val="single"/>
          <w:lang w:val="es-ES"/>
        </w:rPr>
        <w:t>artículo 10</w:t>
      </w:r>
      <w:r w:rsidRPr="007C57D2">
        <w:rPr>
          <w:rFonts w:ascii="Times New Roman" w:hAnsi="Times New Roman"/>
          <w:sz w:val="28"/>
          <w:szCs w:val="28"/>
          <w:u w:val="single"/>
          <w:lang w:val="es-ES"/>
        </w:rPr>
        <w:t>,</w:t>
      </w:r>
      <w:r w:rsidRPr="007C57D2">
        <w:rPr>
          <w:rFonts w:ascii="Times New Roman" w:hAnsi="Times New Roman"/>
          <w:sz w:val="28"/>
          <w:szCs w:val="28"/>
          <w:lang w:val="es-ES"/>
        </w:rPr>
        <w:t xml:space="preserve"> la entidad señaló que </w:t>
      </w:r>
      <w:r w:rsidRPr="007C57D2">
        <w:rPr>
          <w:rFonts w:ascii="Times New Roman" w:hAnsi="Times New Roman"/>
          <w:sz w:val="28"/>
          <w:szCs w:val="28"/>
          <w:lang w:val="es-ES"/>
        </w:rPr>
        <w:t>el</w:t>
      </w:r>
      <w:r w:rsidRPr="007C57D2">
        <w:rPr>
          <w:rFonts w:ascii="Times New Roman" w:hAnsi="Times New Roman"/>
          <w:sz w:val="28"/>
          <w:szCs w:val="28"/>
          <w:lang w:val="es-ES"/>
        </w:rPr>
        <w:t xml:space="preserve"> procedimi</w:t>
      </w:r>
      <w:r w:rsidRPr="007C57D2">
        <w:rPr>
          <w:rFonts w:ascii="Times New Roman" w:hAnsi="Times New Roman"/>
          <w:sz w:val="28"/>
          <w:szCs w:val="28"/>
          <w:lang w:val="es-ES"/>
        </w:rPr>
        <w:t xml:space="preserve">ento para la activación de la </w:t>
      </w:r>
      <w:r w:rsidRPr="007C57D2">
        <w:rPr>
          <w:rFonts w:ascii="Times New Roman" w:hAnsi="Times New Roman"/>
          <w:sz w:val="28"/>
          <w:szCs w:val="28"/>
          <w:lang w:val="es-ES"/>
        </w:rPr>
        <w:t xml:space="preserve">Alerta Colombia se </w:t>
      </w:r>
      <w:r w:rsidRPr="007C57D2">
        <w:rPr>
          <w:rFonts w:ascii="Times New Roman" w:hAnsi="Times New Roman"/>
          <w:sz w:val="28"/>
          <w:szCs w:val="28"/>
          <w:lang w:val="es-ES"/>
        </w:rPr>
        <w:t>soporta en los principios de celeridad, eficacia y publicidad</w:t>
      </w:r>
      <w:r w:rsidRPr="007C57D2">
        <w:rPr>
          <w:rFonts w:ascii="Times New Roman" w:hAnsi="Times New Roman"/>
          <w:sz w:val="28"/>
          <w:szCs w:val="28"/>
          <w:lang w:val="es-ES"/>
        </w:rPr>
        <w:t xml:space="preserve"> y, por ende</w:t>
      </w:r>
      <w:r w:rsidRPr="007C57D2">
        <w:rPr>
          <w:rFonts w:ascii="Times New Roman" w:hAnsi="Times New Roman"/>
          <w:sz w:val="28"/>
          <w:szCs w:val="28"/>
          <w:lang w:val="es-ES"/>
        </w:rPr>
        <w:t xml:space="preserve">, contribuye a </w:t>
      </w:r>
      <w:r w:rsidRPr="007C57D2">
        <w:rPr>
          <w:rFonts w:ascii="Times New Roman" w:hAnsi="Times New Roman"/>
          <w:sz w:val="28"/>
          <w:szCs w:val="28"/>
          <w:lang w:val="es-ES"/>
        </w:rPr>
        <w:t xml:space="preserve">la </w:t>
      </w:r>
      <w:r w:rsidRPr="007C57D2">
        <w:rPr>
          <w:rFonts w:ascii="Times New Roman" w:hAnsi="Times New Roman"/>
          <w:sz w:val="28"/>
          <w:szCs w:val="28"/>
          <w:lang w:val="es-ES"/>
        </w:rPr>
        <w:t>rápida y eficiente búsqueda de los menores</w:t>
      </w:r>
      <w:r w:rsidRPr="007C57D2">
        <w:rPr>
          <w:rFonts w:ascii="Times New Roman" w:hAnsi="Times New Roman"/>
          <w:sz w:val="28"/>
          <w:szCs w:val="28"/>
          <w:lang w:val="es-ES"/>
        </w:rPr>
        <w:t xml:space="preserve"> de 18 años</w:t>
      </w:r>
      <w:r w:rsidRPr="007C57D2">
        <w:rPr>
          <w:rFonts w:ascii="Times New Roman" w:hAnsi="Times New Roman"/>
          <w:sz w:val="28"/>
          <w:szCs w:val="28"/>
          <w:lang w:val="es-ES"/>
        </w:rPr>
        <w:t>. Adicionalmente, dado que los mecanismos de búsqueda pueden co</w:t>
      </w:r>
      <w:r w:rsidRPr="007C57D2">
        <w:rPr>
          <w:rFonts w:ascii="Times New Roman" w:hAnsi="Times New Roman"/>
          <w:sz w:val="28"/>
          <w:szCs w:val="28"/>
          <w:lang w:val="es-ES"/>
        </w:rPr>
        <w:t xml:space="preserve">mprometer los derechos </w:t>
      </w:r>
      <w:r w:rsidRPr="007C57D2">
        <w:rPr>
          <w:rFonts w:ascii="Times New Roman" w:hAnsi="Times New Roman"/>
          <w:sz w:val="28"/>
          <w:szCs w:val="28"/>
          <w:lang w:val="es-ES"/>
        </w:rPr>
        <w:t>fundamentales a la</w:t>
      </w:r>
      <w:r w:rsidRPr="007C57D2">
        <w:rPr>
          <w:rFonts w:ascii="Times New Roman" w:hAnsi="Times New Roman"/>
          <w:sz w:val="28"/>
          <w:szCs w:val="28"/>
          <w:lang w:val="es-ES"/>
        </w:rPr>
        <w:t xml:space="preserve"> dignidad humana, </w:t>
      </w:r>
      <w:r w:rsidRPr="007C57D2">
        <w:rPr>
          <w:rFonts w:ascii="Times New Roman" w:hAnsi="Times New Roman"/>
          <w:sz w:val="28"/>
          <w:szCs w:val="28"/>
          <w:lang w:val="es-ES"/>
        </w:rPr>
        <w:t xml:space="preserve">la </w:t>
      </w:r>
      <w:r w:rsidRPr="007C57D2">
        <w:rPr>
          <w:rFonts w:ascii="Times New Roman" w:hAnsi="Times New Roman"/>
          <w:sz w:val="28"/>
          <w:szCs w:val="28"/>
          <w:lang w:val="es-ES"/>
        </w:rPr>
        <w:t xml:space="preserve">vida, </w:t>
      </w:r>
      <w:r w:rsidRPr="007C57D2">
        <w:rPr>
          <w:rFonts w:ascii="Times New Roman" w:hAnsi="Times New Roman"/>
          <w:sz w:val="28"/>
          <w:szCs w:val="28"/>
          <w:lang w:val="es-ES"/>
        </w:rPr>
        <w:t xml:space="preserve">la </w:t>
      </w:r>
      <w:r w:rsidRPr="007C57D2">
        <w:rPr>
          <w:rFonts w:ascii="Times New Roman" w:hAnsi="Times New Roman"/>
          <w:sz w:val="28"/>
          <w:szCs w:val="28"/>
          <w:lang w:val="es-ES"/>
        </w:rPr>
        <w:t xml:space="preserve">salud </w:t>
      </w:r>
      <w:r w:rsidRPr="007C57D2">
        <w:rPr>
          <w:rFonts w:ascii="Times New Roman" w:hAnsi="Times New Roman"/>
          <w:sz w:val="28"/>
          <w:szCs w:val="28"/>
          <w:lang w:val="es-ES"/>
        </w:rPr>
        <w:t>y la</w:t>
      </w:r>
      <w:r w:rsidRPr="007C57D2">
        <w:rPr>
          <w:rFonts w:ascii="Times New Roman" w:hAnsi="Times New Roman"/>
          <w:sz w:val="28"/>
          <w:szCs w:val="28"/>
          <w:lang w:val="es-ES"/>
        </w:rPr>
        <w:t xml:space="preserve"> integridad física, el Estado debe </w:t>
      </w:r>
      <w:r w:rsidRPr="007C57D2">
        <w:rPr>
          <w:rFonts w:ascii="Times New Roman" w:hAnsi="Times New Roman"/>
          <w:sz w:val="28"/>
          <w:szCs w:val="28"/>
          <w:lang w:val="es-ES"/>
        </w:rPr>
        <w:t>revisar esos mecanismos de forma</w:t>
      </w:r>
      <w:r w:rsidRPr="007C57D2">
        <w:rPr>
          <w:rFonts w:ascii="Times New Roman" w:hAnsi="Times New Roman"/>
          <w:sz w:val="28"/>
          <w:szCs w:val="28"/>
          <w:lang w:val="es-ES"/>
        </w:rPr>
        <w:t xml:space="preserve"> permanente para fortalecerlos y actualizarlos. </w:t>
      </w:r>
    </w:p>
    <w:p w:rsidR="00E74A3A" w:rsidRPr="007C57D2" w:rsidRDefault="007C57D2" w:rsidP="008F3DAB">
      <w:pPr>
        <w:pStyle w:val="Prrafodelista"/>
        <w:ind w:left="0"/>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El </w:t>
      </w:r>
      <w:r w:rsidRPr="007C57D2">
        <w:rPr>
          <w:rFonts w:ascii="Times New Roman" w:hAnsi="Times New Roman"/>
          <w:sz w:val="28"/>
          <w:szCs w:val="28"/>
          <w:u w:val="single"/>
          <w:lang w:val="es-ES"/>
        </w:rPr>
        <w:t>artículo 11</w:t>
      </w:r>
      <w:r w:rsidRPr="007C57D2">
        <w:rPr>
          <w:rFonts w:ascii="Times New Roman" w:hAnsi="Times New Roman"/>
          <w:sz w:val="28"/>
          <w:szCs w:val="28"/>
          <w:lang w:val="es-ES"/>
        </w:rPr>
        <w:t xml:space="preserve"> no contradice ninguna norma constitucional</w:t>
      </w:r>
      <w:r w:rsidRPr="007C57D2">
        <w:rPr>
          <w:rFonts w:ascii="Times New Roman" w:hAnsi="Times New Roman"/>
          <w:sz w:val="28"/>
          <w:szCs w:val="28"/>
          <w:lang w:val="es-ES"/>
        </w:rPr>
        <w:t>,</w:t>
      </w:r>
      <w:r w:rsidRPr="007C57D2">
        <w:rPr>
          <w:rFonts w:ascii="Times New Roman" w:hAnsi="Times New Roman"/>
          <w:sz w:val="28"/>
          <w:szCs w:val="28"/>
          <w:lang w:val="es-ES"/>
        </w:rPr>
        <w:t xml:space="preserve"> porque la ampliación de</w:t>
      </w:r>
      <w:r w:rsidRPr="007C57D2">
        <w:rPr>
          <w:rFonts w:ascii="Times New Roman" w:hAnsi="Times New Roman"/>
          <w:sz w:val="28"/>
          <w:szCs w:val="28"/>
          <w:lang w:val="es-ES"/>
        </w:rPr>
        <w:t xml:space="preserve">l área de difusión </w:t>
      </w:r>
      <w:r w:rsidRPr="007C57D2">
        <w:rPr>
          <w:rFonts w:ascii="Times New Roman" w:hAnsi="Times New Roman"/>
          <w:sz w:val="28"/>
          <w:szCs w:val="28"/>
          <w:lang w:val="es-ES"/>
        </w:rPr>
        <w:t xml:space="preserve">de la Alerta Colombia, según las circunstancias, permite que esta </w:t>
      </w:r>
      <w:r w:rsidRPr="007C57D2">
        <w:rPr>
          <w:rFonts w:ascii="Times New Roman" w:hAnsi="Times New Roman"/>
          <w:sz w:val="28"/>
          <w:szCs w:val="28"/>
          <w:lang w:val="es-ES"/>
        </w:rPr>
        <w:t xml:space="preserve">sea específica y efectiva. </w:t>
      </w:r>
      <w:r w:rsidRPr="007C57D2">
        <w:rPr>
          <w:rFonts w:ascii="Times New Roman" w:hAnsi="Times New Roman"/>
          <w:sz w:val="28"/>
          <w:szCs w:val="28"/>
          <w:lang w:val="es-ES"/>
        </w:rPr>
        <w:t>De otro lado, l</w:t>
      </w:r>
      <w:r w:rsidRPr="007C57D2">
        <w:rPr>
          <w:rFonts w:ascii="Times New Roman" w:hAnsi="Times New Roman"/>
          <w:sz w:val="28"/>
          <w:szCs w:val="28"/>
          <w:lang w:val="es-ES"/>
        </w:rPr>
        <w:t xml:space="preserve">a obligación impuesta en el </w:t>
      </w:r>
      <w:r w:rsidRPr="007C57D2">
        <w:rPr>
          <w:rFonts w:ascii="Times New Roman" w:hAnsi="Times New Roman"/>
          <w:sz w:val="28"/>
          <w:szCs w:val="28"/>
          <w:u w:val="single"/>
          <w:lang w:val="es-ES"/>
        </w:rPr>
        <w:t>artículo 12</w:t>
      </w:r>
      <w:r w:rsidRPr="007C57D2">
        <w:rPr>
          <w:rFonts w:ascii="Times New Roman" w:hAnsi="Times New Roman"/>
          <w:sz w:val="28"/>
          <w:szCs w:val="28"/>
          <w:lang w:val="es-ES"/>
        </w:rPr>
        <w:t xml:space="preserve"> a la Policía Nacional</w:t>
      </w:r>
      <w:r w:rsidRPr="007C57D2">
        <w:rPr>
          <w:rFonts w:ascii="Times New Roman" w:hAnsi="Times New Roman"/>
          <w:sz w:val="28"/>
          <w:szCs w:val="28"/>
          <w:lang w:val="es-ES"/>
        </w:rPr>
        <w:t>,</w:t>
      </w:r>
      <w:r w:rsidRPr="007C57D2">
        <w:rPr>
          <w:rFonts w:ascii="Times New Roman" w:hAnsi="Times New Roman"/>
          <w:sz w:val="28"/>
          <w:szCs w:val="28"/>
          <w:lang w:val="es-ES"/>
        </w:rPr>
        <w:t xml:space="preserve"> relativa a </w:t>
      </w:r>
      <w:r w:rsidRPr="007C57D2">
        <w:rPr>
          <w:rFonts w:ascii="Times New Roman" w:hAnsi="Times New Roman"/>
          <w:sz w:val="28"/>
          <w:szCs w:val="28"/>
          <w:lang w:val="es-ES"/>
        </w:rPr>
        <w:t xml:space="preserve">la </w:t>
      </w:r>
      <w:r w:rsidRPr="007C57D2">
        <w:rPr>
          <w:rFonts w:ascii="Times New Roman" w:hAnsi="Times New Roman"/>
          <w:sz w:val="28"/>
          <w:szCs w:val="28"/>
          <w:lang w:val="es-ES"/>
        </w:rPr>
        <w:t>implementa</w:t>
      </w:r>
      <w:r w:rsidRPr="007C57D2">
        <w:rPr>
          <w:rFonts w:ascii="Times New Roman" w:hAnsi="Times New Roman"/>
          <w:sz w:val="28"/>
          <w:szCs w:val="28"/>
          <w:lang w:val="es-ES"/>
        </w:rPr>
        <w:t>ción de</w:t>
      </w:r>
      <w:r w:rsidRPr="007C57D2">
        <w:rPr>
          <w:rFonts w:ascii="Times New Roman" w:hAnsi="Times New Roman"/>
          <w:sz w:val="28"/>
          <w:szCs w:val="28"/>
          <w:lang w:val="es-ES"/>
        </w:rPr>
        <w:t xml:space="preserve"> mecanismos</w:t>
      </w:r>
      <w:r w:rsidRPr="007C57D2">
        <w:rPr>
          <w:rFonts w:ascii="Times New Roman" w:hAnsi="Times New Roman"/>
          <w:sz w:val="28"/>
          <w:szCs w:val="28"/>
          <w:lang w:val="es-ES"/>
        </w:rPr>
        <w:t xml:space="preserve"> de búsqueda, </w:t>
      </w:r>
      <w:r w:rsidRPr="007C57D2">
        <w:rPr>
          <w:rFonts w:ascii="Times New Roman" w:hAnsi="Times New Roman"/>
          <w:sz w:val="28"/>
          <w:szCs w:val="28"/>
          <w:lang w:val="es-ES"/>
        </w:rPr>
        <w:t xml:space="preserve">es coherente con el deber de las </w:t>
      </w:r>
      <w:r w:rsidRPr="007C57D2">
        <w:rPr>
          <w:rFonts w:ascii="Times New Roman" w:hAnsi="Times New Roman"/>
          <w:sz w:val="28"/>
          <w:szCs w:val="28"/>
          <w:lang w:val="es-ES"/>
        </w:rPr>
        <w:t xml:space="preserve">autoridades </w:t>
      </w:r>
      <w:r w:rsidRPr="007C57D2">
        <w:rPr>
          <w:rFonts w:ascii="Times New Roman" w:hAnsi="Times New Roman"/>
          <w:sz w:val="28"/>
          <w:szCs w:val="28"/>
          <w:lang w:val="es-ES"/>
        </w:rPr>
        <w:t xml:space="preserve">públicas </w:t>
      </w:r>
      <w:r w:rsidRPr="007C57D2">
        <w:rPr>
          <w:rFonts w:ascii="Times New Roman" w:hAnsi="Times New Roman"/>
          <w:sz w:val="28"/>
          <w:szCs w:val="28"/>
          <w:lang w:val="es-ES"/>
        </w:rPr>
        <w:t xml:space="preserve">de velar por la garantía efectiva de los derechos fundamentales. </w:t>
      </w:r>
    </w:p>
    <w:p w:rsidR="00E74A3A" w:rsidRPr="007C57D2" w:rsidRDefault="007C57D2" w:rsidP="008F3DAB">
      <w:pPr>
        <w:pStyle w:val="Prrafodelista"/>
        <w:ind w:left="0"/>
        <w:rPr>
          <w:rFonts w:ascii="Times New Roman" w:hAnsi="Times New Roman"/>
          <w:sz w:val="28"/>
          <w:szCs w:val="28"/>
          <w:lang w:val="es-ES"/>
        </w:rPr>
      </w:pPr>
    </w:p>
    <w:p w:rsidR="003A779F"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L</w:t>
      </w:r>
      <w:r w:rsidRPr="007C57D2">
        <w:rPr>
          <w:rFonts w:ascii="Times New Roman" w:hAnsi="Times New Roman"/>
          <w:sz w:val="28"/>
          <w:szCs w:val="28"/>
          <w:lang w:val="es-ES"/>
        </w:rPr>
        <w:t>a entidad consideró</w:t>
      </w:r>
      <w:r w:rsidRPr="007C57D2">
        <w:rPr>
          <w:rFonts w:ascii="Times New Roman" w:hAnsi="Times New Roman"/>
          <w:sz w:val="28"/>
          <w:szCs w:val="28"/>
          <w:lang w:val="es-ES"/>
        </w:rPr>
        <w:t xml:space="preserve"> que</w:t>
      </w:r>
      <w:r w:rsidRPr="007C57D2">
        <w:rPr>
          <w:rFonts w:ascii="Times New Roman" w:hAnsi="Times New Roman"/>
          <w:sz w:val="28"/>
          <w:szCs w:val="28"/>
          <w:lang w:val="es-ES"/>
        </w:rPr>
        <w:t xml:space="preserve"> </w:t>
      </w:r>
      <w:r w:rsidRPr="007C57D2">
        <w:rPr>
          <w:rFonts w:ascii="Times New Roman" w:hAnsi="Times New Roman"/>
          <w:sz w:val="28"/>
          <w:szCs w:val="28"/>
          <w:lang w:val="es-ES"/>
        </w:rPr>
        <w:t>el deber d</w:t>
      </w:r>
      <w:r w:rsidRPr="007C57D2">
        <w:rPr>
          <w:rFonts w:ascii="Times New Roman" w:hAnsi="Times New Roman"/>
          <w:sz w:val="28"/>
          <w:szCs w:val="28"/>
          <w:lang w:val="es-ES"/>
        </w:rPr>
        <w:t xml:space="preserve">el </w:t>
      </w:r>
      <w:r w:rsidRPr="007C57D2">
        <w:rPr>
          <w:rFonts w:ascii="Times New Roman" w:hAnsi="Times New Roman"/>
          <w:sz w:val="28"/>
          <w:szCs w:val="28"/>
          <w:lang w:val="es-ES"/>
        </w:rPr>
        <w:t>ICBF</w:t>
      </w:r>
      <w:r w:rsidRPr="007C57D2">
        <w:rPr>
          <w:rFonts w:ascii="Times New Roman" w:hAnsi="Times New Roman"/>
          <w:sz w:val="28"/>
          <w:szCs w:val="28"/>
          <w:lang w:val="es-ES"/>
        </w:rPr>
        <w:t xml:space="preserve"> y el </w:t>
      </w:r>
      <w:r w:rsidRPr="007C57D2">
        <w:rPr>
          <w:rFonts w:ascii="Times New Roman" w:hAnsi="Times New Roman"/>
          <w:sz w:val="28"/>
          <w:szCs w:val="28"/>
        </w:rPr>
        <w:t>Instituto Nacional de Medicina Legal y Ciencias Forenses</w:t>
      </w:r>
      <w:r w:rsidRPr="007C57D2">
        <w:rPr>
          <w:rFonts w:ascii="Times New Roman" w:hAnsi="Times New Roman"/>
          <w:sz w:val="28"/>
          <w:szCs w:val="28"/>
        </w:rPr>
        <w:t xml:space="preserve"> de entregar sendos informes al Congreso de la República</w:t>
      </w:r>
      <w:r w:rsidRPr="007C57D2">
        <w:rPr>
          <w:rFonts w:ascii="Times New Roman" w:hAnsi="Times New Roman"/>
          <w:sz w:val="28"/>
          <w:szCs w:val="28"/>
        </w:rPr>
        <w:t xml:space="preserve">, de conformidad con el </w:t>
      </w:r>
      <w:r w:rsidRPr="007C57D2">
        <w:rPr>
          <w:rFonts w:ascii="Times New Roman" w:hAnsi="Times New Roman"/>
          <w:sz w:val="28"/>
          <w:szCs w:val="28"/>
          <w:u w:val="single"/>
        </w:rPr>
        <w:t>artículo 13</w:t>
      </w:r>
      <w:r w:rsidRPr="007C57D2">
        <w:rPr>
          <w:rFonts w:ascii="Times New Roman" w:hAnsi="Times New Roman"/>
          <w:sz w:val="28"/>
          <w:szCs w:val="28"/>
        </w:rPr>
        <w:t xml:space="preserve">, constituye un medio de control que permite evaluar la efectividad de </w:t>
      </w:r>
      <w:r w:rsidRPr="007C57D2">
        <w:rPr>
          <w:rFonts w:ascii="Times New Roman" w:hAnsi="Times New Roman"/>
          <w:sz w:val="28"/>
          <w:szCs w:val="28"/>
        </w:rPr>
        <w:t xml:space="preserve">la </w:t>
      </w:r>
      <w:r w:rsidRPr="007C57D2">
        <w:rPr>
          <w:rFonts w:ascii="Times New Roman" w:hAnsi="Times New Roman"/>
          <w:sz w:val="28"/>
          <w:szCs w:val="28"/>
        </w:rPr>
        <w:t>Alerta Colombia y la transparencia de la herramienta</w:t>
      </w:r>
      <w:r w:rsidRPr="007C57D2">
        <w:rPr>
          <w:rFonts w:ascii="Times New Roman" w:hAnsi="Times New Roman"/>
          <w:sz w:val="28"/>
          <w:szCs w:val="28"/>
        </w:rPr>
        <w:t>. Del mismo modo, sostuvo que, de confo</w:t>
      </w:r>
      <w:r w:rsidRPr="007C57D2">
        <w:rPr>
          <w:rFonts w:ascii="Times New Roman" w:hAnsi="Times New Roman"/>
          <w:sz w:val="28"/>
          <w:szCs w:val="28"/>
        </w:rPr>
        <w:t>rmidad con lo dispuesto en el artículo 189, numeral 11, de la Constitución, la facultad reglamentaria atribuida por</w:t>
      </w:r>
      <w:r w:rsidRPr="007C57D2">
        <w:rPr>
          <w:rFonts w:ascii="Times New Roman" w:hAnsi="Times New Roman"/>
          <w:sz w:val="28"/>
          <w:szCs w:val="28"/>
        </w:rPr>
        <w:t xml:space="preserve"> el </w:t>
      </w:r>
      <w:r w:rsidRPr="007C57D2">
        <w:rPr>
          <w:rFonts w:ascii="Times New Roman" w:hAnsi="Times New Roman"/>
          <w:sz w:val="28"/>
          <w:szCs w:val="28"/>
          <w:u w:val="single"/>
        </w:rPr>
        <w:t>artículo 14</w:t>
      </w:r>
      <w:r w:rsidRPr="007C57D2">
        <w:rPr>
          <w:rFonts w:ascii="Times New Roman" w:hAnsi="Times New Roman"/>
          <w:sz w:val="28"/>
          <w:szCs w:val="28"/>
        </w:rPr>
        <w:t xml:space="preserve"> es constitucional</w:t>
      </w:r>
      <w:r w:rsidRPr="007C57D2">
        <w:rPr>
          <w:rFonts w:ascii="Times New Roman" w:hAnsi="Times New Roman"/>
          <w:sz w:val="28"/>
          <w:szCs w:val="28"/>
        </w:rPr>
        <w:t>.</w:t>
      </w:r>
    </w:p>
    <w:p w:rsidR="003A779F" w:rsidRPr="007C57D2" w:rsidRDefault="007C57D2" w:rsidP="008F3DAB">
      <w:pPr>
        <w:pStyle w:val="Prrafodelista"/>
        <w:tabs>
          <w:tab w:val="left" w:pos="567"/>
        </w:tabs>
        <w:ind w:left="0"/>
        <w:jc w:val="both"/>
        <w:rPr>
          <w:rFonts w:ascii="Times New Roman" w:hAnsi="Times New Roman"/>
          <w:sz w:val="28"/>
          <w:szCs w:val="28"/>
          <w:lang w:val="es-ES"/>
        </w:rPr>
      </w:pPr>
    </w:p>
    <w:p w:rsidR="00E74A3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Por último, la Procuraduría General de la Nación indicó que</w:t>
      </w:r>
      <w:r w:rsidRPr="007C57D2">
        <w:rPr>
          <w:rFonts w:ascii="Times New Roman" w:hAnsi="Times New Roman"/>
          <w:sz w:val="28"/>
          <w:szCs w:val="28"/>
        </w:rPr>
        <w:t xml:space="preserve"> el momento de </w:t>
      </w:r>
      <w:r w:rsidRPr="007C57D2">
        <w:rPr>
          <w:rFonts w:ascii="Times New Roman" w:hAnsi="Times New Roman"/>
          <w:sz w:val="28"/>
          <w:szCs w:val="28"/>
        </w:rPr>
        <w:t>entrada en vigor</w:t>
      </w:r>
      <w:r w:rsidRPr="007C57D2">
        <w:rPr>
          <w:rFonts w:ascii="Times New Roman" w:hAnsi="Times New Roman"/>
          <w:sz w:val="28"/>
          <w:szCs w:val="28"/>
        </w:rPr>
        <w:t xml:space="preserve"> del </w:t>
      </w:r>
      <w:r w:rsidRPr="007C57D2">
        <w:rPr>
          <w:rFonts w:ascii="Times New Roman" w:hAnsi="Times New Roman"/>
          <w:bCs/>
          <w:sz w:val="28"/>
          <w:szCs w:val="28"/>
          <w:bdr w:val="none" w:sz="0" w:space="0" w:color="auto" w:frame="1"/>
          <w:lang w:eastAsia="es-MX"/>
        </w:rPr>
        <w:t>PLE</w:t>
      </w:r>
      <w:r w:rsidRPr="007C57D2">
        <w:rPr>
          <w:rFonts w:ascii="Times New Roman" w:hAnsi="Times New Roman"/>
          <w:sz w:val="28"/>
          <w:szCs w:val="28"/>
        </w:rPr>
        <w:t>, según</w:t>
      </w:r>
      <w:r w:rsidRPr="007C57D2">
        <w:rPr>
          <w:rFonts w:ascii="Times New Roman" w:hAnsi="Times New Roman"/>
          <w:sz w:val="28"/>
          <w:szCs w:val="28"/>
        </w:rPr>
        <w:t xml:space="preserve"> el </w:t>
      </w:r>
      <w:r w:rsidRPr="007C57D2">
        <w:rPr>
          <w:rFonts w:ascii="Times New Roman" w:hAnsi="Times New Roman"/>
          <w:sz w:val="28"/>
          <w:szCs w:val="28"/>
          <w:u w:val="single"/>
        </w:rPr>
        <w:t>artículo 15</w:t>
      </w:r>
      <w:r w:rsidRPr="007C57D2">
        <w:rPr>
          <w:rFonts w:ascii="Times New Roman" w:hAnsi="Times New Roman"/>
          <w:sz w:val="28"/>
          <w:szCs w:val="28"/>
        </w:rPr>
        <w:t xml:space="preserve">, responde a una facultad propia de la autoridad que ejerce la función legislativa. </w:t>
      </w:r>
    </w:p>
    <w:p w:rsidR="00AF7F6A" w:rsidRPr="007C57D2" w:rsidRDefault="007C57D2" w:rsidP="008F3DAB">
      <w:pPr>
        <w:pStyle w:val="Prrafodelista"/>
        <w:tabs>
          <w:tab w:val="left" w:pos="360"/>
        </w:tabs>
        <w:ind w:left="0"/>
        <w:jc w:val="both"/>
        <w:rPr>
          <w:rFonts w:ascii="Times New Roman" w:hAnsi="Times New Roman"/>
          <w:sz w:val="28"/>
          <w:szCs w:val="28"/>
          <w:lang w:eastAsia="es-MX"/>
        </w:rPr>
      </w:pPr>
    </w:p>
    <w:p w:rsidR="00AF7F6A" w:rsidRPr="007C57D2" w:rsidRDefault="007C57D2" w:rsidP="008F3DAB">
      <w:pPr>
        <w:pStyle w:val="Ttulo1"/>
        <w:spacing w:before="0" w:line="240" w:lineRule="auto"/>
        <w:rPr>
          <w:rFonts w:ascii="Times New Roman" w:hAnsi="Times New Roman"/>
          <w:b/>
          <w:bCs/>
          <w:color w:val="000000"/>
          <w:sz w:val="28"/>
          <w:lang w:eastAsia="es-ES"/>
        </w:rPr>
      </w:pPr>
      <w:bookmarkStart w:id="8" w:name="_Toc222728023"/>
      <w:r w:rsidRPr="007C57D2">
        <w:rPr>
          <w:rFonts w:ascii="Times New Roman" w:hAnsi="Times New Roman"/>
          <w:b/>
          <w:bCs/>
          <w:color w:val="000000"/>
          <w:sz w:val="28"/>
          <w:lang w:eastAsia="es-ES"/>
        </w:rPr>
        <w:t>III. CONSIDERACIONES DE LA CORTE</w:t>
      </w:r>
      <w:bookmarkEnd w:id="8"/>
    </w:p>
    <w:p w:rsidR="00AF7F6A" w:rsidRPr="007C57D2" w:rsidRDefault="007C57D2" w:rsidP="008F3DAB">
      <w:pPr>
        <w:tabs>
          <w:tab w:val="left" w:pos="360"/>
        </w:tabs>
        <w:spacing w:after="0" w:line="240" w:lineRule="auto"/>
        <w:jc w:val="both"/>
        <w:rPr>
          <w:rFonts w:ascii="Times New Roman" w:hAnsi="Times New Roman"/>
          <w:b/>
          <w:bCs/>
          <w:sz w:val="28"/>
          <w:szCs w:val="28"/>
          <w:lang w:eastAsia="es-ES"/>
        </w:rPr>
      </w:pPr>
    </w:p>
    <w:p w:rsidR="00AF7F6A" w:rsidRPr="007C57D2" w:rsidRDefault="007C57D2" w:rsidP="008F3DAB">
      <w:pPr>
        <w:pStyle w:val="Ttulo2"/>
        <w:spacing w:before="0" w:line="240" w:lineRule="auto"/>
        <w:rPr>
          <w:rFonts w:ascii="Times New Roman" w:hAnsi="Times New Roman"/>
          <w:b/>
          <w:bCs/>
          <w:color w:val="000000"/>
          <w:sz w:val="28"/>
          <w:szCs w:val="28"/>
          <w:lang w:eastAsia="es-ES"/>
        </w:rPr>
      </w:pPr>
      <w:bookmarkStart w:id="9" w:name="_Toc222728024"/>
      <w:r w:rsidRPr="007C57D2">
        <w:rPr>
          <w:rFonts w:ascii="Times New Roman" w:hAnsi="Times New Roman"/>
          <w:b/>
          <w:bCs/>
          <w:color w:val="000000"/>
          <w:sz w:val="28"/>
          <w:szCs w:val="28"/>
          <w:lang w:eastAsia="es-ES"/>
        </w:rPr>
        <w:t>1. Competencia</w:t>
      </w:r>
      <w:bookmarkEnd w:id="9"/>
    </w:p>
    <w:p w:rsidR="00AF7F6A" w:rsidRPr="007C57D2" w:rsidRDefault="007C57D2" w:rsidP="008F3DAB">
      <w:pPr>
        <w:pStyle w:val="Prrafodelista"/>
        <w:tabs>
          <w:tab w:val="left" w:pos="360"/>
        </w:tabs>
        <w:ind w:left="0"/>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iCs/>
          <w:sz w:val="28"/>
          <w:szCs w:val="28"/>
          <w:lang w:eastAsia="es-ES"/>
        </w:rPr>
        <w:t xml:space="preserve">En virtud de lo previsto en los artículos 153 y 241, numeral 8, de la Constitución, la Corte </w:t>
      </w:r>
      <w:r w:rsidRPr="007C57D2">
        <w:rPr>
          <w:rFonts w:ascii="Times New Roman" w:hAnsi="Times New Roman"/>
          <w:iCs/>
          <w:sz w:val="28"/>
          <w:szCs w:val="28"/>
          <w:lang w:eastAsia="es-ES"/>
        </w:rPr>
        <w:t>Constitucional es competente para decidir definitivamente sobre la constitucionalidad de los proyectos de leyes estatutarias, tanto por su contenido material como por vicios de procedimiento en su formación.</w:t>
      </w:r>
      <w:bookmarkStart w:id="10" w:name="_Hlk111728247"/>
    </w:p>
    <w:p w:rsidR="00475CB8" w:rsidRPr="007C57D2" w:rsidRDefault="007C57D2" w:rsidP="008F3DAB">
      <w:pPr>
        <w:tabs>
          <w:tab w:val="left" w:pos="567"/>
        </w:tabs>
        <w:spacing w:after="0" w:line="240" w:lineRule="auto"/>
        <w:jc w:val="both"/>
        <w:rPr>
          <w:rFonts w:ascii="Times New Roman" w:hAnsi="Times New Roman"/>
          <w:sz w:val="28"/>
          <w:szCs w:val="28"/>
          <w:lang w:eastAsia="es-MX"/>
        </w:rPr>
      </w:pPr>
    </w:p>
    <w:p w:rsidR="00AF7F6A" w:rsidRPr="007C57D2" w:rsidRDefault="007C57D2" w:rsidP="008F3DAB">
      <w:pPr>
        <w:pStyle w:val="Ttulo2"/>
        <w:spacing w:before="0" w:line="240" w:lineRule="auto"/>
        <w:rPr>
          <w:rFonts w:ascii="Times New Roman" w:hAnsi="Times New Roman"/>
          <w:b/>
          <w:bCs/>
          <w:color w:val="000000"/>
          <w:sz w:val="28"/>
          <w:szCs w:val="28"/>
          <w:lang w:eastAsia="es-MX"/>
        </w:rPr>
      </w:pPr>
      <w:bookmarkStart w:id="11" w:name="_Toc222728025"/>
      <w:r w:rsidRPr="007C57D2">
        <w:rPr>
          <w:rFonts w:ascii="Times New Roman" w:hAnsi="Times New Roman"/>
          <w:b/>
          <w:bCs/>
          <w:color w:val="000000"/>
          <w:sz w:val="28"/>
          <w:szCs w:val="28"/>
          <w:lang w:eastAsia="es-MX"/>
        </w:rPr>
        <w:t>2. Asunto bajo revisión, problema jurídico y me</w:t>
      </w:r>
      <w:r w:rsidRPr="007C57D2">
        <w:rPr>
          <w:rFonts w:ascii="Times New Roman" w:hAnsi="Times New Roman"/>
          <w:b/>
          <w:bCs/>
          <w:color w:val="000000"/>
          <w:sz w:val="28"/>
          <w:szCs w:val="28"/>
          <w:lang w:eastAsia="es-MX"/>
        </w:rPr>
        <w:t>todología de la decisión</w:t>
      </w:r>
      <w:bookmarkEnd w:id="11"/>
    </w:p>
    <w:p w:rsidR="00AF7F6A" w:rsidRPr="007C57D2" w:rsidRDefault="007C57D2" w:rsidP="008F3DAB">
      <w:pPr>
        <w:tabs>
          <w:tab w:val="left" w:pos="567"/>
        </w:tabs>
        <w:spacing w:after="0" w:line="240" w:lineRule="auto"/>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El control constitucional de los proyectos de leyes estatutarias tiene las siguientes características</w:t>
      </w:r>
      <w:r w:rsidRPr="007C57D2">
        <w:rPr>
          <w:rStyle w:val="Refdenotaalpie"/>
          <w:rFonts w:ascii="Times New Roman" w:hAnsi="Times New Roman"/>
          <w:sz w:val="28"/>
          <w:szCs w:val="28"/>
          <w:lang w:eastAsia="es-MX"/>
        </w:rPr>
        <w:footnoteReference w:id="6"/>
      </w:r>
      <w:r w:rsidRPr="007C57D2">
        <w:rPr>
          <w:rFonts w:ascii="Times New Roman" w:hAnsi="Times New Roman"/>
          <w:sz w:val="28"/>
          <w:szCs w:val="28"/>
          <w:lang w:eastAsia="es-MX"/>
        </w:rPr>
        <w:t xml:space="preserve">: (i) es </w:t>
      </w:r>
      <w:r w:rsidRPr="007C57D2">
        <w:rPr>
          <w:rFonts w:ascii="Times New Roman" w:hAnsi="Times New Roman"/>
          <w:i/>
          <w:iCs/>
          <w:sz w:val="28"/>
          <w:szCs w:val="28"/>
          <w:lang w:eastAsia="es-MX"/>
        </w:rPr>
        <w:t>posterior</w:t>
      </w:r>
      <w:r w:rsidRPr="007C57D2">
        <w:rPr>
          <w:rFonts w:ascii="Times New Roman" w:hAnsi="Times New Roman"/>
          <w:sz w:val="28"/>
          <w:szCs w:val="28"/>
          <w:lang w:eastAsia="es-MX"/>
        </w:rPr>
        <w:t xml:space="preserve"> a su aprobación por parte del Congreso, pero </w:t>
      </w:r>
      <w:r w:rsidRPr="007C57D2">
        <w:rPr>
          <w:rFonts w:ascii="Times New Roman" w:hAnsi="Times New Roman"/>
          <w:i/>
          <w:iCs/>
          <w:sz w:val="28"/>
          <w:szCs w:val="28"/>
          <w:lang w:eastAsia="es-MX"/>
        </w:rPr>
        <w:t>previo</w:t>
      </w:r>
      <w:r w:rsidRPr="007C57D2">
        <w:rPr>
          <w:rFonts w:ascii="Times New Roman" w:hAnsi="Times New Roman"/>
          <w:sz w:val="28"/>
          <w:szCs w:val="28"/>
          <w:lang w:eastAsia="es-MX"/>
        </w:rPr>
        <w:t xml:space="preserve"> a la sanción presidencial; (ii) es </w:t>
      </w:r>
      <w:r w:rsidRPr="007C57D2">
        <w:rPr>
          <w:rFonts w:ascii="Times New Roman" w:hAnsi="Times New Roman"/>
          <w:i/>
          <w:iCs/>
          <w:sz w:val="28"/>
          <w:szCs w:val="28"/>
          <w:lang w:eastAsia="es-MX"/>
        </w:rPr>
        <w:t>automático</w:t>
      </w:r>
      <w:r w:rsidRPr="007C57D2">
        <w:rPr>
          <w:rFonts w:ascii="Times New Roman" w:hAnsi="Times New Roman"/>
          <w:sz w:val="28"/>
          <w:szCs w:val="28"/>
          <w:lang w:eastAsia="es-MX"/>
        </w:rPr>
        <w:t xml:space="preserve">, en </w:t>
      </w:r>
      <w:r w:rsidRPr="007C57D2">
        <w:rPr>
          <w:rFonts w:ascii="Times New Roman" w:hAnsi="Times New Roman"/>
          <w:sz w:val="28"/>
          <w:szCs w:val="28"/>
          <w:lang w:eastAsia="es-MX"/>
        </w:rPr>
        <w:t>concordancia con lo estatuido en l</w:t>
      </w:r>
      <w:r w:rsidRPr="007C57D2">
        <w:rPr>
          <w:rFonts w:ascii="Times New Roman" w:hAnsi="Times New Roman"/>
          <w:iCs/>
          <w:sz w:val="28"/>
          <w:szCs w:val="28"/>
          <w:lang w:eastAsia="es-ES"/>
        </w:rPr>
        <w:t>os artículos 153 y 241, numeral 8, de la Constitución</w:t>
      </w:r>
      <w:r w:rsidRPr="007C57D2">
        <w:rPr>
          <w:rFonts w:ascii="Times New Roman" w:hAnsi="Times New Roman"/>
          <w:sz w:val="28"/>
          <w:szCs w:val="28"/>
          <w:lang w:eastAsia="es-MX"/>
        </w:rPr>
        <w:t xml:space="preserve">; (iii) es </w:t>
      </w:r>
      <w:r w:rsidRPr="007C57D2">
        <w:rPr>
          <w:rFonts w:ascii="Times New Roman" w:hAnsi="Times New Roman"/>
          <w:i/>
          <w:iCs/>
          <w:sz w:val="28"/>
          <w:szCs w:val="28"/>
          <w:lang w:eastAsia="es-MX"/>
        </w:rPr>
        <w:t>integral</w:t>
      </w:r>
      <w:r w:rsidRPr="007C57D2">
        <w:rPr>
          <w:rFonts w:ascii="Times New Roman" w:hAnsi="Times New Roman"/>
          <w:sz w:val="28"/>
          <w:szCs w:val="28"/>
          <w:lang w:eastAsia="es-MX"/>
        </w:rPr>
        <w:t xml:space="preserve">, toda vez que la Sala Plena tiene competencia para analizar los aspectos formales y materiales; (iv) tiene </w:t>
      </w:r>
      <w:r w:rsidRPr="007C57D2">
        <w:rPr>
          <w:rFonts w:ascii="Times New Roman" w:hAnsi="Times New Roman"/>
          <w:i/>
          <w:iCs/>
          <w:sz w:val="28"/>
          <w:szCs w:val="28"/>
          <w:lang w:eastAsia="es-MX"/>
        </w:rPr>
        <w:t>efectos de cosa juzgada absoluta</w:t>
      </w:r>
      <w:r w:rsidRPr="007C57D2">
        <w:rPr>
          <w:rFonts w:ascii="Times New Roman" w:hAnsi="Times New Roman"/>
          <w:sz w:val="28"/>
          <w:szCs w:val="28"/>
          <w:lang w:eastAsia="es-MX"/>
        </w:rPr>
        <w:t>, en la me</w:t>
      </w:r>
      <w:r w:rsidRPr="007C57D2">
        <w:rPr>
          <w:rFonts w:ascii="Times New Roman" w:hAnsi="Times New Roman"/>
          <w:sz w:val="28"/>
          <w:szCs w:val="28"/>
          <w:lang w:eastAsia="es-MX"/>
        </w:rPr>
        <w:t xml:space="preserve">dida en que esta </w:t>
      </w:r>
      <w:r w:rsidRPr="007C57D2">
        <w:rPr>
          <w:rFonts w:ascii="Times New Roman" w:hAnsi="Times New Roman"/>
          <w:sz w:val="28"/>
          <w:szCs w:val="28"/>
          <w:lang w:eastAsia="es-MX"/>
        </w:rPr>
        <w:t>Corporación</w:t>
      </w:r>
      <w:r w:rsidRPr="007C57D2">
        <w:rPr>
          <w:rFonts w:ascii="Times New Roman" w:hAnsi="Times New Roman"/>
          <w:sz w:val="28"/>
          <w:szCs w:val="28"/>
          <w:lang w:eastAsia="es-MX"/>
        </w:rPr>
        <w:t xml:space="preserve"> confronta estos textos normativos con todo el articulado de la Constitución y de la Ley Orgánica 5 de 1992</w:t>
      </w:r>
      <w:r w:rsidRPr="007C57D2">
        <w:rPr>
          <w:rStyle w:val="Refdenotaalpie"/>
          <w:rFonts w:ascii="Times New Roman" w:hAnsi="Times New Roman"/>
          <w:sz w:val="28"/>
          <w:szCs w:val="28"/>
          <w:lang w:eastAsia="es-MX"/>
        </w:rPr>
        <w:footnoteReference w:id="7"/>
      </w:r>
      <w:r w:rsidRPr="007C57D2">
        <w:rPr>
          <w:rFonts w:ascii="Times New Roman" w:hAnsi="Times New Roman"/>
          <w:sz w:val="28"/>
          <w:szCs w:val="28"/>
          <w:lang w:eastAsia="es-MX"/>
        </w:rPr>
        <w:t xml:space="preserve"> y (v) es </w:t>
      </w:r>
      <w:r w:rsidRPr="007C57D2">
        <w:rPr>
          <w:rFonts w:ascii="Times New Roman" w:hAnsi="Times New Roman"/>
          <w:i/>
          <w:iCs/>
          <w:sz w:val="28"/>
          <w:szCs w:val="28"/>
          <w:lang w:eastAsia="es-MX"/>
        </w:rPr>
        <w:t xml:space="preserve">jurisdiccional </w:t>
      </w:r>
      <w:r w:rsidRPr="007C57D2">
        <w:rPr>
          <w:rFonts w:ascii="Times New Roman" w:hAnsi="Times New Roman"/>
          <w:sz w:val="28"/>
          <w:szCs w:val="28"/>
          <w:lang w:eastAsia="es-MX"/>
        </w:rPr>
        <w:t>porque es efectuado por la Corte, de modo que no implica una valoración de aspectos relacionado</w:t>
      </w:r>
      <w:r w:rsidRPr="007C57D2">
        <w:rPr>
          <w:rFonts w:ascii="Times New Roman" w:hAnsi="Times New Roman"/>
          <w:sz w:val="28"/>
          <w:szCs w:val="28"/>
          <w:lang w:eastAsia="es-MX"/>
        </w:rPr>
        <w:t>s con la conveniencia u oportunidad del proyecto de ley.</w:t>
      </w:r>
      <w:bookmarkEnd w:id="10"/>
    </w:p>
    <w:p w:rsidR="00AF7F6A"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En razón del alcance del control de los proyectos de leyes estatutarias, en el presente caso la Sala Plena deberá determinar si el PLE cumple los requisitos formales y materiales de validez que, par</w:t>
      </w:r>
      <w:r w:rsidRPr="007C57D2">
        <w:rPr>
          <w:rFonts w:ascii="Times New Roman" w:hAnsi="Times New Roman"/>
          <w:sz w:val="28"/>
          <w:szCs w:val="28"/>
          <w:lang w:eastAsia="es-MX"/>
        </w:rPr>
        <w:t xml:space="preserve">a el efecto, exigen la Constitución, la Ley 5 de 1992 y </w:t>
      </w:r>
      <w:r w:rsidRPr="007C57D2">
        <w:rPr>
          <w:rFonts w:ascii="Times New Roman" w:hAnsi="Times New Roman"/>
          <w:sz w:val="28"/>
          <w:szCs w:val="28"/>
        </w:rPr>
        <w:t>la jurisprudencia.</w:t>
      </w:r>
    </w:p>
    <w:p w:rsidR="00AF7F6A" w:rsidRPr="007C57D2" w:rsidRDefault="007C57D2" w:rsidP="008F3DAB">
      <w:pPr>
        <w:pStyle w:val="Prrafodelista"/>
        <w:tabs>
          <w:tab w:val="left" w:pos="567"/>
        </w:tabs>
        <w:ind w:left="0"/>
        <w:jc w:val="both"/>
        <w:rPr>
          <w:rFonts w:ascii="Times New Roman" w:hAnsi="Times New Roman"/>
          <w:sz w:val="28"/>
          <w:szCs w:val="28"/>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rPr>
        <w:t xml:space="preserve">Para resolver el problema jurídico planteado, en primer lugar, la Corte describirá brevemente el alcance y el objeto del PLE y se pronunciará sobre la reserva de ley estatutaria que opera sobre la materia que desarrolla. En segundo lugar, </w:t>
      </w:r>
      <w:r w:rsidRPr="007C57D2">
        <w:rPr>
          <w:rFonts w:ascii="Times New Roman" w:hAnsi="Times New Roman"/>
          <w:sz w:val="28"/>
          <w:szCs w:val="28"/>
          <w:lang w:eastAsia="es-MX"/>
        </w:rPr>
        <w:t>adelantará el aná</w:t>
      </w:r>
      <w:r w:rsidRPr="007C57D2">
        <w:rPr>
          <w:rFonts w:ascii="Times New Roman" w:hAnsi="Times New Roman"/>
          <w:sz w:val="28"/>
          <w:szCs w:val="28"/>
          <w:lang w:eastAsia="es-MX"/>
        </w:rPr>
        <w:t xml:space="preserve">lisis formal </w:t>
      </w:r>
      <w:r w:rsidRPr="007C57D2">
        <w:rPr>
          <w:rFonts w:ascii="Times New Roman" w:hAnsi="Times New Roman"/>
          <w:sz w:val="28"/>
          <w:szCs w:val="28"/>
          <w:lang w:eastAsia="es-ES"/>
        </w:rPr>
        <w:t xml:space="preserve">del procedimiento legislativo y constatará el cumplimiento de los requisitos de forma durante el trámite legislativo. En tercer lugar, la </w:t>
      </w:r>
      <w:r w:rsidRPr="007C57D2">
        <w:rPr>
          <w:rFonts w:ascii="Times New Roman" w:hAnsi="Times New Roman"/>
          <w:sz w:val="28"/>
          <w:szCs w:val="28"/>
          <w:lang w:eastAsia="es-ES"/>
        </w:rPr>
        <w:t>Corporación</w:t>
      </w:r>
      <w:r w:rsidRPr="007C57D2">
        <w:rPr>
          <w:rFonts w:ascii="Times New Roman" w:hAnsi="Times New Roman"/>
          <w:sz w:val="28"/>
          <w:szCs w:val="28"/>
          <w:lang w:eastAsia="es-ES"/>
        </w:rPr>
        <w:t xml:space="preserve"> revisará la constitucionalidad material del PLE. Para ello, contrastará cada uno de sus artíc</w:t>
      </w:r>
      <w:r w:rsidRPr="007C57D2">
        <w:rPr>
          <w:rFonts w:ascii="Times New Roman" w:hAnsi="Times New Roman"/>
          <w:sz w:val="28"/>
          <w:szCs w:val="28"/>
          <w:lang w:eastAsia="es-ES"/>
        </w:rPr>
        <w:t xml:space="preserve">ulos con las disposiciones pertinentes de la Constitución. </w:t>
      </w:r>
    </w:p>
    <w:p w:rsidR="00AF7F6A"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pStyle w:val="Ttulo2"/>
        <w:spacing w:before="0" w:line="240" w:lineRule="auto"/>
        <w:rPr>
          <w:rFonts w:ascii="Times New Roman" w:hAnsi="Times New Roman"/>
          <w:b/>
          <w:bCs/>
          <w:color w:val="000000"/>
          <w:sz w:val="28"/>
          <w:szCs w:val="28"/>
          <w:bdr w:val="none" w:sz="0" w:space="0" w:color="auto" w:frame="1"/>
          <w:shd w:val="clear" w:color="auto" w:fill="FFFFFF"/>
        </w:rPr>
      </w:pPr>
      <w:bookmarkStart w:id="12" w:name="_Hlk157522466"/>
      <w:bookmarkStart w:id="13" w:name="_Toc222728026"/>
      <w:r w:rsidRPr="007C57D2">
        <w:rPr>
          <w:rFonts w:ascii="Times New Roman" w:hAnsi="Times New Roman"/>
          <w:b/>
          <w:bCs/>
          <w:color w:val="000000"/>
          <w:sz w:val="28"/>
          <w:szCs w:val="28"/>
          <w:bdr w:val="none" w:sz="0" w:space="0" w:color="auto" w:frame="1"/>
          <w:shd w:val="clear" w:color="auto" w:fill="FFFFFF"/>
        </w:rPr>
        <w:t xml:space="preserve">3. El alcance y el objeto del PLE. La materia regulada en el PLE </w:t>
      </w:r>
      <w:r w:rsidRPr="007C57D2">
        <w:rPr>
          <w:rFonts w:ascii="Times New Roman" w:hAnsi="Times New Roman"/>
          <w:b/>
          <w:bCs/>
          <w:color w:val="000000"/>
          <w:sz w:val="28"/>
          <w:szCs w:val="28"/>
          <w:bdr w:val="none" w:sz="0" w:space="0" w:color="auto" w:frame="1"/>
          <w:shd w:val="clear" w:color="auto" w:fill="FFFFFF"/>
        </w:rPr>
        <w:t>tiene reserva</w:t>
      </w:r>
      <w:r w:rsidRPr="007C57D2">
        <w:rPr>
          <w:rFonts w:ascii="Times New Roman" w:hAnsi="Times New Roman"/>
          <w:b/>
          <w:bCs/>
          <w:color w:val="000000"/>
          <w:sz w:val="28"/>
          <w:szCs w:val="28"/>
          <w:bdr w:val="none" w:sz="0" w:space="0" w:color="auto" w:frame="1"/>
          <w:shd w:val="clear" w:color="auto" w:fill="FFFFFF"/>
        </w:rPr>
        <w:t xml:space="preserve"> de ley estatutaria</w:t>
      </w:r>
      <w:bookmarkEnd w:id="12"/>
      <w:bookmarkEnd w:id="13"/>
    </w:p>
    <w:p w:rsidR="003A779F" w:rsidRPr="007C57D2" w:rsidRDefault="007C57D2" w:rsidP="008F3DAB">
      <w:pPr>
        <w:tabs>
          <w:tab w:val="left" w:pos="360"/>
        </w:tabs>
        <w:spacing w:after="0" w:line="240" w:lineRule="auto"/>
        <w:jc w:val="both"/>
        <w:rPr>
          <w:rFonts w:ascii="Times New Roman" w:hAnsi="Times New Roman"/>
          <w:b/>
          <w:bCs/>
          <w:sz w:val="28"/>
          <w:szCs w:val="28"/>
          <w:bdr w:val="none" w:sz="0" w:space="0" w:color="auto" w:frame="1"/>
          <w:shd w:val="clear" w:color="auto" w:fill="FFFFFF"/>
        </w:rPr>
      </w:pPr>
    </w:p>
    <w:p w:rsidR="00BE01FD" w:rsidRPr="007C57D2" w:rsidRDefault="007C57D2" w:rsidP="008F3DAB">
      <w:pPr>
        <w:tabs>
          <w:tab w:val="left" w:pos="360"/>
        </w:tabs>
        <w:spacing w:after="0" w:line="240" w:lineRule="auto"/>
        <w:contextualSpacing/>
        <w:jc w:val="both"/>
        <w:rPr>
          <w:rFonts w:ascii="Times New Roman" w:hAnsi="Times New Roman"/>
          <w:b/>
          <w:bCs/>
          <w:sz w:val="28"/>
          <w:szCs w:val="28"/>
          <w:bdr w:val="none" w:sz="0" w:space="0" w:color="auto" w:frame="1"/>
          <w:shd w:val="clear" w:color="auto" w:fill="FFFFFF"/>
        </w:rPr>
      </w:pPr>
      <w:r w:rsidRPr="007C57D2">
        <w:rPr>
          <w:rFonts w:ascii="Times New Roman" w:hAnsi="Times New Roman"/>
          <w:b/>
          <w:bCs/>
          <w:sz w:val="28"/>
          <w:szCs w:val="28"/>
          <w:lang w:eastAsia="es-ES"/>
        </w:rPr>
        <w:t xml:space="preserve">3.1. </w:t>
      </w:r>
      <w:r w:rsidRPr="007C57D2">
        <w:rPr>
          <w:rFonts w:ascii="Times New Roman" w:hAnsi="Times New Roman"/>
          <w:b/>
          <w:bCs/>
          <w:sz w:val="28"/>
          <w:szCs w:val="28"/>
          <w:bdr w:val="none" w:sz="0" w:space="0" w:color="auto" w:frame="1"/>
          <w:shd w:val="clear" w:color="auto" w:fill="FFFFFF"/>
        </w:rPr>
        <w:t>E</w:t>
      </w:r>
      <w:r w:rsidRPr="007C57D2">
        <w:rPr>
          <w:rFonts w:ascii="Times New Roman" w:hAnsi="Times New Roman"/>
          <w:b/>
          <w:bCs/>
          <w:sz w:val="28"/>
          <w:szCs w:val="28"/>
          <w:bdr w:val="none" w:sz="0" w:space="0" w:color="auto" w:frame="1"/>
          <w:shd w:val="clear" w:color="auto" w:fill="FFFFFF"/>
        </w:rPr>
        <w:t>l alcance y el objeto del PLE</w:t>
      </w:r>
    </w:p>
    <w:p w:rsidR="00BE01FD"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BE01FD"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De conformidad con </w:t>
      </w:r>
      <w:r w:rsidRPr="007C57D2">
        <w:rPr>
          <w:rFonts w:ascii="Times New Roman" w:hAnsi="Times New Roman"/>
          <w:sz w:val="28"/>
          <w:szCs w:val="28"/>
          <w:lang w:eastAsia="es-MX"/>
        </w:rPr>
        <w:t xml:space="preserve">lo dispuesto en </w:t>
      </w:r>
      <w:r w:rsidRPr="007C57D2">
        <w:rPr>
          <w:rFonts w:ascii="Times New Roman" w:hAnsi="Times New Roman"/>
          <w:sz w:val="28"/>
          <w:szCs w:val="28"/>
          <w:lang w:eastAsia="es-MX"/>
        </w:rPr>
        <w:t>su artículo 1, e</w:t>
      </w:r>
      <w:r w:rsidRPr="007C57D2">
        <w:rPr>
          <w:rFonts w:ascii="Times New Roman" w:hAnsi="Times New Roman"/>
          <w:sz w:val="28"/>
          <w:szCs w:val="28"/>
          <w:lang w:eastAsia="es-MX"/>
        </w:rPr>
        <w:t xml:space="preserve">l </w:t>
      </w:r>
      <w:r w:rsidRPr="007C57D2">
        <w:rPr>
          <w:rFonts w:ascii="Times New Roman" w:hAnsi="Times New Roman"/>
          <w:sz w:val="28"/>
          <w:szCs w:val="28"/>
          <w:lang w:eastAsia="es-MX"/>
        </w:rPr>
        <w:t xml:space="preserve">PLE </w:t>
      </w:r>
      <w:r w:rsidRPr="007C57D2">
        <w:rPr>
          <w:rFonts w:ascii="Times New Roman" w:hAnsi="Times New Roman"/>
          <w:sz w:val="28"/>
          <w:szCs w:val="28"/>
          <w:lang w:eastAsia="es-MX"/>
        </w:rPr>
        <w:t>tiene por objeto la creación de</w:t>
      </w:r>
      <w:r w:rsidRPr="007C57D2">
        <w:rPr>
          <w:rFonts w:ascii="Times New Roman" w:hAnsi="Times New Roman"/>
          <w:sz w:val="28"/>
          <w:szCs w:val="28"/>
          <w:lang w:eastAsia="es-MX"/>
        </w:rPr>
        <w:t xml:space="preserve"> la Alerta Colombia. Esta alerta es “un sistema que incorpora una herramienta ágil de difusión de información de niños y niñas que se encuentren extraviados en el territorio colombiano, con el objetivo de lograr la búsqueda, </w:t>
      </w:r>
      <w:r w:rsidRPr="007C57D2">
        <w:rPr>
          <w:rFonts w:ascii="Times New Roman" w:hAnsi="Times New Roman"/>
          <w:sz w:val="28"/>
          <w:szCs w:val="28"/>
          <w:lang w:eastAsia="es-MX"/>
        </w:rPr>
        <w:t>localización y recuperación inmediata de estos”. Para comprender el alcance del PLE</w:t>
      </w:r>
      <w:r w:rsidRPr="007C57D2">
        <w:rPr>
          <w:rFonts w:ascii="Times New Roman" w:hAnsi="Times New Roman"/>
          <w:sz w:val="28"/>
          <w:szCs w:val="28"/>
          <w:lang w:eastAsia="es-MX"/>
        </w:rPr>
        <w:t xml:space="preserve"> y determinar si la materia que regula tiene reserva de ley estatutaria</w:t>
      </w:r>
      <w:r w:rsidRPr="007C57D2">
        <w:rPr>
          <w:rFonts w:ascii="Times New Roman" w:hAnsi="Times New Roman"/>
          <w:sz w:val="28"/>
          <w:szCs w:val="28"/>
          <w:lang w:eastAsia="es-MX"/>
        </w:rPr>
        <w:t xml:space="preserve">, a continuación, la Sala explicará brevemente el procedimiento que </w:t>
      </w:r>
      <w:r w:rsidRPr="007C57D2">
        <w:rPr>
          <w:rFonts w:ascii="Times New Roman" w:hAnsi="Times New Roman"/>
          <w:sz w:val="28"/>
          <w:szCs w:val="28"/>
          <w:lang w:eastAsia="es-MX"/>
        </w:rPr>
        <w:t xml:space="preserve">el PLE </w:t>
      </w:r>
      <w:r w:rsidRPr="007C57D2">
        <w:rPr>
          <w:rFonts w:ascii="Times New Roman" w:hAnsi="Times New Roman"/>
          <w:sz w:val="28"/>
          <w:szCs w:val="28"/>
          <w:lang w:eastAsia="es-MX"/>
        </w:rPr>
        <w:t>prevé para el acceso, activ</w:t>
      </w:r>
      <w:r w:rsidRPr="007C57D2">
        <w:rPr>
          <w:rFonts w:ascii="Times New Roman" w:hAnsi="Times New Roman"/>
          <w:sz w:val="28"/>
          <w:szCs w:val="28"/>
          <w:lang w:eastAsia="es-MX"/>
        </w:rPr>
        <w:t xml:space="preserve">ación y difusión de la Alerta. </w:t>
      </w:r>
    </w:p>
    <w:p w:rsidR="00BE01FD" w:rsidRPr="007C57D2" w:rsidRDefault="007C57D2" w:rsidP="008F3DAB">
      <w:pPr>
        <w:pStyle w:val="Prrafodelista"/>
        <w:tabs>
          <w:tab w:val="left" w:pos="567"/>
        </w:tabs>
        <w:ind w:left="0"/>
        <w:jc w:val="both"/>
        <w:rPr>
          <w:rFonts w:ascii="Times New Roman" w:hAnsi="Times New Roman"/>
          <w:sz w:val="28"/>
          <w:szCs w:val="28"/>
          <w:lang w:eastAsia="es-MX"/>
        </w:rPr>
      </w:pPr>
    </w:p>
    <w:p w:rsidR="00BE01FD"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i/>
          <w:iCs/>
          <w:sz w:val="28"/>
          <w:szCs w:val="28"/>
          <w:lang w:eastAsia="es-MX"/>
        </w:rPr>
        <w:t xml:space="preserve">Acceso a la Alerta Colombia. </w:t>
      </w:r>
      <w:r w:rsidRPr="007C57D2">
        <w:rPr>
          <w:rFonts w:ascii="Times New Roman" w:hAnsi="Times New Roman"/>
          <w:sz w:val="28"/>
          <w:szCs w:val="28"/>
          <w:lang w:eastAsia="es-MX"/>
        </w:rPr>
        <w:t>El PLE establece que el Instituto Colombiano de Bienestar Familiar (ICBF) dispondrá de una ventana especial en su página web oficial, denominada Sistema Nacional de Reporte Virtual, para que los</w:t>
      </w:r>
      <w:r w:rsidRPr="007C57D2">
        <w:rPr>
          <w:rFonts w:ascii="Times New Roman" w:hAnsi="Times New Roman"/>
          <w:sz w:val="28"/>
          <w:szCs w:val="28"/>
          <w:lang w:eastAsia="es-MX"/>
        </w:rPr>
        <w:t xml:space="preserve"> padres, los representantes legales, quien tenga la custodia, los cuidadores o los familiares</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o incluso la misma entidad</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realicen</w:t>
      </w:r>
      <w:r w:rsidRPr="007C57D2">
        <w:rPr>
          <w:rFonts w:ascii="Times New Roman" w:hAnsi="Times New Roman"/>
          <w:sz w:val="28"/>
          <w:szCs w:val="28"/>
          <w:lang w:eastAsia="es-MX"/>
        </w:rPr>
        <w:t xml:space="preserve"> el reporte de</w:t>
      </w:r>
      <w:r w:rsidRPr="007C57D2">
        <w:rPr>
          <w:rFonts w:ascii="Times New Roman" w:hAnsi="Times New Roman"/>
          <w:sz w:val="28"/>
          <w:szCs w:val="28"/>
          <w:lang w:eastAsia="es-MX"/>
        </w:rPr>
        <w:t>l</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menor de doce años extraviado y diligenc</w:t>
      </w:r>
      <w:r w:rsidRPr="007C57D2">
        <w:rPr>
          <w:rFonts w:ascii="Times New Roman" w:hAnsi="Times New Roman"/>
          <w:sz w:val="28"/>
          <w:szCs w:val="28"/>
          <w:lang w:eastAsia="es-MX"/>
        </w:rPr>
        <w:t>ien</w:t>
      </w:r>
      <w:r w:rsidRPr="007C57D2">
        <w:rPr>
          <w:rFonts w:ascii="Times New Roman" w:hAnsi="Times New Roman"/>
          <w:sz w:val="28"/>
          <w:szCs w:val="28"/>
          <w:lang w:eastAsia="es-MX"/>
        </w:rPr>
        <w:t xml:space="preserve"> el consentimiento informado que autorice el uso de sus datos pers</w:t>
      </w:r>
      <w:r w:rsidRPr="007C57D2">
        <w:rPr>
          <w:rFonts w:ascii="Times New Roman" w:hAnsi="Times New Roman"/>
          <w:sz w:val="28"/>
          <w:szCs w:val="28"/>
          <w:lang w:eastAsia="es-MX"/>
        </w:rPr>
        <w:t>onales y biométricos</w:t>
      </w:r>
      <w:r w:rsidRPr="007C57D2">
        <w:rPr>
          <w:rStyle w:val="Refdenotaalpie"/>
          <w:rFonts w:ascii="Times New Roman" w:hAnsi="Times New Roman"/>
          <w:sz w:val="28"/>
          <w:szCs w:val="28"/>
          <w:lang w:eastAsia="es-MX"/>
        </w:rPr>
        <w:footnoteReference w:id="8"/>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La Alerta Colombia formará parte del Sistema de Alertas Tempranas sobre la Niñez Colombiana</w:t>
      </w:r>
      <w:r w:rsidRPr="007C57D2">
        <w:rPr>
          <w:rStyle w:val="Refdenotaalpie"/>
          <w:rFonts w:ascii="Times New Roman" w:hAnsi="Times New Roman"/>
          <w:sz w:val="28"/>
          <w:szCs w:val="28"/>
          <w:lang w:eastAsia="es-MX"/>
        </w:rPr>
        <w:footnoteReference w:id="9"/>
      </w:r>
      <w:r w:rsidRPr="007C57D2">
        <w:rPr>
          <w:rFonts w:ascii="Times New Roman" w:hAnsi="Times New Roman"/>
          <w:sz w:val="28"/>
          <w:szCs w:val="28"/>
          <w:lang w:eastAsia="es-MX"/>
        </w:rPr>
        <w:t>, creado mediante el artículo 4 de la Ley 2242 de 2022.</w:t>
      </w:r>
    </w:p>
    <w:p w:rsidR="00D44F73" w:rsidRPr="007C57D2" w:rsidRDefault="007C57D2" w:rsidP="008F3DAB">
      <w:pPr>
        <w:pStyle w:val="Prrafodelista"/>
        <w:tabs>
          <w:tab w:val="left" w:pos="567"/>
        </w:tabs>
        <w:ind w:left="0"/>
        <w:jc w:val="both"/>
        <w:rPr>
          <w:rFonts w:ascii="Times New Roman" w:hAnsi="Times New Roman"/>
          <w:sz w:val="28"/>
          <w:szCs w:val="28"/>
          <w:lang w:eastAsia="es-MX"/>
        </w:rPr>
      </w:pPr>
    </w:p>
    <w:p w:rsidR="00BE01FD"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El PLE </w:t>
      </w:r>
      <w:r w:rsidRPr="007C57D2">
        <w:rPr>
          <w:rFonts w:ascii="Times New Roman" w:hAnsi="Times New Roman"/>
          <w:sz w:val="28"/>
          <w:szCs w:val="28"/>
          <w:lang w:eastAsia="es-MX"/>
        </w:rPr>
        <w:t>determina</w:t>
      </w:r>
      <w:r w:rsidRPr="007C57D2">
        <w:rPr>
          <w:rFonts w:ascii="Times New Roman" w:hAnsi="Times New Roman"/>
          <w:sz w:val="28"/>
          <w:szCs w:val="28"/>
          <w:lang w:eastAsia="es-MX"/>
        </w:rPr>
        <w:t xml:space="preserve"> que las personas llamadas a reportar la pérdida del menor </w:t>
      </w:r>
      <w:r w:rsidRPr="007C57D2">
        <w:rPr>
          <w:rFonts w:ascii="Times New Roman" w:hAnsi="Times New Roman"/>
          <w:sz w:val="28"/>
          <w:szCs w:val="28"/>
          <w:lang w:eastAsia="es-MX"/>
        </w:rPr>
        <w:t xml:space="preserve">de edad </w:t>
      </w:r>
      <w:r w:rsidRPr="007C57D2">
        <w:rPr>
          <w:rFonts w:ascii="Times New Roman" w:hAnsi="Times New Roman"/>
          <w:sz w:val="28"/>
          <w:szCs w:val="28"/>
          <w:lang w:eastAsia="es-MX"/>
        </w:rPr>
        <w:t xml:space="preserve">que </w:t>
      </w:r>
      <w:r w:rsidRPr="007C57D2">
        <w:rPr>
          <w:rFonts w:ascii="Times New Roman" w:hAnsi="Times New Roman"/>
          <w:sz w:val="28"/>
          <w:szCs w:val="28"/>
          <w:lang w:eastAsia="es-MX"/>
        </w:rPr>
        <w:t xml:space="preserve">no cuenten con los medios tecnológicos disponibles para interponer el reporte en la página web oficial del ICBF podrán realizar el reporte de manera presencial ante la Defensoría de Familia, la Comisaría de Familia, la Inspección de Policía o </w:t>
      </w:r>
      <w:r w:rsidRPr="007C57D2">
        <w:rPr>
          <w:rFonts w:ascii="Times New Roman" w:hAnsi="Times New Roman"/>
          <w:sz w:val="28"/>
          <w:szCs w:val="28"/>
          <w:lang w:eastAsia="es-MX"/>
        </w:rPr>
        <w:t>en la</w:t>
      </w:r>
      <w:r w:rsidRPr="007C57D2">
        <w:rPr>
          <w:rFonts w:ascii="Times New Roman" w:hAnsi="Times New Roman"/>
          <w:sz w:val="28"/>
          <w:szCs w:val="28"/>
          <w:lang w:eastAsia="es-MX"/>
        </w:rPr>
        <w:t xml:space="preserve"> ins</w:t>
      </w:r>
      <w:r w:rsidRPr="007C57D2">
        <w:rPr>
          <w:rFonts w:ascii="Times New Roman" w:hAnsi="Times New Roman"/>
          <w:sz w:val="28"/>
          <w:szCs w:val="28"/>
          <w:lang w:eastAsia="es-MX"/>
        </w:rPr>
        <w:t>talaci</w:t>
      </w:r>
      <w:r w:rsidRPr="007C57D2">
        <w:rPr>
          <w:rFonts w:ascii="Times New Roman" w:hAnsi="Times New Roman"/>
          <w:sz w:val="28"/>
          <w:szCs w:val="28"/>
          <w:lang w:eastAsia="es-MX"/>
        </w:rPr>
        <w:t xml:space="preserve">ón </w:t>
      </w:r>
      <w:r w:rsidRPr="007C57D2">
        <w:rPr>
          <w:rFonts w:ascii="Times New Roman" w:hAnsi="Times New Roman"/>
          <w:sz w:val="28"/>
          <w:szCs w:val="28"/>
          <w:lang w:eastAsia="es-MX"/>
        </w:rPr>
        <w:t>de la Policía Nacional más cercana al lugar de la pérdida del niño o niña</w:t>
      </w:r>
      <w:r w:rsidRPr="007C57D2">
        <w:rPr>
          <w:rStyle w:val="Refdenotaalpie"/>
          <w:rFonts w:ascii="Times New Roman" w:hAnsi="Times New Roman"/>
          <w:sz w:val="28"/>
          <w:szCs w:val="28"/>
          <w:lang w:eastAsia="es-MX"/>
        </w:rPr>
        <w:footnoteReference w:id="10"/>
      </w:r>
      <w:r w:rsidRPr="007C57D2">
        <w:rPr>
          <w:rFonts w:ascii="Times New Roman" w:hAnsi="Times New Roman"/>
          <w:sz w:val="28"/>
          <w:szCs w:val="28"/>
          <w:lang w:eastAsia="es-MX"/>
        </w:rPr>
        <w:t>.</w:t>
      </w:r>
    </w:p>
    <w:p w:rsidR="00102702" w:rsidRPr="007C57D2" w:rsidRDefault="007C57D2" w:rsidP="008F3DAB">
      <w:pPr>
        <w:pStyle w:val="Prrafodelista"/>
        <w:tabs>
          <w:tab w:val="left" w:pos="567"/>
        </w:tabs>
        <w:ind w:left="0"/>
        <w:jc w:val="both"/>
        <w:rPr>
          <w:rFonts w:ascii="Times New Roman" w:hAnsi="Times New Roman"/>
          <w:sz w:val="28"/>
          <w:szCs w:val="28"/>
          <w:lang w:eastAsia="es-MX"/>
        </w:rPr>
      </w:pPr>
    </w:p>
    <w:p w:rsidR="00BE01FD" w:rsidRPr="007C57D2" w:rsidRDefault="007C57D2" w:rsidP="008F3DAB">
      <w:pPr>
        <w:pStyle w:val="Prrafodelista"/>
        <w:numPr>
          <w:ilvl w:val="0"/>
          <w:numId w:val="3"/>
        </w:numPr>
        <w:tabs>
          <w:tab w:val="left" w:pos="567"/>
        </w:tabs>
        <w:ind w:left="0" w:firstLine="0"/>
        <w:jc w:val="both"/>
        <w:rPr>
          <w:rFonts w:ascii="Times New Roman" w:hAnsi="Times New Roman"/>
          <w:i/>
          <w:iCs/>
          <w:sz w:val="28"/>
          <w:szCs w:val="28"/>
          <w:lang w:eastAsia="es-MX"/>
        </w:rPr>
      </w:pPr>
      <w:r w:rsidRPr="007C57D2">
        <w:rPr>
          <w:rFonts w:ascii="Times New Roman" w:hAnsi="Times New Roman"/>
          <w:i/>
          <w:iCs/>
          <w:sz w:val="28"/>
          <w:szCs w:val="28"/>
          <w:lang w:eastAsia="es-MX"/>
        </w:rPr>
        <w:t>Activación de la Alerta Colombia.</w:t>
      </w:r>
      <w:r w:rsidRPr="007C57D2">
        <w:rPr>
          <w:rFonts w:ascii="Times New Roman" w:hAnsi="Times New Roman"/>
          <w:sz w:val="28"/>
          <w:szCs w:val="28"/>
          <w:lang w:eastAsia="es-MX"/>
        </w:rPr>
        <w:t xml:space="preserve"> El PLE </w:t>
      </w:r>
      <w:r w:rsidRPr="007C57D2">
        <w:rPr>
          <w:rFonts w:ascii="Times New Roman" w:hAnsi="Times New Roman"/>
          <w:sz w:val="28"/>
          <w:szCs w:val="28"/>
          <w:lang w:eastAsia="es-MX"/>
        </w:rPr>
        <w:t>establece</w:t>
      </w:r>
      <w:r w:rsidRPr="007C57D2">
        <w:rPr>
          <w:rFonts w:ascii="Times New Roman" w:hAnsi="Times New Roman"/>
          <w:sz w:val="28"/>
          <w:szCs w:val="28"/>
          <w:lang w:eastAsia="es-MX"/>
        </w:rPr>
        <w:t xml:space="preserve"> que la Policía Nacional tendrá acceso al Sistema Nacional de Reporte Virtual y será la responsable de activar la Alerta Colombia</w:t>
      </w:r>
      <w:r w:rsidRPr="007C57D2">
        <w:rPr>
          <w:rStyle w:val="Refdenotaalpie"/>
          <w:rFonts w:ascii="Times New Roman" w:hAnsi="Times New Roman"/>
          <w:sz w:val="28"/>
          <w:szCs w:val="28"/>
          <w:lang w:eastAsia="es-MX"/>
        </w:rPr>
        <w:footnoteReference w:id="11"/>
      </w:r>
      <w:r w:rsidRPr="007C57D2">
        <w:rPr>
          <w:rFonts w:ascii="Times New Roman" w:hAnsi="Times New Roman"/>
          <w:sz w:val="28"/>
          <w:szCs w:val="28"/>
          <w:lang w:eastAsia="es-MX"/>
        </w:rPr>
        <w:t>, en un término no superior a una hora</w:t>
      </w:r>
      <w:r w:rsidRPr="007C57D2">
        <w:rPr>
          <w:rStyle w:val="Refdenotaalpie"/>
          <w:rFonts w:ascii="Times New Roman" w:hAnsi="Times New Roman"/>
          <w:sz w:val="28"/>
          <w:szCs w:val="28"/>
          <w:lang w:eastAsia="es-MX"/>
        </w:rPr>
        <w:footnoteReference w:id="12"/>
      </w:r>
      <w:r w:rsidRPr="007C57D2">
        <w:rPr>
          <w:rFonts w:ascii="Times New Roman" w:hAnsi="Times New Roman"/>
          <w:sz w:val="28"/>
          <w:szCs w:val="28"/>
          <w:lang w:eastAsia="es-MX"/>
        </w:rPr>
        <w:t>. Mediante ese sistema, la Policía Nacional, en coordinación con el ICBF o la entidad d</w:t>
      </w:r>
      <w:r w:rsidRPr="007C57D2">
        <w:rPr>
          <w:rFonts w:ascii="Times New Roman" w:hAnsi="Times New Roman"/>
          <w:sz w:val="28"/>
          <w:szCs w:val="28"/>
          <w:lang w:eastAsia="es-MX"/>
        </w:rPr>
        <w:t xml:space="preserve">el Sistema Nacional de Bienestar Familiar que haya recibido la información de manera presencial, deberá recolectar los siguientes datos biométricos y personales del </w:t>
      </w:r>
      <w:r w:rsidRPr="007C57D2">
        <w:rPr>
          <w:rFonts w:ascii="Times New Roman" w:hAnsi="Times New Roman"/>
          <w:sz w:val="28"/>
          <w:szCs w:val="28"/>
          <w:lang w:eastAsia="es-MX"/>
        </w:rPr>
        <w:t xml:space="preserve">18 años </w:t>
      </w:r>
      <w:r w:rsidRPr="007C57D2">
        <w:rPr>
          <w:rFonts w:ascii="Times New Roman" w:hAnsi="Times New Roman"/>
          <w:sz w:val="28"/>
          <w:szCs w:val="28"/>
          <w:lang w:eastAsia="es-MX"/>
        </w:rPr>
        <w:t>extraviado para activar la Alerta Colombia: nombres del menor</w:t>
      </w:r>
      <w:r w:rsidRPr="007C57D2">
        <w:rPr>
          <w:rFonts w:ascii="Times New Roman" w:hAnsi="Times New Roman"/>
          <w:sz w:val="28"/>
          <w:szCs w:val="28"/>
          <w:lang w:eastAsia="es-MX"/>
        </w:rPr>
        <w:t xml:space="preserve"> de edad</w:t>
      </w:r>
      <w:r w:rsidRPr="007C57D2">
        <w:rPr>
          <w:rFonts w:ascii="Times New Roman" w:hAnsi="Times New Roman"/>
          <w:sz w:val="28"/>
          <w:szCs w:val="28"/>
          <w:lang w:eastAsia="es-MX"/>
        </w:rPr>
        <w:t>, número de id</w:t>
      </w:r>
      <w:r w:rsidRPr="007C57D2">
        <w:rPr>
          <w:rFonts w:ascii="Times New Roman" w:hAnsi="Times New Roman"/>
          <w:sz w:val="28"/>
          <w:szCs w:val="28"/>
          <w:lang w:eastAsia="es-MX"/>
        </w:rPr>
        <w:t>entificación, sexo, edad aproximada, descripción física, última fotografía que garantice su individualización, descripción de la última vestimenta con la que fue visto, fecha, hora y lugar en la que se reportó la desaparición e información de contacto de l</w:t>
      </w:r>
      <w:r w:rsidRPr="007C57D2">
        <w:rPr>
          <w:rFonts w:ascii="Times New Roman" w:hAnsi="Times New Roman"/>
          <w:sz w:val="28"/>
          <w:szCs w:val="28"/>
          <w:lang w:eastAsia="es-MX"/>
        </w:rPr>
        <w:t>os padres, representantes legales, quien ostente la custodia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cuidadores </w:t>
      </w:r>
      <w:r w:rsidRPr="007C57D2">
        <w:rPr>
          <w:rFonts w:ascii="Times New Roman" w:hAnsi="Times New Roman"/>
          <w:sz w:val="28"/>
          <w:szCs w:val="28"/>
          <w:lang w:eastAsia="es-MX"/>
        </w:rPr>
        <w:t xml:space="preserve">o </w:t>
      </w:r>
      <w:r w:rsidRPr="007C57D2">
        <w:rPr>
          <w:rFonts w:ascii="Times New Roman" w:hAnsi="Times New Roman"/>
          <w:sz w:val="28"/>
          <w:szCs w:val="28"/>
          <w:lang w:eastAsia="es-MX"/>
        </w:rPr>
        <w:t>familiares del niño o niña, incluyendo números de teléfono y direcciones de correo electrónico.</w:t>
      </w:r>
    </w:p>
    <w:p w:rsidR="008F3DAB" w:rsidRPr="007C57D2" w:rsidRDefault="007C57D2" w:rsidP="008F3DAB">
      <w:pPr>
        <w:pStyle w:val="Prrafodelista"/>
        <w:tabs>
          <w:tab w:val="left" w:pos="567"/>
        </w:tabs>
        <w:ind w:left="0"/>
        <w:jc w:val="both"/>
        <w:rPr>
          <w:rFonts w:ascii="Times New Roman" w:hAnsi="Times New Roman"/>
          <w:i/>
          <w:iCs/>
          <w:sz w:val="28"/>
          <w:szCs w:val="28"/>
          <w:lang w:eastAsia="es-MX"/>
        </w:rPr>
      </w:pPr>
    </w:p>
    <w:p w:rsidR="00BE01FD" w:rsidRPr="007C57D2" w:rsidRDefault="007C57D2" w:rsidP="008F3DAB">
      <w:pPr>
        <w:pStyle w:val="Prrafodelista"/>
        <w:numPr>
          <w:ilvl w:val="0"/>
          <w:numId w:val="3"/>
        </w:numPr>
        <w:tabs>
          <w:tab w:val="left" w:pos="567"/>
        </w:tabs>
        <w:ind w:left="0" w:firstLine="0"/>
        <w:jc w:val="both"/>
        <w:rPr>
          <w:rFonts w:ascii="Times New Roman" w:hAnsi="Times New Roman"/>
          <w:i/>
          <w:iCs/>
          <w:sz w:val="28"/>
          <w:szCs w:val="28"/>
          <w:lang w:eastAsia="es-MX"/>
        </w:rPr>
      </w:pPr>
      <w:r w:rsidRPr="007C57D2">
        <w:rPr>
          <w:rFonts w:ascii="Times New Roman" w:hAnsi="Times New Roman"/>
          <w:sz w:val="28"/>
          <w:szCs w:val="28"/>
          <w:lang w:eastAsia="es-MX"/>
        </w:rPr>
        <w:t>Transcurridas 24 horas de realizar el reporte en la plataforma virtual o de manera p</w:t>
      </w:r>
      <w:r w:rsidRPr="007C57D2">
        <w:rPr>
          <w:rFonts w:ascii="Times New Roman" w:hAnsi="Times New Roman"/>
          <w:sz w:val="28"/>
          <w:szCs w:val="28"/>
          <w:lang w:eastAsia="es-MX"/>
        </w:rPr>
        <w:t>ersonal</w:t>
      </w:r>
      <w:r w:rsidRPr="007C57D2">
        <w:rPr>
          <w:rFonts w:ascii="Times New Roman" w:hAnsi="Times New Roman"/>
          <w:sz w:val="28"/>
          <w:szCs w:val="28"/>
          <w:lang w:eastAsia="es-MX"/>
        </w:rPr>
        <w:t xml:space="preserve">, en caso </w:t>
      </w:r>
      <w:r w:rsidRPr="007C57D2">
        <w:rPr>
          <w:rFonts w:ascii="Times New Roman" w:hAnsi="Times New Roman"/>
          <w:sz w:val="28"/>
          <w:szCs w:val="28"/>
          <w:lang w:eastAsia="es-MX"/>
        </w:rPr>
        <w:t>de no encontrarse el menor</w:t>
      </w:r>
      <w:r w:rsidRPr="007C57D2">
        <w:rPr>
          <w:rFonts w:ascii="Times New Roman" w:hAnsi="Times New Roman"/>
          <w:sz w:val="28"/>
          <w:szCs w:val="28"/>
          <w:lang w:eastAsia="es-MX"/>
        </w:rPr>
        <w:t xml:space="preserve"> de 18 años </w:t>
      </w:r>
      <w:r w:rsidRPr="007C57D2">
        <w:rPr>
          <w:rFonts w:ascii="Times New Roman" w:hAnsi="Times New Roman"/>
          <w:sz w:val="28"/>
          <w:szCs w:val="28"/>
          <w:lang w:eastAsia="es-MX"/>
        </w:rPr>
        <w:t>extraviado, el ICBF deberá presentar la denuncia ante la Fiscalía General de la Nación, quien deberá actuar en el marco de sus competencias</w:t>
      </w:r>
      <w:r w:rsidRPr="007C57D2">
        <w:rPr>
          <w:rStyle w:val="Refdenotaalpie"/>
          <w:rFonts w:ascii="Times New Roman" w:hAnsi="Times New Roman"/>
          <w:sz w:val="28"/>
          <w:szCs w:val="28"/>
          <w:lang w:eastAsia="es-MX"/>
        </w:rPr>
        <w:footnoteReference w:id="13"/>
      </w:r>
      <w:r w:rsidRPr="007C57D2">
        <w:rPr>
          <w:rFonts w:ascii="Times New Roman" w:hAnsi="Times New Roman"/>
          <w:sz w:val="28"/>
          <w:szCs w:val="28"/>
          <w:lang w:eastAsia="es-MX"/>
        </w:rPr>
        <w:t>.</w:t>
      </w:r>
    </w:p>
    <w:p w:rsidR="00BE01FD" w:rsidRPr="007C57D2" w:rsidRDefault="007C57D2" w:rsidP="008F3DAB">
      <w:pPr>
        <w:pStyle w:val="Prrafodelista"/>
        <w:tabs>
          <w:tab w:val="left" w:pos="567"/>
        </w:tabs>
        <w:ind w:left="0"/>
        <w:jc w:val="both"/>
        <w:rPr>
          <w:rFonts w:ascii="Times New Roman" w:hAnsi="Times New Roman"/>
          <w:i/>
          <w:iCs/>
          <w:sz w:val="28"/>
          <w:szCs w:val="28"/>
          <w:lang w:eastAsia="es-MX"/>
        </w:rPr>
      </w:pPr>
    </w:p>
    <w:p w:rsidR="00BE01FD" w:rsidRPr="007C57D2" w:rsidRDefault="007C57D2" w:rsidP="008F3DAB">
      <w:pPr>
        <w:pStyle w:val="Prrafodelista"/>
        <w:numPr>
          <w:ilvl w:val="0"/>
          <w:numId w:val="3"/>
        </w:numPr>
        <w:tabs>
          <w:tab w:val="left" w:pos="567"/>
        </w:tabs>
        <w:ind w:left="0" w:firstLine="0"/>
        <w:jc w:val="both"/>
        <w:rPr>
          <w:rFonts w:ascii="Times New Roman" w:hAnsi="Times New Roman"/>
          <w:i/>
          <w:iCs/>
          <w:sz w:val="28"/>
          <w:szCs w:val="28"/>
          <w:lang w:eastAsia="es-MX"/>
        </w:rPr>
      </w:pPr>
      <w:r w:rsidRPr="007C57D2">
        <w:rPr>
          <w:rFonts w:ascii="Times New Roman" w:hAnsi="Times New Roman"/>
          <w:i/>
          <w:iCs/>
          <w:sz w:val="28"/>
          <w:szCs w:val="28"/>
          <w:lang w:eastAsia="es-MX"/>
        </w:rPr>
        <w:t>Difusión de la Al</w:t>
      </w:r>
      <w:r w:rsidRPr="007C57D2">
        <w:rPr>
          <w:rFonts w:ascii="Times New Roman" w:hAnsi="Times New Roman"/>
          <w:i/>
          <w:iCs/>
          <w:sz w:val="28"/>
          <w:szCs w:val="28"/>
          <w:lang w:eastAsia="es-MX"/>
        </w:rPr>
        <w:t>erta</w:t>
      </w:r>
      <w:r w:rsidRPr="007C57D2">
        <w:rPr>
          <w:rFonts w:ascii="Times New Roman" w:hAnsi="Times New Roman"/>
          <w:i/>
          <w:iCs/>
          <w:sz w:val="28"/>
          <w:szCs w:val="28"/>
          <w:lang w:eastAsia="es-MX"/>
        </w:rPr>
        <w:t xml:space="preserve"> Colombia. </w:t>
      </w:r>
      <w:r w:rsidRPr="007C57D2">
        <w:rPr>
          <w:rFonts w:ascii="Times New Roman" w:hAnsi="Times New Roman"/>
          <w:sz w:val="28"/>
          <w:szCs w:val="28"/>
          <w:lang w:eastAsia="es-MX"/>
        </w:rPr>
        <w:t xml:space="preserve">El PLE prescribe que la </w:t>
      </w:r>
      <w:r w:rsidRPr="007C57D2">
        <w:rPr>
          <w:rFonts w:ascii="Times New Roman" w:hAnsi="Times New Roman"/>
          <w:sz w:val="28"/>
          <w:szCs w:val="28"/>
          <w:lang w:eastAsia="es-MX"/>
        </w:rPr>
        <w:t>Policía N</w:t>
      </w:r>
      <w:r w:rsidRPr="007C57D2">
        <w:rPr>
          <w:rFonts w:ascii="Times New Roman" w:hAnsi="Times New Roman"/>
          <w:sz w:val="28"/>
          <w:szCs w:val="28"/>
          <w:lang w:eastAsia="es-MX"/>
        </w:rPr>
        <w:t>a</w:t>
      </w:r>
      <w:r w:rsidRPr="007C57D2">
        <w:rPr>
          <w:rFonts w:ascii="Times New Roman" w:hAnsi="Times New Roman"/>
          <w:sz w:val="28"/>
          <w:szCs w:val="28"/>
          <w:lang w:eastAsia="es-MX"/>
        </w:rPr>
        <w:t>cional</w:t>
      </w:r>
      <w:r w:rsidRPr="007C57D2">
        <w:rPr>
          <w:rFonts w:ascii="Times New Roman" w:hAnsi="Times New Roman"/>
          <w:sz w:val="28"/>
          <w:szCs w:val="28"/>
          <w:lang w:eastAsia="es-MX"/>
        </w:rPr>
        <w:t xml:space="preserve"> deberá entregar los datos biométricos y personales del menor </w:t>
      </w:r>
      <w:r w:rsidRPr="007C57D2">
        <w:rPr>
          <w:rFonts w:ascii="Times New Roman" w:hAnsi="Times New Roman"/>
          <w:sz w:val="28"/>
          <w:szCs w:val="28"/>
          <w:lang w:eastAsia="es-MX"/>
        </w:rPr>
        <w:t xml:space="preserve">de edad </w:t>
      </w:r>
      <w:r w:rsidRPr="007C57D2">
        <w:rPr>
          <w:rFonts w:ascii="Times New Roman" w:hAnsi="Times New Roman"/>
          <w:sz w:val="28"/>
          <w:szCs w:val="28"/>
          <w:lang w:eastAsia="es-MX"/>
        </w:rPr>
        <w:t>extraviado a los proveedores de redes y servicios de telecomunicaciones móviles que operan en territorio colombiano</w:t>
      </w:r>
      <w:r w:rsidRPr="007C57D2">
        <w:rPr>
          <w:rStyle w:val="Refdenotaalpie"/>
          <w:rFonts w:ascii="Times New Roman" w:hAnsi="Times New Roman"/>
          <w:sz w:val="28"/>
          <w:szCs w:val="28"/>
          <w:lang w:eastAsia="es-MX"/>
        </w:rPr>
        <w:footnoteReference w:id="14"/>
      </w:r>
      <w:r w:rsidRPr="007C57D2">
        <w:rPr>
          <w:rFonts w:ascii="Times New Roman" w:hAnsi="Times New Roman"/>
          <w:sz w:val="28"/>
          <w:szCs w:val="28"/>
          <w:lang w:eastAsia="es-MX"/>
        </w:rPr>
        <w:t xml:space="preserve">. Estos </w:t>
      </w:r>
      <w:r w:rsidRPr="007C57D2">
        <w:rPr>
          <w:rFonts w:ascii="Times New Roman" w:hAnsi="Times New Roman"/>
          <w:sz w:val="28"/>
          <w:szCs w:val="28"/>
          <w:lang w:eastAsia="es-MX"/>
        </w:rPr>
        <w:t xml:space="preserve">deberán enviar </w:t>
      </w:r>
      <w:r w:rsidRPr="007C57D2">
        <w:rPr>
          <w:rFonts w:ascii="Times New Roman" w:hAnsi="Times New Roman"/>
          <w:sz w:val="28"/>
          <w:szCs w:val="28"/>
          <w:lang w:eastAsia="es-MX"/>
        </w:rPr>
        <w:t>la</w:t>
      </w:r>
      <w:r w:rsidRPr="007C57D2">
        <w:rPr>
          <w:rFonts w:ascii="Times New Roman" w:hAnsi="Times New Roman"/>
          <w:sz w:val="28"/>
          <w:szCs w:val="28"/>
          <w:lang w:eastAsia="es-MX"/>
        </w:rPr>
        <w:t xml:space="preserve"> alerta con esos datos a todo</w:t>
      </w:r>
      <w:r w:rsidRPr="007C57D2">
        <w:rPr>
          <w:rFonts w:ascii="Times New Roman" w:hAnsi="Times New Roman"/>
          <w:sz w:val="28"/>
          <w:szCs w:val="28"/>
          <w:lang w:eastAsia="es-MX"/>
        </w:rPr>
        <w:t>s los teléfonos móviles que se encuentren en la zona donde ocurrieron los hechos</w:t>
      </w:r>
      <w:r w:rsidRPr="007C57D2">
        <w:rPr>
          <w:rStyle w:val="Refdenotaalpie"/>
          <w:rFonts w:ascii="Times New Roman" w:hAnsi="Times New Roman"/>
          <w:sz w:val="28"/>
          <w:szCs w:val="28"/>
          <w:lang w:eastAsia="es-MX"/>
        </w:rPr>
        <w:footnoteReference w:id="15"/>
      </w:r>
      <w:r w:rsidRPr="007C57D2">
        <w:rPr>
          <w:rFonts w:ascii="Times New Roman" w:hAnsi="Times New Roman"/>
          <w:sz w:val="28"/>
          <w:szCs w:val="28"/>
          <w:lang w:eastAsia="es-MX"/>
        </w:rPr>
        <w:t>. Si existen indicios de que el niño o niña ha sido trasladado a otra ciudad o municipio, la alerta deberá ampliarse progresivamente</w:t>
      </w:r>
      <w:r w:rsidRPr="007C57D2">
        <w:rPr>
          <w:rStyle w:val="Refdenotaalpie"/>
          <w:rFonts w:ascii="Times New Roman" w:hAnsi="Times New Roman"/>
          <w:sz w:val="28"/>
          <w:szCs w:val="28"/>
          <w:lang w:eastAsia="es-MX"/>
        </w:rPr>
        <w:footnoteReference w:id="16"/>
      </w:r>
      <w:r w:rsidRPr="007C57D2">
        <w:rPr>
          <w:rFonts w:ascii="Times New Roman" w:hAnsi="Times New Roman"/>
          <w:sz w:val="28"/>
          <w:szCs w:val="28"/>
          <w:lang w:eastAsia="es-MX"/>
        </w:rPr>
        <w:t>.</w:t>
      </w:r>
      <w:r w:rsidRPr="007C57D2">
        <w:rPr>
          <w:rFonts w:ascii="Times New Roman" w:hAnsi="Times New Roman"/>
          <w:i/>
          <w:iCs/>
          <w:sz w:val="28"/>
          <w:szCs w:val="28"/>
          <w:lang w:eastAsia="es-MX"/>
        </w:rPr>
        <w:t xml:space="preserve"> </w:t>
      </w:r>
      <w:r w:rsidRPr="007C57D2">
        <w:rPr>
          <w:rFonts w:ascii="Times New Roman" w:hAnsi="Times New Roman"/>
          <w:sz w:val="28"/>
          <w:szCs w:val="28"/>
          <w:lang w:eastAsia="es-MX"/>
        </w:rPr>
        <w:t xml:space="preserve">Igualmente, </w:t>
      </w:r>
      <w:r w:rsidRPr="007C57D2">
        <w:rPr>
          <w:rFonts w:ascii="Times New Roman" w:hAnsi="Times New Roman"/>
          <w:sz w:val="28"/>
          <w:szCs w:val="28"/>
          <w:lang w:eastAsia="es-MX"/>
        </w:rPr>
        <w:t xml:space="preserve">la Policía Nacional </w:t>
      </w:r>
      <w:r w:rsidRPr="007C57D2">
        <w:rPr>
          <w:rFonts w:ascii="Times New Roman" w:hAnsi="Times New Roman"/>
          <w:sz w:val="28"/>
          <w:szCs w:val="28"/>
          <w:lang w:eastAsia="es-MX"/>
        </w:rPr>
        <w:t>deberá e</w:t>
      </w:r>
      <w:r w:rsidRPr="007C57D2">
        <w:rPr>
          <w:rFonts w:ascii="Times New Roman" w:hAnsi="Times New Roman"/>
          <w:sz w:val="28"/>
          <w:szCs w:val="28"/>
          <w:lang w:eastAsia="es-MX"/>
        </w:rPr>
        <w:t>ntregar</w:t>
      </w:r>
      <w:r w:rsidRPr="007C57D2">
        <w:rPr>
          <w:rFonts w:ascii="Times New Roman" w:hAnsi="Times New Roman"/>
          <w:sz w:val="28"/>
          <w:szCs w:val="28"/>
          <w:lang w:eastAsia="es-MX"/>
        </w:rPr>
        <w:t xml:space="preserve"> a los proveedores de redes y servicios de telecomunicaciones móviles</w:t>
      </w:r>
      <w:r w:rsidRPr="007C57D2">
        <w:rPr>
          <w:rFonts w:ascii="Times New Roman" w:hAnsi="Times New Roman"/>
          <w:sz w:val="28"/>
          <w:szCs w:val="28"/>
          <w:lang w:eastAsia="es-MX"/>
        </w:rPr>
        <w:t xml:space="preserve"> la siguiente información</w:t>
      </w:r>
      <w:r w:rsidRPr="007C57D2">
        <w:rPr>
          <w:rFonts w:ascii="Times New Roman" w:hAnsi="Times New Roman"/>
          <w:sz w:val="28"/>
          <w:szCs w:val="28"/>
          <w:lang w:eastAsia="es-MX"/>
        </w:rPr>
        <w:t xml:space="preserve"> adicional</w:t>
      </w:r>
      <w:r w:rsidRPr="007C57D2">
        <w:rPr>
          <w:rFonts w:ascii="Times New Roman" w:hAnsi="Times New Roman"/>
          <w:sz w:val="28"/>
          <w:szCs w:val="28"/>
          <w:lang w:eastAsia="es-MX"/>
        </w:rPr>
        <w:t xml:space="preserve">: </w:t>
      </w:r>
      <w:r w:rsidRPr="007C57D2">
        <w:rPr>
          <w:rFonts w:ascii="Times New Roman" w:hAnsi="Times New Roman"/>
          <w:sz w:val="28"/>
          <w:szCs w:val="28"/>
        </w:rPr>
        <w:t>fecha exacta y zona en la que se extravió el menor</w:t>
      </w:r>
      <w:r w:rsidRPr="007C57D2">
        <w:rPr>
          <w:rFonts w:ascii="Times New Roman" w:hAnsi="Times New Roman"/>
          <w:sz w:val="28"/>
          <w:szCs w:val="28"/>
        </w:rPr>
        <w:t xml:space="preserve"> de 18 años</w:t>
      </w:r>
      <w:r w:rsidRPr="007C57D2">
        <w:rPr>
          <w:rFonts w:ascii="Times New Roman" w:hAnsi="Times New Roman"/>
          <w:sz w:val="28"/>
          <w:szCs w:val="28"/>
        </w:rPr>
        <w:t xml:space="preserve">; número telefónico dispuesto por las autoridades y de los familiares; ciudad o municipio, localidad, departamento o distrito; vestimenta y fotografía del menor </w:t>
      </w:r>
      <w:r w:rsidRPr="007C57D2">
        <w:rPr>
          <w:rFonts w:ascii="Times New Roman" w:hAnsi="Times New Roman"/>
          <w:sz w:val="28"/>
          <w:szCs w:val="28"/>
        </w:rPr>
        <w:t xml:space="preserve">de edad </w:t>
      </w:r>
      <w:r w:rsidRPr="007C57D2">
        <w:rPr>
          <w:rFonts w:ascii="Times New Roman" w:hAnsi="Times New Roman"/>
          <w:sz w:val="28"/>
          <w:szCs w:val="28"/>
        </w:rPr>
        <w:t>extraviado</w:t>
      </w:r>
      <w:r w:rsidRPr="007C57D2">
        <w:rPr>
          <w:rFonts w:ascii="Times New Roman" w:hAnsi="Times New Roman"/>
          <w:sz w:val="28"/>
          <w:szCs w:val="28"/>
        </w:rPr>
        <w:t>,</w:t>
      </w:r>
      <w:r w:rsidRPr="007C57D2">
        <w:rPr>
          <w:rFonts w:ascii="Times New Roman" w:hAnsi="Times New Roman"/>
          <w:sz w:val="28"/>
          <w:szCs w:val="28"/>
        </w:rPr>
        <w:t xml:space="preserve"> y cualquier otra información que sirva para identificarlo y localizarlo</w:t>
      </w:r>
      <w:r w:rsidRPr="007C57D2">
        <w:rPr>
          <w:rStyle w:val="Refdenotaalpie"/>
          <w:rFonts w:ascii="Times New Roman" w:hAnsi="Times New Roman"/>
          <w:sz w:val="28"/>
          <w:szCs w:val="28"/>
        </w:rPr>
        <w:footnoteReference w:id="17"/>
      </w:r>
      <w:r w:rsidRPr="007C57D2">
        <w:rPr>
          <w:rFonts w:ascii="Times New Roman" w:hAnsi="Times New Roman"/>
          <w:sz w:val="28"/>
          <w:szCs w:val="28"/>
          <w:lang w:eastAsia="es-MX"/>
        </w:rPr>
        <w:t xml:space="preserve">. </w:t>
      </w:r>
    </w:p>
    <w:p w:rsidR="005F1B18" w:rsidRPr="007C57D2" w:rsidRDefault="007C57D2" w:rsidP="008F3DAB">
      <w:pPr>
        <w:pStyle w:val="Prrafodelista"/>
        <w:ind w:left="0"/>
        <w:jc w:val="both"/>
        <w:rPr>
          <w:rFonts w:ascii="Times New Roman" w:hAnsi="Times New Roman"/>
          <w:i/>
          <w:iCs/>
          <w:sz w:val="28"/>
          <w:szCs w:val="28"/>
          <w:lang w:eastAsia="es-MX"/>
        </w:rPr>
      </w:pPr>
    </w:p>
    <w:p w:rsidR="005F1B18" w:rsidRPr="007C57D2" w:rsidRDefault="007C57D2" w:rsidP="008F3DAB">
      <w:pPr>
        <w:pStyle w:val="Prrafodelista"/>
        <w:numPr>
          <w:ilvl w:val="0"/>
          <w:numId w:val="3"/>
        </w:numPr>
        <w:tabs>
          <w:tab w:val="left" w:pos="567"/>
        </w:tabs>
        <w:ind w:left="0" w:firstLine="0"/>
        <w:jc w:val="both"/>
        <w:rPr>
          <w:rFonts w:ascii="Times New Roman" w:hAnsi="Times New Roman"/>
          <w:i/>
          <w:iCs/>
          <w:sz w:val="28"/>
          <w:szCs w:val="28"/>
          <w:lang w:eastAsia="es-MX"/>
        </w:rPr>
      </w:pPr>
      <w:r w:rsidRPr="007C57D2">
        <w:rPr>
          <w:rFonts w:ascii="Times New Roman" w:hAnsi="Times New Roman"/>
          <w:sz w:val="28"/>
          <w:szCs w:val="28"/>
          <w:lang w:eastAsia="es-MX"/>
        </w:rPr>
        <w:t>Los proveedores de redes y servicios de telecomunicaciones móviles deberán enviar la alerta a la pantalla principal de los teléfonos móviles tres veces al día</w:t>
      </w:r>
      <w:r w:rsidRPr="007C57D2">
        <w:rPr>
          <w:rFonts w:ascii="Times New Roman" w:hAnsi="Times New Roman"/>
          <w:sz w:val="28"/>
          <w:szCs w:val="28"/>
          <w:lang w:eastAsia="es-MX"/>
        </w:rPr>
        <w:t xml:space="preserve"> —cada una de ellas por al menos diez segundos—</w:t>
      </w:r>
      <w:r w:rsidRPr="007C57D2">
        <w:rPr>
          <w:rFonts w:ascii="Times New Roman" w:hAnsi="Times New Roman"/>
          <w:sz w:val="28"/>
          <w:szCs w:val="28"/>
          <w:lang w:eastAsia="es-MX"/>
        </w:rPr>
        <w:t>, desde el reporte de la desaparición y</w:t>
      </w:r>
      <w:r w:rsidRPr="007C57D2">
        <w:rPr>
          <w:rFonts w:ascii="Times New Roman" w:hAnsi="Times New Roman"/>
          <w:sz w:val="28"/>
          <w:szCs w:val="28"/>
          <w:lang w:eastAsia="es-MX"/>
        </w:rPr>
        <w:t>, como</w:t>
      </w:r>
      <w:r w:rsidRPr="007C57D2">
        <w:rPr>
          <w:rFonts w:ascii="Times New Roman" w:hAnsi="Times New Roman"/>
          <w:sz w:val="28"/>
          <w:szCs w:val="28"/>
          <w:lang w:eastAsia="es-MX"/>
        </w:rPr>
        <w:t xml:space="preserve"> míni</w:t>
      </w:r>
      <w:r w:rsidRPr="007C57D2">
        <w:rPr>
          <w:rFonts w:ascii="Times New Roman" w:hAnsi="Times New Roman"/>
          <w:sz w:val="28"/>
          <w:szCs w:val="28"/>
          <w:lang w:eastAsia="es-MX"/>
        </w:rPr>
        <w:t>mo</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durante la semana siguiente a la alerta inicial</w:t>
      </w:r>
      <w:r w:rsidRPr="007C57D2">
        <w:rPr>
          <w:rStyle w:val="Refdenotaalpie"/>
          <w:rFonts w:ascii="Times New Roman" w:hAnsi="Times New Roman"/>
          <w:sz w:val="28"/>
          <w:szCs w:val="28"/>
          <w:lang w:eastAsia="es-MX"/>
        </w:rPr>
        <w:footnoteReference w:id="18"/>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La </w:t>
      </w:r>
      <w:r w:rsidRPr="007C57D2">
        <w:rPr>
          <w:rFonts w:ascii="Times New Roman" w:hAnsi="Times New Roman"/>
          <w:sz w:val="28"/>
          <w:szCs w:val="28"/>
          <w:lang w:eastAsia="es-MX"/>
        </w:rPr>
        <w:t>a</w:t>
      </w:r>
      <w:r w:rsidRPr="007C57D2">
        <w:rPr>
          <w:rFonts w:ascii="Times New Roman" w:hAnsi="Times New Roman"/>
          <w:sz w:val="28"/>
          <w:szCs w:val="28"/>
          <w:lang w:eastAsia="es-MX"/>
        </w:rPr>
        <w:t xml:space="preserve">lerta, que deberá vibrar, deberá cubrir toda la pantalla y la fotografía, por lo menos el 70% de ella. La señal de alerta será en color rojo y no se permitirá que el usuario del dispositivo móvil </w:t>
      </w:r>
      <w:r w:rsidRPr="007C57D2">
        <w:rPr>
          <w:rFonts w:ascii="Times New Roman" w:hAnsi="Times New Roman"/>
          <w:sz w:val="28"/>
          <w:szCs w:val="28"/>
          <w:lang w:eastAsia="es-MX"/>
        </w:rPr>
        <w:t>elimine la alerta antes de los diez segundos</w:t>
      </w:r>
      <w:r w:rsidRPr="007C57D2">
        <w:rPr>
          <w:rStyle w:val="Refdenotaalpie"/>
          <w:rFonts w:ascii="Times New Roman" w:hAnsi="Times New Roman"/>
          <w:sz w:val="28"/>
          <w:szCs w:val="28"/>
          <w:lang w:eastAsia="es-MX"/>
        </w:rPr>
        <w:footnoteReference w:id="19"/>
      </w:r>
      <w:r w:rsidRPr="007C57D2">
        <w:rPr>
          <w:rFonts w:ascii="Times New Roman" w:hAnsi="Times New Roman"/>
          <w:sz w:val="28"/>
          <w:szCs w:val="28"/>
          <w:lang w:eastAsia="es-MX"/>
        </w:rPr>
        <w:t>.</w:t>
      </w:r>
    </w:p>
    <w:p w:rsidR="1B64A7DA" w:rsidRPr="007C57D2" w:rsidRDefault="007C57D2" w:rsidP="008F3DAB">
      <w:pPr>
        <w:pStyle w:val="Prrafodelista"/>
        <w:tabs>
          <w:tab w:val="left" w:pos="567"/>
        </w:tabs>
        <w:ind w:left="0"/>
        <w:jc w:val="both"/>
        <w:rPr>
          <w:rFonts w:ascii="Times New Roman" w:hAnsi="Times New Roman"/>
          <w:i/>
          <w:iCs/>
          <w:sz w:val="28"/>
          <w:szCs w:val="28"/>
          <w:lang w:eastAsia="es-MX"/>
        </w:rPr>
      </w:pPr>
    </w:p>
    <w:p w:rsidR="00DE0651" w:rsidRPr="007C57D2" w:rsidRDefault="007C57D2" w:rsidP="008F3DAB">
      <w:pPr>
        <w:pStyle w:val="Prrafodelista"/>
        <w:numPr>
          <w:ilvl w:val="0"/>
          <w:numId w:val="3"/>
        </w:numPr>
        <w:tabs>
          <w:tab w:val="left" w:pos="567"/>
        </w:tabs>
        <w:ind w:left="0" w:firstLine="0"/>
        <w:jc w:val="both"/>
        <w:rPr>
          <w:rFonts w:ascii="Times New Roman" w:hAnsi="Times New Roman"/>
          <w:i/>
          <w:iCs/>
          <w:sz w:val="28"/>
          <w:szCs w:val="28"/>
          <w:lang w:eastAsia="es-MX"/>
        </w:rPr>
      </w:pPr>
      <w:r w:rsidRPr="007C57D2">
        <w:rPr>
          <w:rFonts w:ascii="Times New Roman" w:hAnsi="Times New Roman"/>
          <w:sz w:val="28"/>
          <w:szCs w:val="28"/>
          <w:lang w:eastAsia="es-MX"/>
        </w:rPr>
        <w:t xml:space="preserve">La </w:t>
      </w:r>
      <w:r w:rsidRPr="007C57D2">
        <w:rPr>
          <w:rFonts w:ascii="Times New Roman" w:hAnsi="Times New Roman"/>
          <w:sz w:val="28"/>
          <w:szCs w:val="28"/>
          <w:lang w:eastAsia="es-MX"/>
        </w:rPr>
        <w:t>Alerta Colombia también</w:t>
      </w:r>
      <w:r w:rsidRPr="007C57D2">
        <w:rPr>
          <w:rFonts w:ascii="Times New Roman" w:hAnsi="Times New Roman"/>
          <w:sz w:val="28"/>
          <w:szCs w:val="28"/>
          <w:lang w:eastAsia="es-MX"/>
        </w:rPr>
        <w:t xml:space="preserve"> deberá enviar</w:t>
      </w:r>
      <w:r w:rsidRPr="007C57D2">
        <w:rPr>
          <w:rFonts w:ascii="Times New Roman" w:hAnsi="Times New Roman"/>
          <w:sz w:val="28"/>
          <w:szCs w:val="28"/>
          <w:lang w:eastAsia="es-MX"/>
        </w:rPr>
        <w:t>se</w:t>
      </w:r>
      <w:r w:rsidRPr="007C57D2">
        <w:rPr>
          <w:rFonts w:ascii="Times New Roman" w:hAnsi="Times New Roman"/>
          <w:sz w:val="28"/>
          <w:szCs w:val="28"/>
          <w:lang w:eastAsia="es-MX"/>
        </w:rPr>
        <w:t xml:space="preserve"> de manera inmediata al Ministerio de Relaciones Exteriores, Migración Colombia y a todas las demás autoridades en las fronteras, puertos y aeropuertos. Los operadore</w:t>
      </w:r>
      <w:r w:rsidRPr="007C57D2">
        <w:rPr>
          <w:rFonts w:ascii="Times New Roman" w:hAnsi="Times New Roman"/>
          <w:sz w:val="28"/>
          <w:szCs w:val="28"/>
          <w:lang w:eastAsia="es-MX"/>
        </w:rPr>
        <w:t xml:space="preserve">s logísticos de los aeropuertos internacionales deberán difundir la alerta en sus instalaciones cuando el menor </w:t>
      </w:r>
      <w:r w:rsidRPr="007C57D2">
        <w:rPr>
          <w:rFonts w:ascii="Times New Roman" w:hAnsi="Times New Roman"/>
          <w:sz w:val="28"/>
          <w:szCs w:val="28"/>
          <w:lang w:eastAsia="es-MX"/>
        </w:rPr>
        <w:t xml:space="preserve">de 18 años </w:t>
      </w:r>
      <w:r w:rsidRPr="007C57D2">
        <w:rPr>
          <w:rFonts w:ascii="Times New Roman" w:hAnsi="Times New Roman"/>
          <w:sz w:val="28"/>
          <w:szCs w:val="28"/>
          <w:lang w:eastAsia="es-MX"/>
        </w:rPr>
        <w:t>se haya extraviado</w:t>
      </w:r>
      <w:r w:rsidRPr="007C57D2">
        <w:rPr>
          <w:rFonts w:ascii="Times New Roman" w:hAnsi="Times New Roman"/>
          <w:sz w:val="28"/>
          <w:szCs w:val="28"/>
          <w:lang w:eastAsia="es-MX"/>
        </w:rPr>
        <w:t xml:space="preserve"> en</w:t>
      </w:r>
      <w:r w:rsidRPr="007C57D2">
        <w:rPr>
          <w:rFonts w:ascii="Times New Roman" w:hAnsi="Times New Roman"/>
          <w:sz w:val="28"/>
          <w:szCs w:val="28"/>
          <w:lang w:eastAsia="es-MX"/>
        </w:rPr>
        <w:t xml:space="preserve"> la ciudad o municipio en el que se encuentran ubicados</w:t>
      </w:r>
      <w:r w:rsidRPr="007C57D2">
        <w:rPr>
          <w:rStyle w:val="Refdenotaalpie"/>
          <w:rFonts w:ascii="Times New Roman" w:hAnsi="Times New Roman"/>
          <w:sz w:val="28"/>
          <w:szCs w:val="28"/>
          <w:lang w:eastAsia="es-MX"/>
        </w:rPr>
        <w:footnoteReference w:id="20"/>
      </w:r>
      <w:r w:rsidRPr="007C57D2">
        <w:rPr>
          <w:rFonts w:ascii="Times New Roman" w:hAnsi="Times New Roman"/>
          <w:sz w:val="28"/>
          <w:szCs w:val="28"/>
          <w:lang w:eastAsia="es-MX"/>
        </w:rPr>
        <w:t xml:space="preserve">. El PLE dispone que “se deberá comunicar e informar a </w:t>
      </w:r>
      <w:r w:rsidRPr="007C57D2">
        <w:rPr>
          <w:rFonts w:ascii="Times New Roman" w:hAnsi="Times New Roman"/>
          <w:sz w:val="28"/>
          <w:szCs w:val="28"/>
          <w:lang w:eastAsia="es-MX"/>
        </w:rPr>
        <w:t>los países fronterizos con Colombia sobre la alerta emitida, con el fin de articular esfuerzos para recuperar al niño o niña”</w:t>
      </w:r>
      <w:r w:rsidRPr="007C57D2">
        <w:rPr>
          <w:rStyle w:val="Refdenotaalpie"/>
          <w:rFonts w:ascii="Times New Roman" w:hAnsi="Times New Roman"/>
          <w:sz w:val="28"/>
          <w:szCs w:val="28"/>
          <w:lang w:eastAsia="es-MX"/>
        </w:rPr>
        <w:footnoteReference w:id="21"/>
      </w:r>
      <w:r w:rsidRPr="007C57D2">
        <w:rPr>
          <w:rFonts w:ascii="Times New Roman" w:hAnsi="Times New Roman"/>
          <w:sz w:val="28"/>
          <w:szCs w:val="28"/>
          <w:lang w:eastAsia="es-MX"/>
        </w:rPr>
        <w:t>. Del mismo modo, la alerta será difundida a través de otros medios de comunicación de amplia cobertura, como la radio, la televis</w:t>
      </w:r>
      <w:r w:rsidRPr="007C57D2">
        <w:rPr>
          <w:rFonts w:ascii="Times New Roman" w:hAnsi="Times New Roman"/>
          <w:sz w:val="28"/>
          <w:szCs w:val="28"/>
          <w:lang w:eastAsia="es-MX"/>
        </w:rPr>
        <w:t>ión y los medios digitales</w:t>
      </w:r>
      <w:r w:rsidRPr="007C57D2">
        <w:rPr>
          <w:rStyle w:val="Refdenotaalpie"/>
          <w:rFonts w:ascii="Times New Roman" w:hAnsi="Times New Roman"/>
          <w:sz w:val="28"/>
          <w:szCs w:val="28"/>
          <w:lang w:eastAsia="es-MX"/>
        </w:rPr>
        <w:footnoteReference w:id="22"/>
      </w:r>
      <w:r w:rsidRPr="007C57D2">
        <w:rPr>
          <w:rFonts w:ascii="Times New Roman" w:hAnsi="Times New Roman"/>
          <w:sz w:val="28"/>
          <w:szCs w:val="28"/>
          <w:lang w:eastAsia="es-MX"/>
        </w:rPr>
        <w:t>.</w:t>
      </w:r>
    </w:p>
    <w:p w:rsidR="00E74A3A" w:rsidRPr="007C57D2" w:rsidRDefault="007C57D2" w:rsidP="008F3DAB">
      <w:pPr>
        <w:tabs>
          <w:tab w:val="left" w:pos="360"/>
        </w:tabs>
        <w:spacing w:after="0" w:line="240" w:lineRule="auto"/>
        <w:jc w:val="both"/>
        <w:rPr>
          <w:rFonts w:ascii="Times New Roman" w:hAnsi="Times New Roman"/>
          <w:b/>
          <w:bCs/>
          <w:sz w:val="28"/>
          <w:szCs w:val="28"/>
        </w:rPr>
      </w:pPr>
    </w:p>
    <w:p w:rsidR="008F3DAB" w:rsidRPr="007C57D2" w:rsidRDefault="007C57D2" w:rsidP="008F3DAB">
      <w:pPr>
        <w:tabs>
          <w:tab w:val="left" w:pos="360"/>
        </w:tabs>
        <w:spacing w:after="0" w:line="240" w:lineRule="auto"/>
        <w:jc w:val="both"/>
        <w:rPr>
          <w:rFonts w:ascii="Times New Roman" w:hAnsi="Times New Roman"/>
          <w:b/>
          <w:bCs/>
          <w:sz w:val="28"/>
          <w:szCs w:val="28"/>
        </w:rPr>
      </w:pPr>
    </w:p>
    <w:p w:rsidR="008F3DAB" w:rsidRPr="007C57D2" w:rsidRDefault="007C57D2" w:rsidP="008F3DAB">
      <w:pPr>
        <w:tabs>
          <w:tab w:val="left" w:pos="360"/>
        </w:tabs>
        <w:spacing w:after="0" w:line="240" w:lineRule="auto"/>
        <w:jc w:val="both"/>
        <w:rPr>
          <w:rFonts w:ascii="Times New Roman" w:hAnsi="Times New Roman"/>
          <w:b/>
          <w:bCs/>
          <w:sz w:val="28"/>
          <w:szCs w:val="28"/>
        </w:rPr>
      </w:pPr>
    </w:p>
    <w:p w:rsidR="008F3DAB" w:rsidRPr="007C57D2" w:rsidRDefault="007C57D2" w:rsidP="008F3DAB">
      <w:pPr>
        <w:tabs>
          <w:tab w:val="left" w:pos="360"/>
        </w:tabs>
        <w:spacing w:after="0" w:line="240" w:lineRule="auto"/>
        <w:jc w:val="both"/>
        <w:rPr>
          <w:rFonts w:ascii="Times New Roman" w:hAnsi="Times New Roman"/>
          <w:b/>
          <w:bCs/>
          <w:sz w:val="28"/>
          <w:szCs w:val="28"/>
        </w:rPr>
      </w:pPr>
    </w:p>
    <w:p w:rsidR="003E0726" w:rsidRPr="007C57D2" w:rsidRDefault="007C57D2" w:rsidP="008F3DAB">
      <w:pPr>
        <w:tabs>
          <w:tab w:val="left" w:pos="360"/>
        </w:tabs>
        <w:spacing w:after="0" w:line="240" w:lineRule="auto"/>
        <w:jc w:val="both"/>
        <w:rPr>
          <w:rFonts w:ascii="Times New Roman" w:hAnsi="Times New Roman"/>
          <w:b/>
          <w:bCs/>
          <w:sz w:val="28"/>
          <w:szCs w:val="28"/>
          <w:bdr w:val="none" w:sz="0" w:space="0" w:color="auto" w:frame="1"/>
          <w:shd w:val="clear" w:color="auto" w:fill="FFFFFF"/>
        </w:rPr>
      </w:pPr>
      <w:r w:rsidRPr="007C57D2">
        <w:rPr>
          <w:rFonts w:ascii="Times New Roman" w:hAnsi="Times New Roman"/>
          <w:b/>
          <w:bCs/>
          <w:sz w:val="28"/>
          <w:szCs w:val="28"/>
        </w:rPr>
        <w:t xml:space="preserve">3.2. </w:t>
      </w:r>
      <w:r w:rsidRPr="007C57D2">
        <w:rPr>
          <w:rFonts w:ascii="Times New Roman" w:hAnsi="Times New Roman"/>
          <w:b/>
          <w:bCs/>
          <w:sz w:val="28"/>
          <w:szCs w:val="28"/>
        </w:rPr>
        <w:t>La materia regulada en el</w:t>
      </w:r>
      <w:r w:rsidRPr="007C57D2">
        <w:rPr>
          <w:rFonts w:ascii="Times New Roman" w:hAnsi="Times New Roman"/>
          <w:b/>
          <w:bCs/>
          <w:sz w:val="28"/>
          <w:szCs w:val="28"/>
        </w:rPr>
        <w:t xml:space="preserve"> </w:t>
      </w:r>
      <w:r w:rsidRPr="007C57D2">
        <w:rPr>
          <w:rFonts w:ascii="Times New Roman" w:hAnsi="Times New Roman"/>
          <w:b/>
          <w:bCs/>
          <w:sz w:val="28"/>
          <w:szCs w:val="28"/>
          <w:bdr w:val="none" w:sz="0" w:space="0" w:color="auto" w:frame="1"/>
          <w:shd w:val="clear" w:color="auto" w:fill="FFFFFF"/>
        </w:rPr>
        <w:t>PLE tiene reserva de ley estatutaria</w:t>
      </w:r>
    </w:p>
    <w:p w:rsidR="003E0726" w:rsidRPr="007C57D2" w:rsidRDefault="007C57D2" w:rsidP="008F3DAB">
      <w:pPr>
        <w:tabs>
          <w:tab w:val="left" w:pos="360"/>
        </w:tabs>
        <w:spacing w:after="0" w:line="240" w:lineRule="auto"/>
        <w:jc w:val="both"/>
        <w:rPr>
          <w:rFonts w:ascii="Times New Roman" w:hAnsi="Times New Roman"/>
          <w:b/>
          <w:bCs/>
          <w:sz w:val="28"/>
          <w:szCs w:val="28"/>
          <w:bdr w:val="none" w:sz="0" w:space="0" w:color="auto" w:frame="1"/>
          <w:shd w:val="clear" w:color="auto" w:fill="FFFFFF"/>
        </w:rPr>
      </w:pPr>
    </w:p>
    <w:p w:rsidR="003E0726" w:rsidRPr="007C57D2" w:rsidRDefault="007C57D2" w:rsidP="008F3DAB">
      <w:pPr>
        <w:pStyle w:val="Prrafodelista"/>
        <w:numPr>
          <w:ilvl w:val="0"/>
          <w:numId w:val="3"/>
        </w:numPr>
        <w:tabs>
          <w:tab w:val="left" w:pos="567"/>
        </w:tabs>
        <w:ind w:left="0" w:firstLine="0"/>
        <w:jc w:val="both"/>
        <w:rPr>
          <w:rFonts w:ascii="Times New Roman" w:hAnsi="Times New Roman"/>
          <w:i/>
          <w:iCs/>
          <w:sz w:val="28"/>
          <w:szCs w:val="28"/>
          <w:lang w:eastAsia="es-MX"/>
        </w:rPr>
      </w:pPr>
      <w:r w:rsidRPr="007C57D2">
        <w:rPr>
          <w:rFonts w:ascii="Times New Roman" w:hAnsi="Times New Roman"/>
          <w:sz w:val="28"/>
          <w:szCs w:val="28"/>
          <w:lang w:eastAsia="es-MX"/>
        </w:rPr>
        <w:t>El artículo 152 de la Constitución dispone que, mediante las leyes estatutarias, el Congreso de la República regulará las siguientes materias: (i) los derechos y deberes fundamentales de las personas y los procedimientos y recursos para su protección; (ii)</w:t>
      </w:r>
      <w:r w:rsidRPr="007C57D2">
        <w:rPr>
          <w:rFonts w:ascii="Times New Roman" w:hAnsi="Times New Roman"/>
          <w:sz w:val="28"/>
          <w:szCs w:val="28"/>
          <w:lang w:eastAsia="es-MX"/>
        </w:rPr>
        <w:t xml:space="preserve"> la administración de justicia; (iii) la organización y el régimen de los partidos y movimientos políticos; (iv) </w:t>
      </w:r>
      <w:r w:rsidRPr="007C57D2">
        <w:rPr>
          <w:rFonts w:ascii="Times New Roman" w:hAnsi="Times New Roman"/>
          <w:sz w:val="28"/>
          <w:szCs w:val="28"/>
          <w:lang w:eastAsia="es-MX"/>
        </w:rPr>
        <w:t xml:space="preserve">el </w:t>
      </w:r>
      <w:r w:rsidRPr="007C57D2">
        <w:rPr>
          <w:rFonts w:ascii="Times New Roman" w:hAnsi="Times New Roman"/>
          <w:sz w:val="28"/>
          <w:szCs w:val="28"/>
          <w:lang w:eastAsia="es-MX"/>
        </w:rPr>
        <w:t xml:space="preserve">estatuto de la oposición y </w:t>
      </w:r>
      <w:r w:rsidRPr="007C57D2">
        <w:rPr>
          <w:rFonts w:ascii="Times New Roman" w:hAnsi="Times New Roman"/>
          <w:sz w:val="28"/>
          <w:szCs w:val="28"/>
          <w:lang w:eastAsia="es-MX"/>
        </w:rPr>
        <w:t xml:space="preserve">las </w:t>
      </w:r>
      <w:r w:rsidRPr="007C57D2">
        <w:rPr>
          <w:rFonts w:ascii="Times New Roman" w:hAnsi="Times New Roman"/>
          <w:sz w:val="28"/>
          <w:szCs w:val="28"/>
          <w:lang w:eastAsia="es-MX"/>
        </w:rPr>
        <w:t>funciones electorales; (v) las instituciones y mecanismos de participación ciudadana; (vi) los estados de exc</w:t>
      </w:r>
      <w:r w:rsidRPr="007C57D2">
        <w:rPr>
          <w:rFonts w:ascii="Times New Roman" w:hAnsi="Times New Roman"/>
          <w:sz w:val="28"/>
          <w:szCs w:val="28"/>
          <w:lang w:eastAsia="es-MX"/>
        </w:rPr>
        <w:t>epción y (vii) la igualdad electoral entre los candidatos a la Presidencia de la República que reúnan los requisitos que determine la ley.</w:t>
      </w:r>
    </w:p>
    <w:p w:rsidR="003E0726" w:rsidRPr="007C57D2" w:rsidRDefault="007C57D2" w:rsidP="008F3DAB">
      <w:pPr>
        <w:pStyle w:val="Prrafodelista"/>
        <w:tabs>
          <w:tab w:val="left" w:pos="567"/>
        </w:tabs>
        <w:ind w:left="0"/>
        <w:jc w:val="both"/>
        <w:rPr>
          <w:rFonts w:ascii="Times New Roman" w:hAnsi="Times New Roman"/>
          <w:i/>
          <w:iCs/>
          <w:sz w:val="28"/>
          <w:szCs w:val="28"/>
          <w:lang w:eastAsia="es-MX"/>
        </w:rPr>
      </w:pPr>
    </w:p>
    <w:p w:rsidR="003E072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De acuerdo con la jurisprudencia, no cualquier regulación que se ocupe de las materias indicadas en el artículo 152 </w:t>
      </w:r>
      <w:r w:rsidRPr="007C57D2">
        <w:rPr>
          <w:rFonts w:ascii="Times New Roman" w:hAnsi="Times New Roman"/>
          <w:sz w:val="28"/>
          <w:szCs w:val="28"/>
          <w:lang w:eastAsia="es-MX"/>
        </w:rPr>
        <w:t>de la Constitución tiene reserva de ley estatutaria</w:t>
      </w:r>
      <w:r w:rsidRPr="007C57D2">
        <w:rPr>
          <w:rStyle w:val="Refdenotaalpie"/>
          <w:rFonts w:ascii="Times New Roman" w:hAnsi="Times New Roman"/>
          <w:sz w:val="28"/>
          <w:szCs w:val="28"/>
          <w:lang w:eastAsia="es-MX"/>
        </w:rPr>
        <w:footnoteReference w:id="23"/>
      </w:r>
      <w:r w:rsidRPr="007C57D2">
        <w:rPr>
          <w:rFonts w:ascii="Times New Roman" w:hAnsi="Times New Roman"/>
          <w:sz w:val="28"/>
          <w:szCs w:val="28"/>
          <w:lang w:eastAsia="es-MX"/>
        </w:rPr>
        <w:t>. Tratándose de los derechos fundamentales, la Corte ha sostenido que debe efectuarse una interpretación restrictiva de dicha reserva</w:t>
      </w:r>
      <w:r w:rsidRPr="007C57D2">
        <w:rPr>
          <w:rFonts w:ascii="Times New Roman" w:hAnsi="Times New Roman"/>
          <w:sz w:val="28"/>
          <w:szCs w:val="28"/>
          <w:lang w:eastAsia="es-MX"/>
        </w:rPr>
        <w:t>, por lo que</w:t>
      </w:r>
      <w:r w:rsidRPr="007C57D2">
        <w:rPr>
          <w:rFonts w:ascii="Times New Roman" w:hAnsi="Times New Roman"/>
          <w:sz w:val="28"/>
          <w:szCs w:val="28"/>
          <w:lang w:eastAsia="es-MX"/>
        </w:rPr>
        <w:t xml:space="preserve"> no </w:t>
      </w:r>
      <w:r w:rsidRPr="007C57D2">
        <w:rPr>
          <w:rFonts w:ascii="Times New Roman" w:hAnsi="Times New Roman"/>
          <w:sz w:val="28"/>
          <w:szCs w:val="28"/>
          <w:lang w:eastAsia="es-MX"/>
        </w:rPr>
        <w:t xml:space="preserve">todas las </w:t>
      </w:r>
      <w:r w:rsidRPr="007C57D2">
        <w:rPr>
          <w:rFonts w:ascii="Times New Roman" w:hAnsi="Times New Roman"/>
          <w:sz w:val="28"/>
          <w:szCs w:val="28"/>
          <w:lang w:eastAsia="es-MX"/>
        </w:rPr>
        <w:t>manifestaci</w:t>
      </w:r>
      <w:r w:rsidRPr="007C57D2">
        <w:rPr>
          <w:rFonts w:ascii="Times New Roman" w:hAnsi="Times New Roman"/>
          <w:sz w:val="28"/>
          <w:szCs w:val="28"/>
          <w:lang w:eastAsia="es-MX"/>
        </w:rPr>
        <w:t>ones</w:t>
      </w:r>
      <w:r w:rsidRPr="007C57D2">
        <w:rPr>
          <w:rFonts w:ascii="Times New Roman" w:hAnsi="Times New Roman"/>
          <w:sz w:val="28"/>
          <w:szCs w:val="28"/>
          <w:lang w:eastAsia="es-MX"/>
        </w:rPr>
        <w:t xml:space="preserve"> de </w:t>
      </w:r>
      <w:r w:rsidRPr="007C57D2">
        <w:rPr>
          <w:rFonts w:ascii="Times New Roman" w:hAnsi="Times New Roman"/>
          <w:sz w:val="28"/>
          <w:szCs w:val="28"/>
          <w:lang w:eastAsia="es-MX"/>
        </w:rPr>
        <w:t>esos derechos</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o todos </w:t>
      </w:r>
      <w:r w:rsidRPr="007C57D2">
        <w:rPr>
          <w:rFonts w:ascii="Times New Roman" w:hAnsi="Times New Roman"/>
          <w:sz w:val="28"/>
          <w:szCs w:val="28"/>
          <w:lang w:eastAsia="es-MX"/>
        </w:rPr>
        <w:t xml:space="preserve">los </w:t>
      </w:r>
      <w:r w:rsidRPr="007C57D2">
        <w:rPr>
          <w:rFonts w:ascii="Times New Roman" w:hAnsi="Times New Roman"/>
          <w:sz w:val="28"/>
          <w:szCs w:val="28"/>
          <w:lang w:eastAsia="es-MX"/>
        </w:rPr>
        <w:t xml:space="preserve">aspectos que tengan </w:t>
      </w:r>
      <w:r w:rsidRPr="007C57D2">
        <w:rPr>
          <w:rFonts w:ascii="Times New Roman" w:hAnsi="Times New Roman"/>
          <w:sz w:val="28"/>
          <w:szCs w:val="28"/>
          <w:lang w:eastAsia="es-MX"/>
        </w:rPr>
        <w:t>relación</w:t>
      </w:r>
      <w:r w:rsidRPr="007C57D2">
        <w:rPr>
          <w:rFonts w:ascii="Times New Roman" w:hAnsi="Times New Roman"/>
          <w:sz w:val="28"/>
          <w:szCs w:val="28"/>
          <w:lang w:eastAsia="es-MX"/>
        </w:rPr>
        <w:t xml:space="preserve"> con su ejercicio debe</w:t>
      </w:r>
      <w:r w:rsidRPr="007C57D2">
        <w:rPr>
          <w:rFonts w:ascii="Times New Roman" w:hAnsi="Times New Roman"/>
          <w:sz w:val="28"/>
          <w:szCs w:val="28"/>
          <w:lang w:eastAsia="es-MX"/>
        </w:rPr>
        <w:t>n</w:t>
      </w:r>
      <w:r w:rsidRPr="007C57D2">
        <w:rPr>
          <w:rFonts w:ascii="Times New Roman" w:hAnsi="Times New Roman"/>
          <w:sz w:val="28"/>
          <w:szCs w:val="28"/>
          <w:lang w:eastAsia="es-MX"/>
        </w:rPr>
        <w:t xml:space="preserve"> ser regulado</w:t>
      </w:r>
      <w:r w:rsidRPr="007C57D2">
        <w:rPr>
          <w:rFonts w:ascii="Times New Roman" w:hAnsi="Times New Roman"/>
          <w:sz w:val="28"/>
          <w:szCs w:val="28"/>
          <w:lang w:eastAsia="es-MX"/>
        </w:rPr>
        <w:t>s</w:t>
      </w:r>
      <w:r w:rsidRPr="007C57D2">
        <w:rPr>
          <w:rFonts w:ascii="Times New Roman" w:hAnsi="Times New Roman"/>
          <w:sz w:val="28"/>
          <w:szCs w:val="28"/>
          <w:lang w:eastAsia="es-MX"/>
        </w:rPr>
        <w:t xml:space="preserve"> mediante </w:t>
      </w:r>
      <w:r w:rsidRPr="007C57D2">
        <w:rPr>
          <w:rFonts w:ascii="Times New Roman" w:hAnsi="Times New Roman"/>
          <w:sz w:val="28"/>
          <w:szCs w:val="28"/>
          <w:lang w:eastAsia="es-MX"/>
        </w:rPr>
        <w:t>ese tipo de leyes</w:t>
      </w:r>
      <w:r w:rsidRPr="007C57D2">
        <w:rPr>
          <w:rFonts w:ascii="Times New Roman" w:hAnsi="Times New Roman"/>
          <w:sz w:val="28"/>
          <w:szCs w:val="28"/>
          <w:lang w:eastAsia="es-MX"/>
        </w:rPr>
        <w:t xml:space="preserve">. En este orden, la Sala Plena ha sostenido que </w:t>
      </w:r>
      <w:r w:rsidRPr="007C57D2">
        <w:rPr>
          <w:rFonts w:ascii="Times New Roman" w:hAnsi="Times New Roman"/>
          <w:sz w:val="28"/>
          <w:szCs w:val="28"/>
          <w:lang w:eastAsia="es-MX"/>
        </w:rPr>
        <w:t>solo aquellos elementos de</w:t>
      </w:r>
      <w:r w:rsidRPr="007C57D2">
        <w:rPr>
          <w:rFonts w:ascii="Times New Roman" w:hAnsi="Times New Roman"/>
          <w:sz w:val="28"/>
          <w:szCs w:val="28"/>
          <w:lang w:eastAsia="es-MX"/>
        </w:rPr>
        <w:t>l</w:t>
      </w:r>
      <w:r w:rsidRPr="007C57D2">
        <w:rPr>
          <w:rFonts w:ascii="Times New Roman" w:hAnsi="Times New Roman"/>
          <w:sz w:val="28"/>
          <w:szCs w:val="28"/>
          <w:lang w:eastAsia="es-MX"/>
        </w:rPr>
        <w:t xml:space="preserve"> núcleo esencial</w:t>
      </w:r>
      <w:r w:rsidRPr="007C57D2">
        <w:rPr>
          <w:rFonts w:ascii="Times New Roman" w:hAnsi="Times New Roman"/>
          <w:sz w:val="28"/>
          <w:szCs w:val="28"/>
          <w:lang w:eastAsia="es-MX"/>
        </w:rPr>
        <w:t xml:space="preserve"> de los derechos fundamentales deben ser tramitados mediante el procedimiento de ley estatutaria</w:t>
      </w:r>
      <w:r w:rsidRPr="007C57D2">
        <w:rPr>
          <w:rStyle w:val="Refdenotaalpie"/>
          <w:rFonts w:ascii="Times New Roman" w:hAnsi="Times New Roman"/>
          <w:sz w:val="28"/>
          <w:szCs w:val="28"/>
          <w:lang w:eastAsia="es-MX"/>
        </w:rPr>
        <w:footnoteReference w:id="24"/>
      </w:r>
      <w:r w:rsidRPr="007C57D2">
        <w:rPr>
          <w:rFonts w:ascii="Times New Roman" w:hAnsi="Times New Roman"/>
          <w:sz w:val="28"/>
          <w:szCs w:val="28"/>
          <w:lang w:eastAsia="es-MX"/>
        </w:rPr>
        <w:t>. Es decir, “las prerrogativas básicas que se derivan del derecho y que se convierten en obligaciones para los sujetos pasivos, los principios que guían su eje</w:t>
      </w:r>
      <w:r w:rsidRPr="007C57D2">
        <w:rPr>
          <w:rFonts w:ascii="Times New Roman" w:hAnsi="Times New Roman"/>
          <w:sz w:val="28"/>
          <w:szCs w:val="28"/>
          <w:lang w:eastAsia="es-MX"/>
        </w:rPr>
        <w:t>rcicio (…) y</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las excepciones a su régimen de protección y otras limitaciones de orden general”</w:t>
      </w:r>
      <w:r w:rsidRPr="007C57D2">
        <w:rPr>
          <w:rStyle w:val="Refdenotaalpie"/>
          <w:rFonts w:ascii="Times New Roman" w:hAnsi="Times New Roman"/>
          <w:sz w:val="28"/>
          <w:szCs w:val="28"/>
          <w:lang w:eastAsia="es-MX"/>
        </w:rPr>
        <w:footnoteReference w:id="25"/>
      </w:r>
      <w:r w:rsidRPr="007C57D2">
        <w:rPr>
          <w:rFonts w:ascii="Times New Roman" w:hAnsi="Times New Roman"/>
          <w:sz w:val="28"/>
          <w:szCs w:val="28"/>
          <w:lang w:eastAsia="es-MX"/>
        </w:rPr>
        <w:t>.</w:t>
      </w:r>
    </w:p>
    <w:p w:rsidR="00E700EF" w:rsidRPr="007C57D2" w:rsidRDefault="007C57D2" w:rsidP="008F3DAB">
      <w:pPr>
        <w:pStyle w:val="Prrafodelista"/>
        <w:tabs>
          <w:tab w:val="left" w:pos="567"/>
        </w:tabs>
        <w:ind w:left="0"/>
        <w:jc w:val="both"/>
        <w:rPr>
          <w:rFonts w:ascii="Times New Roman" w:hAnsi="Times New Roman"/>
          <w:sz w:val="28"/>
          <w:szCs w:val="28"/>
          <w:lang w:val="es-ES" w:eastAsia="es-MX"/>
        </w:rPr>
      </w:pPr>
    </w:p>
    <w:p w:rsidR="003C3EF2"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Puntualmente, </w:t>
      </w:r>
      <w:r w:rsidRPr="007C57D2">
        <w:rPr>
          <w:rFonts w:ascii="Times New Roman" w:hAnsi="Times New Roman"/>
          <w:sz w:val="28"/>
          <w:szCs w:val="28"/>
          <w:lang w:eastAsia="es-MX"/>
        </w:rPr>
        <w:t>respecto de la introducción de límites al régimen de protección de</w:t>
      </w:r>
      <w:r w:rsidRPr="007C57D2">
        <w:rPr>
          <w:rFonts w:ascii="Times New Roman" w:hAnsi="Times New Roman"/>
          <w:sz w:val="28"/>
          <w:szCs w:val="28"/>
          <w:lang w:eastAsia="es-MX"/>
        </w:rPr>
        <w:t xml:space="preserve">l derecho fundamental al </w:t>
      </w:r>
      <w:r w:rsidRPr="007C57D2">
        <w:rPr>
          <w:rFonts w:ascii="Times New Roman" w:hAnsi="Times New Roman"/>
          <w:i/>
          <w:iCs/>
          <w:sz w:val="28"/>
          <w:szCs w:val="28"/>
          <w:lang w:eastAsia="es-MX"/>
        </w:rPr>
        <w:t>habeas data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en la Sentencia C-748 de 2011, que </w:t>
      </w:r>
      <w:r w:rsidRPr="007C57D2">
        <w:rPr>
          <w:rFonts w:ascii="Times New Roman" w:hAnsi="Times New Roman"/>
          <w:sz w:val="28"/>
          <w:szCs w:val="28"/>
          <w:lang w:eastAsia="es-MX"/>
        </w:rPr>
        <w:t>efectuó el control automático e integral del proyecto de ley estatutaria que regula la protección de datos personales</w:t>
      </w:r>
      <w:r w:rsidRPr="007C57D2">
        <w:rPr>
          <w:rFonts w:ascii="Times New Roman" w:hAnsi="Times New Roman"/>
          <w:sz w:val="28"/>
          <w:szCs w:val="28"/>
          <w:lang w:eastAsia="es-MX"/>
        </w:rPr>
        <w:t xml:space="preserve"> —en la actualidad, Ley Estatutaria 1581 de 2012—, la Sala afirmó que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las siguientes dos materias tienen reserva de ley estatutaria: (i) </w:t>
      </w:r>
      <w:r w:rsidRPr="007C57D2">
        <w:rPr>
          <w:rFonts w:ascii="Times New Roman" w:hAnsi="Times New Roman"/>
          <w:sz w:val="28"/>
          <w:szCs w:val="28"/>
          <w:lang w:eastAsia="es-MX"/>
        </w:rPr>
        <w:t>la</w:t>
      </w:r>
      <w:r w:rsidRPr="007C57D2">
        <w:rPr>
          <w:rFonts w:ascii="Times New Roman" w:hAnsi="Times New Roman"/>
          <w:sz w:val="28"/>
          <w:szCs w:val="28"/>
          <w:lang w:eastAsia="es-MX"/>
        </w:rPr>
        <w:t>s excepciones</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a la prohibición general de tratamiento de datos sensibles, como modalidad de dato personal, y </w:t>
      </w:r>
      <w:r w:rsidRPr="007C57D2">
        <w:rPr>
          <w:rFonts w:ascii="Times New Roman" w:hAnsi="Times New Roman"/>
          <w:sz w:val="28"/>
          <w:szCs w:val="28"/>
          <w:lang w:eastAsia="es-MX"/>
        </w:rPr>
        <w:t xml:space="preserve">(ii) </w:t>
      </w:r>
      <w:r w:rsidRPr="007C57D2">
        <w:rPr>
          <w:rFonts w:ascii="Times New Roman" w:hAnsi="Times New Roman"/>
          <w:sz w:val="28"/>
          <w:szCs w:val="28"/>
          <w:lang w:eastAsia="es-MX"/>
        </w:rPr>
        <w:t xml:space="preserve">la protección de los datos personales, especialmente los sensibles, de los </w:t>
      </w:r>
      <w:r w:rsidRPr="007C57D2">
        <w:rPr>
          <w:rFonts w:ascii="Times New Roman" w:hAnsi="Times New Roman"/>
          <w:sz w:val="28"/>
          <w:szCs w:val="28"/>
          <w:lang w:eastAsia="es-MX"/>
        </w:rPr>
        <w:t>NNA</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Así mismo, en la Sentencia C-282 de 2021, la Corte precisó que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“las disposiciones sobre los datos personales que se recogen, el tipo de tratamiento que reciben, y las formas y límites a su circulación son aspectos que inciden determinadamente en el núcleo esencial del derecho al </w:t>
      </w:r>
      <w:r w:rsidRPr="007C57D2">
        <w:rPr>
          <w:rFonts w:ascii="Times New Roman" w:hAnsi="Times New Roman"/>
          <w:i/>
          <w:iCs/>
          <w:sz w:val="28"/>
          <w:szCs w:val="28"/>
          <w:lang w:eastAsia="es-MX"/>
        </w:rPr>
        <w:t>habeas data</w:t>
      </w:r>
      <w:r w:rsidRPr="007C57D2">
        <w:rPr>
          <w:rFonts w:ascii="Times New Roman" w:hAnsi="Times New Roman"/>
          <w:sz w:val="28"/>
          <w:szCs w:val="28"/>
          <w:lang w:eastAsia="es-MX"/>
        </w:rPr>
        <w:t>”</w:t>
      </w:r>
      <w:r w:rsidRPr="007C57D2">
        <w:rPr>
          <w:rFonts w:ascii="Times New Roman" w:hAnsi="Times New Roman"/>
          <w:i/>
          <w:iCs/>
          <w:sz w:val="28"/>
          <w:szCs w:val="28"/>
          <w:lang w:eastAsia="es-MX"/>
        </w:rPr>
        <w:t xml:space="preserve"> </w:t>
      </w:r>
      <w:r w:rsidRPr="007C57D2">
        <w:rPr>
          <w:rFonts w:ascii="Times New Roman" w:hAnsi="Times New Roman"/>
          <w:sz w:val="28"/>
          <w:szCs w:val="28"/>
          <w:lang w:eastAsia="es-MX"/>
        </w:rPr>
        <w:t xml:space="preserve">y, por </w:t>
      </w:r>
      <w:r w:rsidRPr="007C57D2">
        <w:rPr>
          <w:rFonts w:ascii="Times New Roman" w:hAnsi="Times New Roman"/>
          <w:sz w:val="28"/>
          <w:szCs w:val="28"/>
          <w:lang w:eastAsia="es-MX"/>
        </w:rPr>
        <w:t>ende</w:t>
      </w:r>
      <w:r w:rsidRPr="007C57D2">
        <w:rPr>
          <w:rFonts w:ascii="Times New Roman" w:hAnsi="Times New Roman"/>
          <w:sz w:val="28"/>
          <w:szCs w:val="28"/>
          <w:lang w:eastAsia="es-MX"/>
        </w:rPr>
        <w:t xml:space="preserve">, son asuntos </w:t>
      </w:r>
      <w:r w:rsidRPr="007C57D2">
        <w:rPr>
          <w:rFonts w:ascii="Times New Roman" w:hAnsi="Times New Roman"/>
          <w:sz w:val="28"/>
          <w:szCs w:val="28"/>
          <w:lang w:eastAsia="es-MX"/>
        </w:rPr>
        <w:t>que tienen reserva de ley estatutaria</w:t>
      </w:r>
      <w:r w:rsidRPr="007C57D2">
        <w:rPr>
          <w:rStyle w:val="Refdenotaalpie"/>
          <w:rFonts w:ascii="Times New Roman" w:hAnsi="Times New Roman"/>
          <w:sz w:val="28"/>
          <w:szCs w:val="28"/>
          <w:lang w:eastAsia="es-MX"/>
        </w:rPr>
        <w:footnoteReference w:id="26"/>
      </w:r>
      <w:r w:rsidRPr="007C57D2">
        <w:rPr>
          <w:rFonts w:ascii="Times New Roman" w:hAnsi="Times New Roman"/>
          <w:sz w:val="28"/>
          <w:szCs w:val="28"/>
          <w:lang w:eastAsia="es-MX"/>
        </w:rPr>
        <w:t xml:space="preserve">. </w:t>
      </w:r>
    </w:p>
    <w:p w:rsidR="00704AB8" w:rsidRPr="007C57D2" w:rsidRDefault="007C57D2" w:rsidP="008F3DAB">
      <w:pPr>
        <w:pStyle w:val="Prrafodelista"/>
        <w:tabs>
          <w:tab w:val="left" w:pos="567"/>
        </w:tabs>
        <w:ind w:left="0"/>
        <w:jc w:val="both"/>
        <w:rPr>
          <w:rFonts w:ascii="Times New Roman" w:hAnsi="Times New Roman"/>
          <w:sz w:val="28"/>
          <w:szCs w:val="28"/>
          <w:lang w:eastAsia="es-MX"/>
        </w:rPr>
      </w:pPr>
    </w:p>
    <w:p w:rsidR="006C0741"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Ahora bien, conviene recordar que, de acuerdo con la jurisprudencia, una ley tramitada por el procedimiento de ley estatutaria puede contener disposiciones que estén sometidas a esa reserva y materias propias de la legislación ordinaria</w:t>
      </w:r>
      <w:r w:rsidRPr="007C57D2">
        <w:rPr>
          <w:rStyle w:val="Refdenotaalpie"/>
          <w:rFonts w:ascii="Times New Roman" w:hAnsi="Times New Roman"/>
          <w:sz w:val="28"/>
          <w:szCs w:val="28"/>
          <w:lang w:eastAsia="es-MX"/>
        </w:rPr>
        <w:footnoteReference w:id="27"/>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La</w:t>
      </w:r>
      <w:r w:rsidRPr="007C57D2">
        <w:rPr>
          <w:rFonts w:ascii="Times New Roman" w:hAnsi="Times New Roman"/>
          <w:sz w:val="28"/>
          <w:szCs w:val="28"/>
          <w:lang w:eastAsia="es-MX"/>
        </w:rPr>
        <w:t xml:space="preserve"> inclusión de n</w:t>
      </w:r>
      <w:r w:rsidRPr="007C57D2">
        <w:rPr>
          <w:rFonts w:ascii="Times New Roman" w:hAnsi="Times New Roman"/>
          <w:sz w:val="28"/>
          <w:szCs w:val="28"/>
          <w:lang w:eastAsia="es-MX"/>
        </w:rPr>
        <w:t>ormas ordinarias en leyes estatutarias resulta ajustada a la Constitución y, en particular, al principio democrático, porque el procedimiento legislativo de aprobación de las leyes estatutarias es más exigente que el de las leyes ordinarias. En cualquier c</w:t>
      </w:r>
      <w:r w:rsidRPr="007C57D2">
        <w:rPr>
          <w:rFonts w:ascii="Times New Roman" w:hAnsi="Times New Roman"/>
          <w:sz w:val="28"/>
          <w:szCs w:val="28"/>
          <w:lang w:eastAsia="es-MX"/>
        </w:rPr>
        <w:t xml:space="preserve">aso, ha dicho la Corte, la introducción de normas ordinarias en leyes </w:t>
      </w:r>
      <w:r w:rsidRPr="007C57D2">
        <w:rPr>
          <w:rFonts w:ascii="Times New Roman" w:hAnsi="Times New Roman"/>
          <w:sz w:val="28"/>
          <w:szCs w:val="28"/>
          <w:lang w:eastAsia="es-MX"/>
        </w:rPr>
        <w:t>estatutarias</w:t>
      </w:r>
      <w:r w:rsidRPr="007C57D2">
        <w:rPr>
          <w:rFonts w:ascii="Times New Roman" w:hAnsi="Times New Roman"/>
          <w:sz w:val="28"/>
          <w:szCs w:val="28"/>
          <w:lang w:eastAsia="es-MX"/>
        </w:rPr>
        <w:t xml:space="preserve"> debe responder “a un principio de integralidad en la regulación” y, en consecuencia, las normas ordinarias deben tener “una conexión teleológica, lógica y sistemática que ju</w:t>
      </w:r>
      <w:r w:rsidRPr="007C57D2">
        <w:rPr>
          <w:rFonts w:ascii="Times New Roman" w:hAnsi="Times New Roman"/>
          <w:sz w:val="28"/>
          <w:szCs w:val="28"/>
          <w:lang w:eastAsia="es-MX"/>
        </w:rPr>
        <w:t>stifique su inclusión en dicho cuerpo normativo”</w:t>
      </w:r>
      <w:r w:rsidRPr="007C57D2">
        <w:rPr>
          <w:rStyle w:val="Refdenotaalpie"/>
          <w:rFonts w:ascii="Times New Roman" w:hAnsi="Times New Roman"/>
          <w:sz w:val="28"/>
          <w:szCs w:val="28"/>
          <w:lang w:eastAsia="es-MX"/>
        </w:rPr>
        <w:footnoteReference w:id="28"/>
      </w:r>
      <w:r w:rsidRPr="007C57D2">
        <w:rPr>
          <w:rFonts w:ascii="Times New Roman" w:hAnsi="Times New Roman"/>
          <w:sz w:val="28"/>
          <w:szCs w:val="28"/>
          <w:lang w:eastAsia="es-MX"/>
        </w:rPr>
        <w:t xml:space="preserve">. </w:t>
      </w:r>
    </w:p>
    <w:p w:rsidR="00205B22" w:rsidRPr="007C57D2" w:rsidRDefault="007C57D2" w:rsidP="008F3DAB">
      <w:pPr>
        <w:pStyle w:val="Prrafodelista"/>
        <w:tabs>
          <w:tab w:val="left" w:pos="567"/>
        </w:tabs>
        <w:ind w:left="0"/>
        <w:jc w:val="both"/>
        <w:rPr>
          <w:rFonts w:ascii="Times New Roman" w:hAnsi="Times New Roman"/>
          <w:sz w:val="28"/>
          <w:szCs w:val="28"/>
          <w:lang w:eastAsia="es-MX"/>
        </w:rPr>
      </w:pPr>
    </w:p>
    <w:p w:rsidR="008A359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En </w:t>
      </w:r>
      <w:r w:rsidRPr="007C57D2">
        <w:rPr>
          <w:rFonts w:ascii="Times New Roman" w:hAnsi="Times New Roman"/>
          <w:sz w:val="28"/>
          <w:szCs w:val="28"/>
          <w:lang w:eastAsia="es-MX"/>
        </w:rPr>
        <w:t>su escrito de intervención, Asomóvil argumentó que el PLE es inexequible porque viola la reserva de ley estatutaria. A su juicio, “esta ley no aborda de manera integral ni estructural los derechos fun</w:t>
      </w:r>
      <w:r w:rsidRPr="007C57D2">
        <w:rPr>
          <w:rFonts w:ascii="Times New Roman" w:hAnsi="Times New Roman"/>
          <w:sz w:val="28"/>
          <w:szCs w:val="28"/>
          <w:lang w:eastAsia="es-MX"/>
        </w:rPr>
        <w:t xml:space="preserve">damentales de los </w:t>
      </w:r>
      <w:r w:rsidRPr="007C57D2">
        <w:rPr>
          <w:rFonts w:ascii="Times New Roman" w:hAnsi="Times New Roman"/>
          <w:sz w:val="28"/>
          <w:szCs w:val="28"/>
          <w:lang w:eastAsia="es-MX"/>
        </w:rPr>
        <w:t>NNA</w:t>
      </w:r>
      <w:r w:rsidRPr="007C57D2">
        <w:rPr>
          <w:rFonts w:ascii="Times New Roman" w:hAnsi="Times New Roman"/>
          <w:sz w:val="28"/>
          <w:szCs w:val="28"/>
          <w:lang w:eastAsia="es-MX"/>
        </w:rPr>
        <w:t>. Adicionalmente, se evidencia que no afecta el núcleo esencial del derecho al trabajo ni define de manera general las condiciones para su ejercicio, condiciones que justificarían su trámite como ley estatutaria”</w:t>
      </w:r>
      <w:r w:rsidRPr="007C57D2">
        <w:rPr>
          <w:rStyle w:val="Refdenotaalpie"/>
          <w:rFonts w:ascii="Times New Roman" w:hAnsi="Times New Roman"/>
          <w:sz w:val="28"/>
          <w:szCs w:val="28"/>
          <w:lang w:eastAsia="es-MX"/>
        </w:rPr>
        <w:footnoteReference w:id="29"/>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Sin embargo, en </w:t>
      </w:r>
      <w:r w:rsidRPr="007C57D2">
        <w:rPr>
          <w:rFonts w:ascii="Times New Roman" w:hAnsi="Times New Roman"/>
          <w:sz w:val="28"/>
          <w:szCs w:val="28"/>
          <w:lang w:eastAsia="es-MX"/>
        </w:rPr>
        <w:t xml:space="preserve">concordancia con </w:t>
      </w:r>
      <w:r w:rsidRPr="007C57D2">
        <w:rPr>
          <w:rFonts w:ascii="Times New Roman" w:hAnsi="Times New Roman"/>
          <w:sz w:val="28"/>
          <w:szCs w:val="28"/>
          <w:lang w:eastAsia="es-MX"/>
        </w:rPr>
        <w:t>las consideraciones jurisprudenciales expuestas</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la </w:t>
      </w:r>
      <w:r w:rsidRPr="007C57D2">
        <w:rPr>
          <w:rFonts w:ascii="Times New Roman" w:hAnsi="Times New Roman"/>
          <w:sz w:val="28"/>
          <w:szCs w:val="28"/>
          <w:lang w:eastAsia="es-MX"/>
        </w:rPr>
        <w:t xml:space="preserve">Sala concluye que </w:t>
      </w:r>
      <w:r w:rsidRPr="007C57D2">
        <w:rPr>
          <w:rFonts w:ascii="Times New Roman" w:hAnsi="Times New Roman"/>
          <w:sz w:val="28"/>
          <w:szCs w:val="28"/>
          <w:lang w:eastAsia="es-MX"/>
        </w:rPr>
        <w:t>el</w:t>
      </w:r>
      <w:r w:rsidRPr="007C57D2">
        <w:rPr>
          <w:rFonts w:ascii="Times New Roman" w:hAnsi="Times New Roman"/>
          <w:sz w:val="28"/>
          <w:szCs w:val="28"/>
          <w:lang w:eastAsia="es-MX"/>
        </w:rPr>
        <w:t xml:space="preserve"> PLE </w:t>
      </w:r>
      <w:r w:rsidRPr="007C57D2">
        <w:rPr>
          <w:rFonts w:ascii="Times New Roman" w:hAnsi="Times New Roman"/>
          <w:sz w:val="28"/>
          <w:szCs w:val="28"/>
          <w:lang w:eastAsia="es-MX"/>
        </w:rPr>
        <w:t xml:space="preserve">sí </w:t>
      </w:r>
      <w:r w:rsidRPr="007C57D2">
        <w:rPr>
          <w:rFonts w:ascii="Times New Roman" w:hAnsi="Times New Roman"/>
          <w:sz w:val="28"/>
          <w:szCs w:val="28"/>
          <w:lang w:eastAsia="es-MX"/>
        </w:rPr>
        <w:t>tiene reserva de ley estatutaria por</w:t>
      </w:r>
      <w:r w:rsidRPr="007C57D2">
        <w:rPr>
          <w:rFonts w:ascii="Times New Roman" w:hAnsi="Times New Roman"/>
          <w:sz w:val="28"/>
          <w:szCs w:val="28"/>
          <w:lang w:eastAsia="es-MX"/>
        </w:rPr>
        <w:t xml:space="preserve">que </w:t>
      </w:r>
      <w:r w:rsidRPr="007C57D2">
        <w:rPr>
          <w:rFonts w:ascii="Times New Roman" w:hAnsi="Times New Roman"/>
          <w:sz w:val="28"/>
          <w:szCs w:val="28"/>
          <w:lang w:eastAsia="es-MX"/>
        </w:rPr>
        <w:t xml:space="preserve">introduce </w:t>
      </w:r>
      <w:r w:rsidRPr="007C57D2">
        <w:rPr>
          <w:rFonts w:ascii="Times New Roman" w:hAnsi="Times New Roman"/>
          <w:sz w:val="28"/>
          <w:szCs w:val="28"/>
          <w:lang w:eastAsia="es-MX"/>
        </w:rPr>
        <w:t xml:space="preserve">excepciones y limitaciones </w:t>
      </w:r>
      <w:r w:rsidRPr="007C57D2">
        <w:rPr>
          <w:rFonts w:ascii="Times New Roman" w:hAnsi="Times New Roman"/>
          <w:sz w:val="28"/>
          <w:szCs w:val="28"/>
          <w:lang w:eastAsia="es-MX"/>
        </w:rPr>
        <w:t xml:space="preserve">significativas </w:t>
      </w:r>
      <w:r w:rsidRPr="007C57D2">
        <w:rPr>
          <w:rFonts w:ascii="Times New Roman" w:hAnsi="Times New Roman"/>
          <w:sz w:val="28"/>
          <w:szCs w:val="28"/>
          <w:lang w:eastAsia="es-MX"/>
        </w:rPr>
        <w:t xml:space="preserve">e intensas </w:t>
      </w:r>
      <w:r w:rsidRPr="007C57D2">
        <w:rPr>
          <w:rFonts w:ascii="Times New Roman" w:hAnsi="Times New Roman"/>
          <w:sz w:val="28"/>
          <w:szCs w:val="28"/>
          <w:lang w:eastAsia="es-MX"/>
        </w:rPr>
        <w:t>al régimen de protección de</w:t>
      </w:r>
      <w:r w:rsidRPr="007C57D2">
        <w:rPr>
          <w:rFonts w:ascii="Times New Roman" w:hAnsi="Times New Roman"/>
          <w:sz w:val="28"/>
          <w:szCs w:val="28"/>
          <w:lang w:eastAsia="es-MX"/>
        </w:rPr>
        <w:t xml:space="preserve"> los</w:t>
      </w:r>
      <w:r w:rsidRPr="007C57D2">
        <w:rPr>
          <w:rFonts w:ascii="Times New Roman" w:hAnsi="Times New Roman"/>
          <w:sz w:val="28"/>
          <w:szCs w:val="28"/>
          <w:lang w:eastAsia="es-MX"/>
        </w:rPr>
        <w:t xml:space="preserve"> derecho</w:t>
      </w:r>
      <w:r w:rsidRPr="007C57D2">
        <w:rPr>
          <w:rFonts w:ascii="Times New Roman" w:hAnsi="Times New Roman"/>
          <w:sz w:val="28"/>
          <w:szCs w:val="28"/>
          <w:lang w:eastAsia="es-MX"/>
        </w:rPr>
        <w:t>s</w:t>
      </w:r>
      <w:r w:rsidRPr="007C57D2">
        <w:rPr>
          <w:rFonts w:ascii="Times New Roman" w:hAnsi="Times New Roman"/>
          <w:sz w:val="28"/>
          <w:szCs w:val="28"/>
          <w:lang w:eastAsia="es-MX"/>
        </w:rPr>
        <w:t xml:space="preserve"> fundamental</w:t>
      </w:r>
      <w:r w:rsidRPr="007C57D2">
        <w:rPr>
          <w:rFonts w:ascii="Times New Roman" w:hAnsi="Times New Roman"/>
          <w:sz w:val="28"/>
          <w:szCs w:val="28"/>
          <w:lang w:eastAsia="es-MX"/>
        </w:rPr>
        <w:t>es</w:t>
      </w:r>
      <w:r w:rsidRPr="007C57D2">
        <w:rPr>
          <w:rFonts w:ascii="Times New Roman" w:hAnsi="Times New Roman"/>
          <w:sz w:val="28"/>
          <w:szCs w:val="28"/>
          <w:lang w:eastAsia="es-MX"/>
        </w:rPr>
        <w:t xml:space="preserve"> al </w:t>
      </w:r>
      <w:r w:rsidRPr="007C57D2">
        <w:rPr>
          <w:rFonts w:ascii="Times New Roman" w:hAnsi="Times New Roman"/>
          <w:i/>
          <w:iCs/>
          <w:sz w:val="28"/>
          <w:szCs w:val="28"/>
          <w:lang w:eastAsia="es-MX"/>
        </w:rPr>
        <w:t>habeas data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y a la intimidad personal </w:t>
      </w:r>
      <w:r w:rsidRPr="007C57D2">
        <w:rPr>
          <w:rFonts w:ascii="Times New Roman" w:hAnsi="Times New Roman"/>
          <w:sz w:val="28"/>
          <w:szCs w:val="28"/>
          <w:lang w:eastAsia="es-MX"/>
        </w:rPr>
        <w:t xml:space="preserve">de los niños y niñas menores de doce años. </w:t>
      </w:r>
      <w:r w:rsidRPr="007C57D2">
        <w:rPr>
          <w:rFonts w:ascii="Times New Roman" w:hAnsi="Times New Roman"/>
          <w:sz w:val="28"/>
          <w:szCs w:val="28"/>
          <w:lang w:eastAsia="es-MX"/>
        </w:rPr>
        <w:t>Esta conclusión se sustenta en al</w:t>
      </w:r>
      <w:r w:rsidRPr="007C57D2">
        <w:rPr>
          <w:rFonts w:ascii="Times New Roman" w:hAnsi="Times New Roman"/>
          <w:sz w:val="28"/>
          <w:szCs w:val="28"/>
          <w:lang w:eastAsia="es-MX"/>
        </w:rPr>
        <w:t xml:space="preserve"> menos </w:t>
      </w:r>
      <w:r w:rsidRPr="007C57D2">
        <w:rPr>
          <w:rFonts w:ascii="Times New Roman" w:hAnsi="Times New Roman"/>
          <w:sz w:val="28"/>
          <w:szCs w:val="28"/>
          <w:lang w:eastAsia="es-MX"/>
        </w:rPr>
        <w:t>tres</w:t>
      </w:r>
      <w:r w:rsidRPr="007C57D2">
        <w:rPr>
          <w:rFonts w:ascii="Times New Roman" w:hAnsi="Times New Roman"/>
          <w:sz w:val="28"/>
          <w:szCs w:val="28"/>
          <w:lang w:eastAsia="es-MX"/>
        </w:rPr>
        <w:t xml:space="preserve"> razones. </w:t>
      </w:r>
    </w:p>
    <w:p w:rsidR="008A359E" w:rsidRPr="007C57D2" w:rsidRDefault="007C57D2" w:rsidP="008F3DAB">
      <w:pPr>
        <w:pStyle w:val="Prrafodelista"/>
        <w:tabs>
          <w:tab w:val="left" w:pos="567"/>
        </w:tabs>
        <w:ind w:left="0"/>
        <w:jc w:val="both"/>
        <w:rPr>
          <w:rFonts w:ascii="Times New Roman" w:hAnsi="Times New Roman"/>
          <w:sz w:val="28"/>
          <w:szCs w:val="28"/>
          <w:lang w:eastAsia="es-MX"/>
        </w:rPr>
      </w:pPr>
    </w:p>
    <w:p w:rsidR="00622E0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Primera, e</w:t>
      </w:r>
      <w:r w:rsidRPr="007C57D2">
        <w:rPr>
          <w:rFonts w:ascii="Times New Roman" w:hAnsi="Times New Roman"/>
          <w:sz w:val="28"/>
          <w:szCs w:val="28"/>
          <w:lang w:eastAsia="es-MX"/>
        </w:rPr>
        <w:t xml:space="preserve">l inciso 2 del artículo 7 de </w:t>
      </w:r>
      <w:r w:rsidRPr="007C57D2">
        <w:rPr>
          <w:rFonts w:ascii="Times New Roman" w:hAnsi="Times New Roman"/>
          <w:sz w:val="28"/>
          <w:szCs w:val="28"/>
          <w:lang w:eastAsia="es-MX"/>
        </w:rPr>
        <w:t xml:space="preserve">la Ley Estatutaria 1581 de 2012 </w:t>
      </w:r>
      <w:r w:rsidRPr="007C57D2">
        <w:rPr>
          <w:rFonts w:ascii="Times New Roman" w:hAnsi="Times New Roman"/>
          <w:sz w:val="28"/>
          <w:szCs w:val="28"/>
          <w:lang w:eastAsia="es-MX"/>
        </w:rPr>
        <w:t>contiene una prohibición general al tratamie</w:t>
      </w:r>
      <w:r w:rsidRPr="007C57D2">
        <w:rPr>
          <w:rFonts w:ascii="Times New Roman" w:hAnsi="Times New Roman"/>
          <w:sz w:val="28"/>
          <w:szCs w:val="28"/>
          <w:lang w:eastAsia="es-MX"/>
        </w:rPr>
        <w:t xml:space="preserve">nto de datos </w:t>
      </w:r>
      <w:r w:rsidRPr="007C57D2">
        <w:rPr>
          <w:rFonts w:ascii="Times New Roman" w:hAnsi="Times New Roman"/>
          <w:sz w:val="28"/>
          <w:szCs w:val="28"/>
          <w:lang w:eastAsia="es-MX"/>
        </w:rPr>
        <w:t xml:space="preserve">personales de los </w:t>
      </w:r>
      <w:r w:rsidRPr="007C57D2">
        <w:rPr>
          <w:rFonts w:ascii="Times New Roman" w:hAnsi="Times New Roman"/>
          <w:sz w:val="28"/>
          <w:szCs w:val="28"/>
          <w:lang w:eastAsia="es-MX"/>
        </w:rPr>
        <w:t>NNA</w:t>
      </w:r>
      <w:r w:rsidRPr="007C57D2">
        <w:rPr>
          <w:rFonts w:ascii="Times New Roman" w:hAnsi="Times New Roman"/>
          <w:sz w:val="28"/>
          <w:szCs w:val="28"/>
          <w:lang w:eastAsia="es-MX"/>
        </w:rPr>
        <w:t xml:space="preserve">. Este artículo estatuye: “[q]ueda proscrito el tratamiento de datos personales de </w:t>
      </w:r>
      <w:r w:rsidRPr="007C57D2">
        <w:rPr>
          <w:rFonts w:ascii="Times New Roman" w:hAnsi="Times New Roman"/>
          <w:sz w:val="28"/>
          <w:szCs w:val="28"/>
          <w:lang w:eastAsia="es-MX"/>
        </w:rPr>
        <w:t>[</w:t>
      </w:r>
      <w:r w:rsidRPr="007C57D2">
        <w:rPr>
          <w:rFonts w:ascii="Times New Roman" w:hAnsi="Times New Roman"/>
          <w:sz w:val="28"/>
          <w:szCs w:val="28"/>
          <w:lang w:eastAsia="es-MX"/>
        </w:rPr>
        <w:t>NNA</w:t>
      </w:r>
      <w:r w:rsidRPr="007C57D2">
        <w:rPr>
          <w:rFonts w:ascii="Times New Roman" w:hAnsi="Times New Roman"/>
          <w:sz w:val="28"/>
          <w:szCs w:val="28"/>
          <w:lang w:eastAsia="es-MX"/>
        </w:rPr>
        <w:t>]</w:t>
      </w:r>
      <w:r w:rsidRPr="007C57D2">
        <w:rPr>
          <w:rFonts w:ascii="Times New Roman" w:hAnsi="Times New Roman"/>
          <w:sz w:val="28"/>
          <w:szCs w:val="28"/>
          <w:lang w:eastAsia="es-MX"/>
        </w:rPr>
        <w:t>, salvo aquellos datos que sean de naturaleza pública”. En virtud de la misma ley, por tratamiento de datos debe entenderse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“[c]ualquier operación o conjunto de operaciones sobre datos personales, tales como la recolección, almacenamiento, uso, circulación o supresión”</w:t>
      </w:r>
      <w:r w:rsidRPr="007C57D2">
        <w:rPr>
          <w:rStyle w:val="Refdenotaalpie"/>
          <w:rFonts w:ascii="Times New Roman" w:hAnsi="Times New Roman"/>
          <w:sz w:val="28"/>
          <w:szCs w:val="28"/>
          <w:lang w:eastAsia="es-MX"/>
        </w:rPr>
        <w:footnoteReference w:id="30"/>
      </w:r>
      <w:r w:rsidRPr="007C57D2">
        <w:rPr>
          <w:rFonts w:ascii="Times New Roman" w:hAnsi="Times New Roman"/>
          <w:sz w:val="28"/>
          <w:szCs w:val="28"/>
          <w:lang w:eastAsia="es-MX"/>
        </w:rPr>
        <w:t>.</w:t>
      </w:r>
    </w:p>
    <w:p w:rsidR="00860A0B" w:rsidRPr="007C57D2" w:rsidRDefault="007C57D2" w:rsidP="008F3DAB">
      <w:pPr>
        <w:pStyle w:val="Prrafodelista"/>
        <w:tabs>
          <w:tab w:val="left" w:pos="567"/>
        </w:tabs>
        <w:ind w:left="0"/>
        <w:jc w:val="both"/>
        <w:rPr>
          <w:rFonts w:ascii="Times New Roman" w:hAnsi="Times New Roman"/>
          <w:sz w:val="28"/>
          <w:szCs w:val="28"/>
          <w:lang w:eastAsia="es-MX"/>
        </w:rPr>
      </w:pPr>
    </w:p>
    <w:p w:rsidR="00622E0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El PLE prevé una excepción a dicho precepto porque implica la recolección, almacenamiento, uso y circulació</w:t>
      </w:r>
      <w:r w:rsidRPr="007C57D2">
        <w:rPr>
          <w:rFonts w:ascii="Times New Roman" w:hAnsi="Times New Roman"/>
          <w:sz w:val="28"/>
          <w:szCs w:val="28"/>
          <w:lang w:eastAsia="es-MX"/>
        </w:rPr>
        <w:t>n de los datos personales de los menores de doce años extraviados. En efecto, las personas que accedan al Sistema Nacional de Reporte Virtual</w:t>
      </w:r>
      <w:r w:rsidRPr="007C57D2">
        <w:rPr>
          <w:rFonts w:ascii="Times New Roman" w:hAnsi="Times New Roman"/>
          <w:sz w:val="28"/>
          <w:szCs w:val="28"/>
          <w:lang w:eastAsia="es-MX"/>
        </w:rPr>
        <w:t xml:space="preserve"> deberán incluir</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el nombre y apellido del menor, su número de identificación, su sexo y su edad aproximada, </w:t>
      </w:r>
      <w:r w:rsidRPr="007C57D2">
        <w:rPr>
          <w:rFonts w:ascii="Times New Roman" w:hAnsi="Times New Roman"/>
          <w:sz w:val="28"/>
          <w:szCs w:val="28"/>
          <w:lang w:eastAsia="es-MX"/>
        </w:rPr>
        <w:t>así com</w:t>
      </w:r>
      <w:r w:rsidRPr="007C57D2">
        <w:rPr>
          <w:rFonts w:ascii="Times New Roman" w:hAnsi="Times New Roman"/>
          <w:sz w:val="28"/>
          <w:szCs w:val="28"/>
          <w:lang w:eastAsia="es-MX"/>
        </w:rPr>
        <w:t>o</w:t>
      </w:r>
      <w:r w:rsidRPr="007C57D2">
        <w:rPr>
          <w:rFonts w:ascii="Times New Roman" w:hAnsi="Times New Roman"/>
          <w:sz w:val="28"/>
          <w:szCs w:val="28"/>
          <w:lang w:eastAsia="es-MX"/>
        </w:rPr>
        <w:t xml:space="preserve"> otros datos personales que permitan su identificación</w:t>
      </w:r>
      <w:r w:rsidRPr="007C57D2">
        <w:rPr>
          <w:rFonts w:ascii="Times New Roman" w:hAnsi="Times New Roman"/>
          <w:sz w:val="28"/>
          <w:szCs w:val="28"/>
          <w:lang w:eastAsia="es-MX"/>
        </w:rPr>
        <w:t xml:space="preserve">. Esta información será conocida por varias instituciones nacionales y países vecinos, así como por </w:t>
      </w:r>
      <w:r w:rsidRPr="007C57D2">
        <w:rPr>
          <w:rFonts w:ascii="Times New Roman" w:hAnsi="Times New Roman"/>
          <w:sz w:val="28"/>
          <w:szCs w:val="28"/>
          <w:lang w:eastAsia="es-MX"/>
        </w:rPr>
        <w:t xml:space="preserve">los usuarios de teléfonos móviles y </w:t>
      </w:r>
      <w:r w:rsidRPr="007C57D2">
        <w:rPr>
          <w:rFonts w:ascii="Times New Roman" w:hAnsi="Times New Roman"/>
          <w:sz w:val="28"/>
          <w:szCs w:val="28"/>
          <w:lang w:eastAsia="es-MX"/>
        </w:rPr>
        <w:t xml:space="preserve">de </w:t>
      </w:r>
      <w:r w:rsidRPr="007C57D2">
        <w:rPr>
          <w:rFonts w:ascii="Times New Roman" w:hAnsi="Times New Roman"/>
          <w:sz w:val="28"/>
          <w:szCs w:val="28"/>
          <w:lang w:eastAsia="es-MX"/>
        </w:rPr>
        <w:t>otros medios de comunicación de amplia cobertura, como la radi</w:t>
      </w:r>
      <w:r w:rsidRPr="007C57D2">
        <w:rPr>
          <w:rFonts w:ascii="Times New Roman" w:hAnsi="Times New Roman"/>
          <w:sz w:val="28"/>
          <w:szCs w:val="28"/>
          <w:lang w:eastAsia="es-MX"/>
        </w:rPr>
        <w:t>o, la televisión y los medios digitales</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p>
    <w:p w:rsidR="00744F00" w:rsidRPr="007C57D2" w:rsidRDefault="007C57D2" w:rsidP="008F3DAB">
      <w:pPr>
        <w:pStyle w:val="Prrafodelista"/>
        <w:tabs>
          <w:tab w:val="left" w:pos="567"/>
        </w:tabs>
        <w:ind w:left="0"/>
        <w:jc w:val="both"/>
        <w:rPr>
          <w:rFonts w:ascii="Times New Roman" w:hAnsi="Times New Roman"/>
          <w:sz w:val="28"/>
          <w:szCs w:val="28"/>
          <w:lang w:eastAsia="es-MX"/>
        </w:rPr>
      </w:pPr>
    </w:p>
    <w:p w:rsidR="00B24B0D"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Segunda, el artículo </w:t>
      </w:r>
      <w:r w:rsidRPr="007C57D2">
        <w:rPr>
          <w:rFonts w:ascii="Times New Roman" w:hAnsi="Times New Roman"/>
          <w:sz w:val="28"/>
          <w:szCs w:val="28"/>
          <w:lang w:eastAsia="es-MX"/>
        </w:rPr>
        <w:t>5</w:t>
      </w:r>
      <w:r w:rsidRPr="007C57D2">
        <w:rPr>
          <w:rFonts w:ascii="Times New Roman" w:hAnsi="Times New Roman"/>
          <w:sz w:val="28"/>
          <w:szCs w:val="28"/>
          <w:lang w:eastAsia="es-MX"/>
        </w:rPr>
        <w:t xml:space="preserve"> de la Ley Estatutaria 1581 de 2012 </w:t>
      </w:r>
      <w:r w:rsidRPr="007C57D2">
        <w:rPr>
          <w:rFonts w:ascii="Times New Roman" w:hAnsi="Times New Roman"/>
          <w:sz w:val="28"/>
          <w:szCs w:val="28"/>
          <w:lang w:eastAsia="es-MX"/>
        </w:rPr>
        <w:t xml:space="preserve">establece que los datos sensibles son “aquellos que afectan la intimidad del titular o cuyo uso indebido puede generar su discriminación, tales como aquellos </w:t>
      </w:r>
      <w:r w:rsidRPr="007C57D2">
        <w:rPr>
          <w:rFonts w:ascii="Times New Roman" w:hAnsi="Times New Roman"/>
          <w:sz w:val="28"/>
          <w:szCs w:val="28"/>
        </w:rPr>
        <w:t>que revelen el origen racial o étnico (…)</w:t>
      </w:r>
      <w:r w:rsidRPr="007C57D2">
        <w:rPr>
          <w:rFonts w:ascii="Times New Roman" w:hAnsi="Times New Roman"/>
          <w:sz w:val="28"/>
          <w:szCs w:val="28"/>
          <w:lang w:eastAsia="es-MX"/>
        </w:rPr>
        <w:t xml:space="preserve"> y los datos biométricos”. El artículo 6 de la misma ley </w:t>
      </w:r>
      <w:r w:rsidRPr="007C57D2">
        <w:rPr>
          <w:rFonts w:ascii="Times New Roman" w:hAnsi="Times New Roman"/>
          <w:sz w:val="28"/>
          <w:szCs w:val="28"/>
          <w:lang w:eastAsia="es-MX"/>
        </w:rPr>
        <w:t>prevé una prohibición general a</w:t>
      </w:r>
      <w:r w:rsidRPr="007C57D2">
        <w:rPr>
          <w:rFonts w:ascii="Times New Roman" w:hAnsi="Times New Roman"/>
          <w:sz w:val="28"/>
          <w:szCs w:val="28"/>
          <w:lang w:eastAsia="es-MX"/>
        </w:rPr>
        <w:t>l</w:t>
      </w:r>
      <w:r w:rsidRPr="007C57D2">
        <w:rPr>
          <w:rFonts w:ascii="Times New Roman" w:hAnsi="Times New Roman"/>
          <w:sz w:val="28"/>
          <w:szCs w:val="28"/>
          <w:lang w:eastAsia="es-MX"/>
        </w:rPr>
        <w:t xml:space="preserve"> tratamiento de datos sensibles</w:t>
      </w:r>
      <w:r w:rsidRPr="007C57D2">
        <w:rPr>
          <w:rFonts w:ascii="Times New Roman" w:hAnsi="Times New Roman"/>
          <w:sz w:val="28"/>
          <w:szCs w:val="28"/>
          <w:lang w:eastAsia="es-MX"/>
        </w:rPr>
        <w:t xml:space="preserve"> y regula cinco excepciones a esta regla, una de ellas es la siguiente: cuando “sea necesario para salvaguardar el interés vital del Titular y este se encuentre física o jurídicamente incapacit</w:t>
      </w:r>
      <w:r w:rsidRPr="007C57D2">
        <w:rPr>
          <w:rFonts w:ascii="Times New Roman" w:hAnsi="Times New Roman"/>
          <w:sz w:val="28"/>
          <w:szCs w:val="28"/>
          <w:lang w:eastAsia="es-MX"/>
        </w:rPr>
        <w:t>ado”. El PLE desarrolla esta excepción porque autoriza el tratamiento de</w:t>
      </w:r>
      <w:r w:rsidRPr="007C57D2">
        <w:rPr>
          <w:rFonts w:ascii="Times New Roman" w:hAnsi="Times New Roman"/>
          <w:sz w:val="28"/>
        </w:rPr>
        <w:t xml:space="preserve"> </w:t>
      </w:r>
      <w:r w:rsidRPr="007C57D2">
        <w:rPr>
          <w:rFonts w:ascii="Times New Roman" w:hAnsi="Times New Roman"/>
          <w:sz w:val="28"/>
          <w:szCs w:val="28"/>
          <w:lang w:eastAsia="es-MX"/>
        </w:rPr>
        <w:t xml:space="preserve">datos sensibles del menor </w:t>
      </w:r>
      <w:r w:rsidRPr="007C57D2">
        <w:rPr>
          <w:rFonts w:ascii="Times New Roman" w:hAnsi="Times New Roman"/>
          <w:sz w:val="28"/>
          <w:szCs w:val="28"/>
          <w:lang w:eastAsia="es-MX"/>
        </w:rPr>
        <w:t xml:space="preserve">de 18 años </w:t>
      </w:r>
      <w:r w:rsidRPr="007C57D2">
        <w:rPr>
          <w:rFonts w:ascii="Times New Roman" w:hAnsi="Times New Roman"/>
          <w:sz w:val="28"/>
          <w:szCs w:val="28"/>
          <w:lang w:eastAsia="es-MX"/>
        </w:rPr>
        <w:t xml:space="preserve">extraviado como las fotos, que son un ejemplo de datos biométricos. Estos, a su vez, son datos sensibles tal y como </w:t>
      </w:r>
      <w:r w:rsidRPr="007C57D2">
        <w:rPr>
          <w:rFonts w:ascii="Times New Roman" w:hAnsi="Times New Roman"/>
          <w:sz w:val="28"/>
          <w:szCs w:val="28"/>
          <w:lang w:eastAsia="es-MX"/>
        </w:rPr>
        <w:t xml:space="preserve">explícitamente </w:t>
      </w:r>
      <w:r w:rsidRPr="007C57D2">
        <w:rPr>
          <w:rFonts w:ascii="Times New Roman" w:hAnsi="Times New Roman"/>
          <w:sz w:val="28"/>
          <w:szCs w:val="28"/>
          <w:lang w:eastAsia="es-MX"/>
        </w:rPr>
        <w:t>lo establece el</w:t>
      </w:r>
      <w:r w:rsidRPr="007C57D2">
        <w:rPr>
          <w:rFonts w:ascii="Times New Roman" w:hAnsi="Times New Roman"/>
          <w:sz w:val="28"/>
          <w:szCs w:val="28"/>
          <w:lang w:eastAsia="es-MX"/>
        </w:rPr>
        <w:t xml:space="preserve"> precitado</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artículo 5.</w:t>
      </w:r>
      <w:r w:rsidRPr="007C57D2">
        <w:rPr>
          <w:rFonts w:ascii="Times New Roman" w:hAnsi="Times New Roman"/>
          <w:sz w:val="28"/>
          <w:szCs w:val="28"/>
          <w:lang w:eastAsia="es-MX"/>
        </w:rPr>
        <w:t xml:space="preserve"> </w:t>
      </w:r>
    </w:p>
    <w:p w:rsidR="00EA688B" w:rsidRPr="007C57D2" w:rsidRDefault="007C57D2" w:rsidP="008F3DAB">
      <w:pPr>
        <w:pStyle w:val="Prrafodelista"/>
        <w:tabs>
          <w:tab w:val="left" w:pos="567"/>
        </w:tabs>
        <w:ind w:left="0"/>
        <w:jc w:val="both"/>
        <w:rPr>
          <w:rFonts w:ascii="Times New Roman" w:hAnsi="Times New Roman"/>
          <w:sz w:val="28"/>
          <w:szCs w:val="28"/>
          <w:lang w:eastAsia="es-MX"/>
        </w:rPr>
      </w:pPr>
    </w:p>
    <w:p w:rsidR="006C0741"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Y tercera, las </w:t>
      </w:r>
      <w:r w:rsidRPr="007C57D2">
        <w:rPr>
          <w:rFonts w:ascii="Times New Roman" w:hAnsi="Times New Roman"/>
          <w:sz w:val="28"/>
          <w:szCs w:val="28"/>
          <w:lang w:eastAsia="es-MX"/>
        </w:rPr>
        <w:t xml:space="preserve">excepciones y limitaciones </w:t>
      </w:r>
      <w:r w:rsidRPr="007C57D2">
        <w:rPr>
          <w:rFonts w:ascii="Times New Roman" w:hAnsi="Times New Roman"/>
          <w:sz w:val="28"/>
          <w:szCs w:val="28"/>
          <w:lang w:eastAsia="es-MX"/>
        </w:rPr>
        <w:t xml:space="preserve">que el PLE introduce al régimen de protección del derecho fundamental al </w:t>
      </w:r>
      <w:r w:rsidRPr="007C57D2">
        <w:rPr>
          <w:rFonts w:ascii="Times New Roman" w:hAnsi="Times New Roman"/>
          <w:i/>
          <w:iCs/>
          <w:sz w:val="28"/>
          <w:szCs w:val="28"/>
          <w:lang w:eastAsia="es-MX"/>
        </w:rPr>
        <w:t>habeas data</w:t>
      </w:r>
      <w:r w:rsidRPr="007C57D2">
        <w:rPr>
          <w:rFonts w:ascii="Times New Roman" w:hAnsi="Times New Roman"/>
          <w:sz w:val="28"/>
          <w:szCs w:val="28"/>
          <w:lang w:eastAsia="es-MX"/>
        </w:rPr>
        <w:t xml:space="preserve"> de los niños y niñas menores de doce años </w:t>
      </w:r>
      <w:r w:rsidRPr="007C57D2">
        <w:rPr>
          <w:rFonts w:ascii="Times New Roman" w:hAnsi="Times New Roman"/>
          <w:sz w:val="28"/>
          <w:szCs w:val="28"/>
          <w:lang w:eastAsia="es-MX"/>
        </w:rPr>
        <w:t xml:space="preserve">extraviados </w:t>
      </w:r>
      <w:r w:rsidRPr="007C57D2">
        <w:rPr>
          <w:rFonts w:ascii="Times New Roman" w:hAnsi="Times New Roman"/>
          <w:sz w:val="28"/>
          <w:szCs w:val="28"/>
          <w:lang w:eastAsia="es-MX"/>
        </w:rPr>
        <w:t>son intensas</w:t>
      </w:r>
      <w:r w:rsidRPr="007C57D2">
        <w:rPr>
          <w:rFonts w:ascii="Times New Roman" w:hAnsi="Times New Roman"/>
          <w:sz w:val="28"/>
          <w:szCs w:val="28"/>
          <w:lang w:eastAsia="es-MX"/>
        </w:rPr>
        <w:t xml:space="preserve"> porque implican la difusión masiva de</w:t>
      </w:r>
      <w:r w:rsidRPr="007C57D2">
        <w:rPr>
          <w:rFonts w:ascii="Times New Roman" w:hAnsi="Times New Roman"/>
          <w:sz w:val="28"/>
          <w:szCs w:val="28"/>
          <w:lang w:eastAsia="es-MX"/>
        </w:rPr>
        <w:t xml:space="preserve"> sus datos personales e incluso de algunos datos sensibles. </w:t>
      </w:r>
      <w:r w:rsidRPr="007C57D2">
        <w:rPr>
          <w:rFonts w:ascii="Times New Roman" w:hAnsi="Times New Roman"/>
          <w:sz w:val="28"/>
          <w:szCs w:val="28"/>
          <w:lang w:eastAsia="es-MX"/>
        </w:rPr>
        <w:t xml:space="preserve">El PLE determina que </w:t>
      </w:r>
      <w:r w:rsidRPr="007C57D2">
        <w:rPr>
          <w:rFonts w:ascii="Times New Roman" w:hAnsi="Times New Roman"/>
          <w:sz w:val="28"/>
          <w:szCs w:val="28"/>
          <w:lang w:eastAsia="es-MX"/>
        </w:rPr>
        <w:t>la Policía Nacional, entidad responsable de activar la Alerta Colombia</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deberá entregar esa información a los proveedores de redes y servicios de telecomunicaciones móviles, los cuales, a su vez, deberán enviarla a </w:t>
      </w:r>
      <w:r w:rsidRPr="007C57D2">
        <w:rPr>
          <w:rFonts w:ascii="Times New Roman" w:hAnsi="Times New Roman"/>
          <w:sz w:val="28"/>
          <w:szCs w:val="28"/>
          <w:lang w:eastAsia="es-MX"/>
        </w:rPr>
        <w:t>todos los usuarios registrados de teléfonos móviles que se encuentren en la zona donde se extravió el niño o niñ</w:t>
      </w:r>
      <w:r w:rsidRPr="007C57D2">
        <w:rPr>
          <w:rFonts w:ascii="Times New Roman" w:hAnsi="Times New Roman"/>
          <w:sz w:val="28"/>
          <w:szCs w:val="28"/>
          <w:lang w:eastAsia="es-MX"/>
        </w:rPr>
        <w:t xml:space="preserve">a. </w:t>
      </w:r>
      <w:r w:rsidRPr="007C57D2">
        <w:rPr>
          <w:rFonts w:ascii="Times New Roman" w:hAnsi="Times New Roman"/>
          <w:sz w:val="28"/>
          <w:szCs w:val="28"/>
          <w:lang w:eastAsia="es-MX"/>
        </w:rPr>
        <w:t>Además, si existen indicios de que el niño o niña ha sido trasladado a otra ciudad o municipio, la alerta deberá ampliarse progresivamente.</w:t>
      </w:r>
    </w:p>
    <w:p w:rsidR="00E176AF" w:rsidRPr="007C57D2" w:rsidRDefault="007C57D2" w:rsidP="008F3DAB">
      <w:pPr>
        <w:pStyle w:val="Prrafodelista"/>
        <w:tabs>
          <w:tab w:val="left" w:pos="567"/>
        </w:tabs>
        <w:ind w:left="0"/>
        <w:jc w:val="both"/>
        <w:rPr>
          <w:rFonts w:ascii="Times New Roman" w:hAnsi="Times New Roman"/>
          <w:sz w:val="28"/>
          <w:szCs w:val="28"/>
          <w:lang w:eastAsia="es-MX"/>
        </w:rPr>
      </w:pPr>
    </w:p>
    <w:p w:rsidR="00687771"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La</w:t>
      </w:r>
      <w:r w:rsidRPr="007C57D2">
        <w:rPr>
          <w:rFonts w:ascii="Times New Roman" w:hAnsi="Times New Roman"/>
          <w:sz w:val="28"/>
          <w:szCs w:val="28"/>
          <w:lang w:eastAsia="es-MX"/>
        </w:rPr>
        <w:t xml:space="preserve"> información </w:t>
      </w:r>
      <w:r w:rsidRPr="007C57D2">
        <w:rPr>
          <w:rFonts w:ascii="Times New Roman" w:hAnsi="Times New Roman"/>
          <w:sz w:val="28"/>
          <w:szCs w:val="28"/>
          <w:lang w:eastAsia="es-MX"/>
        </w:rPr>
        <w:t>descrita</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que, como ya se indicó, corresponde a los datos personales, e incluso sensibles de los </w:t>
      </w:r>
      <w:r w:rsidRPr="007C57D2">
        <w:rPr>
          <w:rFonts w:ascii="Times New Roman" w:hAnsi="Times New Roman"/>
          <w:sz w:val="28"/>
          <w:szCs w:val="28"/>
          <w:lang w:eastAsia="es-MX"/>
        </w:rPr>
        <w:t xml:space="preserve">menores de doce años extraviados, </w:t>
      </w:r>
      <w:r w:rsidRPr="007C57D2">
        <w:rPr>
          <w:rFonts w:ascii="Times New Roman" w:hAnsi="Times New Roman"/>
          <w:sz w:val="28"/>
          <w:szCs w:val="28"/>
          <w:lang w:eastAsia="es-MX"/>
        </w:rPr>
        <w:t>será enviada</w:t>
      </w:r>
      <w:r w:rsidRPr="007C57D2">
        <w:rPr>
          <w:rFonts w:ascii="Times New Roman" w:hAnsi="Times New Roman"/>
          <w:sz w:val="28"/>
          <w:szCs w:val="28"/>
          <w:lang w:eastAsia="es-MX"/>
        </w:rPr>
        <w:t>, únicamente con las restricciones que el PLE dispone,</w:t>
      </w:r>
      <w:r w:rsidRPr="007C57D2">
        <w:rPr>
          <w:rFonts w:ascii="Times New Roman" w:hAnsi="Times New Roman"/>
          <w:sz w:val="28"/>
          <w:szCs w:val="28"/>
          <w:lang w:eastAsia="es-MX"/>
        </w:rPr>
        <w:t xml:space="preserve"> a </w:t>
      </w:r>
      <w:r w:rsidRPr="007C57D2">
        <w:rPr>
          <w:rFonts w:ascii="Times New Roman" w:hAnsi="Times New Roman"/>
          <w:sz w:val="28"/>
          <w:szCs w:val="28"/>
          <w:lang w:eastAsia="es-MX"/>
        </w:rPr>
        <w:t xml:space="preserve">las siguientes personas e instituciones: </w:t>
      </w:r>
      <w:r w:rsidRPr="007C57D2">
        <w:rPr>
          <w:rFonts w:ascii="Times New Roman" w:hAnsi="Times New Roman"/>
          <w:sz w:val="28"/>
          <w:szCs w:val="28"/>
          <w:lang w:eastAsia="es-MX"/>
        </w:rPr>
        <w:t>a</w:t>
      </w:r>
      <w:r w:rsidRPr="007C57D2">
        <w:rPr>
          <w:rFonts w:ascii="Times New Roman" w:hAnsi="Times New Roman"/>
          <w:sz w:val="28"/>
          <w:szCs w:val="28"/>
          <w:lang w:eastAsia="es-MX"/>
        </w:rPr>
        <w:t xml:space="preserve"> medios de comunicación de amplia cobertura</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a</w:t>
      </w:r>
      <w:r w:rsidRPr="007C57D2">
        <w:rPr>
          <w:rFonts w:ascii="Times New Roman" w:hAnsi="Times New Roman"/>
          <w:sz w:val="28"/>
          <w:szCs w:val="28"/>
        </w:rPr>
        <w:t>l Ministerio de Relaciones Exteriores, a la Unidad Administrativa</w:t>
      </w:r>
      <w:r w:rsidRPr="007C57D2">
        <w:rPr>
          <w:rFonts w:ascii="Times New Roman" w:hAnsi="Times New Roman"/>
          <w:sz w:val="28"/>
          <w:szCs w:val="28"/>
        </w:rPr>
        <w:t xml:space="preserve"> Especial de Migración Colombia</w:t>
      </w:r>
      <w:r w:rsidRPr="007C57D2">
        <w:rPr>
          <w:rFonts w:ascii="Times New Roman" w:hAnsi="Times New Roman"/>
          <w:sz w:val="28"/>
          <w:szCs w:val="28"/>
        </w:rPr>
        <w:t>,</w:t>
      </w:r>
      <w:r w:rsidRPr="007C57D2">
        <w:rPr>
          <w:rFonts w:ascii="Times New Roman" w:hAnsi="Times New Roman"/>
          <w:sz w:val="28"/>
          <w:szCs w:val="28"/>
        </w:rPr>
        <w:t xml:space="preserve"> a todas las autoridades en las fronteras, puertos y aeropuertos internacionales del país </w:t>
      </w:r>
      <w:r w:rsidRPr="007C57D2">
        <w:rPr>
          <w:rFonts w:ascii="Times New Roman" w:hAnsi="Times New Roman"/>
          <w:sz w:val="28"/>
          <w:szCs w:val="28"/>
        </w:rPr>
        <w:t xml:space="preserve">y </w:t>
      </w:r>
      <w:r w:rsidRPr="007C57D2">
        <w:rPr>
          <w:rFonts w:ascii="Times New Roman" w:hAnsi="Times New Roman"/>
          <w:sz w:val="28"/>
          <w:szCs w:val="28"/>
        </w:rPr>
        <w:t>a los países fronterizos con Colombia.</w:t>
      </w:r>
    </w:p>
    <w:p w:rsidR="00D44F73" w:rsidRPr="007C57D2" w:rsidRDefault="007C57D2" w:rsidP="008F3DAB">
      <w:pPr>
        <w:pStyle w:val="Prrafodelista"/>
        <w:tabs>
          <w:tab w:val="left" w:pos="567"/>
        </w:tabs>
        <w:ind w:left="0"/>
        <w:jc w:val="both"/>
        <w:rPr>
          <w:rFonts w:ascii="Times New Roman" w:hAnsi="Times New Roman"/>
          <w:sz w:val="28"/>
          <w:szCs w:val="28"/>
          <w:lang w:eastAsia="es-MX"/>
        </w:rPr>
      </w:pPr>
    </w:p>
    <w:p w:rsidR="0008748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En este punto</w:t>
      </w:r>
      <w:r w:rsidRPr="007C57D2">
        <w:rPr>
          <w:rFonts w:ascii="Times New Roman" w:hAnsi="Times New Roman"/>
          <w:sz w:val="28"/>
          <w:szCs w:val="28"/>
          <w:lang w:eastAsia="es-MX"/>
        </w:rPr>
        <w:t xml:space="preserve"> resulta necesario precisar que las anteriores razones no se extienden de manera automática a otras leyes o proyectos de ley que versen sobre materias similares a las abordadas en el PLE. </w:t>
      </w:r>
      <w:r w:rsidRPr="007C57D2">
        <w:rPr>
          <w:rFonts w:ascii="Times New Roman" w:hAnsi="Times New Roman"/>
          <w:sz w:val="28"/>
          <w:szCs w:val="28"/>
          <w:lang w:eastAsia="es-MX"/>
        </w:rPr>
        <w:t>Es decir, no todas las iniciativas legislativas o las leyes que cree</w:t>
      </w:r>
      <w:r w:rsidRPr="007C57D2">
        <w:rPr>
          <w:rFonts w:ascii="Times New Roman" w:hAnsi="Times New Roman"/>
          <w:sz w:val="28"/>
          <w:szCs w:val="28"/>
          <w:lang w:eastAsia="es-MX"/>
        </w:rPr>
        <w:t>n o reglamenten mecanismos tecnológicos para la búsqueda y localización de personas extraviadas o desaparecidas, mediante la difusión de sus datos personales</w:t>
      </w:r>
      <w:r w:rsidRPr="007C57D2">
        <w:rPr>
          <w:rFonts w:ascii="Times New Roman" w:hAnsi="Times New Roman"/>
          <w:sz w:val="28"/>
          <w:szCs w:val="28"/>
          <w:lang w:eastAsia="es-MX"/>
        </w:rPr>
        <w:t xml:space="preserve"> o sensibles</w:t>
      </w:r>
      <w:r w:rsidRPr="007C57D2">
        <w:rPr>
          <w:rFonts w:ascii="Times New Roman" w:hAnsi="Times New Roman"/>
          <w:sz w:val="28"/>
          <w:szCs w:val="28"/>
          <w:lang w:eastAsia="es-MX"/>
        </w:rPr>
        <w:t xml:space="preserve">, tienen </w:t>
      </w:r>
      <w:r w:rsidRPr="007C57D2">
        <w:rPr>
          <w:rFonts w:ascii="Times New Roman" w:hAnsi="Times New Roman"/>
          <w:sz w:val="28"/>
          <w:szCs w:val="28"/>
          <w:lang w:eastAsia="es-MX"/>
        </w:rPr>
        <w:t>forzosamente reserva de ley estatutaria. Corresponde al legislador o a la Cort</w:t>
      </w:r>
      <w:r w:rsidRPr="007C57D2">
        <w:rPr>
          <w:rFonts w:ascii="Times New Roman" w:hAnsi="Times New Roman"/>
          <w:sz w:val="28"/>
          <w:szCs w:val="28"/>
          <w:lang w:eastAsia="es-MX"/>
        </w:rPr>
        <w:t xml:space="preserve">e, según el caso, determinar en cada asunto particular si la norma a expedir o la disposición objeto de control tiene reserva de ley estatutaria. </w:t>
      </w:r>
    </w:p>
    <w:p w:rsidR="0008748A" w:rsidRPr="007C57D2" w:rsidRDefault="007C57D2" w:rsidP="008F3DAB">
      <w:pPr>
        <w:pStyle w:val="Prrafodelista"/>
        <w:tabs>
          <w:tab w:val="left" w:pos="567"/>
        </w:tabs>
        <w:ind w:left="0"/>
        <w:jc w:val="both"/>
        <w:rPr>
          <w:rFonts w:ascii="Times New Roman" w:hAnsi="Times New Roman"/>
          <w:sz w:val="28"/>
          <w:szCs w:val="28"/>
          <w:lang w:eastAsia="es-MX"/>
        </w:rPr>
      </w:pPr>
    </w:p>
    <w:p w:rsidR="0031715C"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Desde esta perspectiva, los argumentos expuestos en precedencia son el resultado de la suma de tres elemento</w:t>
      </w:r>
      <w:r w:rsidRPr="007C57D2">
        <w:rPr>
          <w:rFonts w:ascii="Times New Roman" w:hAnsi="Times New Roman"/>
          <w:sz w:val="28"/>
          <w:szCs w:val="28"/>
          <w:lang w:eastAsia="es-MX"/>
        </w:rPr>
        <w:t xml:space="preserve">s: (i) el PLE regula una excepción a la prohibición general al tratamiento de </w:t>
      </w:r>
      <w:r w:rsidRPr="007C57D2">
        <w:rPr>
          <w:rFonts w:ascii="Times New Roman" w:hAnsi="Times New Roman"/>
          <w:sz w:val="28"/>
          <w:szCs w:val="28"/>
          <w:u w:val="single"/>
          <w:lang w:eastAsia="es-MX"/>
        </w:rPr>
        <w:t>datos personales</w:t>
      </w:r>
      <w:r w:rsidRPr="007C57D2">
        <w:rPr>
          <w:rFonts w:ascii="Times New Roman" w:hAnsi="Times New Roman"/>
          <w:sz w:val="28"/>
          <w:szCs w:val="28"/>
          <w:lang w:eastAsia="es-MX"/>
        </w:rPr>
        <w:t xml:space="preserve"> de los NNA; (ii) el PLE regula una excepción a la prohibición general al tratamiento de </w:t>
      </w:r>
      <w:r w:rsidRPr="007C57D2">
        <w:rPr>
          <w:rFonts w:ascii="Times New Roman" w:hAnsi="Times New Roman"/>
          <w:sz w:val="28"/>
          <w:szCs w:val="28"/>
          <w:u w:val="single"/>
          <w:lang w:eastAsia="es-MX"/>
        </w:rPr>
        <w:t>datos sensibles</w:t>
      </w:r>
      <w:r w:rsidRPr="007C57D2">
        <w:rPr>
          <w:rFonts w:ascii="Times New Roman" w:hAnsi="Times New Roman"/>
          <w:sz w:val="28"/>
          <w:szCs w:val="28"/>
          <w:lang w:eastAsia="es-MX"/>
        </w:rPr>
        <w:t xml:space="preserve"> de los NNA; y (iii) tales excepciones son extremas e inte</w:t>
      </w:r>
      <w:r w:rsidRPr="007C57D2">
        <w:rPr>
          <w:rFonts w:ascii="Times New Roman" w:hAnsi="Times New Roman"/>
          <w:sz w:val="28"/>
          <w:szCs w:val="28"/>
          <w:lang w:eastAsia="es-MX"/>
        </w:rPr>
        <w:t>nsas porque implican la difusión masiva</w:t>
      </w:r>
      <w:r w:rsidRPr="007C57D2">
        <w:rPr>
          <w:rFonts w:ascii="Times New Roman" w:hAnsi="Times New Roman"/>
          <w:sz w:val="28"/>
          <w:szCs w:val="28"/>
          <w:lang w:eastAsia="es-MX"/>
        </w:rPr>
        <w:t xml:space="preserve"> —local, municipal, departamental, regional</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nacional e incluso internacional—</w:t>
      </w:r>
      <w:r w:rsidRPr="007C57D2">
        <w:rPr>
          <w:rFonts w:ascii="Times New Roman" w:hAnsi="Times New Roman"/>
          <w:sz w:val="28"/>
          <w:szCs w:val="28"/>
          <w:lang w:eastAsia="es-MX"/>
        </w:rPr>
        <w:t xml:space="preserve"> de dichos datos. </w:t>
      </w:r>
      <w:r w:rsidRPr="007C57D2">
        <w:rPr>
          <w:rFonts w:ascii="Times New Roman" w:hAnsi="Times New Roman"/>
          <w:sz w:val="28"/>
          <w:szCs w:val="28"/>
          <w:lang w:eastAsia="es-MX"/>
        </w:rPr>
        <w:t>Además,</w:t>
      </w:r>
      <w:r w:rsidRPr="007C57D2">
        <w:rPr>
          <w:rFonts w:ascii="Times New Roman" w:hAnsi="Times New Roman"/>
          <w:sz w:val="28"/>
          <w:szCs w:val="28"/>
          <w:lang w:eastAsia="es-MX"/>
        </w:rPr>
        <w:t xml:space="preserve"> dada su finalidad, el PLE incide amplia y significativamente no solo en los derechos fundamentales al </w:t>
      </w:r>
      <w:r w:rsidRPr="007C57D2">
        <w:rPr>
          <w:rFonts w:ascii="Times New Roman" w:hAnsi="Times New Roman"/>
          <w:i/>
          <w:iCs/>
          <w:sz w:val="28"/>
          <w:szCs w:val="28"/>
          <w:lang w:eastAsia="es-MX"/>
        </w:rPr>
        <w:t>habeas data</w:t>
      </w:r>
      <w:r w:rsidRPr="007C57D2">
        <w:rPr>
          <w:rFonts w:ascii="Times New Roman" w:hAnsi="Times New Roman"/>
          <w:sz w:val="28"/>
          <w:szCs w:val="28"/>
          <w:lang w:eastAsia="es-MX"/>
        </w:rPr>
        <w:t xml:space="preserve"> y a la intimidad de los NNA</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también</w:t>
      </w:r>
      <w:r w:rsidRPr="007C57D2">
        <w:rPr>
          <w:rFonts w:ascii="Times New Roman" w:hAnsi="Times New Roman"/>
          <w:sz w:val="28"/>
          <w:szCs w:val="28"/>
          <w:lang w:eastAsia="es-MX"/>
        </w:rPr>
        <w:t xml:space="preserve"> busca proteger sus</w:t>
      </w:r>
      <w:r w:rsidRPr="007C57D2">
        <w:rPr>
          <w:rFonts w:ascii="Times New Roman" w:hAnsi="Times New Roman"/>
          <w:sz w:val="28"/>
          <w:szCs w:val="28"/>
          <w:lang w:eastAsia="es-MX"/>
        </w:rPr>
        <w:t xml:space="preserve"> derechos fundamentales a la vida</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la integridad personal, </w:t>
      </w:r>
      <w:r w:rsidRPr="007C57D2">
        <w:rPr>
          <w:rFonts w:ascii="Times New Roman" w:hAnsi="Times New Roman"/>
          <w:sz w:val="28"/>
          <w:szCs w:val="28"/>
          <w:lang w:eastAsia="es-MX"/>
        </w:rPr>
        <w:t xml:space="preserve">a la </w:t>
      </w:r>
      <w:r w:rsidRPr="007C57D2">
        <w:rPr>
          <w:rFonts w:ascii="Times New Roman" w:hAnsi="Times New Roman"/>
          <w:sz w:val="28"/>
          <w:szCs w:val="28"/>
          <w:lang w:eastAsia="es-MX"/>
        </w:rPr>
        <w:t xml:space="preserve">protección contra violencia, </w:t>
      </w:r>
      <w:r w:rsidRPr="007C57D2">
        <w:rPr>
          <w:rFonts w:ascii="Times New Roman" w:hAnsi="Times New Roman"/>
          <w:sz w:val="28"/>
          <w:szCs w:val="28"/>
          <w:lang w:eastAsia="es-MX"/>
        </w:rPr>
        <w:t xml:space="preserve">al </w:t>
      </w:r>
      <w:r w:rsidRPr="007C57D2">
        <w:rPr>
          <w:rFonts w:ascii="Times New Roman" w:hAnsi="Times New Roman"/>
          <w:sz w:val="28"/>
          <w:szCs w:val="28"/>
          <w:lang w:eastAsia="es-MX"/>
        </w:rPr>
        <w:t xml:space="preserve">cuidado y </w:t>
      </w:r>
      <w:r w:rsidRPr="007C57D2">
        <w:rPr>
          <w:rFonts w:ascii="Times New Roman" w:hAnsi="Times New Roman"/>
          <w:sz w:val="28"/>
          <w:szCs w:val="28"/>
          <w:lang w:eastAsia="es-MX"/>
        </w:rPr>
        <w:t xml:space="preserve">a la </w:t>
      </w:r>
      <w:r w:rsidRPr="007C57D2">
        <w:rPr>
          <w:rFonts w:ascii="Times New Roman" w:hAnsi="Times New Roman"/>
          <w:sz w:val="28"/>
          <w:szCs w:val="28"/>
          <w:lang w:eastAsia="es-MX"/>
        </w:rPr>
        <w:t>unidad familiar.</w:t>
      </w:r>
    </w:p>
    <w:p w:rsidR="0031715C" w:rsidRPr="007C57D2" w:rsidRDefault="007C57D2" w:rsidP="008F3DAB">
      <w:pPr>
        <w:pStyle w:val="Prrafodelista"/>
        <w:tabs>
          <w:tab w:val="left" w:pos="567"/>
        </w:tabs>
        <w:ind w:left="0"/>
        <w:jc w:val="both"/>
        <w:rPr>
          <w:rFonts w:ascii="Times New Roman" w:hAnsi="Times New Roman"/>
          <w:sz w:val="28"/>
          <w:szCs w:val="28"/>
          <w:lang w:eastAsia="es-MX"/>
        </w:rPr>
      </w:pPr>
    </w:p>
    <w:p w:rsidR="00475CB8"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rPr>
        <w:t xml:space="preserve">De conformidad con lo anterior, dado que el PLE </w:t>
      </w:r>
      <w:r w:rsidRPr="007C57D2">
        <w:rPr>
          <w:rFonts w:ascii="Times New Roman" w:hAnsi="Times New Roman"/>
          <w:sz w:val="28"/>
          <w:szCs w:val="28"/>
          <w:lang w:eastAsia="es-MX"/>
        </w:rPr>
        <w:t>introduce excepciones y</w:t>
      </w:r>
      <w:r w:rsidRPr="007C57D2">
        <w:rPr>
          <w:rFonts w:ascii="Times New Roman" w:hAnsi="Times New Roman"/>
          <w:sz w:val="28"/>
          <w:szCs w:val="28"/>
          <w:lang w:eastAsia="es-MX"/>
        </w:rPr>
        <w:t xml:space="preserve"> limitaciones significativas al régimen de protección del derecho fundamental al </w:t>
      </w:r>
      <w:r w:rsidRPr="007C57D2">
        <w:rPr>
          <w:rFonts w:ascii="Times New Roman" w:hAnsi="Times New Roman"/>
          <w:i/>
          <w:iCs/>
          <w:sz w:val="28"/>
          <w:szCs w:val="28"/>
          <w:lang w:eastAsia="es-MX"/>
        </w:rPr>
        <w:t>habeas data</w:t>
      </w:r>
      <w:r w:rsidRPr="007C57D2">
        <w:rPr>
          <w:rFonts w:ascii="Times New Roman" w:hAnsi="Times New Roman"/>
          <w:sz w:val="28"/>
          <w:szCs w:val="28"/>
          <w:lang w:eastAsia="es-MX"/>
        </w:rPr>
        <w:t xml:space="preserve"> de los niños y niñas menores de doce años,</w:t>
      </w:r>
      <w:r w:rsidRPr="007C57D2">
        <w:rPr>
          <w:rFonts w:ascii="Times New Roman" w:hAnsi="Times New Roman"/>
          <w:sz w:val="28"/>
          <w:szCs w:val="28"/>
          <w:lang w:eastAsia="es-MX"/>
        </w:rPr>
        <w:t xml:space="preserve"> era necesario, como en efecto lo hizo el Congreso de la República, tramitar la iniciativa a través del procedimiento de </w:t>
      </w:r>
      <w:r w:rsidRPr="007C57D2">
        <w:rPr>
          <w:rFonts w:ascii="Times New Roman" w:hAnsi="Times New Roman"/>
          <w:sz w:val="28"/>
          <w:szCs w:val="28"/>
          <w:lang w:eastAsia="es-MX"/>
        </w:rPr>
        <w:t>ley estatutaria. Esto es así, aunque</w:t>
      </w:r>
      <w:r w:rsidRPr="007C57D2">
        <w:rPr>
          <w:rFonts w:ascii="Times New Roman" w:hAnsi="Times New Roman"/>
          <w:sz w:val="28"/>
          <w:szCs w:val="28"/>
          <w:lang w:eastAsia="es-MX"/>
        </w:rPr>
        <w:t xml:space="preserve"> el PLE contenga disposiciones propias de la legislación ordinaria y que, por tanto, no estén sometidas a la reserva de ley estatutaria. </w:t>
      </w:r>
    </w:p>
    <w:p w:rsidR="00475CB8" w:rsidRPr="007C57D2" w:rsidRDefault="007C57D2" w:rsidP="008F3DAB">
      <w:pPr>
        <w:pStyle w:val="Prrafodelista"/>
        <w:tabs>
          <w:tab w:val="left" w:pos="567"/>
        </w:tabs>
        <w:ind w:left="0"/>
        <w:jc w:val="both"/>
        <w:rPr>
          <w:rFonts w:ascii="Times New Roman" w:hAnsi="Times New Roman"/>
          <w:sz w:val="28"/>
          <w:szCs w:val="28"/>
          <w:lang w:eastAsia="es-MX"/>
        </w:rPr>
      </w:pPr>
    </w:p>
    <w:p w:rsidR="00577A27"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última observación </w:t>
      </w:r>
      <w:r w:rsidRPr="007C57D2">
        <w:rPr>
          <w:rFonts w:ascii="Times New Roman" w:hAnsi="Times New Roman"/>
          <w:sz w:val="28"/>
          <w:szCs w:val="28"/>
          <w:lang w:eastAsia="es-MX"/>
        </w:rPr>
        <w:t xml:space="preserve">es importante porque las normas que no tienen esa reserva, es decir, que son ordinarias, </w:t>
      </w:r>
      <w:r w:rsidRPr="007C57D2">
        <w:rPr>
          <w:rFonts w:ascii="Times New Roman" w:hAnsi="Times New Roman"/>
          <w:sz w:val="28"/>
          <w:szCs w:val="28"/>
          <w:lang w:eastAsia="es-MX"/>
        </w:rPr>
        <w:t>pueden</w:t>
      </w:r>
      <w:r w:rsidRPr="007C57D2">
        <w:rPr>
          <w:rFonts w:ascii="Times New Roman" w:hAnsi="Times New Roman"/>
          <w:sz w:val="28"/>
          <w:szCs w:val="28"/>
          <w:lang w:eastAsia="es-MX"/>
        </w:rPr>
        <w:t xml:space="preserve"> ser modificadas por medio del procedimiento legislativo ordinario</w:t>
      </w:r>
      <w:r w:rsidRPr="007C57D2">
        <w:rPr>
          <w:rFonts w:ascii="Times New Roman" w:hAnsi="Times New Roman"/>
          <w:sz w:val="28"/>
          <w:szCs w:val="28"/>
          <w:lang w:eastAsia="es-MX"/>
        </w:rPr>
        <w:t xml:space="preserve"> o, en otras palabras, no están llamadas a cumplir las exigencias del trámite legislativo estat</w:t>
      </w:r>
      <w:r w:rsidRPr="007C57D2">
        <w:rPr>
          <w:rFonts w:ascii="Times New Roman" w:hAnsi="Times New Roman"/>
          <w:sz w:val="28"/>
          <w:szCs w:val="28"/>
          <w:lang w:eastAsia="es-MX"/>
        </w:rPr>
        <w:t>utario</w:t>
      </w:r>
      <w:r w:rsidRPr="007C57D2">
        <w:rPr>
          <w:rFonts w:ascii="Times New Roman" w:hAnsi="Times New Roman"/>
          <w:sz w:val="28"/>
          <w:szCs w:val="28"/>
          <w:lang w:eastAsia="es-MX"/>
        </w:rPr>
        <w:t xml:space="preserve">. En el presente caso, las normas que no tienen reserva </w:t>
      </w:r>
      <w:r w:rsidRPr="007C57D2">
        <w:rPr>
          <w:rFonts w:ascii="Times New Roman" w:hAnsi="Times New Roman"/>
          <w:sz w:val="28"/>
          <w:szCs w:val="28"/>
          <w:lang w:eastAsia="es-MX"/>
        </w:rPr>
        <w:t xml:space="preserve">de ley estatutaria </w:t>
      </w:r>
      <w:r w:rsidRPr="007C57D2">
        <w:rPr>
          <w:rFonts w:ascii="Times New Roman" w:hAnsi="Times New Roman"/>
          <w:sz w:val="28"/>
          <w:szCs w:val="28"/>
          <w:lang w:eastAsia="es-MX"/>
        </w:rPr>
        <w:t>son aquellas que regulan aspectos eminentemente técnicos, operativos o instrumentales</w:t>
      </w:r>
      <w:r w:rsidRPr="007C57D2">
        <w:rPr>
          <w:rFonts w:ascii="Times New Roman" w:hAnsi="Times New Roman"/>
          <w:sz w:val="28"/>
          <w:szCs w:val="28"/>
          <w:lang w:eastAsia="es-MX"/>
        </w:rPr>
        <w:t xml:space="preserve"> de la Alerta Colombia</w:t>
      </w:r>
      <w:r w:rsidRPr="007C57D2">
        <w:rPr>
          <w:rFonts w:ascii="Times New Roman" w:hAnsi="Times New Roman"/>
          <w:sz w:val="28"/>
          <w:szCs w:val="28"/>
          <w:lang w:eastAsia="es-MX"/>
        </w:rPr>
        <w:t>. El siguiente cuadro identifica</w:t>
      </w:r>
      <w:r w:rsidRPr="007C57D2">
        <w:rPr>
          <w:rFonts w:ascii="Times New Roman" w:hAnsi="Times New Roman"/>
          <w:sz w:val="28"/>
          <w:szCs w:val="28"/>
          <w:lang w:eastAsia="es-MX"/>
        </w:rPr>
        <w:t xml:space="preserve"> </w:t>
      </w:r>
      <w:r w:rsidRPr="007C57D2">
        <w:rPr>
          <w:rFonts w:ascii="Times New Roman" w:hAnsi="Times New Roman"/>
          <w:i/>
          <w:iCs/>
          <w:sz w:val="28"/>
          <w:szCs w:val="28"/>
          <w:lang w:eastAsia="es-MX"/>
        </w:rPr>
        <w:t>prima facie</w:t>
      </w:r>
      <w:r w:rsidRPr="007C57D2">
        <w:rPr>
          <w:rFonts w:ascii="Times New Roman" w:hAnsi="Times New Roman"/>
          <w:sz w:val="28"/>
          <w:szCs w:val="28"/>
          <w:lang w:eastAsia="es-MX"/>
        </w:rPr>
        <w:t xml:space="preserve"> las normas del PLE que </w:t>
      </w:r>
      <w:r w:rsidRPr="007C57D2">
        <w:rPr>
          <w:rFonts w:ascii="Times New Roman" w:hAnsi="Times New Roman"/>
          <w:sz w:val="28"/>
          <w:szCs w:val="28"/>
          <w:lang w:eastAsia="es-MX"/>
        </w:rPr>
        <w:t xml:space="preserve">tienen </w:t>
      </w:r>
      <w:r w:rsidRPr="007C57D2">
        <w:rPr>
          <w:rFonts w:ascii="Times New Roman" w:hAnsi="Times New Roman"/>
          <w:sz w:val="28"/>
          <w:szCs w:val="28"/>
          <w:lang w:eastAsia="es-MX"/>
        </w:rPr>
        <w:t xml:space="preserve">naturaleza estatutaria y ordinaria. </w:t>
      </w:r>
    </w:p>
    <w:p w:rsidR="00475CB8" w:rsidRPr="007C57D2" w:rsidRDefault="007C57D2" w:rsidP="008F3DAB">
      <w:pPr>
        <w:pStyle w:val="Prrafodelista"/>
        <w:tabs>
          <w:tab w:val="left" w:pos="567"/>
        </w:tabs>
        <w:ind w:left="0"/>
        <w:jc w:val="both"/>
        <w:rPr>
          <w:rFonts w:ascii="Times New Roman" w:hAnsi="Times New Roman"/>
          <w:sz w:val="28"/>
          <w:szCs w:val="28"/>
          <w:lang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119"/>
        <w:gridCol w:w="4540"/>
      </w:tblGrid>
      <w:tr w:rsidR="007C57D2" w:rsidRPr="007C57D2" w:rsidTr="007C57D2">
        <w:trPr>
          <w:trHeight w:val="167"/>
        </w:trPr>
        <w:tc>
          <w:tcPr>
            <w:tcW w:w="112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b/>
                <w:bCs/>
                <w:sz w:val="28"/>
                <w:lang w:eastAsia="es-MX"/>
              </w:rPr>
            </w:pPr>
            <w:r w:rsidRPr="007C57D2">
              <w:rPr>
                <w:rFonts w:ascii="Times New Roman" w:hAnsi="Times New Roman"/>
                <w:b/>
                <w:bCs/>
                <w:sz w:val="28"/>
                <w:lang w:eastAsia="es-MX"/>
              </w:rPr>
              <w:t>Artículo</w:t>
            </w:r>
          </w:p>
        </w:tc>
        <w:tc>
          <w:tcPr>
            <w:tcW w:w="311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b/>
                <w:bCs/>
                <w:sz w:val="28"/>
                <w:lang w:eastAsia="es-MX"/>
              </w:rPr>
            </w:pPr>
            <w:r w:rsidRPr="007C57D2">
              <w:rPr>
                <w:rFonts w:ascii="Times New Roman" w:hAnsi="Times New Roman"/>
                <w:b/>
                <w:bCs/>
                <w:sz w:val="28"/>
                <w:lang w:eastAsia="es-MX"/>
              </w:rPr>
              <w:t>Materia</w:t>
            </w:r>
          </w:p>
        </w:tc>
        <w:tc>
          <w:tcPr>
            <w:tcW w:w="4540" w:type="dxa"/>
            <w:shd w:val="clear" w:color="auto" w:fill="auto"/>
          </w:tcPr>
          <w:p w:rsidR="00577A27" w:rsidRPr="007C57D2" w:rsidRDefault="007C57D2" w:rsidP="007C57D2">
            <w:pPr>
              <w:tabs>
                <w:tab w:val="left" w:pos="567"/>
              </w:tabs>
              <w:spacing w:after="0" w:line="240" w:lineRule="auto"/>
              <w:jc w:val="center"/>
              <w:rPr>
                <w:rFonts w:ascii="Times New Roman" w:hAnsi="Times New Roman"/>
                <w:b/>
                <w:bCs/>
                <w:sz w:val="28"/>
                <w:lang w:eastAsia="es-MX"/>
              </w:rPr>
            </w:pPr>
            <w:r w:rsidRPr="007C57D2">
              <w:rPr>
                <w:rFonts w:ascii="Times New Roman" w:hAnsi="Times New Roman"/>
                <w:b/>
                <w:bCs/>
                <w:sz w:val="28"/>
                <w:lang w:eastAsia="es-MX"/>
              </w:rPr>
              <w:t>Naturaleza</w:t>
            </w:r>
          </w:p>
        </w:tc>
      </w:tr>
      <w:tr w:rsidR="00577A27" w:rsidRPr="007C57D2" w:rsidTr="007C57D2">
        <w:tc>
          <w:tcPr>
            <w:tcW w:w="112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w:t>
            </w:r>
          </w:p>
        </w:tc>
        <w:tc>
          <w:tcPr>
            <w:tcW w:w="311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Objeto</w:t>
            </w:r>
          </w:p>
        </w:tc>
        <w:tc>
          <w:tcPr>
            <w:tcW w:w="4540" w:type="dxa"/>
            <w:shd w:val="clear" w:color="auto" w:fill="auto"/>
          </w:tcPr>
          <w:p w:rsidR="00577A27"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ordinaria porque se limita a crea</w:t>
            </w:r>
            <w:r w:rsidRPr="007C57D2">
              <w:rPr>
                <w:rFonts w:ascii="Times New Roman" w:hAnsi="Times New Roman"/>
                <w:sz w:val="28"/>
                <w:lang w:eastAsia="es-MX"/>
              </w:rPr>
              <w:t>r</w:t>
            </w:r>
            <w:r w:rsidRPr="007C57D2">
              <w:rPr>
                <w:rFonts w:ascii="Times New Roman" w:hAnsi="Times New Roman"/>
                <w:sz w:val="28"/>
                <w:lang w:eastAsia="es-MX"/>
              </w:rPr>
              <w:t xml:space="preserve"> la Alerta Colombia y a indicar que el objeto de la ley es su regulación. </w:t>
            </w:r>
          </w:p>
        </w:tc>
      </w:tr>
      <w:tr w:rsidR="00577A27" w:rsidRPr="007C57D2" w:rsidTr="007C57D2">
        <w:tc>
          <w:tcPr>
            <w:tcW w:w="112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2</w:t>
            </w:r>
          </w:p>
        </w:tc>
        <w:tc>
          <w:tcPr>
            <w:tcW w:w="311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Definiciones</w:t>
            </w:r>
          </w:p>
        </w:tc>
        <w:tc>
          <w:tcPr>
            <w:tcW w:w="4540" w:type="dxa"/>
            <w:shd w:val="clear" w:color="auto" w:fill="auto"/>
          </w:tcPr>
          <w:p w:rsidR="00577A27"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Estatutaria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estatutaria porque </w:t>
            </w:r>
            <w:r w:rsidRPr="007C57D2">
              <w:rPr>
                <w:rFonts w:ascii="Times New Roman" w:hAnsi="Times New Roman"/>
                <w:sz w:val="28"/>
                <w:lang w:eastAsia="es-MX"/>
              </w:rPr>
              <w:t>contiene las definiciones que delimitan el alcance del PLE. Puntualmente, establece que la Alerta Colombia es una herramienta de difusión de los datos biométricos y personales de las personas extraviadas entre los 0 y 12 añ</w:t>
            </w:r>
            <w:r w:rsidRPr="007C57D2">
              <w:rPr>
                <w:rFonts w:ascii="Times New Roman" w:hAnsi="Times New Roman"/>
                <w:sz w:val="28"/>
                <w:lang w:eastAsia="es-MX"/>
              </w:rPr>
              <w:t xml:space="preserve">os de edad. Además, </w:t>
            </w:r>
            <w:r w:rsidRPr="007C57D2">
              <w:rPr>
                <w:rFonts w:ascii="Times New Roman" w:hAnsi="Times New Roman"/>
                <w:sz w:val="28"/>
                <w:lang w:eastAsia="es-MX"/>
              </w:rPr>
              <w:t>dispone que la persona llamada a reportar o el ICBF deberá diligenciar un documento informado que autorice el tratamiento de los datos biométricos y personales del menor</w:t>
            </w:r>
            <w:r w:rsidRPr="007C57D2">
              <w:rPr>
                <w:rFonts w:ascii="Times New Roman" w:hAnsi="Times New Roman"/>
                <w:sz w:val="28"/>
                <w:lang w:eastAsia="es-MX"/>
              </w:rPr>
              <w:t xml:space="preserve"> de edad</w:t>
            </w:r>
            <w:r w:rsidRPr="007C57D2">
              <w:rPr>
                <w:rFonts w:ascii="Times New Roman" w:hAnsi="Times New Roman"/>
                <w:sz w:val="28"/>
                <w:lang w:eastAsia="es-MX"/>
              </w:rPr>
              <w:t xml:space="preserve">. </w:t>
            </w:r>
          </w:p>
        </w:tc>
      </w:tr>
      <w:tr w:rsidR="00577A27" w:rsidRPr="007C57D2" w:rsidTr="007C57D2">
        <w:tc>
          <w:tcPr>
            <w:tcW w:w="112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3</w:t>
            </w:r>
          </w:p>
        </w:tc>
        <w:tc>
          <w:tcPr>
            <w:tcW w:w="311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Autorización para activar la alerta</w:t>
            </w:r>
          </w:p>
        </w:tc>
        <w:tc>
          <w:tcPr>
            <w:tcW w:w="4540" w:type="dxa"/>
            <w:shd w:val="clear" w:color="auto" w:fill="auto"/>
          </w:tcPr>
          <w:p w:rsidR="00577A27"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Estatutaria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estatutaria porque, para la activación de la Alerta, permite la divulgación de los datos biométricos y personales del menor</w:t>
            </w:r>
            <w:r w:rsidRPr="007C57D2">
              <w:rPr>
                <w:rFonts w:ascii="Times New Roman" w:hAnsi="Times New Roman"/>
                <w:sz w:val="28"/>
                <w:lang w:eastAsia="es-MX"/>
              </w:rPr>
              <w:t xml:space="preserve"> de 18 años</w:t>
            </w:r>
            <w:r w:rsidRPr="007C57D2">
              <w:rPr>
                <w:rFonts w:ascii="Times New Roman" w:hAnsi="Times New Roman"/>
                <w:sz w:val="28"/>
                <w:lang w:eastAsia="es-MX"/>
              </w:rPr>
              <w:t>, mediante el diligenciamiento y la firma del consentimiento informado.</w:t>
            </w:r>
          </w:p>
        </w:tc>
      </w:tr>
      <w:tr w:rsidR="00577A27" w:rsidRPr="007C57D2" w:rsidTr="007C57D2">
        <w:tc>
          <w:tcPr>
            <w:tcW w:w="112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4</w:t>
            </w:r>
          </w:p>
        </w:tc>
        <w:tc>
          <w:tcPr>
            <w:tcW w:w="311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Datos biométricos y personales</w:t>
            </w:r>
          </w:p>
        </w:tc>
        <w:tc>
          <w:tcPr>
            <w:tcW w:w="4540" w:type="dxa"/>
            <w:shd w:val="clear" w:color="auto" w:fill="auto"/>
          </w:tcPr>
          <w:p w:rsidR="00577A27"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Es</w:t>
            </w:r>
            <w:r w:rsidRPr="007C57D2">
              <w:rPr>
                <w:rFonts w:ascii="Times New Roman" w:hAnsi="Times New Roman"/>
                <w:b/>
                <w:bCs/>
                <w:sz w:val="28"/>
                <w:lang w:eastAsia="es-MX"/>
              </w:rPr>
              <w:t>tatutaria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estatutaria porque enlista los datos biométricos y personales mínimos del menor </w:t>
            </w:r>
            <w:r w:rsidRPr="007C57D2">
              <w:rPr>
                <w:rFonts w:ascii="Times New Roman" w:hAnsi="Times New Roman"/>
                <w:sz w:val="28"/>
                <w:lang w:eastAsia="es-MX"/>
              </w:rPr>
              <w:t xml:space="preserve">de edad </w:t>
            </w:r>
            <w:r w:rsidRPr="007C57D2">
              <w:rPr>
                <w:rFonts w:ascii="Times New Roman" w:hAnsi="Times New Roman"/>
                <w:sz w:val="28"/>
                <w:lang w:eastAsia="es-MX"/>
              </w:rPr>
              <w:t>extraviado “que se deben utilizar en la Alerta Colombia”.</w:t>
            </w:r>
          </w:p>
        </w:tc>
      </w:tr>
      <w:tr w:rsidR="00577A27" w:rsidRPr="007C57D2" w:rsidTr="007C57D2">
        <w:tc>
          <w:tcPr>
            <w:tcW w:w="112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5</w:t>
            </w:r>
          </w:p>
        </w:tc>
        <w:tc>
          <w:tcPr>
            <w:tcW w:w="3119" w:type="dxa"/>
            <w:shd w:val="clear" w:color="auto" w:fill="auto"/>
            <w:vAlign w:val="center"/>
          </w:tcPr>
          <w:p w:rsidR="00577A27"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Sistema Nacional de Reporte Virtual</w:t>
            </w:r>
          </w:p>
        </w:tc>
        <w:tc>
          <w:tcPr>
            <w:tcW w:w="4540" w:type="dxa"/>
            <w:shd w:val="clear" w:color="auto" w:fill="auto"/>
          </w:tcPr>
          <w:p w:rsidR="00577A27"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ordinaria porque se con</w:t>
            </w:r>
            <w:r w:rsidRPr="007C57D2">
              <w:rPr>
                <w:rFonts w:ascii="Times New Roman" w:hAnsi="Times New Roman"/>
                <w:sz w:val="28"/>
                <w:lang w:eastAsia="es-MX"/>
              </w:rPr>
              <w:t>trae a regular el funcionamiento técnico y operativo del Sistema Nacional de Reporte Virtual.</w:t>
            </w:r>
            <w:r w:rsidRPr="007C57D2">
              <w:rPr>
                <w:rFonts w:ascii="Times New Roman" w:hAnsi="Times New Roman"/>
                <w:sz w:val="28"/>
                <w:lang w:eastAsia="es-MX"/>
              </w:rPr>
              <w:t xml:space="preserve"> Es el instrumento para la activación de la Alerta Colombia.</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6</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Divulgación de la Alerta Colombia</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Estatutaria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estatutaria porque permite la divulgación y el tratamiento de los datos biométricos y personales de los menores </w:t>
            </w:r>
            <w:r w:rsidRPr="007C57D2">
              <w:rPr>
                <w:rFonts w:ascii="Times New Roman" w:hAnsi="Times New Roman"/>
                <w:sz w:val="28"/>
                <w:lang w:eastAsia="es-MX"/>
              </w:rPr>
              <w:t xml:space="preserve">de 18 años </w:t>
            </w:r>
            <w:r w:rsidRPr="007C57D2">
              <w:rPr>
                <w:rFonts w:ascii="Times New Roman" w:hAnsi="Times New Roman"/>
                <w:sz w:val="28"/>
                <w:lang w:eastAsia="es-MX"/>
              </w:rPr>
              <w:t xml:space="preserve">extraviados, mediante el envío de la Alerta </w:t>
            </w:r>
            <w:r w:rsidRPr="007C57D2">
              <w:rPr>
                <w:rFonts w:ascii="Times New Roman" w:hAnsi="Times New Roman"/>
                <w:sz w:val="28"/>
                <w:lang w:eastAsia="es-MX"/>
              </w:rPr>
              <w:t>a todos los teléfonos móviles que se encuentren en la zona donde se extravi</w:t>
            </w:r>
            <w:r w:rsidRPr="007C57D2">
              <w:rPr>
                <w:rFonts w:ascii="Times New Roman" w:hAnsi="Times New Roman"/>
                <w:sz w:val="28"/>
                <w:lang w:eastAsia="es-MX"/>
              </w:rPr>
              <w:t>ó el niño o niña.</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7</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Tratamiento de datos personales</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b/>
                <w:bCs/>
                <w:sz w:val="28"/>
                <w:lang w:eastAsia="es-MX"/>
              </w:rPr>
            </w:pPr>
            <w:r w:rsidRPr="007C57D2">
              <w:rPr>
                <w:rFonts w:ascii="Times New Roman" w:hAnsi="Times New Roman"/>
                <w:b/>
                <w:bCs/>
                <w:sz w:val="28"/>
                <w:lang w:eastAsia="es-MX"/>
              </w:rPr>
              <w:t>Estatutaria</w:t>
            </w:r>
            <w:r w:rsidRPr="007C57D2">
              <w:rPr>
                <w:rFonts w:ascii="Times New Roman" w:hAnsi="Times New Roman"/>
                <w:b/>
                <w:bCs/>
                <w:sz w:val="28"/>
                <w:lang w:eastAsia="es-MX"/>
              </w:rPr>
              <w:t xml:space="preserve">. </w:t>
            </w:r>
            <w:r w:rsidRPr="007C57D2">
              <w:rPr>
                <w:rFonts w:ascii="Times New Roman" w:hAnsi="Times New Roman"/>
                <w:sz w:val="28"/>
                <w:lang w:eastAsia="es-MX"/>
              </w:rPr>
              <w:t xml:space="preserve">Es una norma estatutaria porque permite el tratamiento de los datos personales de los menores </w:t>
            </w:r>
            <w:r w:rsidRPr="007C57D2">
              <w:rPr>
                <w:rFonts w:ascii="Times New Roman" w:hAnsi="Times New Roman"/>
                <w:sz w:val="28"/>
                <w:lang w:eastAsia="es-MX"/>
              </w:rPr>
              <w:t xml:space="preserve">de 18 años </w:t>
            </w:r>
            <w:r w:rsidRPr="007C57D2">
              <w:rPr>
                <w:rFonts w:ascii="Times New Roman" w:hAnsi="Times New Roman"/>
                <w:sz w:val="28"/>
                <w:lang w:eastAsia="es-MX"/>
              </w:rPr>
              <w:t>extraviados y prohíbe su entrega a entidades diferentes de las que trata el PLE o a e</w:t>
            </w:r>
            <w:r w:rsidRPr="007C57D2">
              <w:rPr>
                <w:rFonts w:ascii="Times New Roman" w:hAnsi="Times New Roman"/>
                <w:sz w:val="28"/>
                <w:lang w:eastAsia="es-MX"/>
              </w:rPr>
              <w:t>mpresas nacionales o extranjeras</w:t>
            </w:r>
            <w:r w:rsidRPr="007C57D2">
              <w:rPr>
                <w:rFonts w:ascii="Times New Roman" w:hAnsi="Times New Roman"/>
                <w:b/>
                <w:bCs/>
                <w:sz w:val="28"/>
                <w:lang w:eastAsia="es-MX"/>
              </w:rPr>
              <w:t xml:space="preserve"> </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8</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Eliminación de registro de los datos</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Estatutaria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estatutaria porque se refiere al tratamiento de los datos personales de los menores </w:t>
            </w:r>
            <w:r w:rsidRPr="007C57D2">
              <w:rPr>
                <w:rFonts w:ascii="Times New Roman" w:hAnsi="Times New Roman"/>
                <w:sz w:val="28"/>
                <w:lang w:eastAsia="es-MX"/>
              </w:rPr>
              <w:t xml:space="preserve">de edad </w:t>
            </w:r>
            <w:r w:rsidRPr="007C57D2">
              <w:rPr>
                <w:rFonts w:ascii="Times New Roman" w:hAnsi="Times New Roman"/>
                <w:sz w:val="28"/>
                <w:lang w:eastAsia="es-MX"/>
              </w:rPr>
              <w:t>extraviados. En concreto, impone a los proveedores de redes y se</w:t>
            </w:r>
            <w:r w:rsidRPr="007C57D2">
              <w:rPr>
                <w:rFonts w:ascii="Times New Roman" w:hAnsi="Times New Roman"/>
                <w:sz w:val="28"/>
                <w:lang w:eastAsia="es-MX"/>
              </w:rPr>
              <w:t>rvicios de telecomunicaciones móviles el deber de suprimir “tanto datos personales como biométricos de los niños y niñas en sus bases de datos, cuando aquellos sean encontrados</w:t>
            </w:r>
            <w:r w:rsidRPr="007C57D2">
              <w:rPr>
                <w:rFonts w:ascii="Times New Roman" w:hAnsi="Times New Roman"/>
                <w:sz w:val="28"/>
                <w:lang w:eastAsia="es-MX"/>
              </w:rPr>
              <w:t>”</w:t>
            </w:r>
            <w:r w:rsidRPr="007C57D2">
              <w:rPr>
                <w:rFonts w:ascii="Times New Roman" w:hAnsi="Times New Roman"/>
                <w:sz w:val="28"/>
                <w:lang w:eastAsia="es-MX"/>
              </w:rPr>
              <w:t xml:space="preserve">. </w:t>
            </w:r>
          </w:p>
        </w:tc>
      </w:tr>
      <w:tr w:rsidR="0082044E" w:rsidRPr="007C57D2" w:rsidTr="007C57D2">
        <w:tc>
          <w:tcPr>
            <w:tcW w:w="1129" w:type="dxa"/>
            <w:shd w:val="clear" w:color="auto" w:fill="auto"/>
            <w:vAlign w:val="center"/>
          </w:tcPr>
          <w:p w:rsidR="0082044E"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9</w:t>
            </w:r>
          </w:p>
        </w:tc>
        <w:tc>
          <w:tcPr>
            <w:tcW w:w="3119" w:type="dxa"/>
            <w:shd w:val="clear" w:color="auto" w:fill="auto"/>
            <w:vAlign w:val="center"/>
          </w:tcPr>
          <w:p w:rsidR="0082044E"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Activación de la Alerta Colombia</w:t>
            </w:r>
          </w:p>
        </w:tc>
        <w:tc>
          <w:tcPr>
            <w:tcW w:w="4540" w:type="dxa"/>
            <w:vMerge w:val="restart"/>
            <w:shd w:val="clear" w:color="auto" w:fill="auto"/>
          </w:tcPr>
          <w:p w:rsidR="0082044E"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sz w:val="28"/>
                <w:lang w:eastAsia="es-MX"/>
              </w:rPr>
              <w:t xml:space="preserve"> Son normas ordinarias porque concretan y explican los procedimientos técnicos y operativos para la activación y difusión de la Alerta Colombia, y atribuyen competencias a las entidades y personas responsables de adelantar esos procedimientos. </w:t>
            </w:r>
          </w:p>
        </w:tc>
      </w:tr>
      <w:tr w:rsidR="0082044E" w:rsidRPr="007C57D2" w:rsidTr="007C57D2">
        <w:tc>
          <w:tcPr>
            <w:tcW w:w="1129" w:type="dxa"/>
            <w:shd w:val="clear" w:color="auto" w:fill="auto"/>
            <w:vAlign w:val="center"/>
          </w:tcPr>
          <w:p w:rsidR="0082044E"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10</w:t>
            </w:r>
          </w:p>
        </w:tc>
        <w:tc>
          <w:tcPr>
            <w:tcW w:w="3119" w:type="dxa"/>
            <w:shd w:val="clear" w:color="auto" w:fill="auto"/>
            <w:vAlign w:val="center"/>
          </w:tcPr>
          <w:p w:rsidR="0082044E"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Procedimiento para la Difusión de la Alerta</w:t>
            </w:r>
          </w:p>
        </w:tc>
        <w:tc>
          <w:tcPr>
            <w:tcW w:w="4540" w:type="dxa"/>
            <w:vMerge/>
            <w:shd w:val="clear" w:color="auto" w:fill="auto"/>
          </w:tcPr>
          <w:p w:rsidR="0082044E" w:rsidRPr="007C57D2" w:rsidRDefault="007C57D2" w:rsidP="007C57D2">
            <w:pPr>
              <w:tabs>
                <w:tab w:val="left" w:pos="567"/>
              </w:tabs>
              <w:spacing w:after="0" w:line="240" w:lineRule="auto"/>
              <w:jc w:val="both"/>
              <w:rPr>
                <w:rFonts w:ascii="Times New Roman" w:hAnsi="Times New Roman"/>
                <w:sz w:val="28"/>
                <w:lang w:eastAsia="es-MX"/>
              </w:rPr>
            </w:pP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11</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Zona de difusión</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ordinaria porque se limita a precisar la zona de difusión de la Alerta Colombia y la articulación que para el efecto deben asumir las entidades competentes.</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12</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Mecanismos de búsqueda</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ordinaria porque reitera que la Policía Nacional debe implementar los mecanismos de búsqueda pertinentes para la búsqueda, localización y recuperación inmediata de los menores</w:t>
            </w:r>
            <w:r w:rsidRPr="007C57D2">
              <w:rPr>
                <w:rFonts w:ascii="Times New Roman" w:hAnsi="Times New Roman"/>
                <w:sz w:val="28"/>
                <w:lang w:eastAsia="es-MX"/>
              </w:rPr>
              <w:t xml:space="preserve"> de 18 años</w:t>
            </w:r>
            <w:r w:rsidRPr="007C57D2">
              <w:rPr>
                <w:rFonts w:ascii="Times New Roman" w:hAnsi="Times New Roman"/>
                <w:sz w:val="28"/>
                <w:lang w:eastAsia="es-MX"/>
              </w:rPr>
              <w:t xml:space="preserve"> extraviados. Además, con ese propósito, prevé la participación de la ciudadanía y de los proveedores de redes y servicios de telecomunicaciones móviles.</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13</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Informe anual</w:t>
            </w:r>
          </w:p>
        </w:tc>
        <w:tc>
          <w:tcPr>
            <w:tcW w:w="4540" w:type="dxa"/>
            <w:shd w:val="clear" w:color="auto" w:fill="auto"/>
          </w:tcPr>
          <w:p w:rsidR="00E03F87"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ordinaria porque se contrae a establecer la obligación del </w:t>
            </w:r>
            <w:r w:rsidRPr="007C57D2">
              <w:rPr>
                <w:rFonts w:ascii="Times New Roman" w:hAnsi="Times New Roman"/>
                <w:sz w:val="28"/>
                <w:lang w:eastAsia="es-MX"/>
              </w:rPr>
              <w:t>I</w:t>
            </w:r>
            <w:r w:rsidRPr="007C57D2">
              <w:rPr>
                <w:rFonts w:ascii="Times New Roman" w:hAnsi="Times New Roman"/>
                <w:sz w:val="28"/>
                <w:lang w:eastAsia="es-MX"/>
              </w:rPr>
              <w:t xml:space="preserve">CBF y del Instituto Nacional de Medicina Legal y Ciencias Forenses de rendir informes al Congreso sobre el cumplimiento de sus funciones. </w:t>
            </w:r>
          </w:p>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sz w:val="28"/>
                <w:lang w:eastAsia="es-MX"/>
              </w:rPr>
              <w:t xml:space="preserve">Esta norma no tiene reserva de ley orgánica porque tales informes no tienen “por objeto cuestionar, formular juicios </w:t>
            </w:r>
            <w:r w:rsidRPr="007C57D2">
              <w:rPr>
                <w:rFonts w:ascii="Times New Roman" w:hAnsi="Times New Roman"/>
                <w:sz w:val="28"/>
                <w:lang w:eastAsia="es-MX"/>
              </w:rPr>
              <w:t>de valor y endilgar responsabilidad política alguna, finalidades propias del control político; por el contrario, su naturaleza es meramente informativa, conforme a lo previsto en el artículo 137 de la CP”</w:t>
            </w:r>
            <w:r w:rsidRPr="007C57D2">
              <w:rPr>
                <w:rStyle w:val="Refdenotaalpie"/>
                <w:rFonts w:ascii="Times New Roman" w:hAnsi="Times New Roman"/>
                <w:sz w:val="28"/>
                <w:lang w:eastAsia="es-MX"/>
              </w:rPr>
              <w:footnoteReference w:id="31"/>
            </w:r>
            <w:r w:rsidRPr="007C57D2">
              <w:rPr>
                <w:rFonts w:ascii="Times New Roman" w:hAnsi="Times New Roman"/>
                <w:sz w:val="28"/>
                <w:lang w:eastAsia="es-MX"/>
              </w:rPr>
              <w:t>.</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14</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Autorización</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ordinaria porque reconoce la competencia del Gobierno nacional para reglamentar el PLE y, en razón de la especialidad de la materia, determina el sector administrativo responsable de esa reglamentación.</w:t>
            </w:r>
          </w:p>
        </w:tc>
      </w:tr>
      <w:tr w:rsidR="00475CB8" w:rsidRPr="007C57D2" w:rsidTr="007C57D2">
        <w:tc>
          <w:tcPr>
            <w:tcW w:w="112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15</w:t>
            </w:r>
          </w:p>
        </w:tc>
        <w:tc>
          <w:tcPr>
            <w:tcW w:w="3119" w:type="dxa"/>
            <w:shd w:val="clear" w:color="auto" w:fill="auto"/>
            <w:vAlign w:val="center"/>
          </w:tcPr>
          <w:p w:rsidR="00475CB8" w:rsidRPr="007C57D2" w:rsidRDefault="007C57D2" w:rsidP="007C57D2">
            <w:pPr>
              <w:tabs>
                <w:tab w:val="left" w:pos="567"/>
              </w:tabs>
              <w:spacing w:after="0" w:line="240" w:lineRule="auto"/>
              <w:jc w:val="center"/>
              <w:rPr>
                <w:rFonts w:ascii="Times New Roman" w:hAnsi="Times New Roman"/>
                <w:sz w:val="28"/>
                <w:lang w:eastAsia="es-MX"/>
              </w:rPr>
            </w:pPr>
            <w:r w:rsidRPr="007C57D2">
              <w:rPr>
                <w:rFonts w:ascii="Times New Roman" w:hAnsi="Times New Roman"/>
                <w:sz w:val="28"/>
                <w:lang w:eastAsia="es-MX"/>
              </w:rPr>
              <w:t>Vigencia</w:t>
            </w:r>
          </w:p>
        </w:tc>
        <w:tc>
          <w:tcPr>
            <w:tcW w:w="4540" w:type="dxa"/>
            <w:shd w:val="clear" w:color="auto" w:fill="auto"/>
          </w:tcPr>
          <w:p w:rsidR="00475CB8" w:rsidRPr="007C57D2" w:rsidRDefault="007C57D2" w:rsidP="007C57D2">
            <w:pPr>
              <w:tabs>
                <w:tab w:val="left" w:pos="567"/>
              </w:tabs>
              <w:spacing w:after="0" w:line="240" w:lineRule="auto"/>
              <w:jc w:val="both"/>
              <w:rPr>
                <w:rFonts w:ascii="Times New Roman" w:hAnsi="Times New Roman"/>
                <w:sz w:val="28"/>
                <w:lang w:eastAsia="es-MX"/>
              </w:rPr>
            </w:pPr>
            <w:r w:rsidRPr="007C57D2">
              <w:rPr>
                <w:rFonts w:ascii="Times New Roman" w:hAnsi="Times New Roman"/>
                <w:b/>
                <w:bCs/>
                <w:sz w:val="28"/>
                <w:lang w:eastAsia="es-MX"/>
              </w:rPr>
              <w:t>Ordinaria</w:t>
            </w:r>
            <w:r w:rsidRPr="007C57D2">
              <w:rPr>
                <w:rFonts w:ascii="Times New Roman" w:hAnsi="Times New Roman"/>
                <w:b/>
                <w:bCs/>
                <w:sz w:val="28"/>
                <w:lang w:eastAsia="es-MX"/>
              </w:rPr>
              <w:t>.</w:t>
            </w:r>
            <w:r w:rsidRPr="007C57D2">
              <w:rPr>
                <w:rFonts w:ascii="Times New Roman" w:hAnsi="Times New Roman"/>
                <w:sz w:val="28"/>
                <w:lang w:eastAsia="es-MX"/>
              </w:rPr>
              <w:t xml:space="preserve"> Es una norma or</w:t>
            </w:r>
            <w:r w:rsidRPr="007C57D2">
              <w:rPr>
                <w:rFonts w:ascii="Times New Roman" w:hAnsi="Times New Roman"/>
                <w:sz w:val="28"/>
                <w:lang w:eastAsia="es-MX"/>
              </w:rPr>
              <w:t xml:space="preserve">dinaria porque contiene la </w:t>
            </w:r>
            <w:r w:rsidRPr="007C57D2">
              <w:rPr>
                <w:rFonts w:ascii="Times New Roman" w:hAnsi="Times New Roman"/>
                <w:iCs/>
                <w:sz w:val="28"/>
                <w:lang w:eastAsia="es-MX"/>
              </w:rPr>
              <w:t>fórmula habitual que expresa el momento a partir del cual, por lo general, las leyes entran en vigencia.</w:t>
            </w:r>
          </w:p>
        </w:tc>
      </w:tr>
    </w:tbl>
    <w:p w:rsidR="0092374B" w:rsidRPr="007C57D2" w:rsidRDefault="007C57D2" w:rsidP="008F3DAB">
      <w:pPr>
        <w:pStyle w:val="Prrafodelista"/>
        <w:tabs>
          <w:tab w:val="left" w:pos="567"/>
        </w:tabs>
        <w:ind w:left="360"/>
        <w:jc w:val="center"/>
        <w:rPr>
          <w:rFonts w:ascii="Times New Roman" w:eastAsia="Calibri" w:hAnsi="Times New Roman"/>
          <w:i/>
          <w:iCs/>
          <w:sz w:val="28"/>
          <w:lang w:eastAsia="en-US"/>
        </w:rPr>
      </w:pPr>
      <w:r w:rsidRPr="007C57D2">
        <w:rPr>
          <w:rFonts w:ascii="Times New Roman" w:eastAsia="Calibri" w:hAnsi="Times New Roman"/>
          <w:sz w:val="28"/>
          <w:lang w:eastAsia="en-US"/>
        </w:rPr>
        <w:t>Tabla 3.</w:t>
      </w:r>
      <w:r w:rsidRPr="007C57D2">
        <w:rPr>
          <w:rFonts w:ascii="Times New Roman" w:eastAsia="Calibri" w:hAnsi="Times New Roman"/>
          <w:i/>
          <w:iCs/>
          <w:sz w:val="28"/>
          <w:lang w:eastAsia="en-US"/>
        </w:rPr>
        <w:t xml:space="preserve"> </w:t>
      </w:r>
      <w:r w:rsidRPr="007C57D2">
        <w:rPr>
          <w:rFonts w:ascii="Times New Roman" w:eastAsia="Calibri" w:hAnsi="Times New Roman"/>
          <w:i/>
          <w:iCs/>
          <w:sz w:val="28"/>
          <w:lang w:eastAsia="en-US"/>
        </w:rPr>
        <w:t>Artículos del PLE que tienen naturaleza estatutaria y ordinaria.</w:t>
      </w:r>
    </w:p>
    <w:p w:rsidR="005B0B4E" w:rsidRPr="007C57D2" w:rsidRDefault="007C57D2" w:rsidP="008F3DAB">
      <w:pPr>
        <w:tabs>
          <w:tab w:val="left" w:pos="567"/>
        </w:tabs>
        <w:spacing w:after="0" w:line="240" w:lineRule="auto"/>
        <w:jc w:val="both"/>
        <w:rPr>
          <w:rFonts w:ascii="Times New Roman" w:hAnsi="Times New Roman"/>
          <w:sz w:val="28"/>
          <w:szCs w:val="28"/>
          <w:lang w:eastAsia="es-MX"/>
        </w:rPr>
      </w:pPr>
    </w:p>
    <w:p w:rsidR="00AF7F6A" w:rsidRPr="007C57D2" w:rsidRDefault="007C57D2" w:rsidP="008F3DAB">
      <w:pPr>
        <w:tabs>
          <w:tab w:val="left" w:pos="360"/>
        </w:tabs>
        <w:spacing w:after="0" w:line="240" w:lineRule="auto"/>
        <w:jc w:val="both"/>
        <w:rPr>
          <w:rFonts w:ascii="Times New Roman" w:hAnsi="Times New Roman"/>
          <w:b/>
          <w:bCs/>
          <w:sz w:val="28"/>
          <w:szCs w:val="28"/>
          <w:lang w:eastAsia="es-ES"/>
        </w:rPr>
      </w:pPr>
      <w:bookmarkStart w:id="14" w:name="_Toc222728027"/>
      <w:r w:rsidRPr="007C57D2">
        <w:rPr>
          <w:rStyle w:val="Ttulo2Car"/>
          <w:rFonts w:ascii="Times New Roman" w:hAnsi="Times New Roman"/>
          <w:b/>
          <w:bCs/>
          <w:color w:val="000000"/>
          <w:sz w:val="28"/>
          <w:szCs w:val="28"/>
        </w:rPr>
        <w:t xml:space="preserve">4. Cumplimiento de los requisitos de forma </w:t>
      </w:r>
      <w:r w:rsidRPr="007C57D2">
        <w:rPr>
          <w:rStyle w:val="Ttulo2Car"/>
          <w:rFonts w:ascii="Times New Roman" w:hAnsi="Times New Roman"/>
          <w:b/>
          <w:bCs/>
          <w:color w:val="000000"/>
          <w:sz w:val="28"/>
          <w:szCs w:val="28"/>
        </w:rPr>
        <w:t>durante el trámite legislativo</w:t>
      </w:r>
      <w:bookmarkEnd w:id="14"/>
      <w:r w:rsidRPr="007C57D2">
        <w:rPr>
          <w:rStyle w:val="Ttulo2Car"/>
          <w:rFonts w:ascii="Times New Roman" w:hAnsi="Times New Roman"/>
          <w:b/>
          <w:bCs/>
          <w:color w:val="000000"/>
          <w:sz w:val="28"/>
          <w:szCs w:val="28"/>
        </w:rPr>
        <w:t xml:space="preserve"> </w:t>
      </w:r>
      <w:r w:rsidRPr="007C57D2">
        <w:rPr>
          <w:rStyle w:val="Refdenotaalpie"/>
          <w:rFonts w:ascii="Times New Roman" w:hAnsi="Times New Roman"/>
          <w:b/>
          <w:bCs/>
          <w:sz w:val="28"/>
          <w:szCs w:val="28"/>
          <w:lang w:eastAsia="es-ES"/>
        </w:rPr>
        <w:footnoteReference w:id="32"/>
      </w:r>
    </w:p>
    <w:p w:rsidR="00AF7F6A"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Constitución, la Ley 5 de 1992 y la jurisprudencia establecen las siguientes </w:t>
      </w:r>
      <w:r w:rsidRPr="007C57D2">
        <w:rPr>
          <w:rFonts w:ascii="Times New Roman" w:hAnsi="Times New Roman"/>
          <w:sz w:val="28"/>
          <w:szCs w:val="28"/>
          <w:lang w:eastAsia="es-MX"/>
        </w:rPr>
        <w:t>tres</w:t>
      </w:r>
      <w:r w:rsidRPr="007C57D2">
        <w:rPr>
          <w:rFonts w:ascii="Times New Roman" w:hAnsi="Times New Roman"/>
          <w:sz w:val="28"/>
          <w:szCs w:val="28"/>
          <w:lang w:eastAsia="es-MX"/>
        </w:rPr>
        <w:t xml:space="preserve"> reglas especiales para la aprobación de proyectos de ley estatutaria</w:t>
      </w:r>
      <w:bookmarkStart w:id="15" w:name="_ftnref120"/>
      <w:r w:rsidRPr="007C57D2">
        <w:rPr>
          <w:rStyle w:val="Refdenotaalpie"/>
          <w:rFonts w:ascii="Times New Roman" w:hAnsi="Times New Roman"/>
          <w:sz w:val="28"/>
          <w:szCs w:val="28"/>
          <w:lang w:eastAsia="es-MX"/>
        </w:rPr>
        <w:footnoteReference w:id="33"/>
      </w:r>
      <w:bookmarkEnd w:id="15"/>
      <w:r w:rsidRPr="007C57D2">
        <w:rPr>
          <w:rFonts w:ascii="Times New Roman" w:hAnsi="Times New Roman"/>
          <w:sz w:val="28"/>
          <w:szCs w:val="28"/>
          <w:lang w:eastAsia="es-MX"/>
        </w:rPr>
        <w:t>: primera, se deben tramitar por el procedimiento legislativo ordina</w:t>
      </w:r>
      <w:r w:rsidRPr="007C57D2">
        <w:rPr>
          <w:rFonts w:ascii="Times New Roman" w:hAnsi="Times New Roman"/>
          <w:sz w:val="28"/>
          <w:szCs w:val="28"/>
          <w:lang w:eastAsia="es-MX"/>
        </w:rPr>
        <w:t>rio</w:t>
      </w:r>
      <w:bookmarkStart w:id="16" w:name="_ftnref121"/>
      <w:r w:rsidRPr="007C57D2">
        <w:rPr>
          <w:rStyle w:val="Refdenotaalpie"/>
          <w:rFonts w:ascii="Times New Roman" w:hAnsi="Times New Roman"/>
          <w:sz w:val="28"/>
          <w:szCs w:val="28"/>
          <w:lang w:eastAsia="es-MX"/>
        </w:rPr>
        <w:footnoteReference w:id="34"/>
      </w:r>
      <w:bookmarkEnd w:id="16"/>
      <w:r w:rsidRPr="007C57D2">
        <w:rPr>
          <w:rFonts w:ascii="Times New Roman" w:hAnsi="Times New Roman"/>
          <w:sz w:val="28"/>
          <w:szCs w:val="28"/>
          <w:lang w:eastAsia="es-MX"/>
        </w:rPr>
        <w:t>; segunda, su aprobación debe ser por mayoría absoluta</w:t>
      </w:r>
      <w:r w:rsidRPr="007C57D2">
        <w:rPr>
          <w:rStyle w:val="Refdenotaalpie"/>
          <w:rFonts w:ascii="Times New Roman" w:hAnsi="Times New Roman"/>
          <w:sz w:val="28"/>
          <w:szCs w:val="28"/>
          <w:lang w:eastAsia="es-MX"/>
        </w:rPr>
        <w:footnoteReference w:id="35"/>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y, </w:t>
      </w:r>
      <w:r w:rsidRPr="007C57D2">
        <w:rPr>
          <w:rFonts w:ascii="Times New Roman" w:hAnsi="Times New Roman"/>
          <w:sz w:val="28"/>
          <w:szCs w:val="28"/>
          <w:lang w:eastAsia="es-MX"/>
        </w:rPr>
        <w:t>tercera, deben aprobarse en una sola legislatura</w:t>
      </w:r>
      <w:r w:rsidRPr="007C57D2">
        <w:rPr>
          <w:rStyle w:val="Refdenotaalpie"/>
          <w:rFonts w:ascii="Times New Roman" w:hAnsi="Times New Roman"/>
          <w:sz w:val="28"/>
          <w:szCs w:val="28"/>
          <w:lang w:eastAsia="es-MX"/>
        </w:rPr>
        <w:footnoteReference w:id="36"/>
      </w:r>
      <w:r w:rsidRPr="007C57D2">
        <w:rPr>
          <w:rFonts w:ascii="Times New Roman" w:hAnsi="Times New Roman"/>
          <w:sz w:val="28"/>
          <w:szCs w:val="28"/>
          <w:lang w:eastAsia="es-MX"/>
        </w:rPr>
        <w:t>.</w:t>
      </w:r>
    </w:p>
    <w:p w:rsidR="00704AB8"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Respecto de la primera regla, los proyectos de ley estatutaria deberán cumplir los siguientes requisitos: (i) publicarse en la Gaceta del </w:t>
      </w:r>
      <w:r w:rsidRPr="007C57D2">
        <w:rPr>
          <w:rFonts w:ascii="Times New Roman" w:hAnsi="Times New Roman"/>
          <w:sz w:val="28"/>
          <w:szCs w:val="28"/>
          <w:lang w:eastAsia="es-MX"/>
        </w:rPr>
        <w:t>Congreso antes de darle curso en la comisión respectiva</w:t>
      </w:r>
      <w:r w:rsidRPr="007C57D2">
        <w:rPr>
          <w:rStyle w:val="Refdenotaalpie"/>
          <w:rFonts w:ascii="Times New Roman" w:hAnsi="Times New Roman"/>
          <w:sz w:val="28"/>
          <w:szCs w:val="28"/>
          <w:lang w:eastAsia="es-MX"/>
        </w:rPr>
        <w:footnoteReference w:id="37"/>
      </w:r>
      <w:r w:rsidRPr="007C57D2">
        <w:rPr>
          <w:rFonts w:ascii="Times New Roman" w:hAnsi="Times New Roman"/>
          <w:sz w:val="28"/>
          <w:szCs w:val="28"/>
          <w:lang w:eastAsia="es-MX"/>
        </w:rPr>
        <w:t>; (ii) iniciar su trámite en la comisión primera constitucional permanente de la cámara en la cual fue radicado</w:t>
      </w:r>
      <w:r w:rsidRPr="007C57D2">
        <w:rPr>
          <w:rStyle w:val="Refdenotaalpie"/>
          <w:rFonts w:ascii="Times New Roman" w:hAnsi="Times New Roman"/>
          <w:sz w:val="28"/>
          <w:szCs w:val="28"/>
          <w:lang w:eastAsia="es-MX"/>
        </w:rPr>
        <w:footnoteReference w:id="38"/>
      </w:r>
      <w:r w:rsidRPr="007C57D2">
        <w:rPr>
          <w:rFonts w:ascii="Times New Roman" w:hAnsi="Times New Roman"/>
          <w:sz w:val="28"/>
          <w:szCs w:val="28"/>
          <w:lang w:eastAsia="es-MX"/>
        </w:rPr>
        <w:t xml:space="preserve"> o de manera conjunta en las comisiones primeras de las dos cámaras, cuando el Gobierno </w:t>
      </w:r>
      <w:r w:rsidRPr="007C57D2">
        <w:rPr>
          <w:rFonts w:ascii="Times New Roman" w:hAnsi="Times New Roman"/>
          <w:sz w:val="28"/>
          <w:szCs w:val="28"/>
          <w:lang w:eastAsia="es-MX"/>
        </w:rPr>
        <w:t>nacional decrete el mensaje de urgencia</w:t>
      </w:r>
      <w:r w:rsidRPr="007C57D2">
        <w:rPr>
          <w:rStyle w:val="Refdenotaalpie"/>
          <w:rFonts w:ascii="Times New Roman" w:hAnsi="Times New Roman"/>
          <w:sz w:val="28"/>
          <w:szCs w:val="28"/>
          <w:lang w:eastAsia="es-MX"/>
        </w:rPr>
        <w:footnoteReference w:id="39"/>
      </w:r>
      <w:r w:rsidRPr="007C57D2">
        <w:rPr>
          <w:rFonts w:ascii="Times New Roman" w:hAnsi="Times New Roman"/>
          <w:sz w:val="28"/>
          <w:szCs w:val="28"/>
          <w:lang w:eastAsia="es-MX"/>
        </w:rPr>
        <w:t>; (iii) publicar los informes de ponencia antes de su discusión y aprobación, tanto en comisiones como en plenarias</w:t>
      </w:r>
      <w:r w:rsidRPr="007C57D2">
        <w:rPr>
          <w:rStyle w:val="Refdenotaalpie"/>
          <w:rFonts w:ascii="Times New Roman" w:hAnsi="Times New Roman"/>
          <w:sz w:val="28"/>
          <w:szCs w:val="28"/>
          <w:lang w:eastAsia="es-MX"/>
        </w:rPr>
        <w:footnoteReference w:id="40"/>
      </w:r>
      <w:r w:rsidRPr="007C57D2">
        <w:rPr>
          <w:rFonts w:ascii="Times New Roman" w:hAnsi="Times New Roman"/>
          <w:sz w:val="28"/>
          <w:szCs w:val="28"/>
          <w:lang w:eastAsia="es-MX"/>
        </w:rPr>
        <w:t>; (iv) haber sido anunciado en una sesión diferente a la de su deliberación y votación</w:t>
      </w:r>
      <w:r w:rsidRPr="007C57D2">
        <w:rPr>
          <w:rStyle w:val="Refdenotaalpie"/>
          <w:rFonts w:ascii="Times New Roman" w:hAnsi="Times New Roman"/>
          <w:sz w:val="28"/>
          <w:szCs w:val="28"/>
          <w:lang w:eastAsia="es-MX"/>
        </w:rPr>
        <w:footnoteReference w:id="41"/>
      </w:r>
      <w:r w:rsidRPr="007C57D2">
        <w:rPr>
          <w:rFonts w:ascii="Times New Roman" w:hAnsi="Times New Roman"/>
          <w:sz w:val="28"/>
          <w:szCs w:val="28"/>
          <w:lang w:eastAsia="es-MX"/>
        </w:rPr>
        <w:t>; (v) la vota</w:t>
      </w:r>
      <w:r w:rsidRPr="007C57D2">
        <w:rPr>
          <w:rFonts w:ascii="Times New Roman" w:hAnsi="Times New Roman"/>
          <w:sz w:val="28"/>
          <w:szCs w:val="28"/>
          <w:lang w:eastAsia="es-MX"/>
        </w:rPr>
        <w:t>ción debe cumplir las exigencias constitucionales de </w:t>
      </w:r>
      <w:r w:rsidRPr="007C57D2">
        <w:rPr>
          <w:rFonts w:ascii="Times New Roman" w:hAnsi="Times New Roman"/>
          <w:i/>
          <w:iCs/>
          <w:sz w:val="28"/>
          <w:szCs w:val="28"/>
          <w:lang w:eastAsia="es-MX"/>
        </w:rPr>
        <w:t>quorum</w:t>
      </w:r>
      <w:r w:rsidRPr="007C57D2">
        <w:rPr>
          <w:rStyle w:val="Refdenotaalpie"/>
          <w:rFonts w:ascii="Times New Roman" w:hAnsi="Times New Roman"/>
          <w:sz w:val="28"/>
          <w:szCs w:val="28"/>
          <w:lang w:eastAsia="es-MX"/>
        </w:rPr>
        <w:footnoteReference w:id="42"/>
      </w:r>
      <w:r w:rsidRPr="007C57D2">
        <w:rPr>
          <w:rFonts w:ascii="Times New Roman" w:hAnsi="Times New Roman"/>
          <w:i/>
          <w:iCs/>
          <w:sz w:val="28"/>
          <w:szCs w:val="28"/>
          <w:lang w:eastAsia="es-MX"/>
        </w:rPr>
        <w:t xml:space="preserve"> </w:t>
      </w:r>
      <w:r w:rsidRPr="007C57D2">
        <w:rPr>
          <w:rFonts w:ascii="Times New Roman" w:hAnsi="Times New Roman"/>
          <w:sz w:val="28"/>
          <w:szCs w:val="28"/>
          <w:lang w:eastAsia="es-MX"/>
        </w:rPr>
        <w:t>y (vi) ser nominal y pública, sin perjuicio de las excepciones que establezca la ley</w:t>
      </w:r>
      <w:r w:rsidRPr="007C57D2">
        <w:rPr>
          <w:rStyle w:val="Refdenotaalpie"/>
          <w:rFonts w:ascii="Times New Roman" w:hAnsi="Times New Roman"/>
          <w:sz w:val="28"/>
          <w:szCs w:val="28"/>
          <w:lang w:eastAsia="es-MX"/>
        </w:rPr>
        <w:footnoteReference w:id="43"/>
      </w:r>
      <w:r w:rsidRPr="007C57D2">
        <w:rPr>
          <w:rFonts w:ascii="Times New Roman" w:hAnsi="Times New Roman"/>
          <w:sz w:val="28"/>
          <w:szCs w:val="28"/>
          <w:lang w:eastAsia="es-MX"/>
        </w:rPr>
        <w:t>; y (vii) respetar los plazos mínimos entre el primer debate en comisiones y el segundo debate en plenarias (o</w:t>
      </w:r>
      <w:r w:rsidRPr="007C57D2">
        <w:rPr>
          <w:rFonts w:ascii="Times New Roman" w:hAnsi="Times New Roman"/>
          <w:sz w:val="28"/>
          <w:szCs w:val="28"/>
          <w:lang w:eastAsia="es-MX"/>
        </w:rPr>
        <w:t>cho días) y entre la aprobación del proyecto en una cámara y la iniciación del debate en la otra (quince días)</w:t>
      </w:r>
      <w:r w:rsidRPr="007C57D2">
        <w:rPr>
          <w:rStyle w:val="Refdenotaalpie"/>
          <w:rFonts w:ascii="Times New Roman" w:hAnsi="Times New Roman"/>
          <w:sz w:val="28"/>
          <w:szCs w:val="28"/>
          <w:lang w:eastAsia="es-MX"/>
        </w:rPr>
        <w:footnoteReference w:id="44"/>
      </w:r>
      <w:r w:rsidRPr="007C57D2">
        <w:rPr>
          <w:rFonts w:ascii="Times New Roman" w:hAnsi="Times New Roman"/>
          <w:sz w:val="28"/>
          <w:szCs w:val="28"/>
          <w:lang w:eastAsia="es-MX"/>
        </w:rPr>
        <w:t>, “salvo que el proyecto haya sido debatido en sesión conjunta de las comisiones constitucionales, en cuyo caso podrá presentarse la simultaneida</w:t>
      </w:r>
      <w:r w:rsidRPr="007C57D2">
        <w:rPr>
          <w:rFonts w:ascii="Times New Roman" w:hAnsi="Times New Roman"/>
          <w:sz w:val="28"/>
          <w:szCs w:val="28"/>
          <w:lang w:eastAsia="es-MX"/>
        </w:rPr>
        <w:t>d del segundo debate en cada una de las Cámaras”</w:t>
      </w:r>
      <w:r w:rsidRPr="007C57D2">
        <w:rPr>
          <w:rStyle w:val="Refdenotaalpie"/>
          <w:rFonts w:ascii="Times New Roman" w:hAnsi="Times New Roman"/>
          <w:sz w:val="28"/>
          <w:szCs w:val="28"/>
          <w:lang w:eastAsia="es-MX"/>
        </w:rPr>
        <w:footnoteReference w:id="45"/>
      </w:r>
      <w:r w:rsidRPr="007C57D2">
        <w:rPr>
          <w:rFonts w:ascii="Times New Roman" w:hAnsi="Times New Roman"/>
          <w:sz w:val="28"/>
          <w:szCs w:val="28"/>
          <w:lang w:eastAsia="es-MX"/>
        </w:rPr>
        <w:t>.</w:t>
      </w:r>
    </w:p>
    <w:p w:rsidR="00E176AF" w:rsidRPr="007C57D2" w:rsidRDefault="007C57D2" w:rsidP="008F3DAB">
      <w:pPr>
        <w:pStyle w:val="Prrafodelista"/>
        <w:tabs>
          <w:tab w:val="left" w:pos="567"/>
        </w:tabs>
        <w:ind w:left="0"/>
        <w:jc w:val="both"/>
        <w:rPr>
          <w:rFonts w:ascii="Times New Roman" w:hAnsi="Times New Roman"/>
          <w:sz w:val="28"/>
          <w:szCs w:val="28"/>
          <w:lang w:eastAsia="es-MX"/>
        </w:rPr>
      </w:pPr>
    </w:p>
    <w:p w:rsidR="00AF7F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Así mismo, en el trámite de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los proyectos de ley estatutaria se deberá (viii) designar una comisión de conciliación cuando existan discrepancias en los proyectos aprobados por la plenaria de cada cámara</w:t>
      </w:r>
      <w:r w:rsidRPr="007C57D2">
        <w:rPr>
          <w:rStyle w:val="Refdenotaalpie"/>
          <w:rFonts w:ascii="Times New Roman" w:hAnsi="Times New Roman"/>
          <w:sz w:val="28"/>
          <w:szCs w:val="28"/>
          <w:lang w:eastAsia="es-MX"/>
        </w:rPr>
        <w:footnoteReference w:id="46"/>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y publicar el texto conciliado en la Gaceta del Congreso</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“por lo menos con un día de anticipación” a su debate</w:t>
      </w:r>
      <w:r w:rsidRPr="007C57D2">
        <w:rPr>
          <w:rStyle w:val="Refdenotaalpie"/>
          <w:rFonts w:ascii="Times New Roman" w:hAnsi="Times New Roman"/>
          <w:sz w:val="28"/>
          <w:szCs w:val="28"/>
          <w:lang w:eastAsia="es-MX"/>
        </w:rPr>
        <w:footnoteReference w:id="47"/>
      </w:r>
      <w:r w:rsidRPr="007C57D2">
        <w:rPr>
          <w:rFonts w:ascii="Times New Roman" w:hAnsi="Times New Roman"/>
          <w:sz w:val="28"/>
          <w:szCs w:val="28"/>
          <w:lang w:eastAsia="es-MX"/>
        </w:rPr>
        <w:t xml:space="preserve"> y aprobación por mayoría absoluta; (ix) respetar los principios de unidad de materia, identidad flexible y consecutividad</w:t>
      </w:r>
      <w:r w:rsidRPr="007C57D2">
        <w:rPr>
          <w:rStyle w:val="Refdenotaalpie"/>
          <w:rFonts w:ascii="Times New Roman" w:hAnsi="Times New Roman"/>
          <w:sz w:val="28"/>
          <w:szCs w:val="28"/>
          <w:lang w:eastAsia="es-MX"/>
        </w:rPr>
        <w:footnoteReference w:id="48"/>
      </w:r>
      <w:r w:rsidRPr="007C57D2">
        <w:rPr>
          <w:rFonts w:ascii="Times New Roman" w:hAnsi="Times New Roman"/>
          <w:sz w:val="28"/>
          <w:szCs w:val="28"/>
          <w:lang w:eastAsia="es-MX"/>
        </w:rPr>
        <w:t xml:space="preserve">; (x) cumplir con el </w:t>
      </w:r>
      <w:r w:rsidRPr="007C57D2">
        <w:rPr>
          <w:rFonts w:ascii="Times New Roman" w:hAnsi="Times New Roman"/>
          <w:sz w:val="28"/>
          <w:szCs w:val="28"/>
          <w:lang w:eastAsia="es-MX"/>
        </w:rPr>
        <w:t>requisito de la consulta previa cuando el proyecto contenga medidas susceptibles de afectar directamente a las comunidades étnicas</w:t>
      </w:r>
      <w:r w:rsidRPr="007C57D2">
        <w:rPr>
          <w:rStyle w:val="Refdenotaalpie"/>
          <w:rFonts w:ascii="Times New Roman" w:hAnsi="Times New Roman"/>
          <w:sz w:val="28"/>
          <w:szCs w:val="28"/>
          <w:lang w:eastAsia="es-MX"/>
        </w:rPr>
        <w:footnoteReference w:id="49"/>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y </w:t>
      </w:r>
      <w:r w:rsidRPr="007C57D2">
        <w:rPr>
          <w:rFonts w:ascii="Times New Roman" w:hAnsi="Times New Roman"/>
          <w:sz w:val="28"/>
          <w:szCs w:val="28"/>
          <w:lang w:eastAsia="es-MX"/>
        </w:rPr>
        <w:t>(xi) cuando la iniciativa contenga normas que ordenen gasto o que otorguen beneficios tributarios, contar con el análisis</w:t>
      </w:r>
      <w:r w:rsidRPr="007C57D2">
        <w:rPr>
          <w:rFonts w:ascii="Times New Roman" w:hAnsi="Times New Roman"/>
          <w:sz w:val="28"/>
          <w:szCs w:val="28"/>
          <w:lang w:eastAsia="es-MX"/>
        </w:rPr>
        <w:t xml:space="preserve"> del impacto fiscal y el concepto respectivo del Ministerio de Hacienda y Crédito Público</w:t>
      </w:r>
      <w:r w:rsidRPr="007C57D2">
        <w:rPr>
          <w:rStyle w:val="Refdenotaalpie"/>
          <w:rFonts w:ascii="Times New Roman" w:hAnsi="Times New Roman"/>
          <w:sz w:val="28"/>
          <w:szCs w:val="28"/>
          <w:lang w:eastAsia="es-MX"/>
        </w:rPr>
        <w:footnoteReference w:id="50"/>
      </w:r>
      <w:r w:rsidRPr="007C57D2">
        <w:rPr>
          <w:rFonts w:ascii="Times New Roman" w:hAnsi="Times New Roman"/>
          <w:sz w:val="28"/>
          <w:szCs w:val="28"/>
          <w:lang w:eastAsia="es-MX"/>
        </w:rPr>
        <w:t>, cuyo contenido deberá ser estudiado y discutido por el Congreso de la República</w:t>
      </w:r>
      <w:r w:rsidRPr="007C57D2">
        <w:rPr>
          <w:rStyle w:val="Refdenotaalpie"/>
          <w:rFonts w:ascii="Times New Roman" w:hAnsi="Times New Roman"/>
          <w:sz w:val="28"/>
          <w:szCs w:val="28"/>
          <w:lang w:eastAsia="es-MX"/>
        </w:rPr>
        <w:footnoteReference w:id="51"/>
      </w:r>
      <w:r w:rsidRPr="007C57D2">
        <w:rPr>
          <w:rFonts w:ascii="Times New Roman" w:hAnsi="Times New Roman"/>
          <w:sz w:val="28"/>
          <w:szCs w:val="28"/>
          <w:lang w:eastAsia="es-MX"/>
        </w:rPr>
        <w:t>. Cabe precisar que algunos de estos vicios, como el desconocimiento del principio d</w:t>
      </w:r>
      <w:r w:rsidRPr="007C57D2">
        <w:rPr>
          <w:rFonts w:ascii="Times New Roman" w:hAnsi="Times New Roman"/>
          <w:sz w:val="28"/>
          <w:szCs w:val="28"/>
          <w:lang w:eastAsia="es-MX"/>
        </w:rPr>
        <w:t>e unidad de materia, tiene un impacto sustancial y no se encuentra sometido al término de caducidad dispuesto en el artículo 242 de la Carta.</w:t>
      </w:r>
    </w:p>
    <w:p w:rsidR="00AF7F6A" w:rsidRPr="007C57D2" w:rsidRDefault="007C57D2" w:rsidP="008F3DAB">
      <w:pPr>
        <w:pStyle w:val="Prrafodelista"/>
        <w:tabs>
          <w:tab w:val="left" w:pos="567"/>
        </w:tabs>
        <w:ind w:left="0"/>
        <w:jc w:val="both"/>
        <w:rPr>
          <w:rFonts w:ascii="Times New Roman" w:hAnsi="Times New Roman"/>
          <w:sz w:val="28"/>
          <w:szCs w:val="28"/>
          <w:lang w:eastAsia="es-MX"/>
        </w:rPr>
      </w:pPr>
    </w:p>
    <w:p w:rsidR="00030338"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Procede la Corte a verificar uno a uno los requisitos señalados en precedencia, siguiendo para el efecto el proce</w:t>
      </w:r>
      <w:r w:rsidRPr="007C57D2">
        <w:rPr>
          <w:rFonts w:ascii="Times New Roman" w:hAnsi="Times New Roman"/>
          <w:sz w:val="28"/>
          <w:szCs w:val="28"/>
          <w:lang w:eastAsia="es-MX"/>
        </w:rPr>
        <w:t xml:space="preserve">dimiento legislativo adelantado en la formación del </w:t>
      </w:r>
      <w:r w:rsidRPr="007C57D2">
        <w:rPr>
          <w:rFonts w:ascii="Times New Roman" w:hAnsi="Times New Roman"/>
          <w:sz w:val="28"/>
          <w:szCs w:val="28"/>
          <w:lang w:eastAsia="es-MX"/>
        </w:rPr>
        <w:t>PLE</w:t>
      </w:r>
      <w:r w:rsidRPr="007C57D2">
        <w:rPr>
          <w:rFonts w:ascii="Times New Roman" w:hAnsi="Times New Roman"/>
          <w:sz w:val="28"/>
          <w:szCs w:val="28"/>
          <w:lang w:eastAsia="es-MX"/>
        </w:rPr>
        <w:t>.</w:t>
      </w:r>
    </w:p>
    <w:p w:rsidR="00030338" w:rsidRPr="007C57D2" w:rsidRDefault="007C57D2" w:rsidP="008F3DAB">
      <w:pPr>
        <w:pStyle w:val="Prrafodelista"/>
        <w:tabs>
          <w:tab w:val="left" w:pos="567"/>
        </w:tabs>
        <w:ind w:left="0"/>
        <w:jc w:val="both"/>
        <w:rPr>
          <w:rFonts w:ascii="Times New Roman" w:hAnsi="Times New Roman"/>
          <w:sz w:val="28"/>
          <w:szCs w:val="28"/>
          <w:lang w:eastAsia="es-MX"/>
        </w:rPr>
      </w:pPr>
    </w:p>
    <w:p w:rsidR="004E3E5E"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4.1. Trámite en la Cámara de Representantes </w:t>
      </w:r>
    </w:p>
    <w:p w:rsidR="004E3E5E"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Iniciativa legislativa y publicación del PLE junto con su exposición de motivos en la Gaceta del Congreso</w:t>
      </w:r>
    </w:p>
    <w:p w:rsidR="004E3E5E"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bookmarkStart w:id="17" w:name="_Hlk215123436"/>
      <w:r w:rsidRPr="007C57D2">
        <w:rPr>
          <w:rFonts w:ascii="Times New Roman" w:hAnsi="Times New Roman"/>
          <w:sz w:val="28"/>
          <w:szCs w:val="28"/>
          <w:lang w:eastAsia="es-MX"/>
        </w:rPr>
        <w:t>El 4 de octubre de 2023</w:t>
      </w:r>
      <w:bookmarkEnd w:id="17"/>
      <w:r w:rsidRPr="007C57D2">
        <w:rPr>
          <w:rFonts w:ascii="Times New Roman" w:hAnsi="Times New Roman"/>
          <w:sz w:val="28"/>
          <w:szCs w:val="28"/>
          <w:lang w:eastAsia="es-MX"/>
        </w:rPr>
        <w:t xml:space="preserve">, el proyecto de ley </w:t>
      </w:r>
      <w:r w:rsidRPr="007C57D2">
        <w:rPr>
          <w:rFonts w:ascii="Times New Roman" w:hAnsi="Times New Roman"/>
          <w:sz w:val="28"/>
          <w:szCs w:val="28"/>
          <w:lang w:eastAsia="es-MX"/>
        </w:rPr>
        <w:t>estatutaria 266 de 2023 Cámara, “por medio de la cual se crea y se reglamenta Alerta Colombia Ley Sara Sofía y se dictan otras disposiciones”</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junto con</w:t>
      </w:r>
      <w:r w:rsidRPr="007C57D2">
        <w:rPr>
          <w:rFonts w:ascii="Times New Roman" w:hAnsi="Times New Roman"/>
          <w:sz w:val="28"/>
          <w:szCs w:val="28"/>
          <w:lang w:eastAsia="es-MX"/>
        </w:rPr>
        <w:t xml:space="preserve"> su exposición de motivos</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fue radicado en la Secretaría General de la Cámara de Representantes por</w:t>
      </w:r>
      <w:r w:rsidRPr="007C57D2">
        <w:rPr>
          <w:rFonts w:ascii="Times New Roman" w:hAnsi="Times New Roman"/>
          <w:sz w:val="28"/>
          <w:szCs w:val="28"/>
          <w:lang w:eastAsia="es-MX"/>
        </w:rPr>
        <w:t xml:space="preserve"> el s</w:t>
      </w:r>
      <w:r w:rsidRPr="007C57D2">
        <w:rPr>
          <w:rFonts w:ascii="Times New Roman" w:hAnsi="Times New Roman"/>
          <w:sz w:val="28"/>
          <w:szCs w:val="28"/>
          <w:lang w:eastAsia="es-MX"/>
        </w:rPr>
        <w:t>enador Alejandro Carlos Chacón Camargo, y</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los representantes Carlos Adolfo Ardila Espinosa, Gilma Díaz Arias, Flora Perdomo Andrade, Dolcey Oscar Torres Romero, Hugo Alfonso Archila Suárez, Wilmer Yesid Guerrero Avendaño, Álvaro Henry Monedero Rivera, Eliz</w:t>
      </w:r>
      <w:r w:rsidRPr="007C57D2">
        <w:rPr>
          <w:rFonts w:ascii="Times New Roman" w:hAnsi="Times New Roman"/>
          <w:sz w:val="28"/>
          <w:szCs w:val="28"/>
          <w:lang w:eastAsia="es-MX"/>
        </w:rPr>
        <w:t>abeth Jay-Pang Díaz y Olga Beatriz González Correa</w:t>
      </w:r>
      <w:r w:rsidRPr="007C57D2">
        <w:rPr>
          <w:rStyle w:val="Refdenotaalpie"/>
          <w:rFonts w:ascii="Times New Roman" w:hAnsi="Times New Roman"/>
          <w:sz w:val="28"/>
          <w:szCs w:val="28"/>
          <w:lang w:eastAsia="es-MX"/>
        </w:rPr>
        <w:footnoteReference w:id="52"/>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MX"/>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Conforme a lo dispuesto en e</w:t>
      </w:r>
      <w:r w:rsidRPr="007C57D2">
        <w:rPr>
          <w:rFonts w:ascii="Times New Roman" w:hAnsi="Times New Roman"/>
          <w:sz w:val="28"/>
          <w:szCs w:val="28"/>
          <w:lang w:val="es-ES" w:eastAsia="es-MX"/>
        </w:rPr>
        <w:t>l artículo 154 de la Constitución y en concordancia con el artículo 140.1 de la Ley 5 de 1992, los congresistas están facultados para presentar,</w:t>
      </w:r>
      <w:r w:rsidRPr="007C57D2">
        <w:rPr>
          <w:rFonts w:ascii="Times New Roman" w:hAnsi="Times New Roman"/>
          <w:sz w:val="28"/>
          <w:szCs w:val="28"/>
          <w:lang w:val="es-ES" w:eastAsia="es-MX"/>
        </w:rPr>
        <w:t xml:space="preserve"> </w:t>
      </w:r>
      <w:r w:rsidRPr="007C57D2">
        <w:rPr>
          <w:rFonts w:ascii="Times New Roman" w:hAnsi="Times New Roman"/>
          <w:sz w:val="28"/>
          <w:szCs w:val="28"/>
          <w:lang w:val="es-ES" w:eastAsia="es-MX"/>
        </w:rPr>
        <w:t>individualmente y a través d</w:t>
      </w:r>
      <w:r w:rsidRPr="007C57D2">
        <w:rPr>
          <w:rFonts w:ascii="Times New Roman" w:hAnsi="Times New Roman"/>
          <w:sz w:val="28"/>
          <w:szCs w:val="28"/>
          <w:lang w:val="es-ES" w:eastAsia="es-MX"/>
        </w:rPr>
        <w:t xml:space="preserve">e sus bancadas, iniciativas legislativas. En este caso, la Sala Plena constata que el </w:t>
      </w:r>
      <w:r w:rsidRPr="007C57D2">
        <w:rPr>
          <w:rFonts w:ascii="Times New Roman" w:hAnsi="Times New Roman"/>
          <w:sz w:val="28"/>
          <w:szCs w:val="28"/>
          <w:lang w:val="es-ES" w:eastAsia="es-MX"/>
        </w:rPr>
        <w:t>PLE</w:t>
      </w:r>
      <w:r w:rsidRPr="007C57D2">
        <w:rPr>
          <w:rFonts w:ascii="Times New Roman" w:hAnsi="Times New Roman"/>
          <w:sz w:val="28"/>
          <w:szCs w:val="28"/>
          <w:lang w:val="es-ES" w:eastAsia="es-MX"/>
        </w:rPr>
        <w:t xml:space="preserve"> fue presentado por diez congresistas y no aborda asuntos </w:t>
      </w:r>
      <w:r w:rsidRPr="007C57D2">
        <w:rPr>
          <w:rFonts w:ascii="Times New Roman" w:hAnsi="Times New Roman"/>
          <w:sz w:val="28"/>
          <w:szCs w:val="28"/>
          <w:lang w:val="es-ES" w:eastAsia="es-MX"/>
        </w:rPr>
        <w:t xml:space="preserve">cuya iniciativa está </w:t>
      </w:r>
      <w:r w:rsidRPr="007C57D2">
        <w:rPr>
          <w:rFonts w:ascii="Times New Roman" w:hAnsi="Times New Roman"/>
          <w:sz w:val="28"/>
          <w:szCs w:val="28"/>
          <w:lang w:val="es-ES" w:eastAsia="es-MX"/>
        </w:rPr>
        <w:t>reservad</w:t>
      </w:r>
      <w:r w:rsidRPr="007C57D2">
        <w:rPr>
          <w:rFonts w:ascii="Times New Roman" w:hAnsi="Times New Roman"/>
          <w:sz w:val="28"/>
          <w:szCs w:val="28"/>
          <w:lang w:val="es-ES" w:eastAsia="es-MX"/>
        </w:rPr>
        <w:t>a</w:t>
      </w:r>
      <w:r w:rsidRPr="007C57D2">
        <w:rPr>
          <w:rFonts w:ascii="Times New Roman" w:hAnsi="Times New Roman"/>
          <w:sz w:val="28"/>
          <w:szCs w:val="28"/>
          <w:lang w:val="es-ES" w:eastAsia="es-MX"/>
        </w:rPr>
        <w:t xml:space="preserve"> al Gobierno nacional</w:t>
      </w:r>
      <w:r w:rsidRPr="007C57D2">
        <w:rPr>
          <w:rStyle w:val="Refdenotaalpie"/>
          <w:rFonts w:ascii="Times New Roman" w:hAnsi="Times New Roman"/>
          <w:sz w:val="28"/>
          <w:szCs w:val="28"/>
          <w:lang w:val="es-ES" w:eastAsia="es-MX"/>
        </w:rPr>
        <w:footnoteReference w:id="53"/>
      </w:r>
      <w:r w:rsidRPr="007C57D2">
        <w:rPr>
          <w:rFonts w:ascii="Times New Roman" w:hAnsi="Times New Roman"/>
          <w:sz w:val="28"/>
          <w:szCs w:val="28"/>
          <w:lang w:val="es-ES" w:eastAsia="es-MX"/>
        </w:rPr>
        <w:t xml:space="preserve">, por lo que </w:t>
      </w:r>
      <w:r w:rsidRPr="007C57D2">
        <w:rPr>
          <w:rFonts w:ascii="Times New Roman" w:hAnsi="Times New Roman"/>
          <w:sz w:val="28"/>
          <w:szCs w:val="28"/>
          <w:lang w:val="es-ES" w:eastAsia="es-MX"/>
        </w:rPr>
        <w:t>su radicación</w:t>
      </w:r>
      <w:r w:rsidRPr="007C57D2">
        <w:rPr>
          <w:rFonts w:ascii="Times New Roman" w:hAnsi="Times New Roman"/>
          <w:sz w:val="28"/>
          <w:szCs w:val="28"/>
          <w:lang w:val="es-ES" w:eastAsia="es-MX"/>
        </w:rPr>
        <w:t xml:space="preserve"> resulta compatible con las disposiciones constitucionales y legales </w:t>
      </w:r>
      <w:r w:rsidRPr="007C57D2">
        <w:rPr>
          <w:rFonts w:ascii="Times New Roman" w:hAnsi="Times New Roman"/>
          <w:sz w:val="28"/>
          <w:szCs w:val="28"/>
          <w:lang w:val="es-ES" w:eastAsia="es-MX"/>
        </w:rPr>
        <w:t xml:space="preserve">que regulan </w:t>
      </w:r>
      <w:r w:rsidRPr="007C57D2">
        <w:rPr>
          <w:rFonts w:ascii="Times New Roman" w:hAnsi="Times New Roman"/>
          <w:sz w:val="28"/>
          <w:szCs w:val="28"/>
          <w:lang w:val="es-ES" w:eastAsia="es-MX"/>
        </w:rPr>
        <w:t xml:space="preserve">la materia. </w:t>
      </w:r>
    </w:p>
    <w:p w:rsidR="004E3E5E" w:rsidRPr="007C57D2" w:rsidRDefault="007C57D2" w:rsidP="008F3DAB">
      <w:pPr>
        <w:pStyle w:val="Prrafodelista"/>
        <w:rPr>
          <w:rFonts w:ascii="Times New Roman" w:hAnsi="Times New Roman"/>
          <w:sz w:val="28"/>
          <w:szCs w:val="28"/>
          <w:lang w:val="es-ES" w:eastAsia="es-MX"/>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val="es-ES" w:eastAsia="es-MX"/>
        </w:rPr>
        <w:t xml:space="preserve">Además, </w:t>
      </w:r>
      <w:r w:rsidRPr="007C57D2">
        <w:rPr>
          <w:rFonts w:ascii="Times New Roman" w:hAnsi="Times New Roman"/>
          <w:sz w:val="28"/>
          <w:szCs w:val="28"/>
          <w:lang w:eastAsia="es-MX"/>
        </w:rPr>
        <w:t xml:space="preserve">el </w:t>
      </w:r>
      <w:r w:rsidRPr="007C57D2">
        <w:rPr>
          <w:rFonts w:ascii="Times New Roman" w:hAnsi="Times New Roman"/>
          <w:sz w:val="28"/>
          <w:szCs w:val="28"/>
          <w:lang w:eastAsia="es-MX"/>
        </w:rPr>
        <w:t>PLE</w:t>
      </w:r>
      <w:r w:rsidRPr="007C57D2">
        <w:rPr>
          <w:rFonts w:ascii="Times New Roman" w:hAnsi="Times New Roman"/>
          <w:sz w:val="28"/>
          <w:szCs w:val="28"/>
          <w:lang w:eastAsia="es-MX"/>
        </w:rPr>
        <w:t xml:space="preserve"> y su exposición de motivos fueron debidamente publicados </w:t>
      </w:r>
      <w:bookmarkStart w:id="18" w:name="_Hlk215123460"/>
      <w:r w:rsidRPr="007C57D2">
        <w:rPr>
          <w:rFonts w:ascii="Times New Roman" w:hAnsi="Times New Roman"/>
          <w:sz w:val="28"/>
          <w:szCs w:val="28"/>
          <w:lang w:eastAsia="es-MX"/>
        </w:rPr>
        <w:t>en la Gaceta del Congreso n.º 1439 del 10 de octubre de 2023</w:t>
      </w:r>
      <w:r w:rsidRPr="007C57D2">
        <w:rPr>
          <w:rStyle w:val="Refdenotaalpie"/>
          <w:rFonts w:ascii="Times New Roman" w:hAnsi="Times New Roman"/>
          <w:sz w:val="28"/>
          <w:szCs w:val="28"/>
          <w:lang w:eastAsia="es-MX"/>
        </w:rPr>
        <w:footnoteReference w:id="54"/>
      </w:r>
      <w:r w:rsidRPr="007C57D2">
        <w:rPr>
          <w:rFonts w:ascii="Times New Roman" w:hAnsi="Times New Roman"/>
          <w:sz w:val="28"/>
          <w:szCs w:val="28"/>
          <w:lang w:eastAsia="es-MX"/>
        </w:rPr>
        <w:t xml:space="preserve">, </w:t>
      </w:r>
      <w:bookmarkEnd w:id="18"/>
      <w:r w:rsidRPr="007C57D2">
        <w:rPr>
          <w:rFonts w:ascii="Times New Roman" w:hAnsi="Times New Roman"/>
          <w:sz w:val="28"/>
          <w:szCs w:val="28"/>
          <w:lang w:eastAsia="es-MX"/>
        </w:rPr>
        <w:t xml:space="preserve">en cumplimiento de lo previsto en el artículo 157.1 de la Constitución y 144 de la Ley </w:t>
      </w:r>
      <w:r w:rsidRPr="007C57D2">
        <w:rPr>
          <w:rFonts w:ascii="Times New Roman" w:hAnsi="Times New Roman"/>
          <w:sz w:val="28"/>
          <w:szCs w:val="28"/>
          <w:lang w:val="es-ES" w:eastAsia="es-MX"/>
        </w:rPr>
        <w:t>5 de 1992. Por tanto, se entiende superada esta primera etapa del examen formal.</w:t>
      </w:r>
    </w:p>
    <w:p w:rsidR="000A4A35" w:rsidRPr="007C57D2" w:rsidRDefault="007C57D2" w:rsidP="008F3DAB">
      <w:pPr>
        <w:pStyle w:val="Prrafodelista"/>
        <w:tabs>
          <w:tab w:val="left" w:pos="567"/>
        </w:tabs>
        <w:ind w:left="0"/>
        <w:jc w:val="both"/>
        <w:rPr>
          <w:rFonts w:ascii="Times New Roman" w:hAnsi="Times New Roman"/>
          <w:sz w:val="28"/>
          <w:szCs w:val="28"/>
          <w:lang w:eastAsia="es-MX"/>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Asignación a la Comisión competente y designación del ponente</w:t>
      </w:r>
    </w:p>
    <w:p w:rsidR="004E3E5E" w:rsidRPr="007C57D2" w:rsidRDefault="007C57D2" w:rsidP="008F3DAB">
      <w:pPr>
        <w:pStyle w:val="Prrafodelista"/>
        <w:tabs>
          <w:tab w:val="left" w:pos="360"/>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En atención a la materia</w:t>
      </w:r>
      <w:r w:rsidRPr="007C57D2">
        <w:rPr>
          <w:rFonts w:ascii="Times New Roman" w:hAnsi="Times New Roman"/>
          <w:sz w:val="28"/>
          <w:szCs w:val="28"/>
          <w:lang w:eastAsia="es-MX"/>
        </w:rPr>
        <w:t xml:space="preserve"> objeto de regulación, el </w:t>
      </w:r>
      <w:r w:rsidRPr="007C57D2">
        <w:rPr>
          <w:rFonts w:ascii="Times New Roman" w:hAnsi="Times New Roman"/>
          <w:sz w:val="28"/>
          <w:szCs w:val="28"/>
          <w:lang w:eastAsia="es-MX"/>
        </w:rPr>
        <w:t xml:space="preserve">PLE </w:t>
      </w:r>
      <w:r w:rsidRPr="007C57D2">
        <w:rPr>
          <w:rFonts w:ascii="Times New Roman" w:hAnsi="Times New Roman"/>
          <w:sz w:val="28"/>
          <w:szCs w:val="28"/>
          <w:lang w:eastAsia="es-MX"/>
        </w:rPr>
        <w:t>fue remitido el 4 de octubre de 2023 por el presidente de la Cámara de Representantes a la Comisión Primera Constitucional Permanente de esa célula legislativa, donde fue recibido el 17 de octubre del mismo año</w:t>
      </w:r>
      <w:r w:rsidRPr="007C57D2">
        <w:rPr>
          <w:rStyle w:val="Refdenotaalpie"/>
          <w:rFonts w:ascii="Times New Roman" w:hAnsi="Times New Roman"/>
          <w:sz w:val="28"/>
          <w:szCs w:val="28"/>
          <w:lang w:eastAsia="es-MX"/>
        </w:rPr>
        <w:footnoteReference w:id="55"/>
      </w:r>
      <w:r w:rsidRPr="007C57D2">
        <w:rPr>
          <w:rFonts w:ascii="Times New Roman" w:hAnsi="Times New Roman"/>
          <w:sz w:val="28"/>
          <w:szCs w:val="28"/>
          <w:lang w:eastAsia="es-MX"/>
        </w:rPr>
        <w:t>.</w:t>
      </w:r>
    </w:p>
    <w:p w:rsidR="004E3E5E" w:rsidRPr="007C57D2" w:rsidRDefault="007C57D2" w:rsidP="008F3DAB">
      <w:pPr>
        <w:pStyle w:val="Prrafodelista"/>
        <w:tabs>
          <w:tab w:val="left" w:pos="567"/>
        </w:tabs>
        <w:ind w:left="0"/>
        <w:jc w:val="both"/>
        <w:rPr>
          <w:rFonts w:ascii="Times New Roman" w:hAnsi="Times New Roman"/>
          <w:sz w:val="28"/>
          <w:szCs w:val="28"/>
          <w:lang w:eastAsia="es-MX"/>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Conforme a</w:t>
      </w:r>
      <w:r w:rsidRPr="007C57D2">
        <w:rPr>
          <w:rFonts w:ascii="Times New Roman" w:hAnsi="Times New Roman"/>
          <w:sz w:val="28"/>
          <w:szCs w:val="28"/>
          <w:lang w:val="es-ES_tradnl" w:eastAsia="es-MX"/>
        </w:rPr>
        <w:t xml:space="preserve"> l</w:t>
      </w:r>
      <w:r w:rsidRPr="007C57D2">
        <w:rPr>
          <w:rFonts w:ascii="Times New Roman" w:hAnsi="Times New Roman"/>
          <w:sz w:val="28"/>
          <w:szCs w:val="28"/>
          <w:lang w:val="es-ES_tradnl" w:eastAsia="es-MX"/>
        </w:rPr>
        <w:t xml:space="preserve">o dispuesto en el artículo 2 de la Ley 3 de 1992, la comisión primera constitucional permanente de cada cámara es la encargada de </w:t>
      </w:r>
      <w:r w:rsidRPr="007C57D2">
        <w:rPr>
          <w:rFonts w:ascii="Times New Roman" w:hAnsi="Times New Roman"/>
          <w:sz w:val="28"/>
          <w:szCs w:val="28"/>
          <w:lang w:eastAsia="es-MX"/>
        </w:rPr>
        <w:t xml:space="preserve">dar primer debate a los proyectos de ley estatutaria. </w:t>
      </w:r>
      <w:r w:rsidRPr="007C57D2">
        <w:rPr>
          <w:rFonts w:ascii="Times New Roman" w:hAnsi="Times New Roman"/>
          <w:sz w:val="28"/>
          <w:szCs w:val="28"/>
          <w:lang w:eastAsia="es-MX"/>
        </w:rPr>
        <w:t>En consecuencia</w:t>
      </w:r>
      <w:r w:rsidRPr="007C57D2">
        <w:rPr>
          <w:rFonts w:ascii="Times New Roman" w:hAnsi="Times New Roman"/>
          <w:sz w:val="28"/>
          <w:szCs w:val="28"/>
          <w:lang w:eastAsia="es-MX"/>
        </w:rPr>
        <w:t>, la decisión de darle trámite</w:t>
      </w:r>
      <w:r w:rsidRPr="007C57D2">
        <w:rPr>
          <w:rFonts w:ascii="Times New Roman" w:hAnsi="Times New Roman"/>
          <w:sz w:val="28"/>
          <w:szCs w:val="28"/>
          <w:lang w:eastAsia="es-MX"/>
        </w:rPr>
        <w:t xml:space="preserve"> al PLE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en la </w:t>
      </w:r>
      <w:r w:rsidRPr="007C57D2">
        <w:rPr>
          <w:rFonts w:ascii="Times New Roman" w:hAnsi="Times New Roman"/>
          <w:sz w:val="28"/>
          <w:szCs w:val="28"/>
          <w:lang w:eastAsia="es-MX"/>
        </w:rPr>
        <w:t>Comisión</w:t>
      </w:r>
      <w:r w:rsidRPr="007C57D2">
        <w:rPr>
          <w:rFonts w:ascii="Times New Roman" w:hAnsi="Times New Roman"/>
          <w:sz w:val="28"/>
          <w:szCs w:val="28"/>
          <w:lang w:eastAsia="es-MX"/>
        </w:rPr>
        <w:t xml:space="preserve"> Primera</w:t>
      </w:r>
      <w:r w:rsidRPr="007C57D2">
        <w:rPr>
          <w:rFonts w:ascii="Times New Roman" w:hAnsi="Times New Roman"/>
          <w:sz w:val="28"/>
          <w:szCs w:val="28"/>
          <w:lang w:eastAsia="es-MX"/>
        </w:rPr>
        <w:t xml:space="preserve"> Constitucional Permanente de la Cámara de Representantes es compatible con lo previsto en dicha norma.</w:t>
      </w:r>
    </w:p>
    <w:p w:rsidR="004E3E5E" w:rsidRPr="007C57D2" w:rsidRDefault="007C57D2" w:rsidP="008F3DAB">
      <w:pPr>
        <w:pStyle w:val="Prrafodelista"/>
        <w:tabs>
          <w:tab w:val="left" w:pos="567"/>
        </w:tabs>
        <w:ind w:left="0"/>
        <w:jc w:val="both"/>
        <w:rPr>
          <w:rFonts w:ascii="Times New Roman" w:hAnsi="Times New Roman"/>
          <w:sz w:val="28"/>
          <w:szCs w:val="28"/>
          <w:lang w:eastAsia="es-MX"/>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MX"/>
        </w:rPr>
        <w:t>Posteriormente, la Mesa Directiva de la Comisión Primera Constitucional Permanente de la Cámara de Representantes, mediante Acta n.º</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14 del 18 </w:t>
      </w:r>
      <w:r w:rsidRPr="007C57D2">
        <w:rPr>
          <w:rFonts w:ascii="Times New Roman" w:hAnsi="Times New Roman"/>
          <w:sz w:val="28"/>
          <w:szCs w:val="28"/>
          <w:lang w:eastAsia="es-MX"/>
        </w:rPr>
        <w:t xml:space="preserve">de octubre de 2023, designó como ponente único del </w:t>
      </w:r>
      <w:r w:rsidRPr="007C57D2">
        <w:rPr>
          <w:rFonts w:ascii="Times New Roman" w:hAnsi="Times New Roman"/>
          <w:sz w:val="28"/>
          <w:szCs w:val="28"/>
          <w:lang w:eastAsia="es-MX"/>
        </w:rPr>
        <w:t>PLE</w:t>
      </w:r>
      <w:r w:rsidRPr="007C57D2">
        <w:rPr>
          <w:rFonts w:ascii="Times New Roman" w:hAnsi="Times New Roman"/>
          <w:sz w:val="28"/>
          <w:szCs w:val="28"/>
          <w:lang w:eastAsia="es-MX"/>
        </w:rPr>
        <w:t xml:space="preserve"> al representante Carlos Adolfo Ardila Espinosa</w:t>
      </w:r>
      <w:r w:rsidRPr="007C57D2">
        <w:rPr>
          <w:rStyle w:val="Refdenotaalpie"/>
          <w:rFonts w:ascii="Times New Roman" w:hAnsi="Times New Roman"/>
          <w:sz w:val="28"/>
          <w:szCs w:val="28"/>
          <w:lang w:eastAsia="es-MX"/>
        </w:rPr>
        <w:footnoteReference w:id="56"/>
      </w:r>
      <w:r w:rsidRPr="007C57D2">
        <w:rPr>
          <w:rFonts w:ascii="Times New Roman" w:hAnsi="Times New Roman"/>
          <w:sz w:val="28"/>
          <w:szCs w:val="28"/>
          <w:lang w:eastAsia="es-MX"/>
        </w:rPr>
        <w:t>. Con esta designación se cumplió lo dispuesto en el artículo 150 de la Ley 5 de 1992</w:t>
      </w:r>
      <w:r w:rsidRPr="007C57D2">
        <w:rPr>
          <w:rStyle w:val="Refdenotaalpie"/>
          <w:rFonts w:ascii="Times New Roman" w:hAnsi="Times New Roman"/>
          <w:sz w:val="28"/>
          <w:szCs w:val="28"/>
          <w:lang w:eastAsia="es-MX"/>
        </w:rPr>
        <w:footnoteReference w:id="57"/>
      </w:r>
      <w:r w:rsidRPr="007C57D2">
        <w:rPr>
          <w:rFonts w:ascii="Times New Roman" w:hAnsi="Times New Roman"/>
          <w:sz w:val="28"/>
          <w:szCs w:val="28"/>
          <w:lang w:eastAsia="es-MX"/>
        </w:rPr>
        <w:t xml:space="preserve">. </w:t>
      </w:r>
    </w:p>
    <w:p w:rsidR="004E3E5E" w:rsidRPr="007C57D2" w:rsidRDefault="007C57D2" w:rsidP="008F3DAB">
      <w:pPr>
        <w:pStyle w:val="Prrafodelista"/>
        <w:tabs>
          <w:tab w:val="left" w:pos="360"/>
        </w:tabs>
        <w:ind w:left="0"/>
        <w:jc w:val="both"/>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Publicación del informe de ponencia para primer debate y anuncio</w:t>
      </w:r>
      <w:r w:rsidRPr="007C57D2">
        <w:rPr>
          <w:rFonts w:ascii="Times New Roman" w:hAnsi="Times New Roman"/>
          <w:b/>
          <w:bCs/>
          <w:sz w:val="28"/>
          <w:szCs w:val="28"/>
          <w:shd w:val="clear" w:color="auto" w:fill="FFFFFF"/>
        </w:rPr>
        <w:t xml:space="preserve"> previo a la discusión y votación</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val="es-ES" w:eastAsia="es-ES"/>
        </w:rPr>
        <w:t>Publicación.</w:t>
      </w:r>
      <w:r w:rsidRPr="007C57D2">
        <w:rPr>
          <w:rFonts w:ascii="Times New Roman" w:hAnsi="Times New Roman"/>
          <w:sz w:val="28"/>
          <w:szCs w:val="28"/>
          <w:lang w:val="es-ES" w:eastAsia="es-ES"/>
        </w:rPr>
        <w:t xml:space="preserve"> E</w:t>
      </w:r>
      <w:r w:rsidRPr="007C57D2">
        <w:rPr>
          <w:rFonts w:ascii="Times New Roman" w:hAnsi="Times New Roman"/>
          <w:sz w:val="28"/>
          <w:szCs w:val="28"/>
          <w:lang w:eastAsia="es-ES"/>
        </w:rPr>
        <w:t>l artículo 157.1 de la Constitución dispone que ningún proyecto será ley sin “[h]aber sido publicado oficialmente por el Congreso, antes de darle curso en la comisión respectiva”. A su vez, el artículo 160 e</w:t>
      </w:r>
      <w:r w:rsidRPr="007C57D2">
        <w:rPr>
          <w:rFonts w:ascii="Times New Roman" w:hAnsi="Times New Roman"/>
          <w:sz w:val="28"/>
          <w:szCs w:val="28"/>
          <w:lang w:eastAsia="es-ES"/>
        </w:rPr>
        <w:t>stablece que “</w:t>
      </w:r>
      <w:r w:rsidRPr="007C57D2">
        <w:rPr>
          <w:rFonts w:ascii="Times New Roman" w:hAnsi="Times New Roman"/>
          <w:sz w:val="28"/>
          <w:szCs w:val="28"/>
          <w:lang w:val="es-ES" w:eastAsia="es-ES"/>
        </w:rPr>
        <w:t>[t]odo Proyecto de Ley o de Acto Legislativo deberá tener informe de ponencia en la respectiva comisión encargada de tramitarlo, y deberá dársele el curso correspondiente”</w:t>
      </w:r>
      <w:r w:rsidRPr="007C57D2">
        <w:rPr>
          <w:rFonts w:ascii="Times New Roman" w:hAnsi="Times New Roman"/>
          <w:sz w:val="28"/>
          <w:szCs w:val="28"/>
          <w:lang w:eastAsia="es-ES"/>
        </w:rPr>
        <w:t xml:space="preserve"> Por su parte, </w:t>
      </w:r>
      <w:r w:rsidRPr="007C57D2">
        <w:rPr>
          <w:rFonts w:ascii="Times New Roman" w:hAnsi="Times New Roman"/>
          <w:sz w:val="28"/>
          <w:szCs w:val="28"/>
          <w:lang w:val="es-ES" w:eastAsia="es-ES"/>
        </w:rPr>
        <w:t>la Ley 5 de 1992, en sus artículos 156 y 157 para el cas</w:t>
      </w:r>
      <w:r w:rsidRPr="007C57D2">
        <w:rPr>
          <w:rFonts w:ascii="Times New Roman" w:hAnsi="Times New Roman"/>
          <w:sz w:val="28"/>
          <w:szCs w:val="28"/>
          <w:lang w:val="es-ES" w:eastAsia="es-ES"/>
        </w:rPr>
        <w:t>o de las comisiones y 174 y 175 para las plenarias, prevé que el informe de ponencia sea presentado y publicado para que la iniciativa pueda ser considerada.</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En el Auto 705 de 2024, la Corte sostuvo que, </w:t>
      </w:r>
      <w:r w:rsidRPr="007C57D2">
        <w:rPr>
          <w:rFonts w:ascii="Times New Roman" w:hAnsi="Times New Roman"/>
          <w:sz w:val="28"/>
          <w:szCs w:val="28"/>
          <w:lang w:val="es-ES" w:eastAsia="es-ES"/>
        </w:rPr>
        <w:t xml:space="preserve">en aplicación del principio de instrumentalidad de </w:t>
      </w:r>
      <w:r w:rsidRPr="007C57D2">
        <w:rPr>
          <w:rFonts w:ascii="Times New Roman" w:hAnsi="Times New Roman"/>
          <w:sz w:val="28"/>
          <w:szCs w:val="28"/>
          <w:lang w:val="es-ES" w:eastAsia="es-ES"/>
        </w:rPr>
        <w:t xml:space="preserve">las formas, el Congreso de la República puede acudir a medios alternativos de publicidad. Esta posibilidad goza de validez si </w:t>
      </w:r>
      <w:r w:rsidRPr="007C57D2">
        <w:rPr>
          <w:rFonts w:ascii="Times New Roman" w:hAnsi="Times New Roman"/>
          <w:sz w:val="28"/>
          <w:szCs w:val="28"/>
          <w:lang w:eastAsia="es-ES"/>
        </w:rPr>
        <w:t>“se demuestra que los destinatarios de la información han sido previamente advertidos o enterados de que no se acude al medio ordi</w:t>
      </w:r>
      <w:r w:rsidRPr="007C57D2">
        <w:rPr>
          <w:rFonts w:ascii="Times New Roman" w:hAnsi="Times New Roman"/>
          <w:sz w:val="28"/>
          <w:szCs w:val="28"/>
          <w:lang w:eastAsia="es-ES"/>
        </w:rPr>
        <w:t>nario de publicidad, sino que, se recurre a otro mecanismo y se indica claramente dónde y en qué condiciones se puede acceder a la información”. De acuerdo con el citado auto, son medios alternativos los siguientes: la lectura oral, “la reproducción del do</w:t>
      </w:r>
      <w:r w:rsidRPr="007C57D2">
        <w:rPr>
          <w:rFonts w:ascii="Times New Roman" w:hAnsi="Times New Roman"/>
          <w:sz w:val="28"/>
          <w:szCs w:val="28"/>
          <w:lang w:eastAsia="es-ES"/>
        </w:rPr>
        <w:t>cumento por cualquier medio mecánico, para distribuirlo entre los miembros de la comisión</w:t>
      </w:r>
      <w:r w:rsidRPr="007C57D2">
        <w:rPr>
          <w:rStyle w:val="Refdenotaalpie"/>
          <w:rFonts w:ascii="Times New Roman" w:hAnsi="Times New Roman"/>
          <w:sz w:val="28"/>
          <w:szCs w:val="28"/>
          <w:lang w:eastAsia="es-ES"/>
        </w:rPr>
        <w:footnoteReference w:id="58"/>
      </w:r>
      <w:r w:rsidRPr="007C57D2">
        <w:rPr>
          <w:rFonts w:ascii="Times New Roman" w:hAnsi="Times New Roman"/>
          <w:sz w:val="28"/>
          <w:szCs w:val="28"/>
          <w:lang w:eastAsia="es-ES"/>
        </w:rPr>
        <w:t>, y la explicación oral con un alto grado de especificidad.</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En cumplimiento de lo previsto en el artículo 160 de la Constitución y en los artículos 156 y 157 de la L</w:t>
      </w:r>
      <w:r w:rsidRPr="007C57D2">
        <w:rPr>
          <w:rFonts w:ascii="Times New Roman" w:hAnsi="Times New Roman"/>
          <w:sz w:val="28"/>
          <w:szCs w:val="28"/>
          <w:lang w:eastAsia="es-ES"/>
        </w:rPr>
        <w:t xml:space="preserve">ey 5 de 1992, </w:t>
      </w:r>
      <w:r w:rsidRPr="007C57D2">
        <w:rPr>
          <w:rFonts w:ascii="Times New Roman" w:hAnsi="Times New Roman"/>
          <w:sz w:val="28"/>
          <w:szCs w:val="28"/>
          <w:lang w:eastAsia="es-ES"/>
        </w:rPr>
        <w:t xml:space="preserve">el 25 de octubre de 2023, </w:t>
      </w:r>
      <w:r w:rsidRPr="007C57D2">
        <w:rPr>
          <w:rFonts w:ascii="Times New Roman" w:hAnsi="Times New Roman"/>
          <w:sz w:val="28"/>
          <w:szCs w:val="28"/>
          <w:lang w:eastAsia="es-ES"/>
        </w:rPr>
        <w:t>el ponente designado presentó el informe de ponencia para primer debate del PLE ante la Comisión Primera Constitucional Permanente de la Cámara de Representantes</w:t>
      </w:r>
      <w:r w:rsidRPr="007C57D2">
        <w:rPr>
          <w:rStyle w:val="Refdenotaalpie"/>
          <w:rFonts w:ascii="Times New Roman" w:hAnsi="Times New Roman"/>
          <w:sz w:val="28"/>
          <w:szCs w:val="28"/>
          <w:lang w:eastAsia="es-ES"/>
        </w:rPr>
        <w:footnoteReference w:id="59"/>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Dicho</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informe </w:t>
      </w:r>
      <w:r w:rsidRPr="007C57D2">
        <w:rPr>
          <w:rFonts w:ascii="Times New Roman" w:hAnsi="Times New Roman"/>
          <w:sz w:val="28"/>
          <w:szCs w:val="28"/>
          <w:lang w:eastAsia="es-ES"/>
        </w:rPr>
        <w:t>contiene</w:t>
      </w:r>
      <w:r w:rsidRPr="007C57D2">
        <w:rPr>
          <w:rFonts w:ascii="Times New Roman" w:hAnsi="Times New Roman"/>
          <w:sz w:val="28"/>
          <w:szCs w:val="28"/>
          <w:lang w:eastAsia="es-ES"/>
        </w:rPr>
        <w:t xml:space="preserve"> e</w:t>
      </w:r>
      <w:r w:rsidRPr="007C57D2">
        <w:rPr>
          <w:rFonts w:ascii="Times New Roman" w:hAnsi="Times New Roman"/>
          <w:sz w:val="28"/>
          <w:szCs w:val="28"/>
          <w:lang w:eastAsia="es-ES"/>
        </w:rPr>
        <w:t xml:space="preserve">l objeto de la iniciativa, </w:t>
      </w:r>
      <w:r w:rsidRPr="007C57D2">
        <w:rPr>
          <w:rFonts w:ascii="Times New Roman" w:hAnsi="Times New Roman"/>
          <w:sz w:val="28"/>
          <w:szCs w:val="28"/>
          <w:lang w:eastAsia="es-ES"/>
        </w:rPr>
        <w:t xml:space="preserve">su trámite, justificación, proposición y </w:t>
      </w:r>
      <w:r w:rsidRPr="007C57D2">
        <w:rPr>
          <w:rFonts w:ascii="Times New Roman" w:hAnsi="Times New Roman"/>
          <w:bCs/>
          <w:sz w:val="28"/>
          <w:szCs w:val="28"/>
        </w:rPr>
        <w:t xml:space="preserve">otros aspectos. </w:t>
      </w:r>
      <w:r w:rsidRPr="007C57D2">
        <w:rPr>
          <w:rFonts w:ascii="Times New Roman" w:hAnsi="Times New Roman"/>
          <w:bCs/>
          <w:sz w:val="28"/>
          <w:szCs w:val="28"/>
        </w:rPr>
        <w:t>El informe f</w:t>
      </w:r>
      <w:r w:rsidRPr="007C57D2">
        <w:rPr>
          <w:rFonts w:ascii="Times New Roman" w:hAnsi="Times New Roman"/>
          <w:bCs/>
          <w:sz w:val="28"/>
          <w:szCs w:val="28"/>
        </w:rPr>
        <w:t xml:space="preserve">ue publicado </w:t>
      </w:r>
      <w:r w:rsidRPr="007C57D2">
        <w:rPr>
          <w:rFonts w:ascii="Times New Roman" w:hAnsi="Times New Roman"/>
          <w:sz w:val="28"/>
          <w:szCs w:val="28"/>
          <w:lang w:eastAsia="es-ES"/>
        </w:rPr>
        <w:t xml:space="preserve">en la Gaceta del Congreso </w:t>
      </w:r>
      <w:r w:rsidRPr="007C57D2">
        <w:rPr>
          <w:rFonts w:ascii="Times New Roman" w:hAnsi="Times New Roman"/>
          <w:sz w:val="28"/>
          <w:szCs w:val="28"/>
          <w:lang w:eastAsia="es-MX"/>
        </w:rPr>
        <w:t>n.º 1495 del 26 de octubre de 2023</w:t>
      </w:r>
      <w:r w:rsidRPr="007C57D2">
        <w:rPr>
          <w:rStyle w:val="Refdenotaalpie"/>
          <w:rFonts w:ascii="Times New Roman" w:hAnsi="Times New Roman"/>
          <w:sz w:val="28"/>
          <w:szCs w:val="28"/>
          <w:lang w:eastAsia="es-MX"/>
        </w:rPr>
        <w:footnoteReference w:id="60"/>
      </w:r>
      <w:r w:rsidRPr="007C57D2">
        <w:rPr>
          <w:rFonts w:ascii="Times New Roman" w:hAnsi="Times New Roman"/>
          <w:sz w:val="28"/>
          <w:szCs w:val="28"/>
          <w:lang w:eastAsia="es-MX"/>
        </w:rPr>
        <w:t>, con lo cual</w:t>
      </w:r>
      <w:r w:rsidRPr="007C57D2">
        <w:rPr>
          <w:rFonts w:ascii="Times New Roman" w:hAnsi="Times New Roman"/>
          <w:sz w:val="28"/>
          <w:szCs w:val="28"/>
          <w:lang w:eastAsia="es-ES"/>
        </w:rPr>
        <w:t xml:space="preserve"> se entiende </w:t>
      </w:r>
      <w:r w:rsidRPr="007C57D2">
        <w:rPr>
          <w:rFonts w:ascii="Times New Roman" w:hAnsi="Times New Roman"/>
          <w:sz w:val="28"/>
          <w:szCs w:val="28"/>
          <w:lang w:eastAsia="es-ES"/>
        </w:rPr>
        <w:t xml:space="preserve">cumplido </w:t>
      </w:r>
      <w:r w:rsidRPr="007C57D2">
        <w:rPr>
          <w:rFonts w:ascii="Times New Roman" w:hAnsi="Times New Roman"/>
          <w:sz w:val="28"/>
          <w:szCs w:val="28"/>
          <w:lang w:eastAsia="es-ES"/>
        </w:rPr>
        <w:t xml:space="preserve">el requisito de publicidad antes de su trámite en </w:t>
      </w:r>
      <w:r w:rsidRPr="007C57D2">
        <w:rPr>
          <w:rFonts w:ascii="Times New Roman" w:hAnsi="Times New Roman"/>
          <w:sz w:val="28"/>
          <w:szCs w:val="28"/>
          <w:lang w:eastAsia="es-ES"/>
        </w:rPr>
        <w:t xml:space="preserve">la Comisión </w:t>
      </w:r>
      <w:r w:rsidRPr="007C57D2">
        <w:rPr>
          <w:rFonts w:ascii="Times New Roman" w:hAnsi="Times New Roman"/>
          <w:sz w:val="28"/>
          <w:szCs w:val="28"/>
          <w:lang w:eastAsia="es-MX"/>
        </w:rPr>
        <w:t>Primera Constitu</w:t>
      </w:r>
      <w:r w:rsidRPr="007C57D2">
        <w:rPr>
          <w:rFonts w:ascii="Times New Roman" w:hAnsi="Times New Roman"/>
          <w:sz w:val="28"/>
          <w:szCs w:val="28"/>
          <w:lang w:eastAsia="es-MX"/>
        </w:rPr>
        <w:t>cional Permanente de la Cámara de Representantes</w:t>
      </w:r>
      <w:r w:rsidRPr="007C57D2">
        <w:rPr>
          <w:rFonts w:ascii="Times New Roman" w:hAnsi="Times New Roman"/>
          <w:sz w:val="28"/>
          <w:szCs w:val="28"/>
          <w:lang w:eastAsia="es-ES"/>
        </w:rPr>
        <w:t>.</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Anuncio previo.</w:t>
      </w:r>
      <w:r w:rsidRPr="007C57D2">
        <w:rPr>
          <w:rFonts w:ascii="Times New Roman" w:hAnsi="Times New Roman"/>
          <w:sz w:val="28"/>
          <w:szCs w:val="28"/>
          <w:lang w:eastAsia="es-ES"/>
        </w:rPr>
        <w:t xml:space="preserve"> El </w:t>
      </w:r>
      <w:r w:rsidRPr="007C57D2">
        <w:rPr>
          <w:rFonts w:ascii="Times New Roman" w:hAnsi="Times New Roman"/>
          <w:sz w:val="28"/>
          <w:szCs w:val="28"/>
          <w:lang w:val="es-ES" w:eastAsia="es-ES"/>
        </w:rPr>
        <w:t xml:space="preserve">inciso final del artículo 160 de la Constitución establece que ningún proyecto de ley podrá ser sometido a votación sin que previamente se haya anunciado. La jurisprudencia ha señalado </w:t>
      </w:r>
      <w:r w:rsidRPr="007C57D2">
        <w:rPr>
          <w:rFonts w:ascii="Times New Roman" w:hAnsi="Times New Roman"/>
          <w:sz w:val="28"/>
          <w:szCs w:val="28"/>
          <w:lang w:val="es-ES" w:eastAsia="es-ES"/>
        </w:rPr>
        <w:t>que</w:t>
      </w:r>
      <w:r w:rsidRPr="007C57D2">
        <w:rPr>
          <w:rFonts w:ascii="Times New Roman" w:eastAsia="Calibri" w:hAnsi="Times New Roman"/>
          <w:sz w:val="28"/>
          <w:szCs w:val="28"/>
          <w:lang w:eastAsia="en-US"/>
        </w:rPr>
        <w:t xml:space="preserve"> </w:t>
      </w:r>
      <w:r w:rsidRPr="007C57D2">
        <w:rPr>
          <w:rFonts w:ascii="Times New Roman" w:hAnsi="Times New Roman"/>
          <w:sz w:val="28"/>
          <w:szCs w:val="28"/>
          <w:lang w:eastAsia="es-ES"/>
        </w:rPr>
        <w:t>la exigencia constitucional del anuncio previo a la discusión y votación debe reunir las siguientes características: “(i) debe ser efectuado en una sesión distinta y anterior a aquella en la cual se realizará la votación; (ii) la fecha de esa sesión de</w:t>
      </w:r>
      <w:r w:rsidRPr="007C57D2">
        <w:rPr>
          <w:rFonts w:ascii="Times New Roman" w:hAnsi="Times New Roman"/>
          <w:sz w:val="28"/>
          <w:szCs w:val="28"/>
          <w:lang w:eastAsia="es-ES"/>
        </w:rPr>
        <w:t>be ser cierta y determinada o, por lo menos, determinable, y (iii) el proyecto de ley no puede votarse en una sesión distinta a aquella para la cual fue anunciado”</w:t>
      </w:r>
      <w:r w:rsidRPr="007C57D2">
        <w:rPr>
          <w:rStyle w:val="Refdenotaalpie"/>
          <w:rFonts w:ascii="Times New Roman" w:hAnsi="Times New Roman"/>
          <w:sz w:val="28"/>
          <w:szCs w:val="28"/>
          <w:lang w:eastAsia="es-ES"/>
        </w:rPr>
        <w:footnoteReference w:id="61"/>
      </w:r>
      <w:r w:rsidRPr="007C57D2">
        <w:rPr>
          <w:rFonts w:ascii="Times New Roman" w:hAnsi="Times New Roman"/>
          <w:sz w:val="28"/>
          <w:szCs w:val="28"/>
          <w:lang w:eastAsia="es-ES"/>
        </w:rPr>
        <w:t>.</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Este requisito tiene como finalidad asegurar los principios constitucionales de publicida</w:t>
      </w:r>
      <w:r w:rsidRPr="007C57D2">
        <w:rPr>
          <w:rFonts w:ascii="Times New Roman" w:hAnsi="Times New Roman"/>
          <w:sz w:val="28"/>
          <w:szCs w:val="28"/>
          <w:lang w:eastAsia="es-ES"/>
        </w:rPr>
        <w:t xml:space="preserve">d y transparencia, la adecuada formación de la voluntad del legislador, la participación democrática, las garantías para la oposición y el ejercicio de los derechos políticos de la ciudadanía en el marco del procedimiento legislativo. El anuncio previo en </w:t>
      </w:r>
      <w:r w:rsidRPr="007C57D2">
        <w:rPr>
          <w:rFonts w:ascii="Times New Roman" w:hAnsi="Times New Roman"/>
          <w:sz w:val="28"/>
          <w:szCs w:val="28"/>
          <w:lang w:eastAsia="es-ES"/>
        </w:rPr>
        <w:t>sesión distinta</w:t>
      </w:r>
      <w:r w:rsidRPr="007C57D2">
        <w:rPr>
          <w:rFonts w:ascii="Times New Roman" w:hAnsi="Times New Roman"/>
          <w:sz w:val="28"/>
          <w:szCs w:val="28"/>
          <w:lang w:eastAsia="es-ES"/>
        </w:rPr>
        <w:t xml:space="preserve"> a aquella en que </w:t>
      </w:r>
      <w:r w:rsidRPr="007C57D2">
        <w:rPr>
          <w:rFonts w:ascii="Times New Roman" w:hAnsi="Times New Roman"/>
          <w:sz w:val="28"/>
          <w:szCs w:val="28"/>
          <w:lang w:eastAsia="es-ES"/>
        </w:rPr>
        <w:t>los proyectos que serán discutidos impide que las decisiones legislativas se adopten de manera sorpresiva y permite que tanto los congresistas como la ciudadanía conozcan anticipadamente los temas sometidos a debate. En con</w:t>
      </w:r>
      <w:r w:rsidRPr="007C57D2">
        <w:rPr>
          <w:rFonts w:ascii="Times New Roman" w:hAnsi="Times New Roman"/>
          <w:sz w:val="28"/>
          <w:szCs w:val="28"/>
          <w:lang w:eastAsia="es-ES"/>
        </w:rPr>
        <w:t xml:space="preserve">secuencia, constituye una etapa esencial para la construcción de la voluntad democrática del legislador y para hacer efectiva la participación </w:t>
      </w:r>
      <w:r w:rsidRPr="007C57D2">
        <w:rPr>
          <w:rFonts w:ascii="Times New Roman" w:hAnsi="Times New Roman"/>
          <w:sz w:val="28"/>
          <w:szCs w:val="28"/>
          <w:lang w:eastAsia="es-ES"/>
        </w:rPr>
        <w:t>y la</w:t>
      </w:r>
      <w:r w:rsidRPr="007C57D2">
        <w:rPr>
          <w:rFonts w:ascii="Times New Roman" w:hAnsi="Times New Roman"/>
          <w:sz w:val="28"/>
          <w:szCs w:val="28"/>
          <w:lang w:eastAsia="es-ES"/>
        </w:rPr>
        <w:t xml:space="preserve"> incidencia política de la ciudadanía</w:t>
      </w:r>
      <w:r w:rsidRPr="007C57D2">
        <w:rPr>
          <w:rStyle w:val="Refdenotaalpie"/>
          <w:rFonts w:ascii="Times New Roman" w:hAnsi="Times New Roman"/>
          <w:sz w:val="28"/>
          <w:szCs w:val="28"/>
          <w:lang w:eastAsia="es-ES"/>
        </w:rPr>
        <w:footnoteReference w:id="62"/>
      </w:r>
      <w:r w:rsidRPr="007C57D2">
        <w:rPr>
          <w:rFonts w:ascii="Times New Roman" w:hAnsi="Times New Roman"/>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En esa misma línea, la Corte ha precisado que, cuando el debate de u</w:t>
      </w:r>
      <w:r w:rsidRPr="007C57D2">
        <w:rPr>
          <w:rFonts w:ascii="Times New Roman" w:hAnsi="Times New Roman"/>
          <w:sz w:val="28"/>
          <w:szCs w:val="28"/>
          <w:lang w:eastAsia="es-ES"/>
        </w:rPr>
        <w:t xml:space="preserve">n proyecto de ley se extiende en el tiempo, el anuncio debe reiterarse en todas y cada una de las sesiones que preceden a aquella en la que se aprueba. No obstante, “en los casos en que se genere la </w:t>
      </w:r>
      <w:r w:rsidRPr="007C57D2">
        <w:rPr>
          <w:rFonts w:ascii="Times New Roman" w:hAnsi="Times New Roman"/>
          <w:i/>
          <w:iCs/>
          <w:sz w:val="28"/>
          <w:szCs w:val="28"/>
          <w:lang w:eastAsia="es-ES"/>
        </w:rPr>
        <w:t>ruptura de la cadena de anuncios</w:t>
      </w:r>
      <w:r w:rsidRPr="007C57D2">
        <w:rPr>
          <w:rFonts w:ascii="Times New Roman" w:hAnsi="Times New Roman"/>
          <w:sz w:val="28"/>
          <w:szCs w:val="28"/>
          <w:lang w:eastAsia="es-ES"/>
        </w:rPr>
        <w:t xml:space="preserve"> no se incurre en un vici</w:t>
      </w:r>
      <w:r w:rsidRPr="007C57D2">
        <w:rPr>
          <w:rFonts w:ascii="Times New Roman" w:hAnsi="Times New Roman"/>
          <w:sz w:val="28"/>
          <w:szCs w:val="28"/>
          <w:lang w:eastAsia="es-ES"/>
        </w:rPr>
        <w:t>o de inconstitucionalidad, cuando en la sesión inmediatamente anterior a aquella en la que finalmente se surte la aprobación del proyecto, se cumple con la obligación constitucional de anunciar que el acto de votación tendrá lugar en dicha fecha”</w:t>
      </w:r>
      <w:r w:rsidRPr="007C57D2">
        <w:rPr>
          <w:rStyle w:val="Refdenotaalpie"/>
          <w:rFonts w:ascii="Times New Roman" w:hAnsi="Times New Roman"/>
          <w:sz w:val="28"/>
          <w:szCs w:val="28"/>
          <w:lang w:eastAsia="es-ES"/>
        </w:rPr>
        <w:footnoteReference w:id="63"/>
      </w:r>
      <w:r w:rsidRPr="007C57D2">
        <w:rPr>
          <w:rFonts w:ascii="Times New Roman" w:hAnsi="Times New Roman"/>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Confor</w:t>
      </w:r>
      <w:r w:rsidRPr="007C57D2">
        <w:rPr>
          <w:rFonts w:ascii="Times New Roman" w:hAnsi="Times New Roman"/>
          <w:sz w:val="28"/>
          <w:szCs w:val="28"/>
          <w:lang w:eastAsia="es-ES"/>
        </w:rPr>
        <w:t xml:space="preserve">me al </w:t>
      </w:r>
      <w:r w:rsidRPr="007C57D2">
        <w:rPr>
          <w:rFonts w:ascii="Times New Roman" w:hAnsi="Times New Roman"/>
          <w:b/>
          <w:bCs/>
          <w:sz w:val="28"/>
          <w:szCs w:val="28"/>
          <w:lang w:eastAsia="es-ES"/>
        </w:rPr>
        <w:t xml:space="preserve">Acta </w:t>
      </w:r>
      <w:r w:rsidRPr="007C57D2">
        <w:rPr>
          <w:rFonts w:ascii="Times New Roman" w:hAnsi="Times New Roman"/>
          <w:b/>
          <w:bCs/>
          <w:sz w:val="28"/>
          <w:szCs w:val="28"/>
          <w:lang w:eastAsia="es-MX"/>
        </w:rPr>
        <w:t xml:space="preserve">n.º 18 </w:t>
      </w:r>
      <w:r w:rsidRPr="007C57D2">
        <w:rPr>
          <w:rFonts w:ascii="Times New Roman" w:hAnsi="Times New Roman"/>
          <w:sz w:val="28"/>
          <w:szCs w:val="28"/>
          <w:lang w:eastAsia="es-MX"/>
        </w:rPr>
        <w:t xml:space="preserve">del 1º de noviembre de 2023, publicada en la Gaceta del Congreso n.º 1682 del 29 de noviembre de 2023, el anuncio del PLE en la Comisión Primera Constitucional Permanente de la Cámara de Representantes </w:t>
      </w:r>
      <w:r w:rsidRPr="007C57D2">
        <w:rPr>
          <w:rFonts w:ascii="Times New Roman" w:hAnsi="Times New Roman"/>
          <w:sz w:val="28"/>
          <w:szCs w:val="28"/>
          <w:lang w:eastAsia="es-MX"/>
        </w:rPr>
        <w:t>se realizó</w:t>
      </w:r>
      <w:r w:rsidRPr="007C57D2">
        <w:rPr>
          <w:rFonts w:ascii="Times New Roman" w:hAnsi="Times New Roman"/>
          <w:sz w:val="28"/>
          <w:szCs w:val="28"/>
          <w:lang w:eastAsia="es-MX"/>
        </w:rPr>
        <w:t xml:space="preserve"> en la sesión celebrada el </w:t>
      </w:r>
      <w:r w:rsidRPr="007C57D2">
        <w:rPr>
          <w:rFonts w:ascii="Times New Roman" w:hAnsi="Times New Roman"/>
          <w:b/>
          <w:bCs/>
          <w:sz w:val="28"/>
          <w:szCs w:val="28"/>
          <w:lang w:eastAsia="es-MX"/>
        </w:rPr>
        <w:t>1º de noviembre de 2023</w:t>
      </w:r>
      <w:r w:rsidRPr="007C57D2">
        <w:rPr>
          <w:rFonts w:ascii="Times New Roman" w:hAnsi="Times New Roman"/>
          <w:sz w:val="28"/>
          <w:szCs w:val="28"/>
          <w:lang w:eastAsia="es-MX"/>
        </w:rPr>
        <w:t>.</w:t>
      </w:r>
    </w:p>
    <w:p w:rsidR="004E3E5E" w:rsidRPr="007C57D2" w:rsidRDefault="007C57D2" w:rsidP="008F3DAB">
      <w:pPr>
        <w:pStyle w:val="Prrafodelista"/>
        <w:rPr>
          <w:rFonts w:ascii="Times New Roman" w:hAnsi="Times New Roman"/>
          <w:sz w:val="28"/>
          <w:szCs w:val="28"/>
          <w:lang w:eastAsia="es-MX"/>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MX"/>
        </w:rPr>
        <w:t xml:space="preserve"> En la citada acta consta que la </w:t>
      </w:r>
      <w:r w:rsidRPr="007C57D2">
        <w:rPr>
          <w:rFonts w:ascii="Times New Roman" w:hAnsi="Times New Roman"/>
          <w:sz w:val="28"/>
          <w:szCs w:val="28"/>
          <w:lang w:eastAsia="es-MX"/>
        </w:rPr>
        <w:t>Secretaría</w:t>
      </w:r>
      <w:r w:rsidRPr="007C57D2">
        <w:rPr>
          <w:rFonts w:ascii="Times New Roman" w:hAnsi="Times New Roman"/>
          <w:sz w:val="28"/>
          <w:szCs w:val="28"/>
          <w:lang w:eastAsia="es-MX"/>
        </w:rPr>
        <w:t xml:space="preserve"> </w:t>
      </w:r>
      <w:r w:rsidRPr="007C57D2">
        <w:rPr>
          <w:rFonts w:ascii="Times New Roman" w:hAnsi="Times New Roman"/>
          <w:bCs/>
          <w:sz w:val="28"/>
          <w:szCs w:val="28"/>
          <w:lang w:eastAsia="es-MX"/>
        </w:rPr>
        <w:t>dio lectura a los proyectos de ley que, por instrucción de</w:t>
      </w:r>
      <w:r w:rsidRPr="007C57D2">
        <w:rPr>
          <w:rFonts w:ascii="Times New Roman" w:hAnsi="Times New Roman"/>
          <w:bCs/>
          <w:sz w:val="28"/>
          <w:szCs w:val="28"/>
          <w:lang w:eastAsia="es-MX"/>
        </w:rPr>
        <w:t xml:space="preserve"> la Presidencia</w:t>
      </w:r>
      <w:r w:rsidRPr="007C57D2">
        <w:rPr>
          <w:rFonts w:ascii="Times New Roman" w:hAnsi="Times New Roman"/>
          <w:bCs/>
          <w:sz w:val="28"/>
          <w:szCs w:val="28"/>
          <w:lang w:eastAsia="es-MX"/>
        </w:rPr>
        <w:t xml:space="preserve">, se someterían a discusión y votación </w:t>
      </w:r>
      <w:r w:rsidRPr="007C57D2">
        <w:rPr>
          <w:rFonts w:ascii="Times New Roman" w:hAnsi="Times New Roman"/>
          <w:bCs/>
          <w:i/>
          <w:iCs/>
          <w:sz w:val="28"/>
          <w:szCs w:val="28"/>
          <w:lang w:eastAsia="es-MX"/>
        </w:rPr>
        <w:t>en la próxima sesión</w:t>
      </w:r>
      <w:r w:rsidRPr="007C57D2">
        <w:rPr>
          <w:rFonts w:ascii="Times New Roman" w:hAnsi="Times New Roman"/>
          <w:bCs/>
          <w:sz w:val="28"/>
          <w:szCs w:val="28"/>
          <w:lang w:eastAsia="es-MX"/>
        </w:rPr>
        <w:t>, entre ellos, el “Proyecto</w:t>
      </w:r>
      <w:r w:rsidRPr="007C57D2">
        <w:rPr>
          <w:rFonts w:ascii="Times New Roman" w:hAnsi="Times New Roman"/>
          <w:bCs/>
          <w:sz w:val="28"/>
          <w:szCs w:val="28"/>
          <w:lang w:eastAsia="es-MX"/>
        </w:rPr>
        <w:t xml:space="preserve"> de Ley Estatutaria número 266 de 2023 Cámara, por medio de la cual se crea y se reglamenta Alerta Colombia Ley Sara Sofía y se dictan otras disposiciones”</w:t>
      </w:r>
      <w:r w:rsidRPr="007C57D2">
        <w:rPr>
          <w:rStyle w:val="Refdenotaalpie"/>
          <w:rFonts w:ascii="Times New Roman" w:hAnsi="Times New Roman"/>
          <w:bCs/>
          <w:sz w:val="28"/>
          <w:szCs w:val="28"/>
          <w:lang w:eastAsia="es-MX"/>
        </w:rPr>
        <w:footnoteReference w:id="64"/>
      </w:r>
      <w:r w:rsidRPr="007C57D2">
        <w:rPr>
          <w:rFonts w:ascii="Times New Roman" w:hAnsi="Times New Roman"/>
          <w:bCs/>
          <w:sz w:val="28"/>
          <w:szCs w:val="28"/>
          <w:lang w:eastAsia="es-MX"/>
        </w:rPr>
        <w:t xml:space="preserve">. Además, en la misma acta se lee: “señor </w:t>
      </w:r>
      <w:r w:rsidRPr="007C57D2">
        <w:rPr>
          <w:rFonts w:ascii="Times New Roman" w:hAnsi="Times New Roman"/>
          <w:bCs/>
          <w:sz w:val="28"/>
          <w:szCs w:val="28"/>
          <w:lang w:eastAsia="es-MX"/>
        </w:rPr>
        <w:t>p</w:t>
      </w:r>
      <w:r w:rsidRPr="007C57D2">
        <w:rPr>
          <w:rFonts w:ascii="Times New Roman" w:hAnsi="Times New Roman"/>
          <w:bCs/>
          <w:sz w:val="28"/>
          <w:szCs w:val="28"/>
          <w:lang w:eastAsia="es-MX"/>
        </w:rPr>
        <w:t>residente, ha levantado la sesión siendo la 1:28 de la ta</w:t>
      </w:r>
      <w:r w:rsidRPr="007C57D2">
        <w:rPr>
          <w:rFonts w:ascii="Times New Roman" w:hAnsi="Times New Roman"/>
          <w:bCs/>
          <w:sz w:val="28"/>
          <w:szCs w:val="28"/>
          <w:lang w:eastAsia="es-MX"/>
        </w:rPr>
        <w:t>rde. Manifestarle a los Representantes que mañana habrá audiencia pública en Tunja a las 9:00 de la mañana sobre la Ley Estatutaria de Educación, al igual que el viernes 9:00 de la mañana en Bucaramanga, audiencia pública de la Estatutaria de Educación. El</w:t>
      </w:r>
      <w:r w:rsidRPr="007C57D2">
        <w:rPr>
          <w:rFonts w:ascii="Times New Roman" w:hAnsi="Times New Roman"/>
          <w:bCs/>
          <w:sz w:val="28"/>
          <w:szCs w:val="28"/>
          <w:lang w:eastAsia="es-MX"/>
        </w:rPr>
        <w:t xml:space="preserve"> orden del día para la</w:t>
      </w:r>
      <w:r w:rsidRPr="007C57D2">
        <w:rPr>
          <w:rFonts w:ascii="Times New Roman" w:hAnsi="Times New Roman"/>
          <w:bCs/>
          <w:i/>
          <w:iCs/>
          <w:sz w:val="28"/>
          <w:szCs w:val="28"/>
          <w:lang w:eastAsia="es-MX"/>
        </w:rPr>
        <w:t xml:space="preserve"> próxima semana martes y miércoles</w:t>
      </w:r>
      <w:r w:rsidRPr="007C57D2">
        <w:rPr>
          <w:rFonts w:ascii="Times New Roman" w:hAnsi="Times New Roman"/>
          <w:bCs/>
          <w:sz w:val="28"/>
          <w:szCs w:val="28"/>
          <w:lang w:eastAsia="es-MX"/>
        </w:rPr>
        <w:t>, se hará llegar por la Secretaría de la Comisión”</w:t>
      </w:r>
      <w:r w:rsidRPr="007C57D2">
        <w:rPr>
          <w:rStyle w:val="Refdenotaalpie"/>
          <w:rFonts w:ascii="Times New Roman" w:hAnsi="Times New Roman"/>
          <w:bCs/>
          <w:sz w:val="28"/>
          <w:szCs w:val="28"/>
          <w:lang w:eastAsia="es-MX"/>
        </w:rPr>
        <w:footnoteReference w:id="65"/>
      </w:r>
      <w:r w:rsidRPr="007C57D2">
        <w:rPr>
          <w:rFonts w:ascii="Times New Roman" w:hAnsi="Times New Roman"/>
          <w:bCs/>
          <w:sz w:val="28"/>
          <w:szCs w:val="28"/>
          <w:lang w:eastAsia="es-MX"/>
        </w:rPr>
        <w:t>.</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ES"/>
        </w:rPr>
        <w:t xml:space="preserve">De acuerdo con el </w:t>
      </w:r>
      <w:r w:rsidRPr="007C57D2">
        <w:rPr>
          <w:rFonts w:ascii="Times New Roman" w:hAnsi="Times New Roman"/>
          <w:b/>
          <w:bCs/>
          <w:sz w:val="28"/>
          <w:szCs w:val="28"/>
          <w:lang w:eastAsia="es-ES"/>
        </w:rPr>
        <w:t xml:space="preserve">Acta </w:t>
      </w:r>
      <w:r w:rsidRPr="007C57D2">
        <w:rPr>
          <w:rFonts w:ascii="Times New Roman" w:hAnsi="Times New Roman"/>
          <w:b/>
          <w:bCs/>
          <w:sz w:val="28"/>
          <w:szCs w:val="28"/>
          <w:lang w:eastAsia="es-MX"/>
        </w:rPr>
        <w:t>n.º 19</w:t>
      </w:r>
      <w:r w:rsidRPr="007C57D2">
        <w:rPr>
          <w:rFonts w:ascii="Times New Roman" w:hAnsi="Times New Roman"/>
          <w:sz w:val="28"/>
          <w:szCs w:val="28"/>
          <w:lang w:eastAsia="es-MX"/>
        </w:rPr>
        <w:t xml:space="preserve"> de la sesión del </w:t>
      </w:r>
      <w:r w:rsidRPr="007C57D2">
        <w:rPr>
          <w:rFonts w:ascii="Times New Roman" w:hAnsi="Times New Roman"/>
          <w:b/>
          <w:bCs/>
          <w:sz w:val="28"/>
          <w:szCs w:val="28"/>
          <w:lang w:eastAsia="es-MX"/>
        </w:rPr>
        <w:t>8 de noviembre de 2023</w:t>
      </w:r>
      <w:r w:rsidRPr="007C57D2">
        <w:rPr>
          <w:rFonts w:ascii="Times New Roman" w:hAnsi="Times New Roman"/>
          <w:sz w:val="28"/>
          <w:szCs w:val="28"/>
          <w:lang w:eastAsia="es-MX"/>
        </w:rPr>
        <w:t xml:space="preserve">, publicada en la Gaceta del Congreso n.º 1683 del 29 de noviembre del mismo </w:t>
      </w:r>
      <w:r w:rsidRPr="007C57D2">
        <w:rPr>
          <w:rFonts w:ascii="Times New Roman" w:hAnsi="Times New Roman"/>
          <w:sz w:val="28"/>
          <w:szCs w:val="28"/>
          <w:lang w:eastAsia="es-MX"/>
        </w:rPr>
        <w:t>año</w:t>
      </w:r>
      <w:r w:rsidRPr="007C57D2">
        <w:rPr>
          <w:rStyle w:val="Refdenotaalpie"/>
          <w:rFonts w:ascii="Times New Roman" w:hAnsi="Times New Roman"/>
          <w:sz w:val="28"/>
          <w:szCs w:val="28"/>
          <w:lang w:eastAsia="es-MX"/>
        </w:rPr>
        <w:footnoteReference w:id="66"/>
      </w:r>
      <w:r w:rsidRPr="007C57D2">
        <w:rPr>
          <w:rFonts w:ascii="Times New Roman" w:hAnsi="Times New Roman"/>
          <w:sz w:val="28"/>
          <w:szCs w:val="28"/>
          <w:lang w:eastAsia="es-MX"/>
        </w:rPr>
        <w:t xml:space="preserve">, en esa fecha se aprobó el PLE en primer debate en la </w:t>
      </w:r>
      <w:r w:rsidRPr="007C57D2">
        <w:rPr>
          <w:rFonts w:ascii="Times New Roman" w:hAnsi="Times New Roman"/>
          <w:sz w:val="28"/>
          <w:szCs w:val="28"/>
          <w:shd w:val="clear" w:color="auto" w:fill="FFFFFF"/>
        </w:rPr>
        <w:t>Comisión Primera Constitucional Permanente de la Cámara de Representantes. En consecuencia, la Corte concluye</w:t>
      </w:r>
      <w:r w:rsidRPr="007C57D2">
        <w:rPr>
          <w:rFonts w:ascii="Times New Roman" w:hAnsi="Times New Roman"/>
          <w:sz w:val="28"/>
          <w:szCs w:val="28"/>
          <w:shd w:val="clear" w:color="auto" w:fill="FFFFFF"/>
        </w:rPr>
        <w:t xml:space="preserve"> lo siguiente:</w:t>
      </w:r>
      <w:r w:rsidRPr="007C57D2">
        <w:rPr>
          <w:rFonts w:ascii="Times New Roman" w:hAnsi="Times New Roman"/>
          <w:sz w:val="28"/>
          <w:szCs w:val="28"/>
          <w:shd w:val="clear" w:color="auto" w:fill="FFFFFF"/>
        </w:rPr>
        <w:t xml:space="preserve"> (i) el anuncio se realizó en una sesión distinta y anterior a aquella en la que se llevó a cabo la discusión y votación del PLE; (ii) la fecha de la sesión en la que se discutió y aprobó el PLE, aunque no fue determinada,</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sí era determinable, pues en el a</w:t>
      </w:r>
      <w:r w:rsidRPr="007C57D2">
        <w:rPr>
          <w:rFonts w:ascii="Times New Roman" w:hAnsi="Times New Roman"/>
          <w:sz w:val="28"/>
          <w:szCs w:val="28"/>
          <w:shd w:val="clear" w:color="auto" w:fill="FFFFFF"/>
        </w:rPr>
        <w:t>cta se indicó que el orden del día de la semana siguiente se desarrollaría los días martes 7 de noviembre y miércoles 8 de noviembre, conforme fuera comunicado por la Secretaría</w:t>
      </w:r>
      <w:r w:rsidRPr="007C57D2">
        <w:rPr>
          <w:rStyle w:val="Refdenotaalpie"/>
          <w:rFonts w:ascii="Times New Roman" w:hAnsi="Times New Roman"/>
          <w:sz w:val="28"/>
          <w:szCs w:val="28"/>
          <w:shd w:val="clear" w:color="auto" w:fill="FFFFFF"/>
        </w:rPr>
        <w:footnoteReference w:id="67"/>
      </w:r>
      <w:r w:rsidRPr="007C57D2">
        <w:rPr>
          <w:rFonts w:ascii="Times New Roman" w:hAnsi="Times New Roman"/>
          <w:sz w:val="28"/>
          <w:szCs w:val="28"/>
          <w:shd w:val="clear" w:color="auto" w:fill="FFFFFF"/>
        </w:rPr>
        <w:t>, lo que permitía establecer de antemano el marco temporal en que tendría luga</w:t>
      </w:r>
      <w:r w:rsidRPr="007C57D2">
        <w:rPr>
          <w:rFonts w:ascii="Times New Roman" w:hAnsi="Times New Roman"/>
          <w:sz w:val="28"/>
          <w:szCs w:val="28"/>
          <w:shd w:val="clear" w:color="auto" w:fill="FFFFFF"/>
        </w:rPr>
        <w:t xml:space="preserve">r la votación; y (iii) el PLE fue votado en una sesión distinta y posterior a la del anuncio. Además, (iv) no existió una cadena de anuncios. </w:t>
      </w:r>
    </w:p>
    <w:p w:rsidR="004E3E5E" w:rsidRPr="007C57D2" w:rsidRDefault="007C57D2" w:rsidP="008F3DAB">
      <w:pPr>
        <w:spacing w:after="0" w:line="240" w:lineRule="auto"/>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Discusión y aprobación del PLE en primer debate, mayorías y forma de votación</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Como se indicó, el PLE fue discutido y aprobado en primer debate en la </w:t>
      </w:r>
      <w:r w:rsidRPr="007C57D2">
        <w:rPr>
          <w:rFonts w:ascii="Times New Roman" w:hAnsi="Times New Roman"/>
          <w:sz w:val="28"/>
          <w:szCs w:val="28"/>
          <w:shd w:val="clear" w:color="auto" w:fill="FFFFFF"/>
        </w:rPr>
        <w:t>Comisión Primera Constitucional Permanente de la Cámara de Representantes</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en la sesión del </w:t>
      </w:r>
      <w:r w:rsidRPr="007C57D2">
        <w:rPr>
          <w:rFonts w:ascii="Times New Roman" w:hAnsi="Times New Roman"/>
          <w:b/>
          <w:bCs/>
          <w:sz w:val="28"/>
          <w:szCs w:val="28"/>
          <w:shd w:val="clear" w:color="auto" w:fill="FFFFFF"/>
        </w:rPr>
        <w:t>8 de noviembre de 2023</w:t>
      </w:r>
      <w:r w:rsidRPr="007C57D2">
        <w:rPr>
          <w:rFonts w:ascii="Times New Roman" w:hAnsi="Times New Roman"/>
          <w:sz w:val="28"/>
          <w:szCs w:val="28"/>
          <w:shd w:val="clear" w:color="auto" w:fill="FFFFFF"/>
        </w:rPr>
        <w:t>.</w:t>
      </w:r>
      <w:r w:rsidRPr="007C57D2">
        <w:rPr>
          <w:rFonts w:ascii="Times New Roman" w:hAnsi="Times New Roman"/>
          <w:sz w:val="28"/>
          <w:szCs w:val="28"/>
          <w:lang w:eastAsia="es-ES"/>
        </w:rPr>
        <w:t xml:space="preserve"> </w:t>
      </w:r>
      <w:r w:rsidRPr="007C57D2">
        <w:rPr>
          <w:rFonts w:ascii="Times New Roman" w:hAnsi="Times New Roman"/>
          <w:sz w:val="28"/>
          <w:szCs w:val="28"/>
          <w:shd w:val="clear" w:color="auto" w:fill="FFFFFF"/>
        </w:rPr>
        <w:t xml:space="preserve">A continuación, la Sala verificará si en dicho debate la aprobación </w:t>
      </w:r>
      <w:r w:rsidRPr="007C57D2">
        <w:rPr>
          <w:rFonts w:ascii="Times New Roman" w:hAnsi="Times New Roman"/>
          <w:sz w:val="28"/>
          <w:szCs w:val="28"/>
          <w:shd w:val="clear" w:color="auto" w:fill="FFFFFF"/>
        </w:rPr>
        <w:t>del PLE se realizó conforme a las reglas constitucionales relativas a</w:t>
      </w:r>
      <w:r w:rsidRPr="007C57D2">
        <w:rPr>
          <w:rFonts w:ascii="Times New Roman" w:hAnsi="Times New Roman"/>
          <w:sz w:val="28"/>
          <w:szCs w:val="28"/>
          <w:shd w:val="clear" w:color="auto" w:fill="FFFFFF"/>
        </w:rPr>
        <w:t xml:space="preserve"> tres requisitos</w:t>
      </w:r>
      <w:r w:rsidRPr="007C57D2">
        <w:rPr>
          <w:rFonts w:ascii="Times New Roman" w:hAnsi="Times New Roman"/>
          <w:sz w:val="28"/>
          <w:szCs w:val="28"/>
          <w:shd w:val="clear" w:color="auto" w:fill="FFFFFF"/>
        </w:rPr>
        <w:t>: (i)</w:t>
      </w:r>
      <w:r w:rsidRPr="007C57D2">
        <w:rPr>
          <w:rFonts w:ascii="Times New Roman" w:hAnsi="Times New Roman"/>
          <w:sz w:val="28"/>
          <w:szCs w:val="28"/>
          <w:shd w:val="clear" w:color="auto" w:fill="FFFFFF"/>
        </w:rPr>
        <w:t xml:space="preserve">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deliberatorio y decisorio</w:t>
      </w:r>
      <w:r w:rsidRPr="007C57D2">
        <w:rPr>
          <w:rStyle w:val="Refdenotaalpie"/>
          <w:rFonts w:ascii="Times New Roman" w:hAnsi="Times New Roman"/>
          <w:sz w:val="28"/>
          <w:szCs w:val="28"/>
          <w:shd w:val="clear" w:color="auto" w:fill="FFFFFF"/>
        </w:rPr>
        <w:footnoteReference w:id="68"/>
      </w:r>
      <w:r w:rsidRPr="007C57D2">
        <w:rPr>
          <w:rFonts w:ascii="Times New Roman" w:hAnsi="Times New Roman"/>
          <w:sz w:val="28"/>
          <w:szCs w:val="28"/>
          <w:shd w:val="clear" w:color="auto" w:fill="FFFFFF"/>
        </w:rPr>
        <w:t>, (ii) votación nominal y pública</w:t>
      </w:r>
      <w:r w:rsidRPr="007C57D2">
        <w:rPr>
          <w:rStyle w:val="Refdenotaalpie"/>
          <w:rFonts w:ascii="Times New Roman" w:hAnsi="Times New Roman"/>
          <w:sz w:val="28"/>
          <w:szCs w:val="28"/>
          <w:shd w:val="clear" w:color="auto" w:fill="FFFFFF"/>
        </w:rPr>
        <w:footnoteReference w:id="69"/>
      </w:r>
      <w:r w:rsidRPr="007C57D2">
        <w:rPr>
          <w:rFonts w:ascii="Times New Roman" w:hAnsi="Times New Roman"/>
          <w:sz w:val="28"/>
          <w:szCs w:val="28"/>
          <w:shd w:val="clear" w:color="auto" w:fill="FFFFFF"/>
        </w:rPr>
        <w:t xml:space="preserve"> y (iii) mayoría absoluta</w:t>
      </w:r>
      <w:r w:rsidRPr="007C57D2">
        <w:rPr>
          <w:rStyle w:val="Refdenotaalpie"/>
          <w:rFonts w:ascii="Times New Roman" w:hAnsi="Times New Roman"/>
          <w:sz w:val="28"/>
          <w:szCs w:val="28"/>
          <w:shd w:val="clear" w:color="auto" w:fill="FFFFFF"/>
        </w:rPr>
        <w:footnoteReference w:id="70"/>
      </w:r>
      <w:r w:rsidRPr="007C57D2">
        <w:rPr>
          <w:rFonts w:ascii="Times New Roman" w:hAnsi="Times New Roman"/>
          <w:sz w:val="28"/>
          <w:szCs w:val="28"/>
          <w:shd w:val="clear" w:color="auto" w:fill="FFFFFF"/>
        </w:rPr>
        <w:t xml:space="preserve">. En relación con esta última regla, debe reiterarse que, en el caso de </w:t>
      </w:r>
      <w:r w:rsidRPr="007C57D2">
        <w:rPr>
          <w:rFonts w:ascii="Times New Roman" w:hAnsi="Times New Roman"/>
          <w:sz w:val="28"/>
          <w:szCs w:val="28"/>
          <w:shd w:val="clear" w:color="auto" w:fill="FFFFFF"/>
        </w:rPr>
        <w:t>los proyectos de ley estatutaria, se exige mayoría absoluta para la aprobación, modificación o derogación, mas no respecto de otros asuntos vinculados con el desarrollo del trámite, como ocurre, por ejemplo, con la definición de impedimentos, que se resuel</w:t>
      </w:r>
      <w:r w:rsidRPr="007C57D2">
        <w:rPr>
          <w:rFonts w:ascii="Times New Roman" w:hAnsi="Times New Roman"/>
          <w:sz w:val="28"/>
          <w:szCs w:val="28"/>
          <w:shd w:val="clear" w:color="auto" w:fill="FFFFFF"/>
        </w:rPr>
        <w:t>ven por mayoría simple</w:t>
      </w:r>
      <w:r w:rsidRPr="007C57D2">
        <w:rPr>
          <w:rStyle w:val="Refdenotaalpie"/>
          <w:rFonts w:ascii="Times New Roman" w:hAnsi="Times New Roman"/>
          <w:sz w:val="28"/>
          <w:szCs w:val="28"/>
          <w:shd w:val="clear" w:color="auto" w:fill="FFFFFF"/>
        </w:rPr>
        <w:footnoteReference w:id="71"/>
      </w:r>
      <w:r w:rsidRPr="007C57D2">
        <w:rPr>
          <w:rFonts w:ascii="Times New Roman" w:hAnsi="Times New Roman"/>
          <w:sz w:val="28"/>
          <w:szCs w:val="28"/>
          <w:shd w:val="clear" w:color="auto" w:fill="FFFFFF"/>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A</w:t>
      </w:r>
      <w:r w:rsidRPr="007C57D2">
        <w:rPr>
          <w:rFonts w:ascii="Times New Roman" w:hAnsi="Times New Roman"/>
          <w:sz w:val="28"/>
          <w:szCs w:val="28"/>
          <w:lang w:eastAsia="es-ES"/>
        </w:rPr>
        <w:t xml:space="preserve">l momento de debatirse y aprobarse el PLE, la </w:t>
      </w:r>
      <w:r w:rsidRPr="007C57D2">
        <w:rPr>
          <w:rFonts w:ascii="Times New Roman" w:hAnsi="Times New Roman"/>
          <w:sz w:val="28"/>
          <w:szCs w:val="28"/>
          <w:shd w:val="clear" w:color="auto" w:fill="FFFFFF"/>
        </w:rPr>
        <w:t>Comisión Primera Constitucional Permanente de la Cámara de Representantes estaba integrada por cuarenta y un (41) representantes</w:t>
      </w:r>
      <w:r w:rsidRPr="007C57D2">
        <w:rPr>
          <w:rStyle w:val="Refdenotaalpie"/>
          <w:rFonts w:ascii="Times New Roman" w:hAnsi="Times New Roman"/>
          <w:sz w:val="28"/>
          <w:szCs w:val="28"/>
          <w:shd w:val="clear" w:color="auto" w:fill="FFFFFF"/>
        </w:rPr>
        <w:footnoteReference w:id="72"/>
      </w:r>
      <w:r w:rsidRPr="007C57D2">
        <w:rPr>
          <w:rFonts w:ascii="Times New Roman" w:hAnsi="Times New Roman"/>
          <w:sz w:val="28"/>
          <w:szCs w:val="28"/>
          <w:shd w:val="clear" w:color="auto" w:fill="FFFFFF"/>
        </w:rPr>
        <w:t xml:space="preserve">. Por consiguiente, el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deliberatorio era de onc</w:t>
      </w:r>
      <w:r w:rsidRPr="007C57D2">
        <w:rPr>
          <w:rFonts w:ascii="Times New Roman" w:hAnsi="Times New Roman"/>
          <w:sz w:val="28"/>
          <w:szCs w:val="28"/>
          <w:shd w:val="clear" w:color="auto" w:fill="FFFFFF"/>
        </w:rPr>
        <w:t xml:space="preserve">e (11) representantes </w:t>
      </w:r>
      <w:r w:rsidRPr="007C57D2">
        <w:rPr>
          <w:rFonts w:ascii="Times New Roman" w:hAnsi="Times New Roman"/>
          <w:sz w:val="28"/>
          <w:szCs w:val="28"/>
          <w:shd w:val="clear" w:color="auto" w:fill="FFFFFF"/>
        </w:rPr>
        <w:t xml:space="preserve">(“cuarta parte de los miembros de la respectiva </w:t>
      </w:r>
      <w:r w:rsidRPr="007C57D2">
        <w:rPr>
          <w:rFonts w:ascii="Times New Roman" w:hAnsi="Times New Roman"/>
          <w:sz w:val="28"/>
          <w:szCs w:val="28"/>
          <w:shd w:val="clear" w:color="auto" w:fill="FFFFFF"/>
        </w:rPr>
        <w:t>Corporación</w:t>
      </w:r>
      <w:r w:rsidRPr="007C57D2">
        <w:rPr>
          <w:rFonts w:ascii="Times New Roman" w:hAnsi="Times New Roman"/>
          <w:sz w:val="28"/>
          <w:szCs w:val="28"/>
          <w:shd w:val="clear" w:color="auto" w:fill="FFFFFF"/>
        </w:rPr>
        <w:t xml:space="preserve"> o comisión permanente”</w:t>
      </w:r>
      <w:r w:rsidRPr="007C57D2">
        <w:rPr>
          <w:rStyle w:val="Refdenotaalpie"/>
          <w:rFonts w:ascii="Times New Roman" w:hAnsi="Times New Roman"/>
          <w:sz w:val="28"/>
          <w:szCs w:val="28"/>
          <w:shd w:val="clear" w:color="auto" w:fill="FFFFFF"/>
        </w:rPr>
        <w:footnoteReference w:id="73"/>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y el decisorio de veintiún (21) representantes</w:t>
      </w:r>
      <w:r w:rsidRPr="007C57D2">
        <w:rPr>
          <w:rFonts w:ascii="Times New Roman" w:hAnsi="Times New Roman"/>
          <w:sz w:val="28"/>
          <w:szCs w:val="28"/>
          <w:shd w:val="clear" w:color="auto" w:fill="FFFFFF"/>
        </w:rPr>
        <w:t xml:space="preserve"> (“mayoría de los integrantes de la respectiva </w:t>
      </w:r>
      <w:r w:rsidRPr="007C57D2">
        <w:rPr>
          <w:rFonts w:ascii="Times New Roman" w:hAnsi="Times New Roman"/>
          <w:sz w:val="28"/>
          <w:szCs w:val="28"/>
          <w:shd w:val="clear" w:color="auto" w:fill="FFFFFF"/>
        </w:rPr>
        <w:t>Corporación</w:t>
      </w:r>
      <w:r w:rsidRPr="007C57D2">
        <w:rPr>
          <w:rFonts w:ascii="Times New Roman" w:hAnsi="Times New Roman"/>
          <w:sz w:val="28"/>
          <w:szCs w:val="28"/>
          <w:shd w:val="clear" w:color="auto" w:fill="FFFFFF"/>
        </w:rPr>
        <w:t>”</w:t>
      </w:r>
      <w:r w:rsidRPr="007C57D2">
        <w:rPr>
          <w:rStyle w:val="Refdenotaalpie"/>
          <w:rFonts w:ascii="Times New Roman" w:hAnsi="Times New Roman"/>
          <w:sz w:val="28"/>
          <w:szCs w:val="28"/>
          <w:shd w:val="clear" w:color="auto" w:fill="FFFFFF"/>
        </w:rPr>
        <w:footnoteReference w:id="74"/>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Además, la mayoría absoluta era de </w:t>
      </w:r>
      <w:r w:rsidRPr="007C57D2">
        <w:rPr>
          <w:rFonts w:ascii="Times New Roman" w:hAnsi="Times New Roman"/>
          <w:sz w:val="28"/>
          <w:szCs w:val="28"/>
          <w:shd w:val="clear" w:color="auto" w:fill="FFFFFF"/>
        </w:rPr>
        <w:t>veintiún (21) representantes</w:t>
      </w:r>
      <w:r w:rsidRPr="007C57D2">
        <w:rPr>
          <w:rFonts w:ascii="Times New Roman" w:hAnsi="Times New Roman"/>
          <w:sz w:val="28"/>
          <w:szCs w:val="28"/>
          <w:shd w:val="clear" w:color="auto" w:fill="FFFFFF"/>
        </w:rPr>
        <w:t xml:space="preserve"> (la mayoría “de los votos de los integrantes”</w:t>
      </w:r>
      <w:r w:rsidRPr="007C57D2">
        <w:rPr>
          <w:rStyle w:val="Refdenotaalpie"/>
          <w:rFonts w:ascii="Times New Roman" w:hAnsi="Times New Roman"/>
          <w:sz w:val="28"/>
          <w:szCs w:val="28"/>
          <w:shd w:val="clear" w:color="auto" w:fill="FFFFFF"/>
        </w:rPr>
        <w:footnoteReference w:id="75"/>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De acuerdo con las votaciones que se indican a continuación, la Corte concluye que, al momento de discutir y votar el PLE, había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deliberatorio y decisorio.</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La sesión inic</w:t>
      </w:r>
      <w:r w:rsidRPr="007C57D2">
        <w:rPr>
          <w:rFonts w:ascii="Times New Roman" w:hAnsi="Times New Roman"/>
          <w:sz w:val="28"/>
          <w:szCs w:val="28"/>
          <w:lang w:eastAsia="es-ES"/>
        </w:rPr>
        <w:t>ió con el llamado a lista realizado por orden de</w:t>
      </w:r>
      <w:r w:rsidRPr="007C57D2">
        <w:rPr>
          <w:rFonts w:ascii="Times New Roman" w:hAnsi="Times New Roman"/>
          <w:sz w:val="28"/>
          <w:szCs w:val="28"/>
          <w:lang w:eastAsia="es-ES"/>
        </w:rPr>
        <w:t xml:space="preserve"> la Presidencia</w:t>
      </w:r>
      <w:r w:rsidRPr="007C57D2">
        <w:rPr>
          <w:rFonts w:ascii="Times New Roman" w:hAnsi="Times New Roman"/>
          <w:sz w:val="28"/>
          <w:szCs w:val="28"/>
          <w:lang w:eastAsia="es-ES"/>
        </w:rPr>
        <w:t xml:space="preserve">. Se registró la </w:t>
      </w:r>
      <w:r w:rsidRPr="007C57D2">
        <w:rPr>
          <w:rFonts w:ascii="Times New Roman" w:hAnsi="Times New Roman"/>
          <w:sz w:val="28"/>
          <w:szCs w:val="28"/>
          <w:lang w:eastAsia="es-ES"/>
        </w:rPr>
        <w:t xml:space="preserve">asistencia </w:t>
      </w:r>
      <w:r w:rsidRPr="007C57D2">
        <w:rPr>
          <w:rFonts w:ascii="Times New Roman" w:hAnsi="Times New Roman"/>
          <w:sz w:val="28"/>
          <w:szCs w:val="28"/>
          <w:lang w:eastAsia="es-ES"/>
        </w:rPr>
        <w:t xml:space="preserve">de </w:t>
      </w:r>
      <w:r w:rsidRPr="007C57D2">
        <w:rPr>
          <w:rFonts w:ascii="Times New Roman" w:hAnsi="Times New Roman"/>
          <w:bCs/>
          <w:sz w:val="28"/>
          <w:szCs w:val="28"/>
          <w:lang w:eastAsia="es-ES"/>
        </w:rPr>
        <w:t xml:space="preserve">21 representantes, 3 ausentes con excusa y, en el transcurso de la sesión, se hicieron presentes 17 más, con lo cual la </w:t>
      </w:r>
      <w:r w:rsidRPr="007C57D2">
        <w:rPr>
          <w:rFonts w:ascii="Times New Roman" w:hAnsi="Times New Roman"/>
          <w:bCs/>
          <w:sz w:val="28"/>
          <w:szCs w:val="28"/>
          <w:lang w:eastAsia="es-ES"/>
        </w:rPr>
        <w:t>Secretaría</w:t>
      </w:r>
      <w:r w:rsidRPr="007C57D2">
        <w:rPr>
          <w:rFonts w:ascii="Times New Roman" w:hAnsi="Times New Roman"/>
          <w:bCs/>
          <w:sz w:val="28"/>
          <w:szCs w:val="28"/>
          <w:lang w:eastAsia="es-ES"/>
        </w:rPr>
        <w:t xml:space="preserve"> constató la existencia de </w:t>
      </w:r>
      <w:r w:rsidRPr="007C57D2">
        <w:rPr>
          <w:rFonts w:ascii="Times New Roman" w:hAnsi="Times New Roman"/>
          <w:bCs/>
          <w:i/>
          <w:iCs/>
          <w:sz w:val="28"/>
          <w:szCs w:val="28"/>
          <w:lang w:eastAsia="es-ES"/>
        </w:rPr>
        <w:t>quorum</w:t>
      </w:r>
      <w:r w:rsidRPr="007C57D2">
        <w:rPr>
          <w:rFonts w:ascii="Times New Roman" w:hAnsi="Times New Roman"/>
          <w:bCs/>
          <w:sz w:val="28"/>
          <w:szCs w:val="28"/>
          <w:lang w:eastAsia="es-ES"/>
        </w:rPr>
        <w:t xml:space="preserve"> </w:t>
      </w:r>
      <w:r w:rsidRPr="007C57D2">
        <w:rPr>
          <w:rFonts w:ascii="Times New Roman" w:hAnsi="Times New Roman"/>
          <w:bCs/>
          <w:i/>
          <w:iCs/>
          <w:sz w:val="28"/>
          <w:szCs w:val="28"/>
          <w:lang w:eastAsia="es-ES"/>
        </w:rPr>
        <w:t>decisorio</w:t>
      </w:r>
      <w:r w:rsidRPr="007C57D2">
        <w:rPr>
          <w:rStyle w:val="Refdenotaalpie"/>
          <w:rFonts w:ascii="Times New Roman" w:hAnsi="Times New Roman"/>
          <w:bCs/>
          <w:sz w:val="28"/>
          <w:szCs w:val="28"/>
          <w:lang w:eastAsia="es-ES"/>
        </w:rPr>
        <w:footnoteReference w:id="76"/>
      </w:r>
      <w:r w:rsidRPr="007C57D2">
        <w:rPr>
          <w:rFonts w:ascii="Times New Roman" w:hAnsi="Times New Roman"/>
          <w:bCs/>
          <w:sz w:val="28"/>
          <w:szCs w:val="28"/>
          <w:lang w:eastAsia="es-ES"/>
        </w:rPr>
        <w:t>.</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Posteriormente, </w:t>
      </w:r>
      <w:r w:rsidRPr="007C57D2">
        <w:rPr>
          <w:rFonts w:ascii="Times New Roman" w:hAnsi="Times New Roman"/>
          <w:sz w:val="28"/>
          <w:szCs w:val="28"/>
          <w:lang w:eastAsia="es-ES"/>
        </w:rPr>
        <w:t>la Secretaría</w:t>
      </w:r>
      <w:r w:rsidRPr="007C57D2">
        <w:rPr>
          <w:rFonts w:ascii="Times New Roman" w:hAnsi="Times New Roman"/>
          <w:sz w:val="28"/>
          <w:szCs w:val="28"/>
          <w:lang w:eastAsia="es-ES"/>
        </w:rPr>
        <w:t xml:space="preserve"> dio lectura a la proposición positiva con la que terminaba el informe de ponencia y llamó a lista para proceder a su votación. Una vez cerrada, el resultado fue de </w:t>
      </w:r>
      <w:r w:rsidRPr="007C57D2">
        <w:rPr>
          <w:rFonts w:ascii="Times New Roman" w:hAnsi="Times New Roman"/>
          <w:b/>
          <w:bCs/>
          <w:sz w:val="28"/>
          <w:szCs w:val="28"/>
          <w:lang w:eastAsia="es-ES"/>
        </w:rPr>
        <w:t>29 votos por el SÍ y ninguno por el NO</w:t>
      </w:r>
      <w:r w:rsidRPr="007C57D2">
        <w:rPr>
          <w:rStyle w:val="Refdenotaalpie"/>
          <w:rFonts w:ascii="Times New Roman" w:hAnsi="Times New Roman"/>
          <w:bCs/>
          <w:sz w:val="28"/>
          <w:szCs w:val="28"/>
          <w:lang w:eastAsia="es-ES"/>
        </w:rPr>
        <w:footnoteReference w:id="77"/>
      </w:r>
      <w:r w:rsidRPr="007C57D2">
        <w:rPr>
          <w:rFonts w:ascii="Times New Roman" w:hAnsi="Times New Roman"/>
          <w:sz w:val="28"/>
          <w:szCs w:val="28"/>
          <w:lang w:eastAsia="es-ES"/>
        </w:rPr>
        <w:t>. E</w:t>
      </w:r>
      <w:r w:rsidRPr="007C57D2">
        <w:rPr>
          <w:rFonts w:ascii="Times New Roman" w:hAnsi="Times New Roman"/>
          <w:sz w:val="28"/>
          <w:szCs w:val="28"/>
          <w:lang w:eastAsia="es-ES"/>
        </w:rPr>
        <w:t>n consecuencia, la proposición fue aprobada mediante votación nominal y pública</w:t>
      </w:r>
      <w:r w:rsidRPr="007C57D2">
        <w:rPr>
          <w:rStyle w:val="Refdenotaalpie"/>
          <w:rFonts w:ascii="Times New Roman" w:hAnsi="Times New Roman"/>
          <w:sz w:val="28"/>
          <w:szCs w:val="28"/>
          <w:lang w:eastAsia="es-ES"/>
        </w:rPr>
        <w:footnoteReference w:id="78"/>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mayoría absoluta exigida para el efecto.</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Luego de que </w:t>
      </w:r>
      <w:r w:rsidRPr="007C57D2">
        <w:rPr>
          <w:rFonts w:ascii="Times New Roman" w:hAnsi="Times New Roman"/>
          <w:sz w:val="28"/>
          <w:szCs w:val="28"/>
          <w:lang w:eastAsia="es-ES"/>
        </w:rPr>
        <w:t xml:space="preserve">la Presidencia </w:t>
      </w:r>
      <w:r w:rsidRPr="007C57D2">
        <w:rPr>
          <w:rFonts w:ascii="Times New Roman" w:hAnsi="Times New Roman"/>
          <w:sz w:val="28"/>
          <w:szCs w:val="28"/>
          <w:lang w:eastAsia="es-ES"/>
        </w:rPr>
        <w:t>concediera el uso de la palabra al ponente de la iniciativa, representante Carlos Adolfo Ardila E</w:t>
      </w:r>
      <w:r w:rsidRPr="007C57D2">
        <w:rPr>
          <w:rFonts w:ascii="Times New Roman" w:hAnsi="Times New Roman"/>
          <w:sz w:val="28"/>
          <w:szCs w:val="28"/>
          <w:lang w:eastAsia="es-ES"/>
        </w:rPr>
        <w:t xml:space="preserve">spinosa, quien se refirió a los alcances del PLE, y a los representantes Alirio Uribe Muñoz y Diógenes Quintero Amaya, quienes formularon algunas inquietudes particulares, se procedió a la votación de un primer bloque de siete artículos sin proposiciones: </w:t>
      </w:r>
      <w:r w:rsidRPr="007C57D2">
        <w:rPr>
          <w:rFonts w:ascii="Times New Roman" w:hAnsi="Times New Roman"/>
          <w:sz w:val="28"/>
          <w:szCs w:val="28"/>
          <w:lang w:eastAsia="es-ES"/>
        </w:rPr>
        <w:t xml:space="preserve">1, 4, 7, 8, 12, 13 y 15. La </w:t>
      </w:r>
      <w:r w:rsidRPr="007C57D2">
        <w:rPr>
          <w:rFonts w:ascii="Times New Roman" w:hAnsi="Times New Roman"/>
          <w:sz w:val="28"/>
          <w:szCs w:val="28"/>
          <w:lang w:eastAsia="es-ES"/>
        </w:rPr>
        <w:t>Secretaría</w:t>
      </w:r>
      <w:r w:rsidRPr="007C57D2">
        <w:rPr>
          <w:rFonts w:ascii="Times New Roman" w:hAnsi="Times New Roman"/>
          <w:sz w:val="28"/>
          <w:szCs w:val="28"/>
          <w:lang w:eastAsia="es-ES"/>
        </w:rPr>
        <w:t xml:space="preserve"> llamó a lista y, una vez cerrada la votación, el resultado fue de </w:t>
      </w:r>
      <w:r w:rsidRPr="007C57D2">
        <w:rPr>
          <w:rFonts w:ascii="Times New Roman" w:hAnsi="Times New Roman"/>
          <w:b/>
          <w:bCs/>
          <w:sz w:val="28"/>
          <w:szCs w:val="28"/>
          <w:lang w:eastAsia="es-ES"/>
        </w:rPr>
        <w:t>23 votos por el SÍ y ninguno por el NO</w:t>
      </w:r>
      <w:r w:rsidRPr="007C57D2">
        <w:rPr>
          <w:rStyle w:val="Refdenotaalpie"/>
          <w:rFonts w:ascii="Times New Roman" w:hAnsi="Times New Roman"/>
          <w:b/>
          <w:bCs/>
          <w:sz w:val="28"/>
          <w:szCs w:val="28"/>
          <w:lang w:eastAsia="es-ES"/>
        </w:rPr>
        <w:footnoteReference w:id="79"/>
      </w:r>
      <w:r w:rsidRPr="007C57D2">
        <w:rPr>
          <w:rFonts w:ascii="Times New Roman" w:hAnsi="Times New Roman"/>
          <w:sz w:val="28"/>
          <w:szCs w:val="28"/>
          <w:lang w:eastAsia="es-ES"/>
        </w:rPr>
        <w:t>. En consecuencia, los artículos 1, 4, 7, 8, 12, 13 y 15 fueron aprobados mediante votación nominal y pública</w:t>
      </w:r>
      <w:r w:rsidRPr="007C57D2">
        <w:rPr>
          <w:rStyle w:val="Refdenotaalpie"/>
          <w:rFonts w:ascii="Times New Roman" w:hAnsi="Times New Roman"/>
          <w:sz w:val="28"/>
          <w:szCs w:val="28"/>
          <w:lang w:eastAsia="es-ES"/>
        </w:rPr>
        <w:footnoteReference w:id="80"/>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mayoría absoluta requerida.</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En seguida, </w:t>
      </w:r>
      <w:r w:rsidRPr="007C57D2">
        <w:rPr>
          <w:rFonts w:ascii="Times New Roman" w:hAnsi="Times New Roman"/>
          <w:sz w:val="28"/>
          <w:szCs w:val="28"/>
          <w:lang w:eastAsia="es-ES"/>
        </w:rPr>
        <w:t>la Presidencia</w:t>
      </w:r>
      <w:r w:rsidRPr="007C57D2">
        <w:rPr>
          <w:rFonts w:ascii="Times New Roman" w:hAnsi="Times New Roman"/>
          <w:sz w:val="28"/>
          <w:szCs w:val="28"/>
          <w:lang w:eastAsia="es-ES"/>
        </w:rPr>
        <w:t xml:space="preserve"> anunció la votación de un segundo bloque de ocho artículos con proposiciones aditivas, modificativas y supresivas avaladas: 2, 3, 5, 6, 9, 10, 11 y 14. La </w:t>
      </w:r>
      <w:r w:rsidRPr="007C57D2">
        <w:rPr>
          <w:rFonts w:ascii="Times New Roman" w:hAnsi="Times New Roman"/>
          <w:sz w:val="28"/>
          <w:szCs w:val="28"/>
          <w:lang w:eastAsia="es-ES"/>
        </w:rPr>
        <w:t>Secretaría</w:t>
      </w:r>
      <w:r w:rsidRPr="007C57D2">
        <w:rPr>
          <w:rFonts w:ascii="Times New Roman" w:hAnsi="Times New Roman"/>
          <w:sz w:val="28"/>
          <w:szCs w:val="28"/>
          <w:lang w:eastAsia="es-ES"/>
        </w:rPr>
        <w:t xml:space="preserve"> dio lectura a las proposi</w:t>
      </w:r>
      <w:r w:rsidRPr="007C57D2">
        <w:rPr>
          <w:rFonts w:ascii="Times New Roman" w:hAnsi="Times New Roman"/>
          <w:sz w:val="28"/>
          <w:szCs w:val="28"/>
          <w:lang w:eastAsia="es-ES"/>
        </w:rPr>
        <w:t xml:space="preserve">ciones y, al concluir, llamó a lista para la votación. El resultado fue de </w:t>
      </w:r>
      <w:r w:rsidRPr="007C57D2">
        <w:rPr>
          <w:rFonts w:ascii="Times New Roman" w:hAnsi="Times New Roman"/>
          <w:b/>
          <w:bCs/>
          <w:sz w:val="28"/>
          <w:szCs w:val="28"/>
          <w:lang w:eastAsia="es-ES"/>
        </w:rPr>
        <w:t>23 votos por el SÍ y ninguno por el NO</w:t>
      </w:r>
      <w:r w:rsidRPr="007C57D2">
        <w:rPr>
          <w:rStyle w:val="Refdenotaalpie"/>
          <w:rFonts w:ascii="Times New Roman" w:hAnsi="Times New Roman"/>
          <w:b/>
          <w:bCs/>
          <w:sz w:val="28"/>
          <w:szCs w:val="28"/>
          <w:lang w:eastAsia="es-ES"/>
        </w:rPr>
        <w:footnoteReference w:id="81"/>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En consecuencia, los artículos 2, 3, 5, 6, 9, 10, 11 y 14 con sus respectivas proposiciones fueron aprobados mediante votación nominal y púb</w:t>
      </w:r>
      <w:r w:rsidRPr="007C57D2">
        <w:rPr>
          <w:rFonts w:ascii="Times New Roman" w:hAnsi="Times New Roman"/>
          <w:sz w:val="28"/>
          <w:szCs w:val="28"/>
          <w:lang w:eastAsia="es-ES"/>
        </w:rPr>
        <w:t>lica</w:t>
      </w:r>
      <w:r w:rsidRPr="007C57D2">
        <w:rPr>
          <w:rStyle w:val="Refdenotaalpie"/>
          <w:rFonts w:ascii="Times New Roman" w:hAnsi="Times New Roman"/>
          <w:sz w:val="28"/>
          <w:szCs w:val="28"/>
          <w:lang w:eastAsia="es-ES"/>
        </w:rPr>
        <w:footnoteReference w:id="82"/>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mayoría absoluta necesaria.</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A continuación, se presenta </w:t>
      </w:r>
      <w:r w:rsidRPr="007C57D2">
        <w:rPr>
          <w:rFonts w:ascii="Times New Roman" w:hAnsi="Times New Roman"/>
          <w:sz w:val="28"/>
          <w:szCs w:val="28"/>
          <w:lang w:eastAsia="es-ES"/>
        </w:rPr>
        <w:t>una tabla</w:t>
      </w:r>
      <w:r w:rsidRPr="007C57D2">
        <w:rPr>
          <w:rFonts w:ascii="Times New Roman" w:hAnsi="Times New Roman"/>
          <w:sz w:val="28"/>
          <w:szCs w:val="28"/>
          <w:lang w:eastAsia="es-ES"/>
        </w:rPr>
        <w:t xml:space="preserve"> que resume las proposiciones </w:t>
      </w:r>
      <w:r w:rsidRPr="007C57D2">
        <w:rPr>
          <w:rFonts w:ascii="Times New Roman" w:hAnsi="Times New Roman"/>
          <w:sz w:val="28"/>
          <w:szCs w:val="28"/>
          <w:lang w:eastAsia="es-ES"/>
        </w:rPr>
        <w:t>aprobadas</w:t>
      </w:r>
      <w:r w:rsidRPr="007C57D2">
        <w:rPr>
          <w:rFonts w:ascii="Times New Roman" w:hAnsi="Times New Roman"/>
          <w:sz w:val="28"/>
          <w:szCs w:val="28"/>
          <w:lang w:eastAsia="es-ES"/>
        </w:rPr>
        <w:t xml:space="preserve">, su contenido y el resultado de la votación: </w:t>
      </w:r>
    </w:p>
    <w:p w:rsidR="004E3E5E" w:rsidRPr="007C57D2" w:rsidRDefault="007C57D2" w:rsidP="008F3DAB">
      <w:pPr>
        <w:pStyle w:val="Prrafodelista"/>
        <w:rPr>
          <w:rFonts w:ascii="Times New Roman" w:hAnsi="Times New Roman"/>
          <w:sz w:val="28"/>
          <w:szCs w:val="2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70"/>
        <w:gridCol w:w="2309"/>
        <w:gridCol w:w="2102"/>
        <w:gridCol w:w="1775"/>
        <w:gridCol w:w="1572"/>
      </w:tblGrid>
      <w:tr w:rsidR="00A0085A" w:rsidRPr="007C57D2" w:rsidTr="007C57D2">
        <w:tc>
          <w:tcPr>
            <w:tcW w:w="8828" w:type="dxa"/>
            <w:gridSpan w:val="5"/>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Bloque 2</w:t>
            </w:r>
          </w:p>
        </w:tc>
      </w:tr>
      <w:tr w:rsidR="007C57D2" w:rsidRPr="007C57D2" w:rsidTr="007C57D2">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Autor(es) </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r w:rsidRPr="007C57D2">
              <w:rPr>
                <w:rStyle w:val="Refdenotaalpie"/>
                <w:rFonts w:ascii="Times New Roman" w:hAnsi="Times New Roman"/>
                <w:b/>
                <w:bCs/>
                <w:sz w:val="28"/>
                <w:lang w:eastAsia="es-ES"/>
              </w:rPr>
              <w:footnoteReference w:id="83"/>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Contenido</w:t>
            </w:r>
          </w:p>
        </w:tc>
        <w:tc>
          <w:tcPr>
            <w:tcW w:w="1572" w:type="dxa"/>
            <w:shd w:val="clear" w:color="auto" w:fill="auto"/>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Votación Sí/No</w:t>
            </w:r>
          </w:p>
        </w:tc>
      </w:tr>
      <w:tr w:rsidR="007C57D2" w:rsidRPr="007C57D2" w:rsidTr="007C57D2">
        <w:tc>
          <w:tcPr>
            <w:tcW w:w="1070"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2</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Juan Sebastián </w:t>
            </w:r>
            <w:r w:rsidRPr="007C57D2">
              <w:rPr>
                <w:rFonts w:ascii="Times New Roman" w:hAnsi="Times New Roman"/>
                <w:sz w:val="28"/>
                <w:lang w:eastAsia="es-ES"/>
              </w:rPr>
              <w:t>Gómez González</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 c)</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Personas llamadas a reportar</w:t>
            </w:r>
          </w:p>
        </w:tc>
        <w:tc>
          <w:tcPr>
            <w:tcW w:w="1572"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23/0</w:t>
            </w:r>
          </w:p>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Proposiciones aprobadas</w:t>
            </w: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lit. h)</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Autorización y divulgación del tratamiento de datos biométricos y personales de niños y niñas</w:t>
            </w:r>
          </w:p>
        </w:tc>
        <w:tc>
          <w:tcPr>
            <w:tcW w:w="1572" w:type="dxa"/>
            <w:vMerge/>
            <w:shd w:val="clear" w:color="auto" w:fill="auto"/>
          </w:tcPr>
          <w:p w:rsidR="004E3E5E" w:rsidRPr="007C57D2" w:rsidRDefault="007C57D2" w:rsidP="007C57D2">
            <w:pPr>
              <w:pStyle w:val="Prrafodelista"/>
              <w:tabs>
                <w:tab w:val="left" w:pos="567"/>
              </w:tabs>
              <w:ind w:left="0"/>
              <w:jc w:val="both"/>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Heráclito Landíndez Suárez</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w:t>
            </w:r>
            <w:r w:rsidRPr="007C57D2">
              <w:rPr>
                <w:rFonts w:ascii="Times New Roman" w:hAnsi="Times New Roman"/>
                <w:sz w:val="28"/>
                <w:lang w:eastAsia="es-ES"/>
              </w:rPr>
              <w:t xml:space="preserve"> c)</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Personas llamadas a reportar</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 e)</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Definiciones: Alerta Colombia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3</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Heráclito Landíndez Suárez</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Modificación </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Autorización para activar la Alerta Colombia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Juan Daniel Peñuela Calvache</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inc. 1º</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Autorización para activar la</w:t>
            </w:r>
            <w:r w:rsidRPr="007C57D2">
              <w:rPr>
                <w:rFonts w:ascii="Times New Roman" w:hAnsi="Times New Roman"/>
                <w:sz w:val="28"/>
                <w:lang w:eastAsia="es-ES"/>
              </w:rPr>
              <w:t xml:space="preserve"> Alerta Colombia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5</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Juan Manuel Cortés Dueñas</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al inc. 1º</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Plataforma para denunciar</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Duvalier Sánchez Arango</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parágrafo</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Plataforma para denunciar</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6</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Andrés Felipe Jiménez Vargas</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inc. 1º y adición par. 3º</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Divulgación</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9</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Juan Sebastián Gómez González</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 d)</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Activación de la Alerta Colombia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 Juan Manuel Cortés Dueñas</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lit. d)</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Activación de la Alerta Colombia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Heráclito Landíndez Suárez</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 e)</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Activación de la Alerta Colombia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Pedro José Suárez Vacca</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rPr>
              <w:t>Modificación lit. a)</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Activación de la Alerta Colombia (edad del niño o niña)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10</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Álvaro Rueda Caballero</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 e)</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Procedimiento para la difusión de la alerta: tiempo de permanencia en pantalla</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Heráclito Landíndez </w:t>
            </w:r>
            <w:r w:rsidRPr="007C57D2">
              <w:rPr>
                <w:rFonts w:ascii="Times New Roman" w:hAnsi="Times New Roman"/>
                <w:sz w:val="28"/>
                <w:lang w:eastAsia="es-ES"/>
              </w:rPr>
              <w:t>Suárez</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lit. d)</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Procedimiento para la difusión de la alerta: comunicación a países fronterizos</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11</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Andrés Felipe Jiménez Vargas</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inc. 1º y parágrafo</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Zona de difusión</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14</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Andrés Felipe Jiménez Vargas</w:t>
            </w:r>
          </w:p>
        </w:tc>
        <w:tc>
          <w:tcPr>
            <w:tcW w:w="2102"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y supresión</w:t>
            </w:r>
          </w:p>
        </w:tc>
        <w:tc>
          <w:tcPr>
            <w:tcW w:w="1775"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Autorización para reglamentar</w:t>
            </w:r>
          </w:p>
        </w:tc>
        <w:tc>
          <w:tcPr>
            <w:tcW w:w="1572"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bl>
    <w:p w:rsidR="004E3E5E" w:rsidRPr="007C57D2" w:rsidRDefault="007C57D2" w:rsidP="008F3DAB">
      <w:pPr>
        <w:spacing w:after="0" w:line="240" w:lineRule="auto"/>
        <w:jc w:val="center"/>
        <w:rPr>
          <w:rFonts w:ascii="Times New Roman" w:hAnsi="Times New Roman"/>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4</w:t>
      </w:r>
      <w:r w:rsidRPr="007C57D2">
        <w:rPr>
          <w:rFonts w:ascii="Times New Roman" w:hAnsi="Times New Roman"/>
          <w:sz w:val="28"/>
          <w:lang w:eastAsia="es-ES"/>
        </w:rPr>
        <w:t xml:space="preserve">. </w:t>
      </w:r>
      <w:r w:rsidRPr="007C57D2">
        <w:rPr>
          <w:rFonts w:ascii="Times New Roman" w:hAnsi="Times New Roman"/>
          <w:i/>
          <w:iCs/>
          <w:sz w:val="28"/>
          <w:lang w:eastAsia="es-ES"/>
        </w:rPr>
        <w:t>Proposiciones</w:t>
      </w:r>
      <w:r w:rsidRPr="007C57D2">
        <w:rPr>
          <w:rFonts w:ascii="Times New Roman" w:hAnsi="Times New Roman"/>
          <w:sz w:val="28"/>
          <w:lang w:eastAsia="es-ES"/>
        </w:rPr>
        <w:t>.</w:t>
      </w:r>
    </w:p>
    <w:p w:rsidR="00DE7DEE" w:rsidRPr="007C57D2" w:rsidRDefault="007C57D2" w:rsidP="008F3DAB">
      <w:pPr>
        <w:spacing w:after="0" w:line="240" w:lineRule="auto"/>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Finalmente, la Comisión Primera Constitucional Permanente de la Cámara de Representantes aprobó con </w:t>
      </w:r>
      <w:r w:rsidRPr="007C57D2">
        <w:rPr>
          <w:rFonts w:ascii="Times New Roman" w:hAnsi="Times New Roman"/>
          <w:b/>
          <w:bCs/>
          <w:sz w:val="28"/>
          <w:szCs w:val="28"/>
          <w:lang w:eastAsia="es-ES"/>
        </w:rPr>
        <w:t>22 votos por el SÍ y ninguno por el NO</w:t>
      </w:r>
      <w:r w:rsidRPr="007C57D2">
        <w:rPr>
          <w:rStyle w:val="Refdenotaalpie"/>
          <w:rFonts w:ascii="Times New Roman" w:hAnsi="Times New Roman"/>
          <w:b/>
          <w:bCs/>
          <w:sz w:val="28"/>
          <w:szCs w:val="28"/>
          <w:lang w:eastAsia="es-ES"/>
        </w:rPr>
        <w:footnoteReference w:id="84"/>
      </w:r>
      <w:r w:rsidRPr="007C57D2">
        <w:rPr>
          <w:rFonts w:ascii="Times New Roman" w:hAnsi="Times New Roman"/>
          <w:sz w:val="28"/>
          <w:szCs w:val="28"/>
          <w:lang w:eastAsia="es-ES"/>
        </w:rPr>
        <w:t xml:space="preserve"> el título y la pregunta respecto de si los congresistas deseaban que este </w:t>
      </w:r>
      <w:r w:rsidRPr="007C57D2">
        <w:rPr>
          <w:rFonts w:ascii="Times New Roman" w:hAnsi="Times New Roman"/>
          <w:sz w:val="28"/>
          <w:szCs w:val="28"/>
          <w:lang w:eastAsia="es-ES"/>
        </w:rPr>
        <w:t>PLE</w:t>
      </w:r>
      <w:r w:rsidRPr="007C57D2">
        <w:rPr>
          <w:rFonts w:ascii="Times New Roman" w:hAnsi="Times New Roman"/>
          <w:sz w:val="28"/>
          <w:szCs w:val="28"/>
          <w:lang w:eastAsia="es-ES"/>
        </w:rPr>
        <w:t xml:space="preserve"> fuese ley de la República</w:t>
      </w:r>
      <w:r w:rsidRPr="007C57D2">
        <w:rPr>
          <w:rFonts w:ascii="Times New Roman" w:hAnsi="Times New Roman"/>
          <w:sz w:val="28"/>
          <w:szCs w:val="28"/>
          <w:lang w:eastAsia="es-ES"/>
        </w:rPr>
        <w:t>, mediante votación nominal y pública</w:t>
      </w:r>
      <w:r w:rsidRPr="007C57D2">
        <w:rPr>
          <w:rStyle w:val="Refdenotaalpie"/>
          <w:rFonts w:ascii="Times New Roman" w:hAnsi="Times New Roman"/>
          <w:sz w:val="28"/>
          <w:szCs w:val="28"/>
          <w:lang w:eastAsia="es-ES"/>
        </w:rPr>
        <w:footnoteReference w:id="85"/>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mayoría absoluta necesaria</w:t>
      </w:r>
      <w:r w:rsidRPr="007C57D2">
        <w:rPr>
          <w:rFonts w:ascii="Times New Roman" w:hAnsi="Times New Roman"/>
          <w:sz w:val="28"/>
          <w:szCs w:val="28"/>
          <w:lang w:eastAsia="es-ES"/>
        </w:rPr>
        <w:t>.</w:t>
      </w:r>
    </w:p>
    <w:p w:rsidR="004E3E5E" w:rsidRPr="007C57D2" w:rsidRDefault="007C57D2" w:rsidP="008F3DAB">
      <w:pPr>
        <w:tabs>
          <w:tab w:val="left" w:pos="360"/>
        </w:tabs>
        <w:spacing w:after="0" w:line="240" w:lineRule="auto"/>
        <w:jc w:val="both"/>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Publicación oficial del texto aprobado en primer debate</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El texto definitivo</w:t>
      </w:r>
      <w:r w:rsidRPr="007C57D2">
        <w:rPr>
          <w:rFonts w:ascii="Times New Roman" w:hAnsi="Times New Roman"/>
          <w:sz w:val="28"/>
          <w:szCs w:val="28"/>
          <w:lang w:eastAsia="es-ES"/>
        </w:rPr>
        <w:t xml:space="preserve"> aprobado en la Comisión Primera Constitucional Permanente de la Cámara de Representantes fue publicado en la Gaceta del Congreso </w:t>
      </w:r>
      <w:r w:rsidRPr="007C57D2">
        <w:rPr>
          <w:rFonts w:ascii="Times New Roman" w:hAnsi="Times New Roman"/>
          <w:sz w:val="28"/>
          <w:szCs w:val="28"/>
          <w:lang w:eastAsia="es-MX"/>
        </w:rPr>
        <w:t xml:space="preserve">n.º </w:t>
      </w:r>
      <w:r w:rsidRPr="007C57D2">
        <w:rPr>
          <w:rFonts w:ascii="Times New Roman" w:hAnsi="Times New Roman"/>
          <w:sz w:val="28"/>
          <w:szCs w:val="28"/>
          <w:lang w:eastAsia="es-ES"/>
        </w:rPr>
        <w:t>1675 del 28 de noviembre de 2023</w:t>
      </w:r>
      <w:r w:rsidRPr="007C57D2">
        <w:rPr>
          <w:rStyle w:val="Refdenotaalpie"/>
          <w:rFonts w:ascii="Times New Roman" w:hAnsi="Times New Roman"/>
          <w:sz w:val="28"/>
          <w:szCs w:val="28"/>
          <w:lang w:eastAsia="es-ES"/>
        </w:rPr>
        <w:footnoteReference w:id="86"/>
      </w:r>
      <w:r w:rsidRPr="007C57D2">
        <w:rPr>
          <w:rFonts w:ascii="Times New Roman" w:hAnsi="Times New Roman"/>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Conclusión.</w:t>
      </w:r>
      <w:r w:rsidRPr="007C57D2">
        <w:rPr>
          <w:rFonts w:ascii="Times New Roman" w:hAnsi="Times New Roman"/>
          <w:sz w:val="28"/>
          <w:szCs w:val="28"/>
          <w:lang w:eastAsia="es-ES"/>
        </w:rPr>
        <w:t xml:space="preserve"> La Corte observa que, en el primer debate del PLE adelantado en la Comisión Primera Constitucional Permanente de la Cámara de Representantes, se cumplieron los requisitos procedimentales relativos a la presentación y publicación del informe de ponencia, e</w:t>
      </w:r>
      <w:r w:rsidRPr="007C57D2">
        <w:rPr>
          <w:rFonts w:ascii="Times New Roman" w:hAnsi="Times New Roman"/>
          <w:sz w:val="28"/>
          <w:szCs w:val="28"/>
          <w:lang w:eastAsia="es-ES"/>
        </w:rPr>
        <w:t xml:space="preserve">l anuncio previo, el </w:t>
      </w:r>
      <w:r w:rsidRPr="007C57D2">
        <w:rPr>
          <w:rFonts w:ascii="Times New Roman" w:hAnsi="Times New Roman"/>
          <w:i/>
          <w:iCs/>
          <w:sz w:val="28"/>
          <w:szCs w:val="28"/>
          <w:lang w:eastAsia="es-ES"/>
        </w:rPr>
        <w:t xml:space="preserve">quorum </w:t>
      </w:r>
      <w:r w:rsidRPr="007C57D2">
        <w:rPr>
          <w:rFonts w:ascii="Times New Roman" w:hAnsi="Times New Roman"/>
          <w:sz w:val="28"/>
          <w:szCs w:val="28"/>
          <w:lang w:eastAsia="es-ES"/>
        </w:rPr>
        <w:t>deliberatorio y decisorio, la votación nominal y pública</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la mayoría absoluta y la publicación del texto aprobado, conforme a lo exigido en la Constitución y en la Ley 5 de 1992. La siguiente tabla sinte</w:t>
      </w:r>
      <w:r w:rsidRPr="007C57D2">
        <w:rPr>
          <w:rFonts w:ascii="Times New Roman" w:hAnsi="Times New Roman"/>
          <w:sz w:val="28"/>
          <w:szCs w:val="28"/>
          <w:lang w:eastAsia="es-ES"/>
        </w:rPr>
        <w:t>t</w:t>
      </w:r>
      <w:r w:rsidRPr="007C57D2">
        <w:rPr>
          <w:rFonts w:ascii="Times New Roman" w:hAnsi="Times New Roman"/>
          <w:sz w:val="28"/>
          <w:szCs w:val="28"/>
          <w:lang w:eastAsia="es-ES"/>
        </w:rPr>
        <w:t xml:space="preserve">iza dichos aspectos: </w:t>
      </w:r>
    </w:p>
    <w:p w:rsidR="004E3E5E" w:rsidRPr="007C57D2" w:rsidRDefault="007C57D2" w:rsidP="008F3DAB">
      <w:pPr>
        <w:pStyle w:val="Prrafodelista"/>
        <w:tabs>
          <w:tab w:val="left" w:pos="360"/>
        </w:tabs>
        <w:ind w:left="0"/>
        <w:jc w:val="both"/>
        <w:rPr>
          <w:rFonts w:ascii="Times New Roman" w:hAnsi="Times New Roman"/>
          <w:sz w:val="28"/>
          <w:szCs w:val="2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2942"/>
        <w:gridCol w:w="4566"/>
        <w:gridCol w:w="1320"/>
      </w:tblGrid>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P</w:t>
            </w:r>
            <w:r w:rsidRPr="007C57D2">
              <w:rPr>
                <w:rFonts w:ascii="Times New Roman" w:hAnsi="Times New Roman"/>
                <w:b/>
                <w:bCs/>
                <w:sz w:val="28"/>
                <w:lang w:eastAsia="es-ES"/>
              </w:rPr>
              <w:t>rimer debate</w:t>
            </w:r>
          </w:p>
        </w:tc>
      </w:tr>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Comisión Primera Constitucional Permanente de la Cámara de Representantes</w:t>
            </w:r>
          </w:p>
        </w:tc>
      </w:tr>
      <w:tr w:rsidR="007C57D2" w:rsidRPr="007C57D2" w:rsidTr="007C57D2">
        <w:tc>
          <w:tcPr>
            <w:tcW w:w="2942"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Requisito</w:t>
            </w:r>
          </w:p>
        </w:tc>
        <w:tc>
          <w:tcPr>
            <w:tcW w:w="4566"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Detalle</w:t>
            </w:r>
          </w:p>
        </w:tc>
        <w:tc>
          <w:tcPr>
            <w:tcW w:w="1320"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Resultado</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texto original y exposición de motivos</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 xml:space="preserve">n.º </w:t>
            </w:r>
            <w:r w:rsidRPr="007C57D2">
              <w:rPr>
                <w:rFonts w:ascii="Times New Roman" w:hAnsi="Times New Roman"/>
                <w:sz w:val="28"/>
                <w:lang w:val="es-ES_tradnl" w:eastAsia="es-ES"/>
              </w:rPr>
              <w:t>1439 del 10 de octubre de 2023 (p. 1-7)</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Publicación </w:t>
            </w:r>
            <w:r w:rsidRPr="007C57D2">
              <w:rPr>
                <w:rFonts w:ascii="Times New Roman" w:hAnsi="Times New Roman"/>
                <w:sz w:val="28"/>
                <w:lang w:eastAsia="es-ES"/>
              </w:rPr>
              <w:t>informe de ponencia positiva</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val="es-ES_tradnl"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 xml:space="preserve">n.º </w:t>
            </w:r>
            <w:r w:rsidRPr="007C57D2">
              <w:rPr>
                <w:rFonts w:ascii="Times New Roman" w:hAnsi="Times New Roman"/>
                <w:sz w:val="28"/>
                <w:lang w:val="es-ES_tradnl" w:eastAsia="es-ES"/>
              </w:rPr>
              <w:t>1495 del 26 de octubre de 2023 (p. 1-11)</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Anuncio previo</w:t>
            </w:r>
          </w:p>
        </w:tc>
        <w:tc>
          <w:tcPr>
            <w:tcW w:w="4566"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Acta 18 del 1 de noviembre de 2023 </w:t>
            </w:r>
          </w:p>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 xml:space="preserve">n.º </w:t>
            </w:r>
            <w:r w:rsidRPr="007C57D2">
              <w:rPr>
                <w:rFonts w:ascii="Times New Roman" w:hAnsi="Times New Roman"/>
                <w:sz w:val="28"/>
                <w:lang w:val="es-ES_tradnl" w:eastAsia="es-ES"/>
              </w:rPr>
              <w:t>1682 del 29 de noviembre de 2023 (p. 33)</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Debate y aprobación</w:t>
            </w:r>
          </w:p>
        </w:tc>
        <w:tc>
          <w:tcPr>
            <w:tcW w:w="4566"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Acta 19 de</w:t>
            </w:r>
            <w:r w:rsidRPr="007C57D2">
              <w:rPr>
                <w:rFonts w:ascii="Times New Roman" w:hAnsi="Times New Roman"/>
                <w:sz w:val="28"/>
                <w:lang w:eastAsia="es-ES"/>
              </w:rPr>
              <w:t xml:space="preserve">l 8 de noviembre de 2023 </w:t>
            </w:r>
          </w:p>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Gaceta del Congreso n.º 1683 del 29 de noviembre de 2023 (p. 23-30)</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deliberatorio</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decisorio</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Votación nominal y pública</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Mayoría exigida</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42"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de</w:t>
            </w:r>
            <w:r w:rsidRPr="007C57D2">
              <w:rPr>
                <w:rFonts w:ascii="Times New Roman" w:hAnsi="Times New Roman"/>
                <w:sz w:val="28"/>
                <w:lang w:eastAsia="es-ES"/>
              </w:rPr>
              <w:t>l</w:t>
            </w:r>
            <w:r w:rsidRPr="007C57D2">
              <w:rPr>
                <w:rFonts w:ascii="Times New Roman" w:hAnsi="Times New Roman"/>
                <w:sz w:val="28"/>
                <w:lang w:eastAsia="es-ES"/>
              </w:rPr>
              <w:t xml:space="preserve"> texto aprobado</w:t>
            </w:r>
          </w:p>
        </w:tc>
        <w:tc>
          <w:tcPr>
            <w:tcW w:w="4566"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Gaceta del Congreso n.º 1675 del 28 de noviembre de 2023 (p. 16-18)</w:t>
            </w:r>
          </w:p>
        </w:tc>
        <w:tc>
          <w:tcPr>
            <w:tcW w:w="132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bl>
    <w:p w:rsidR="004E3E5E" w:rsidRPr="007C57D2" w:rsidRDefault="007C57D2" w:rsidP="008F3DAB">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5</w:t>
      </w:r>
      <w:r w:rsidRPr="007C57D2">
        <w:rPr>
          <w:rFonts w:ascii="Times New Roman" w:hAnsi="Times New Roman"/>
          <w:sz w:val="28"/>
          <w:lang w:eastAsia="es-ES"/>
        </w:rPr>
        <w:t xml:space="preserve">. </w:t>
      </w:r>
      <w:r w:rsidRPr="007C57D2">
        <w:rPr>
          <w:rFonts w:ascii="Times New Roman" w:hAnsi="Times New Roman"/>
          <w:i/>
          <w:iCs/>
          <w:sz w:val="28"/>
          <w:lang w:eastAsia="es-ES"/>
        </w:rPr>
        <w:t xml:space="preserve">Primer debate: </w:t>
      </w:r>
      <w:r w:rsidRPr="007C57D2">
        <w:rPr>
          <w:rFonts w:ascii="Times New Roman" w:hAnsi="Times New Roman"/>
          <w:i/>
          <w:iCs/>
          <w:sz w:val="28"/>
          <w:lang w:eastAsia="es-ES"/>
        </w:rPr>
        <w:t>Comisión Primera Constitucional Permanente de la Cámara de</w:t>
      </w:r>
      <w:r w:rsidRPr="007C57D2">
        <w:rPr>
          <w:rFonts w:ascii="Times New Roman" w:hAnsi="Times New Roman"/>
          <w:i/>
          <w:iCs/>
          <w:sz w:val="28"/>
          <w:lang w:eastAsia="es-ES"/>
        </w:rPr>
        <w:t xml:space="preserve"> Representantes</w:t>
      </w:r>
      <w:r w:rsidRPr="007C57D2">
        <w:rPr>
          <w:rFonts w:ascii="Times New Roman" w:hAnsi="Times New Roman"/>
          <w:sz w:val="28"/>
          <w:lang w:eastAsia="es-ES"/>
        </w:rPr>
        <w:t>.</w:t>
      </w:r>
    </w:p>
    <w:p w:rsidR="00044BAC" w:rsidRPr="007C57D2" w:rsidRDefault="007C57D2" w:rsidP="008F3DAB">
      <w:pPr>
        <w:pStyle w:val="Prrafodelista"/>
        <w:tabs>
          <w:tab w:val="left" w:pos="360"/>
        </w:tabs>
        <w:ind w:left="0"/>
        <w:jc w:val="both"/>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Designación de ponentes y publicación del informe de ponencia para segundo debate</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Antes de finalizar la sesión del 8 de noviembre de 2023, </w:t>
      </w:r>
      <w:r w:rsidRPr="007C57D2">
        <w:rPr>
          <w:rFonts w:ascii="Times New Roman" w:hAnsi="Times New Roman"/>
          <w:sz w:val="28"/>
          <w:szCs w:val="28"/>
          <w:lang w:eastAsia="es-ES"/>
        </w:rPr>
        <w:t xml:space="preserve">la Presidencia </w:t>
      </w:r>
      <w:r w:rsidRPr="007C57D2">
        <w:rPr>
          <w:rFonts w:ascii="Times New Roman" w:hAnsi="Times New Roman"/>
          <w:sz w:val="28"/>
          <w:szCs w:val="28"/>
          <w:lang w:eastAsia="es-ES"/>
        </w:rPr>
        <w:t xml:space="preserve">de la Cámara de Representantes designó al representante </w:t>
      </w:r>
      <w:r w:rsidRPr="007C57D2">
        <w:rPr>
          <w:rFonts w:ascii="Times New Roman" w:hAnsi="Times New Roman"/>
          <w:sz w:val="28"/>
          <w:szCs w:val="28"/>
          <w:lang w:eastAsia="es-MX"/>
        </w:rPr>
        <w:t xml:space="preserve">Carlos Adolfo Ardila </w:t>
      </w:r>
      <w:r w:rsidRPr="007C57D2">
        <w:rPr>
          <w:rFonts w:ascii="Times New Roman" w:hAnsi="Times New Roman"/>
          <w:sz w:val="28"/>
          <w:szCs w:val="28"/>
          <w:lang w:eastAsia="es-MX"/>
        </w:rPr>
        <w:t>Espinosa</w:t>
      </w:r>
      <w:r w:rsidRPr="007C57D2">
        <w:rPr>
          <w:rFonts w:ascii="Times New Roman" w:hAnsi="Times New Roman"/>
          <w:sz w:val="28"/>
          <w:szCs w:val="28"/>
          <w:lang w:eastAsia="es-ES"/>
        </w:rPr>
        <w:t xml:space="preserve"> como ponente único para el segundo debate del PLE en la Plenaria de esa </w:t>
      </w:r>
      <w:r w:rsidRPr="007C57D2">
        <w:rPr>
          <w:rFonts w:ascii="Times New Roman" w:hAnsi="Times New Roman"/>
          <w:sz w:val="28"/>
          <w:szCs w:val="28"/>
          <w:lang w:eastAsia="es-ES"/>
        </w:rPr>
        <w:t>Corporación</w:t>
      </w:r>
      <w:r w:rsidRPr="007C57D2">
        <w:rPr>
          <w:rStyle w:val="Refdenotaalpie"/>
          <w:rFonts w:ascii="Times New Roman" w:hAnsi="Times New Roman"/>
          <w:sz w:val="28"/>
          <w:szCs w:val="28"/>
          <w:lang w:eastAsia="es-MX"/>
        </w:rPr>
        <w:footnoteReference w:id="87"/>
      </w:r>
      <w:r w:rsidRPr="007C57D2">
        <w:rPr>
          <w:rFonts w:ascii="Times New Roman" w:hAnsi="Times New Roman"/>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El 27 de noviembre de 2023, el ponente designado radicó ante la Secretaría de la Comisión Primera Constitucional Permanente el informe de ponencia positiva para</w:t>
      </w:r>
      <w:r w:rsidRPr="007C57D2">
        <w:rPr>
          <w:rFonts w:ascii="Times New Roman" w:hAnsi="Times New Roman"/>
          <w:sz w:val="28"/>
          <w:szCs w:val="28"/>
          <w:lang w:eastAsia="es-ES"/>
        </w:rPr>
        <w:t xml:space="preserve"> segundo debate, acompañado del pliego de modificaciones. Posteriormente, dicho informe fue publicado en la Gaceta del Congreso </w:t>
      </w:r>
      <w:r w:rsidRPr="007C57D2">
        <w:rPr>
          <w:rFonts w:ascii="Times New Roman" w:hAnsi="Times New Roman"/>
          <w:sz w:val="28"/>
          <w:szCs w:val="28"/>
          <w:lang w:eastAsia="es-MX"/>
        </w:rPr>
        <w:t>n.º 1675 del 28 de noviembre de 2023</w:t>
      </w:r>
      <w:r w:rsidRPr="007C57D2">
        <w:rPr>
          <w:rStyle w:val="Refdenotaalpie"/>
          <w:rFonts w:ascii="Times New Roman" w:hAnsi="Times New Roman"/>
          <w:sz w:val="28"/>
          <w:szCs w:val="28"/>
          <w:lang w:eastAsia="es-MX"/>
        </w:rPr>
        <w:footnoteReference w:id="88"/>
      </w:r>
      <w:r w:rsidRPr="007C57D2">
        <w:rPr>
          <w:rFonts w:ascii="Times New Roman" w:hAnsi="Times New Roman"/>
          <w:sz w:val="28"/>
          <w:szCs w:val="28"/>
          <w:lang w:eastAsia="es-MX"/>
        </w:rPr>
        <w:t>.</w:t>
      </w:r>
    </w:p>
    <w:p w:rsidR="000A4A35"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Anuncio previo a la discusión y votación</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bookmarkStart w:id="20" w:name="_Hlk209604210"/>
      <w:r w:rsidRPr="007C57D2">
        <w:rPr>
          <w:rFonts w:ascii="Times New Roman" w:hAnsi="Times New Roman"/>
          <w:sz w:val="28"/>
          <w:szCs w:val="28"/>
          <w:lang w:eastAsia="es-ES"/>
        </w:rPr>
        <w:t xml:space="preserve">Conforme al </w:t>
      </w:r>
      <w:r w:rsidRPr="007C57D2">
        <w:rPr>
          <w:rFonts w:ascii="Times New Roman" w:hAnsi="Times New Roman"/>
          <w:b/>
          <w:bCs/>
          <w:sz w:val="28"/>
          <w:szCs w:val="28"/>
          <w:lang w:eastAsia="es-ES"/>
        </w:rPr>
        <w:t xml:space="preserve">Acta </w:t>
      </w:r>
      <w:r w:rsidRPr="007C57D2">
        <w:rPr>
          <w:rFonts w:ascii="Times New Roman" w:hAnsi="Times New Roman"/>
          <w:b/>
          <w:bCs/>
          <w:sz w:val="28"/>
          <w:szCs w:val="28"/>
          <w:lang w:eastAsia="es-MX"/>
        </w:rPr>
        <w:t xml:space="preserve">n.º 131 </w:t>
      </w:r>
      <w:r w:rsidRPr="007C57D2">
        <w:rPr>
          <w:rFonts w:ascii="Times New Roman" w:hAnsi="Times New Roman"/>
          <w:sz w:val="28"/>
          <w:szCs w:val="28"/>
          <w:lang w:eastAsia="es-MX"/>
        </w:rPr>
        <w:t xml:space="preserve">del 15 de abril de </w:t>
      </w:r>
      <w:r w:rsidRPr="007C57D2">
        <w:rPr>
          <w:rFonts w:ascii="Times New Roman" w:hAnsi="Times New Roman"/>
          <w:sz w:val="28"/>
          <w:szCs w:val="28"/>
          <w:lang w:eastAsia="es-MX"/>
        </w:rPr>
        <w:t>2024, publicada en la Gaceta del Congreso n.º 1052 del 26 de julio de 2024</w:t>
      </w:r>
      <w:r w:rsidRPr="007C57D2">
        <w:rPr>
          <w:rStyle w:val="Refdenotaalpie"/>
          <w:rFonts w:ascii="Times New Roman" w:hAnsi="Times New Roman"/>
          <w:sz w:val="28"/>
          <w:szCs w:val="28"/>
          <w:lang w:eastAsia="es-MX"/>
        </w:rPr>
        <w:footnoteReference w:id="89"/>
      </w:r>
      <w:r w:rsidRPr="007C57D2">
        <w:rPr>
          <w:rFonts w:ascii="Times New Roman" w:hAnsi="Times New Roman"/>
          <w:sz w:val="28"/>
          <w:szCs w:val="28"/>
          <w:lang w:eastAsia="es-MX"/>
        </w:rPr>
        <w:t xml:space="preserve">, el anuncio del PLE en la Plenaria de la Cámara de Representantes tuvo lugar en la sesión celebrada el </w:t>
      </w:r>
      <w:r w:rsidRPr="007C57D2">
        <w:rPr>
          <w:rFonts w:ascii="Times New Roman" w:hAnsi="Times New Roman"/>
          <w:b/>
          <w:bCs/>
          <w:sz w:val="28"/>
          <w:szCs w:val="28"/>
          <w:lang w:eastAsia="es-MX"/>
        </w:rPr>
        <w:t>15 de abril de 2024</w:t>
      </w:r>
      <w:r w:rsidRPr="007C57D2">
        <w:rPr>
          <w:rStyle w:val="Refdenotaalpie"/>
          <w:rFonts w:ascii="Times New Roman" w:hAnsi="Times New Roman"/>
          <w:sz w:val="28"/>
          <w:szCs w:val="28"/>
          <w:lang w:eastAsia="es-MX"/>
        </w:rPr>
        <w:footnoteReference w:id="90"/>
      </w:r>
      <w:r w:rsidRPr="007C57D2">
        <w:rPr>
          <w:rFonts w:ascii="Times New Roman" w:hAnsi="Times New Roman"/>
          <w:sz w:val="28"/>
          <w:szCs w:val="28"/>
          <w:lang w:eastAsia="es-MX"/>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MX"/>
        </w:rPr>
        <w:t xml:space="preserve">En la citada acta consta que </w:t>
      </w:r>
      <w:r w:rsidRPr="007C57D2">
        <w:rPr>
          <w:rFonts w:ascii="Times New Roman" w:hAnsi="Times New Roman"/>
          <w:sz w:val="28"/>
          <w:szCs w:val="28"/>
          <w:lang w:eastAsia="es-MX"/>
        </w:rPr>
        <w:t xml:space="preserve">la Secretaría </w:t>
      </w:r>
      <w:r w:rsidRPr="007C57D2">
        <w:rPr>
          <w:rFonts w:ascii="Times New Roman" w:hAnsi="Times New Roman"/>
          <w:bCs/>
          <w:sz w:val="28"/>
          <w:szCs w:val="28"/>
          <w:lang w:eastAsia="es-MX"/>
        </w:rPr>
        <w:t>dio lectur</w:t>
      </w:r>
      <w:r w:rsidRPr="007C57D2">
        <w:rPr>
          <w:rFonts w:ascii="Times New Roman" w:hAnsi="Times New Roman"/>
          <w:bCs/>
          <w:sz w:val="28"/>
          <w:szCs w:val="28"/>
          <w:lang w:eastAsia="es-MX"/>
        </w:rPr>
        <w:t xml:space="preserve">a a los proyectos de ley que, por instrucción </w:t>
      </w:r>
      <w:r w:rsidRPr="007C57D2">
        <w:rPr>
          <w:rFonts w:ascii="Times New Roman" w:hAnsi="Times New Roman"/>
          <w:bCs/>
          <w:sz w:val="28"/>
          <w:szCs w:val="28"/>
          <w:lang w:eastAsia="es-MX"/>
        </w:rPr>
        <w:t>de la Presidencia</w:t>
      </w:r>
      <w:r w:rsidRPr="007C57D2">
        <w:rPr>
          <w:rFonts w:ascii="Times New Roman" w:hAnsi="Times New Roman"/>
          <w:bCs/>
          <w:sz w:val="28"/>
          <w:szCs w:val="28"/>
          <w:lang w:eastAsia="es-MX"/>
        </w:rPr>
        <w:t xml:space="preserve">, se someterían a discusión y votación en “la sesión plenaria de mañana </w:t>
      </w:r>
      <w:r w:rsidRPr="007C57D2">
        <w:rPr>
          <w:rFonts w:ascii="Times New Roman" w:hAnsi="Times New Roman"/>
          <w:b/>
          <w:sz w:val="28"/>
          <w:szCs w:val="28"/>
          <w:lang w:eastAsia="es-MX"/>
        </w:rPr>
        <w:t>martes 16 de abril de 2024</w:t>
      </w:r>
      <w:r w:rsidRPr="007C57D2">
        <w:rPr>
          <w:rFonts w:ascii="Times New Roman" w:hAnsi="Times New Roman"/>
          <w:bCs/>
          <w:sz w:val="28"/>
          <w:szCs w:val="28"/>
          <w:lang w:eastAsia="es-MX"/>
        </w:rPr>
        <w:t xml:space="preserve">, a la 1 de la tarde o para la </w:t>
      </w:r>
      <w:r w:rsidRPr="007C57D2">
        <w:rPr>
          <w:rFonts w:ascii="Times New Roman" w:hAnsi="Times New Roman"/>
          <w:b/>
          <w:sz w:val="28"/>
          <w:szCs w:val="28"/>
          <w:lang w:eastAsia="es-MX"/>
        </w:rPr>
        <w:t>siguiente sesión plenaria</w:t>
      </w:r>
      <w:r w:rsidRPr="007C57D2">
        <w:rPr>
          <w:rFonts w:ascii="Times New Roman" w:hAnsi="Times New Roman"/>
          <w:bCs/>
          <w:sz w:val="28"/>
          <w:szCs w:val="28"/>
          <w:lang w:eastAsia="es-MX"/>
        </w:rPr>
        <w:t xml:space="preserve"> donde se debatan proyectos de ley o actos legislativos”, entre ellos, el “Proyecto de Ley Estatutaria número 266 de 2023 Cámara, por medio de la cual se crea y se reglamenta Alerta Colombia, Ley Sara Sofía y se dictan otras disposiciones”. </w:t>
      </w:r>
    </w:p>
    <w:bookmarkEnd w:id="20"/>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Según el </w:t>
      </w:r>
      <w:r w:rsidRPr="007C57D2">
        <w:rPr>
          <w:rFonts w:ascii="Times New Roman" w:hAnsi="Times New Roman"/>
          <w:b/>
          <w:bCs/>
          <w:sz w:val="28"/>
          <w:szCs w:val="28"/>
          <w:lang w:eastAsia="es-ES"/>
        </w:rPr>
        <w:t>Acta</w:t>
      </w:r>
      <w:r w:rsidRPr="007C57D2">
        <w:rPr>
          <w:rFonts w:ascii="Times New Roman" w:hAnsi="Times New Roman"/>
          <w:b/>
          <w:bCs/>
          <w:sz w:val="28"/>
          <w:szCs w:val="28"/>
          <w:lang w:eastAsia="es-ES"/>
        </w:rPr>
        <w:t xml:space="preserve"> </w:t>
      </w:r>
      <w:r w:rsidRPr="007C57D2">
        <w:rPr>
          <w:rFonts w:ascii="Times New Roman" w:hAnsi="Times New Roman"/>
          <w:b/>
          <w:bCs/>
          <w:sz w:val="28"/>
          <w:szCs w:val="28"/>
          <w:lang w:eastAsia="es-MX"/>
        </w:rPr>
        <w:t xml:space="preserve">n.º </w:t>
      </w:r>
      <w:r w:rsidRPr="007C57D2">
        <w:rPr>
          <w:rFonts w:ascii="Times New Roman" w:hAnsi="Times New Roman"/>
          <w:b/>
          <w:bCs/>
          <w:sz w:val="28"/>
          <w:szCs w:val="28"/>
          <w:lang w:eastAsia="es-ES"/>
        </w:rPr>
        <w:t>132 del 16 de abril de 2024</w:t>
      </w:r>
      <w:r w:rsidRPr="007C57D2">
        <w:rPr>
          <w:rFonts w:ascii="Times New Roman" w:hAnsi="Times New Roman"/>
          <w:sz w:val="28"/>
          <w:szCs w:val="28"/>
          <w:lang w:eastAsia="es-ES"/>
        </w:rPr>
        <w:t xml:space="preserve">, publicada en la Gaceta del Congreso </w:t>
      </w:r>
      <w:r w:rsidRPr="007C57D2">
        <w:rPr>
          <w:rFonts w:ascii="Times New Roman" w:hAnsi="Times New Roman"/>
          <w:sz w:val="28"/>
          <w:szCs w:val="28"/>
          <w:lang w:eastAsia="es-MX"/>
        </w:rPr>
        <w:t>n.º</w:t>
      </w:r>
      <w:r w:rsidRPr="007C57D2">
        <w:rPr>
          <w:rFonts w:ascii="Times New Roman" w:hAnsi="Times New Roman"/>
          <w:b/>
          <w:bCs/>
          <w:sz w:val="28"/>
          <w:szCs w:val="28"/>
          <w:lang w:eastAsia="es-MX"/>
        </w:rPr>
        <w:t xml:space="preserve"> </w:t>
      </w:r>
      <w:r w:rsidRPr="007C57D2">
        <w:rPr>
          <w:rFonts w:ascii="Times New Roman" w:hAnsi="Times New Roman"/>
          <w:sz w:val="28"/>
          <w:szCs w:val="28"/>
          <w:lang w:eastAsia="es-MX"/>
        </w:rPr>
        <w:t>1211 del 28 de agosto</w:t>
      </w:r>
      <w:r w:rsidRPr="007C57D2">
        <w:rPr>
          <w:rFonts w:ascii="Times New Roman" w:hAnsi="Times New Roman"/>
          <w:sz w:val="28"/>
          <w:szCs w:val="28"/>
          <w:lang w:eastAsia="es-ES"/>
        </w:rPr>
        <w:t xml:space="preserve"> de 2024</w:t>
      </w:r>
      <w:r w:rsidRPr="007C57D2">
        <w:rPr>
          <w:rStyle w:val="Refdenotaalpie"/>
          <w:rFonts w:ascii="Times New Roman" w:hAnsi="Times New Roman"/>
          <w:sz w:val="28"/>
          <w:szCs w:val="28"/>
          <w:lang w:eastAsia="es-ES"/>
        </w:rPr>
        <w:footnoteReference w:id="91"/>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el</w:t>
      </w:r>
      <w:r w:rsidRPr="007C57D2">
        <w:rPr>
          <w:rFonts w:ascii="Times New Roman" w:hAnsi="Times New Roman"/>
          <w:sz w:val="28"/>
          <w:szCs w:val="28"/>
          <w:lang w:eastAsia="es-ES"/>
        </w:rPr>
        <w:t xml:space="preserve"> debate del proyecto de ley en la Plenaria de la Cámara de Representantes se realizó aquel día</w:t>
      </w:r>
      <w:r w:rsidRPr="007C57D2">
        <w:rPr>
          <w:rStyle w:val="Refdenotaalpie"/>
          <w:rFonts w:ascii="Times New Roman" w:hAnsi="Times New Roman"/>
          <w:sz w:val="28"/>
          <w:szCs w:val="28"/>
          <w:lang w:eastAsia="es-ES"/>
        </w:rPr>
        <w:footnoteReference w:id="92"/>
      </w:r>
      <w:r w:rsidRPr="007C57D2">
        <w:rPr>
          <w:rFonts w:ascii="Times New Roman" w:hAnsi="Times New Roman"/>
          <w:sz w:val="28"/>
          <w:szCs w:val="28"/>
          <w:lang w:eastAsia="es-ES"/>
        </w:rPr>
        <w:t xml:space="preserve">. </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Con fundamento en la información que obra en las Gacetas del Congreso, el número consecutivo de las actas y la fórmula empleada para efectuar el anuncio, la Corte constata </w:t>
      </w:r>
      <w:r w:rsidRPr="007C57D2">
        <w:rPr>
          <w:rFonts w:ascii="Times New Roman" w:hAnsi="Times New Roman"/>
          <w:sz w:val="28"/>
          <w:szCs w:val="28"/>
          <w:lang w:eastAsia="es-ES"/>
        </w:rPr>
        <w:t>lo siguiente:</w:t>
      </w:r>
      <w:r w:rsidRPr="007C57D2">
        <w:rPr>
          <w:rFonts w:ascii="Times New Roman" w:hAnsi="Times New Roman"/>
          <w:sz w:val="28"/>
          <w:szCs w:val="28"/>
          <w:lang w:eastAsia="es-ES"/>
        </w:rPr>
        <w:t xml:space="preserve"> (i) este se realizó en una sesión distinta y anterior a aquella en la </w:t>
      </w:r>
      <w:r w:rsidRPr="007C57D2">
        <w:rPr>
          <w:rFonts w:ascii="Times New Roman" w:hAnsi="Times New Roman"/>
          <w:sz w:val="28"/>
          <w:szCs w:val="28"/>
          <w:lang w:eastAsia="es-ES"/>
        </w:rPr>
        <w:t>cual se llevó a cabo la discusión y votación del PLE; (ii) la fecha de la sesión en la que se debatió y aprobó el PLE fue cierta y determinada; (iii) el proyecto de ley se votó en una sesión distinta en la que fue anunciado, y (iv) no hubo cadena de anunci</w:t>
      </w:r>
      <w:r w:rsidRPr="007C57D2">
        <w:rPr>
          <w:rFonts w:ascii="Times New Roman" w:hAnsi="Times New Roman"/>
          <w:sz w:val="28"/>
          <w:szCs w:val="28"/>
          <w:lang w:eastAsia="es-ES"/>
        </w:rPr>
        <w:t>os.</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Discusión y aprobación del PLE en segundo debate, mayorías y forma de votación</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En este apartado</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la Sala determinará si, en el segundo debate en la Plenaria de la Cámara de Representantes, la aprobación del PLE se efectuó con sujeción a las reglas sobre (i) </w:t>
      </w:r>
      <w:r w:rsidRPr="007C57D2">
        <w:rPr>
          <w:rFonts w:ascii="Times New Roman" w:hAnsi="Times New Roman"/>
          <w:i/>
          <w:iCs/>
          <w:sz w:val="28"/>
          <w:szCs w:val="28"/>
          <w:lang w:eastAsia="es-ES"/>
        </w:rPr>
        <w:t>quorum</w:t>
      </w:r>
      <w:r w:rsidRPr="007C57D2">
        <w:rPr>
          <w:rFonts w:ascii="Times New Roman" w:hAnsi="Times New Roman"/>
          <w:sz w:val="28"/>
          <w:szCs w:val="28"/>
          <w:lang w:eastAsia="es-ES"/>
        </w:rPr>
        <w:t xml:space="preserve"> deliberatorio y decisorio, (ii) votación nominal y pública y (iii) mayoría absoluta.</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A</w:t>
      </w:r>
      <w:r w:rsidRPr="007C57D2">
        <w:rPr>
          <w:rFonts w:ascii="Times New Roman" w:hAnsi="Times New Roman"/>
          <w:sz w:val="28"/>
          <w:szCs w:val="28"/>
          <w:lang w:eastAsia="es-ES"/>
        </w:rPr>
        <w:t xml:space="preserve">l momento de debatirse y aprobarse el PLE en la sesión plenaria del </w:t>
      </w:r>
      <w:r w:rsidRPr="007C57D2">
        <w:rPr>
          <w:rFonts w:ascii="Times New Roman" w:hAnsi="Times New Roman"/>
          <w:b/>
          <w:bCs/>
          <w:sz w:val="28"/>
          <w:szCs w:val="28"/>
          <w:lang w:eastAsia="es-ES"/>
        </w:rPr>
        <w:t>16 de abril de 2024</w:t>
      </w:r>
      <w:r w:rsidRPr="007C57D2">
        <w:rPr>
          <w:rFonts w:ascii="Times New Roman" w:hAnsi="Times New Roman"/>
          <w:sz w:val="28"/>
          <w:szCs w:val="28"/>
          <w:lang w:eastAsia="es-ES"/>
        </w:rPr>
        <w:t xml:space="preserve">, la </w:t>
      </w:r>
      <w:r w:rsidRPr="007C57D2">
        <w:rPr>
          <w:rFonts w:ascii="Times New Roman" w:hAnsi="Times New Roman"/>
          <w:sz w:val="28"/>
          <w:szCs w:val="28"/>
          <w:shd w:val="clear" w:color="auto" w:fill="FFFFFF"/>
        </w:rPr>
        <w:t>Cámara de Representantes estaba conformada por ciento ochenta y siete (187) representantes</w:t>
      </w:r>
      <w:r w:rsidRPr="007C57D2">
        <w:rPr>
          <w:rStyle w:val="Refdenotaalpie"/>
          <w:rFonts w:ascii="Times New Roman" w:hAnsi="Times New Roman"/>
          <w:sz w:val="28"/>
          <w:szCs w:val="28"/>
          <w:shd w:val="clear" w:color="auto" w:fill="FFFFFF"/>
        </w:rPr>
        <w:footnoteReference w:id="93"/>
      </w:r>
      <w:r w:rsidRPr="007C57D2">
        <w:rPr>
          <w:rFonts w:ascii="Times New Roman" w:hAnsi="Times New Roman"/>
          <w:sz w:val="28"/>
          <w:szCs w:val="28"/>
          <w:shd w:val="clear" w:color="auto" w:fill="FFFFFF"/>
        </w:rPr>
        <w:t xml:space="preserve">. Por consiguiente, el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deliberatorio era de cuarenta y siete (47) representantes</w:t>
      </w:r>
      <w:r w:rsidRPr="007C57D2">
        <w:rPr>
          <w:rStyle w:val="Refdenotaalpie"/>
          <w:rFonts w:ascii="Times New Roman" w:hAnsi="Times New Roman"/>
          <w:sz w:val="28"/>
          <w:szCs w:val="28"/>
          <w:shd w:val="clear" w:color="auto" w:fill="FFFFFF"/>
        </w:rPr>
        <w:footnoteReference w:id="94"/>
      </w:r>
      <w:r w:rsidRPr="007C57D2">
        <w:rPr>
          <w:rFonts w:ascii="Times New Roman" w:hAnsi="Times New Roman"/>
          <w:sz w:val="28"/>
          <w:szCs w:val="28"/>
          <w:shd w:val="clear" w:color="auto" w:fill="FFFFFF"/>
        </w:rPr>
        <w:t xml:space="preserve"> y el decisorio de noventa y cuatro (94) representantes</w:t>
      </w:r>
      <w:r w:rsidRPr="007C57D2">
        <w:rPr>
          <w:rStyle w:val="Refdenotaalpie"/>
          <w:rFonts w:ascii="Times New Roman" w:hAnsi="Times New Roman"/>
          <w:sz w:val="28"/>
          <w:szCs w:val="28"/>
          <w:shd w:val="clear" w:color="auto" w:fill="FFFFFF"/>
        </w:rPr>
        <w:footnoteReference w:id="95"/>
      </w:r>
      <w:r w:rsidRPr="007C57D2">
        <w:rPr>
          <w:rFonts w:ascii="Times New Roman" w:hAnsi="Times New Roman"/>
          <w:sz w:val="28"/>
          <w:szCs w:val="28"/>
          <w:shd w:val="clear" w:color="auto" w:fill="FFFFFF"/>
        </w:rPr>
        <w:t>. Además, la mayoría absoluta era de noventa y cuatro (94) representantes</w:t>
      </w:r>
      <w:r w:rsidRPr="007C57D2">
        <w:rPr>
          <w:rStyle w:val="Refdenotaalpie"/>
          <w:rFonts w:ascii="Times New Roman" w:hAnsi="Times New Roman"/>
          <w:sz w:val="28"/>
          <w:szCs w:val="28"/>
          <w:shd w:val="clear" w:color="auto" w:fill="FFFFFF"/>
        </w:rPr>
        <w:footnoteReference w:id="96"/>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De acuerdo con las votaciones que se indican a continuación, la C</w:t>
      </w:r>
      <w:r w:rsidRPr="007C57D2">
        <w:rPr>
          <w:rFonts w:ascii="Times New Roman" w:hAnsi="Times New Roman"/>
          <w:sz w:val="28"/>
          <w:szCs w:val="28"/>
          <w:shd w:val="clear" w:color="auto" w:fill="FFFFFF"/>
        </w:rPr>
        <w:t xml:space="preserve">orte concluye que, al momento de discutir y votar el PLE, había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deliberatorio y decisorio.</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De acuerdo con la certificación allegada por el secretario general de la Cámara de Representantes</w:t>
      </w:r>
      <w:r w:rsidRPr="007C57D2">
        <w:rPr>
          <w:rStyle w:val="Refdenotaalpie"/>
          <w:rFonts w:ascii="Times New Roman" w:hAnsi="Times New Roman"/>
          <w:sz w:val="28"/>
          <w:szCs w:val="28"/>
          <w:lang w:eastAsia="es-ES"/>
        </w:rPr>
        <w:footnoteReference w:id="97"/>
      </w:r>
      <w:r w:rsidRPr="007C57D2">
        <w:rPr>
          <w:rFonts w:ascii="Times New Roman" w:hAnsi="Times New Roman"/>
          <w:sz w:val="28"/>
          <w:szCs w:val="28"/>
          <w:lang w:eastAsia="es-ES"/>
        </w:rPr>
        <w:t>, en la sesión de ese día se realizaron dos (2) registros m</w:t>
      </w:r>
      <w:r w:rsidRPr="007C57D2">
        <w:rPr>
          <w:rFonts w:ascii="Times New Roman" w:hAnsi="Times New Roman"/>
          <w:sz w:val="28"/>
          <w:szCs w:val="28"/>
          <w:lang w:eastAsia="es-ES"/>
        </w:rPr>
        <w:t xml:space="preserve">anuales y ciento setenta y dos (172) registros electrónicos, para un total de ciento setenta y cuatro (174) asistentes. Esta información se corrobora también en el </w:t>
      </w:r>
      <w:r w:rsidRPr="007C57D2">
        <w:rPr>
          <w:rFonts w:ascii="Times New Roman" w:hAnsi="Times New Roman"/>
          <w:b/>
          <w:bCs/>
          <w:sz w:val="28"/>
          <w:szCs w:val="28"/>
          <w:lang w:eastAsia="es-ES"/>
        </w:rPr>
        <w:t xml:space="preserve">Acta </w:t>
      </w:r>
      <w:r w:rsidRPr="007C57D2">
        <w:rPr>
          <w:rFonts w:ascii="Times New Roman" w:hAnsi="Times New Roman"/>
          <w:b/>
          <w:bCs/>
          <w:sz w:val="28"/>
          <w:szCs w:val="28"/>
          <w:lang w:eastAsia="es-MX"/>
        </w:rPr>
        <w:t xml:space="preserve">n.º </w:t>
      </w:r>
      <w:r w:rsidRPr="007C57D2">
        <w:rPr>
          <w:rFonts w:ascii="Times New Roman" w:hAnsi="Times New Roman"/>
          <w:b/>
          <w:bCs/>
          <w:sz w:val="28"/>
          <w:szCs w:val="28"/>
          <w:lang w:eastAsia="es-ES"/>
        </w:rPr>
        <w:t>132 del 16 de abril de 2024</w:t>
      </w:r>
      <w:r w:rsidRPr="007C57D2">
        <w:rPr>
          <w:rFonts w:ascii="Times New Roman" w:hAnsi="Times New Roman"/>
          <w:sz w:val="28"/>
          <w:szCs w:val="28"/>
          <w:lang w:eastAsia="es-ES"/>
        </w:rPr>
        <w:t xml:space="preserve">, publicada en la Gaceta del Congreso </w:t>
      </w:r>
      <w:r w:rsidRPr="007C57D2">
        <w:rPr>
          <w:rFonts w:ascii="Times New Roman" w:hAnsi="Times New Roman"/>
          <w:sz w:val="28"/>
          <w:szCs w:val="28"/>
          <w:lang w:eastAsia="es-MX"/>
        </w:rPr>
        <w:t>n.º</w:t>
      </w:r>
      <w:r w:rsidRPr="007C57D2">
        <w:rPr>
          <w:rFonts w:ascii="Times New Roman" w:hAnsi="Times New Roman"/>
          <w:b/>
          <w:bCs/>
          <w:sz w:val="28"/>
          <w:szCs w:val="28"/>
          <w:lang w:eastAsia="es-MX"/>
        </w:rPr>
        <w:t xml:space="preserve"> </w:t>
      </w:r>
      <w:r w:rsidRPr="007C57D2">
        <w:rPr>
          <w:rFonts w:ascii="Times New Roman" w:hAnsi="Times New Roman"/>
          <w:sz w:val="28"/>
          <w:szCs w:val="28"/>
          <w:lang w:eastAsia="es-MX"/>
        </w:rPr>
        <w:t>1211 del 28 de</w:t>
      </w:r>
      <w:r w:rsidRPr="007C57D2">
        <w:rPr>
          <w:rFonts w:ascii="Times New Roman" w:hAnsi="Times New Roman"/>
          <w:sz w:val="28"/>
          <w:szCs w:val="28"/>
          <w:lang w:eastAsia="es-MX"/>
        </w:rPr>
        <w:t xml:space="preserve"> agosto</w:t>
      </w:r>
      <w:r w:rsidRPr="007C57D2">
        <w:rPr>
          <w:rFonts w:ascii="Times New Roman" w:hAnsi="Times New Roman"/>
          <w:sz w:val="28"/>
          <w:szCs w:val="28"/>
          <w:lang w:eastAsia="es-ES"/>
        </w:rPr>
        <w:t xml:space="preserve"> de 2024</w:t>
      </w:r>
      <w:r w:rsidRPr="007C57D2">
        <w:rPr>
          <w:rStyle w:val="Refdenotaalpie"/>
          <w:rFonts w:ascii="Times New Roman" w:hAnsi="Times New Roman"/>
          <w:sz w:val="28"/>
          <w:szCs w:val="28"/>
          <w:lang w:eastAsia="es-ES"/>
        </w:rPr>
        <w:footnoteReference w:id="98"/>
      </w:r>
      <w:r w:rsidRPr="007C57D2">
        <w:rPr>
          <w:rFonts w:ascii="Times New Roman" w:hAnsi="Times New Roman"/>
          <w:sz w:val="28"/>
          <w:szCs w:val="28"/>
          <w:lang w:eastAsia="es-ES"/>
        </w:rPr>
        <w:t xml:space="preserve">. </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Luego de la lectura del informe de ponencia positiva, </w:t>
      </w:r>
      <w:r w:rsidRPr="007C57D2">
        <w:rPr>
          <w:rFonts w:ascii="Times New Roman" w:hAnsi="Times New Roman"/>
          <w:sz w:val="28"/>
          <w:szCs w:val="28"/>
          <w:lang w:eastAsia="es-ES"/>
        </w:rPr>
        <w:t xml:space="preserve">la Presidencia </w:t>
      </w:r>
      <w:r w:rsidRPr="007C57D2">
        <w:rPr>
          <w:rFonts w:ascii="Times New Roman" w:hAnsi="Times New Roman"/>
          <w:sz w:val="28"/>
          <w:szCs w:val="28"/>
          <w:lang w:eastAsia="es-ES"/>
        </w:rPr>
        <w:t>concedió el uso de la palabra a la representante Leider Alexandra Vásquez Ochoa, quien intervino para dejar constancia de la existencia de la Alerta Rosa, un mecanismo</w:t>
      </w:r>
      <w:r w:rsidRPr="007C57D2">
        <w:rPr>
          <w:rFonts w:ascii="Times New Roman" w:hAnsi="Times New Roman"/>
          <w:sz w:val="28"/>
          <w:szCs w:val="28"/>
          <w:lang w:eastAsia="es-ES"/>
        </w:rPr>
        <w:t xml:space="preserve"> similar que, en su criterio, “satisface las necesidades y suple los propósitos que persigue la Alerta Sara Sofía”. Posteriormente, se abrió la votación para aprobar el informe de ponencia en el segundo debate en la Plenaria de la Cámara de Representantes,</w:t>
      </w:r>
      <w:r w:rsidRPr="007C57D2">
        <w:rPr>
          <w:rFonts w:ascii="Times New Roman" w:hAnsi="Times New Roman"/>
          <w:sz w:val="28"/>
          <w:szCs w:val="28"/>
          <w:lang w:eastAsia="es-ES"/>
        </w:rPr>
        <w:t xml:space="preserve"> conforme a lo previsto en los artículos 114 y 157 de la Ley 5 de 1992. El informe fue aprobado con </w:t>
      </w:r>
      <w:r w:rsidRPr="007C57D2">
        <w:rPr>
          <w:rFonts w:ascii="Times New Roman" w:hAnsi="Times New Roman"/>
          <w:b/>
          <w:bCs/>
          <w:sz w:val="28"/>
          <w:szCs w:val="28"/>
          <w:lang w:eastAsia="es-ES"/>
        </w:rPr>
        <w:t>115 votos por el SÍ</w:t>
      </w:r>
      <w:r w:rsidRPr="007C57D2">
        <w:rPr>
          <w:rStyle w:val="Refdenotaalpie"/>
          <w:rFonts w:ascii="Times New Roman" w:hAnsi="Times New Roman"/>
          <w:b/>
          <w:bCs/>
          <w:sz w:val="28"/>
          <w:szCs w:val="28"/>
          <w:lang w:eastAsia="es-ES"/>
        </w:rPr>
        <w:footnoteReference w:id="99"/>
      </w:r>
      <w:r w:rsidRPr="007C57D2">
        <w:rPr>
          <w:rFonts w:ascii="Times New Roman" w:hAnsi="Times New Roman"/>
          <w:b/>
          <w:bCs/>
          <w:sz w:val="28"/>
          <w:szCs w:val="28"/>
          <w:lang w:eastAsia="es-ES"/>
        </w:rPr>
        <w:t xml:space="preserve"> y ninguno por el NO</w:t>
      </w:r>
      <w:r w:rsidRPr="007C57D2">
        <w:rPr>
          <w:rStyle w:val="Refdenotaalpie"/>
          <w:rFonts w:ascii="Times New Roman" w:hAnsi="Times New Roman"/>
          <w:sz w:val="28"/>
          <w:szCs w:val="28"/>
          <w:lang w:eastAsia="es-ES"/>
        </w:rPr>
        <w:footnoteReference w:id="100"/>
      </w:r>
      <w:r w:rsidRPr="007C57D2">
        <w:rPr>
          <w:rFonts w:ascii="Times New Roman" w:hAnsi="Times New Roman"/>
          <w:sz w:val="28"/>
          <w:szCs w:val="28"/>
          <w:lang w:eastAsia="es-ES"/>
        </w:rPr>
        <w:t>,</w:t>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mediante votación nominal y pública.</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Tras la aprobación del informe de ponencia, se dio lectura a todas las prop</w:t>
      </w:r>
      <w:r w:rsidRPr="007C57D2">
        <w:rPr>
          <w:rFonts w:ascii="Times New Roman" w:hAnsi="Times New Roman"/>
          <w:sz w:val="28"/>
          <w:szCs w:val="28"/>
          <w:lang w:eastAsia="es-ES"/>
        </w:rPr>
        <w:t>osiciones presentadas frente al articulado del PLE y, seguidamente, se abrió la discusión y votación en bloques. En primer lugar, se sometieron a consideración los artículos con proposiciones sustitutivas (art</w:t>
      </w:r>
      <w:r w:rsidRPr="007C57D2">
        <w:rPr>
          <w:rFonts w:ascii="Times New Roman" w:hAnsi="Times New Roman"/>
          <w:sz w:val="28"/>
          <w:szCs w:val="28"/>
          <w:lang w:eastAsia="es-ES"/>
        </w:rPr>
        <w:t>ículos</w:t>
      </w:r>
      <w:r w:rsidRPr="007C57D2">
        <w:rPr>
          <w:rFonts w:ascii="Times New Roman" w:hAnsi="Times New Roman"/>
          <w:sz w:val="28"/>
          <w:szCs w:val="28"/>
          <w:lang w:eastAsia="es-ES"/>
        </w:rPr>
        <w:t xml:space="preserve"> 2, 3 y 6). En segundo término, se votaro</w:t>
      </w:r>
      <w:r w:rsidRPr="007C57D2">
        <w:rPr>
          <w:rFonts w:ascii="Times New Roman" w:hAnsi="Times New Roman"/>
          <w:sz w:val="28"/>
          <w:szCs w:val="28"/>
          <w:lang w:eastAsia="es-ES"/>
        </w:rPr>
        <w:t>n los artículos que se mantuvieron como venían en el informe de ponencia (art</w:t>
      </w:r>
      <w:r w:rsidRPr="007C57D2">
        <w:rPr>
          <w:rFonts w:ascii="Times New Roman" w:hAnsi="Times New Roman"/>
          <w:sz w:val="28"/>
          <w:szCs w:val="28"/>
          <w:lang w:eastAsia="es-ES"/>
        </w:rPr>
        <w:t>ículos</w:t>
      </w:r>
      <w:r w:rsidRPr="007C57D2">
        <w:rPr>
          <w:rFonts w:ascii="Times New Roman" w:hAnsi="Times New Roman"/>
          <w:sz w:val="28"/>
          <w:szCs w:val="28"/>
          <w:lang w:eastAsia="es-ES"/>
        </w:rPr>
        <w:t xml:space="preserve"> 11, 14 y 15). Luego, se decidió sobre el artículo 5, que contaba con varias proposiciones avaladas, y sobre un tercer bloque integrado por artículos con proposiciones avala</w:t>
      </w:r>
      <w:r w:rsidRPr="007C57D2">
        <w:rPr>
          <w:rFonts w:ascii="Times New Roman" w:hAnsi="Times New Roman"/>
          <w:sz w:val="28"/>
          <w:szCs w:val="28"/>
          <w:lang w:eastAsia="es-ES"/>
        </w:rPr>
        <w:t>das (art</w:t>
      </w:r>
      <w:r w:rsidRPr="007C57D2">
        <w:rPr>
          <w:rFonts w:ascii="Times New Roman" w:hAnsi="Times New Roman"/>
          <w:sz w:val="28"/>
          <w:szCs w:val="28"/>
          <w:lang w:eastAsia="es-ES"/>
        </w:rPr>
        <w:t>ículos</w:t>
      </w:r>
      <w:r w:rsidRPr="007C57D2">
        <w:rPr>
          <w:rFonts w:ascii="Times New Roman" w:hAnsi="Times New Roman"/>
          <w:sz w:val="28"/>
          <w:szCs w:val="28"/>
          <w:lang w:eastAsia="es-ES"/>
        </w:rPr>
        <w:t xml:space="preserve"> 1, 4, 7, 8, 10, 12 y 13). Finalmente, se votó de manera individual el artículo 9, también con proposiciones avaladas.</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La Presidencia abrió la votación del </w:t>
      </w:r>
      <w:r w:rsidRPr="007C57D2">
        <w:rPr>
          <w:rFonts w:ascii="Times New Roman" w:hAnsi="Times New Roman"/>
          <w:i/>
          <w:iCs/>
          <w:sz w:val="28"/>
          <w:szCs w:val="28"/>
          <w:lang w:eastAsia="es-ES"/>
        </w:rPr>
        <w:t>primer bloque</w:t>
      </w:r>
      <w:r w:rsidRPr="007C57D2">
        <w:rPr>
          <w:rFonts w:ascii="Times New Roman" w:hAnsi="Times New Roman"/>
          <w:sz w:val="28"/>
          <w:szCs w:val="28"/>
          <w:lang w:eastAsia="es-ES"/>
        </w:rPr>
        <w:t xml:space="preserve"> con proposiciones sustitutivas avaladas a los artículos 2, 3 y 6. Cerrado el registro, se anunció un resultado de </w:t>
      </w:r>
      <w:r w:rsidRPr="007C57D2">
        <w:rPr>
          <w:rFonts w:ascii="Times New Roman" w:hAnsi="Times New Roman"/>
          <w:b/>
          <w:bCs/>
          <w:sz w:val="28"/>
          <w:szCs w:val="28"/>
          <w:lang w:eastAsia="es-ES"/>
        </w:rPr>
        <w:t>106 votos por el SÍ y 2 votos por el NO</w:t>
      </w:r>
      <w:r w:rsidRPr="007C57D2">
        <w:rPr>
          <w:rStyle w:val="Refdenotaalpie"/>
          <w:rFonts w:ascii="Times New Roman" w:hAnsi="Times New Roman"/>
          <w:b/>
          <w:bCs/>
          <w:sz w:val="28"/>
          <w:szCs w:val="28"/>
          <w:lang w:eastAsia="es-ES"/>
        </w:rPr>
        <w:footnoteReference w:id="101"/>
      </w:r>
      <w:r w:rsidRPr="007C57D2">
        <w:rPr>
          <w:rFonts w:ascii="Times New Roman" w:hAnsi="Times New Roman"/>
          <w:sz w:val="28"/>
          <w:szCs w:val="28"/>
          <w:lang w:eastAsia="es-ES"/>
        </w:rPr>
        <w:t>. En consecuencia, las proposiciones sustitutivas de los artículos 2, 3 y 6 fueron aprobadas mediante</w:t>
      </w:r>
      <w:r w:rsidRPr="007C57D2">
        <w:rPr>
          <w:rFonts w:ascii="Times New Roman" w:hAnsi="Times New Roman"/>
          <w:sz w:val="28"/>
          <w:szCs w:val="28"/>
          <w:lang w:eastAsia="es-ES"/>
        </w:rPr>
        <w:t xml:space="preserve"> votación nominal y pública</w:t>
      </w:r>
      <w:r w:rsidRPr="007C57D2">
        <w:rPr>
          <w:rStyle w:val="Refdenotaalpie"/>
          <w:rFonts w:ascii="Times New Roman" w:hAnsi="Times New Roman"/>
          <w:sz w:val="28"/>
          <w:szCs w:val="28"/>
          <w:lang w:eastAsia="es-ES"/>
        </w:rPr>
        <w:footnoteReference w:id="102"/>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 xml:space="preserve">mayoría absoluta exigida. </w:t>
      </w:r>
      <w:r w:rsidRPr="007C57D2">
        <w:rPr>
          <w:rFonts w:ascii="Times New Roman" w:hAnsi="Times New Roman"/>
          <w:sz w:val="28"/>
          <w:szCs w:val="28"/>
          <w:lang w:eastAsia="es-ES"/>
        </w:rPr>
        <w:t xml:space="preserve">El </w:t>
      </w:r>
      <w:r w:rsidRPr="007C57D2">
        <w:rPr>
          <w:rFonts w:ascii="Times New Roman" w:hAnsi="Times New Roman"/>
          <w:sz w:val="28"/>
          <w:szCs w:val="28"/>
          <w:lang w:eastAsia="es-ES"/>
        </w:rPr>
        <w:t xml:space="preserve">contenido </w:t>
      </w:r>
      <w:r w:rsidRPr="007C57D2">
        <w:rPr>
          <w:rFonts w:ascii="Times New Roman" w:hAnsi="Times New Roman"/>
          <w:sz w:val="28"/>
          <w:szCs w:val="28"/>
          <w:lang w:eastAsia="es-ES"/>
        </w:rPr>
        <w:t xml:space="preserve">de dichas proposiciones se muestra en la siguiente tabla: </w:t>
      </w:r>
    </w:p>
    <w:p w:rsidR="004E3E5E" w:rsidRPr="007C57D2" w:rsidRDefault="007C57D2" w:rsidP="008F3DAB">
      <w:pPr>
        <w:pStyle w:val="Prrafodelista"/>
        <w:rPr>
          <w:rFonts w:ascii="Times New Roman" w:hAnsi="Times New Roman"/>
          <w:sz w:val="28"/>
          <w:szCs w:val="2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70"/>
        <w:gridCol w:w="2309"/>
        <w:gridCol w:w="3846"/>
        <w:gridCol w:w="1563"/>
      </w:tblGrid>
      <w:tr w:rsidR="00A0085A" w:rsidRPr="007C57D2" w:rsidTr="007C57D2">
        <w:trPr>
          <w:jc w:val="center"/>
        </w:trPr>
        <w:tc>
          <w:tcPr>
            <w:tcW w:w="8788" w:type="dxa"/>
            <w:gridSpan w:val="4"/>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Bloque 1 – Proposiciones sustitutivas</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Autor(es) </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p>
        </w:tc>
        <w:tc>
          <w:tcPr>
            <w:tcW w:w="1563" w:type="dxa"/>
            <w:shd w:val="clear" w:color="auto" w:fill="auto"/>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Votación Sí/No</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2</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Carlos </w:t>
            </w:r>
            <w:r w:rsidRPr="007C57D2">
              <w:rPr>
                <w:rFonts w:ascii="Times New Roman" w:hAnsi="Times New Roman"/>
                <w:sz w:val="28"/>
                <w:lang w:eastAsia="es-ES"/>
              </w:rPr>
              <w:t>Adolfo Ardila</w:t>
            </w:r>
            <w:r w:rsidRPr="007C57D2">
              <w:rPr>
                <w:rFonts w:ascii="Times New Roman" w:hAnsi="Times New Roman"/>
                <w:sz w:val="28"/>
                <w:lang w:eastAsia="es-ES"/>
              </w:rPr>
              <w:t xml:space="preserve"> Espinosa, Gloria Liliana Rodríguez Valencia, Héctor Mauricio Cuéllar Pinzón y Jorge Cerchiaro Figueroa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Introduce un conjunto de definiciones: niños extraviados (edad), personas llamadas a reportar, Sistema Amber, Alerta Colombia, datos biométricos, autori</w:t>
            </w:r>
            <w:r w:rsidRPr="007C57D2">
              <w:rPr>
                <w:rFonts w:ascii="Times New Roman" w:hAnsi="Times New Roman"/>
                <w:sz w:val="28"/>
                <w:lang w:eastAsia="es-ES"/>
              </w:rPr>
              <w:t>zación y consentimiento informado</w:t>
            </w:r>
          </w:p>
        </w:tc>
        <w:tc>
          <w:tcPr>
            <w:tcW w:w="1563"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106/2</w:t>
            </w:r>
          </w:p>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Proposiciones aprobadas</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3</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Carlos </w:t>
            </w:r>
            <w:r w:rsidRPr="007C57D2">
              <w:rPr>
                <w:rFonts w:ascii="Times New Roman" w:hAnsi="Times New Roman"/>
                <w:sz w:val="28"/>
                <w:lang w:eastAsia="es-ES"/>
              </w:rPr>
              <w:t>Adolfo Ardila</w:t>
            </w:r>
            <w:r w:rsidRPr="007C57D2">
              <w:rPr>
                <w:rFonts w:ascii="Times New Roman" w:hAnsi="Times New Roman"/>
                <w:sz w:val="28"/>
                <w:lang w:eastAsia="es-ES"/>
              </w:rPr>
              <w:t xml:space="preserve"> Espinosa, Gloria Liliana Rodríguez Valencia, Héctor Mauricio Cuéllar Pinzón y Jorge Cerchiaro Figueroa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Autorización para activar la Alerta Colombia en situaciones de </w:t>
            </w:r>
            <w:r w:rsidRPr="007C57D2">
              <w:rPr>
                <w:rFonts w:ascii="Times New Roman" w:hAnsi="Times New Roman"/>
                <w:sz w:val="28"/>
                <w:lang w:eastAsia="es-ES"/>
              </w:rPr>
              <w:t>riesgo inminente; establece parágrafo sobre uso de datos biométricos y personales</w:t>
            </w:r>
          </w:p>
        </w:tc>
        <w:tc>
          <w:tcPr>
            <w:tcW w:w="1563"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6</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Carlos </w:t>
            </w:r>
            <w:r w:rsidRPr="007C57D2">
              <w:rPr>
                <w:rFonts w:ascii="Times New Roman" w:hAnsi="Times New Roman"/>
                <w:sz w:val="28"/>
                <w:lang w:eastAsia="es-ES"/>
              </w:rPr>
              <w:t>Adolfo Ardila</w:t>
            </w:r>
            <w:r w:rsidRPr="007C57D2">
              <w:rPr>
                <w:rFonts w:ascii="Times New Roman" w:hAnsi="Times New Roman"/>
                <w:sz w:val="28"/>
                <w:lang w:eastAsia="es-ES"/>
              </w:rPr>
              <w:t xml:space="preserve"> Espinosa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Redefine integralmente el artículo bajo el título “Divulgación”: difusión gratuita e inmediata por operadores móviles, requisitos de información (fecha, lugar, vestimenta, fotografía, etc.), publicación en páginas oficiales, sanciones económicas y responsa</w:t>
            </w:r>
            <w:r w:rsidRPr="007C57D2">
              <w:rPr>
                <w:rFonts w:ascii="Times New Roman" w:hAnsi="Times New Roman"/>
                <w:sz w:val="28"/>
                <w:lang w:eastAsia="es-ES"/>
              </w:rPr>
              <w:t>bilidad disciplinaria</w:t>
            </w:r>
          </w:p>
        </w:tc>
        <w:tc>
          <w:tcPr>
            <w:tcW w:w="1563" w:type="dxa"/>
            <w:vMerge/>
            <w:shd w:val="clear" w:color="auto" w:fill="auto"/>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bl>
    <w:p w:rsidR="00F52BBE" w:rsidRPr="007C57D2" w:rsidRDefault="007C57D2" w:rsidP="008F3DAB">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Tabla 6. </w:t>
      </w:r>
      <w:r w:rsidRPr="007C57D2">
        <w:rPr>
          <w:rFonts w:ascii="Times New Roman" w:hAnsi="Times New Roman"/>
          <w:i/>
          <w:iCs/>
          <w:sz w:val="28"/>
          <w:lang w:eastAsia="es-ES"/>
        </w:rPr>
        <w:t>P</w:t>
      </w:r>
      <w:r w:rsidRPr="007C57D2">
        <w:rPr>
          <w:rFonts w:ascii="Times New Roman" w:hAnsi="Times New Roman"/>
          <w:i/>
          <w:iCs/>
          <w:sz w:val="28"/>
          <w:lang w:eastAsia="es-ES"/>
        </w:rPr>
        <w:t>roposiciones sustitutivas</w:t>
      </w:r>
    </w:p>
    <w:p w:rsidR="004E3E5E" w:rsidRPr="007C57D2" w:rsidRDefault="007C57D2" w:rsidP="008F3DAB">
      <w:pPr>
        <w:spacing w:after="0" w:line="240" w:lineRule="auto"/>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En seguida, se dio paso a la votación del </w:t>
      </w:r>
      <w:r w:rsidRPr="007C57D2">
        <w:rPr>
          <w:rFonts w:ascii="Times New Roman" w:hAnsi="Times New Roman"/>
          <w:i/>
          <w:iCs/>
          <w:sz w:val="28"/>
          <w:szCs w:val="28"/>
          <w:lang w:eastAsia="es-ES"/>
        </w:rPr>
        <w:t>segundo bloque</w:t>
      </w:r>
      <w:r w:rsidRPr="007C57D2">
        <w:rPr>
          <w:rFonts w:ascii="Times New Roman" w:hAnsi="Times New Roman"/>
          <w:sz w:val="28"/>
          <w:szCs w:val="28"/>
          <w:lang w:eastAsia="es-ES"/>
        </w:rPr>
        <w:t xml:space="preserve">, correspondiente a los artículos 11, 14 y 15, que se mantuvieron como venían en el informe de ponencia. Cerrado el registro, se anunció un resultado de </w:t>
      </w:r>
      <w:r w:rsidRPr="007C57D2">
        <w:rPr>
          <w:rFonts w:ascii="Times New Roman" w:hAnsi="Times New Roman"/>
          <w:b/>
          <w:bCs/>
          <w:sz w:val="28"/>
          <w:szCs w:val="28"/>
          <w:lang w:eastAsia="es-ES"/>
        </w:rPr>
        <w:t>102 votos por el SÍ y 1 voto por el NO</w:t>
      </w:r>
      <w:r w:rsidRPr="007C57D2">
        <w:rPr>
          <w:rStyle w:val="Refdenotaalpie"/>
          <w:rFonts w:ascii="Times New Roman" w:hAnsi="Times New Roman"/>
          <w:b/>
          <w:bCs/>
          <w:sz w:val="28"/>
          <w:szCs w:val="28"/>
          <w:lang w:eastAsia="es-ES"/>
        </w:rPr>
        <w:footnoteReference w:id="103"/>
      </w:r>
      <w:r w:rsidRPr="007C57D2">
        <w:rPr>
          <w:rFonts w:ascii="Times New Roman" w:hAnsi="Times New Roman"/>
          <w:sz w:val="28"/>
          <w:szCs w:val="28"/>
          <w:lang w:eastAsia="es-ES"/>
        </w:rPr>
        <w:t>. En consecuencia, dichos artículos fueron aprobados mediante vo</w:t>
      </w:r>
      <w:r w:rsidRPr="007C57D2">
        <w:rPr>
          <w:rFonts w:ascii="Times New Roman" w:hAnsi="Times New Roman"/>
          <w:sz w:val="28"/>
          <w:szCs w:val="28"/>
          <w:lang w:eastAsia="es-ES"/>
        </w:rPr>
        <w:t>tación nominal y pública</w:t>
      </w:r>
      <w:r w:rsidRPr="007C57D2">
        <w:rPr>
          <w:rStyle w:val="Refdenotaalpie"/>
          <w:rFonts w:ascii="Times New Roman" w:hAnsi="Times New Roman"/>
          <w:sz w:val="28"/>
          <w:szCs w:val="28"/>
          <w:lang w:eastAsia="es-ES"/>
        </w:rPr>
        <w:footnoteReference w:id="104"/>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mayoría absoluta exigida.</w:t>
      </w:r>
      <w:r w:rsidRPr="007C57D2">
        <w:rPr>
          <w:rFonts w:ascii="Times New Roman" w:hAnsi="Times New Roman"/>
          <w:sz w:val="28"/>
          <w:szCs w:val="28"/>
          <w:lang w:eastAsia="es-ES"/>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CD686A"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Luego, por instrucciones de la Presidencia, el subsecretario general </w:t>
      </w:r>
      <w:r w:rsidRPr="007C57D2">
        <w:rPr>
          <w:rFonts w:ascii="Times New Roman" w:hAnsi="Times New Roman"/>
          <w:sz w:val="28"/>
          <w:szCs w:val="28"/>
          <w:lang w:eastAsia="es-ES"/>
        </w:rPr>
        <w:t xml:space="preserve">leyó </w:t>
      </w:r>
      <w:r w:rsidRPr="007C57D2">
        <w:rPr>
          <w:rFonts w:ascii="Times New Roman" w:hAnsi="Times New Roman"/>
          <w:sz w:val="28"/>
          <w:szCs w:val="28"/>
          <w:lang w:eastAsia="es-ES"/>
        </w:rPr>
        <w:t xml:space="preserve">nuevamente dos de las proposiciones avaladas al artículo 5 y abrió su votación individual. Cerrado el registro, se anunció un resultado de </w:t>
      </w:r>
      <w:r w:rsidRPr="007C57D2">
        <w:rPr>
          <w:rFonts w:ascii="Times New Roman" w:hAnsi="Times New Roman"/>
          <w:b/>
          <w:bCs/>
          <w:sz w:val="28"/>
          <w:szCs w:val="28"/>
          <w:lang w:eastAsia="es-ES"/>
        </w:rPr>
        <w:t>105 votos por el SÍ y 2 votos por el NO</w:t>
      </w:r>
      <w:r w:rsidRPr="007C57D2">
        <w:rPr>
          <w:rStyle w:val="Refdenotaalpie"/>
          <w:rFonts w:ascii="Times New Roman" w:hAnsi="Times New Roman"/>
          <w:b/>
          <w:bCs/>
          <w:sz w:val="28"/>
          <w:szCs w:val="28"/>
          <w:lang w:eastAsia="es-ES"/>
        </w:rPr>
        <w:footnoteReference w:id="105"/>
      </w:r>
      <w:r w:rsidRPr="007C57D2">
        <w:rPr>
          <w:rFonts w:ascii="Times New Roman" w:hAnsi="Times New Roman"/>
          <w:sz w:val="28"/>
          <w:szCs w:val="28"/>
          <w:lang w:eastAsia="es-ES"/>
        </w:rPr>
        <w:t>. En consecuencia, dicho artículo fue aprobado mediante votación nominal y pú</w:t>
      </w:r>
      <w:r w:rsidRPr="007C57D2">
        <w:rPr>
          <w:rFonts w:ascii="Times New Roman" w:hAnsi="Times New Roman"/>
          <w:sz w:val="28"/>
          <w:szCs w:val="28"/>
          <w:lang w:eastAsia="es-ES"/>
        </w:rPr>
        <w:t xml:space="preserve">blica, con la </w:t>
      </w:r>
      <w:r w:rsidRPr="007C57D2">
        <w:rPr>
          <w:rFonts w:ascii="Times New Roman" w:hAnsi="Times New Roman"/>
          <w:bCs/>
          <w:sz w:val="28"/>
          <w:szCs w:val="28"/>
          <w:lang w:eastAsia="es-ES"/>
        </w:rPr>
        <w:t>mayoría absoluta exigida.</w:t>
      </w:r>
      <w:r w:rsidRPr="007C57D2">
        <w:rPr>
          <w:rFonts w:ascii="Times New Roman" w:hAnsi="Times New Roman"/>
          <w:sz w:val="28"/>
          <w:szCs w:val="28"/>
          <w:lang w:eastAsia="es-ES"/>
        </w:rPr>
        <w:t xml:space="preserve"> El </w:t>
      </w:r>
      <w:r w:rsidRPr="007C57D2">
        <w:rPr>
          <w:rFonts w:ascii="Times New Roman" w:hAnsi="Times New Roman"/>
          <w:sz w:val="28"/>
          <w:szCs w:val="28"/>
          <w:lang w:eastAsia="es-ES"/>
        </w:rPr>
        <w:t>contenido</w:t>
      </w:r>
      <w:r w:rsidRPr="007C57D2">
        <w:rPr>
          <w:rFonts w:ascii="Times New Roman" w:hAnsi="Times New Roman"/>
          <w:sz w:val="28"/>
          <w:szCs w:val="28"/>
          <w:lang w:eastAsia="es-ES"/>
        </w:rPr>
        <w:t xml:space="preserve"> de las proposiciones avaladas se muestra en la siguiente tabla:</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70"/>
        <w:gridCol w:w="2309"/>
        <w:gridCol w:w="3846"/>
        <w:gridCol w:w="1563"/>
      </w:tblGrid>
      <w:tr w:rsidR="00A0085A" w:rsidRPr="007C57D2" w:rsidTr="007C57D2">
        <w:trPr>
          <w:jc w:val="center"/>
        </w:trPr>
        <w:tc>
          <w:tcPr>
            <w:tcW w:w="8362" w:type="dxa"/>
            <w:gridSpan w:val="4"/>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 5 – Proposiciones avaladas</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Autor(es) </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p>
        </w:tc>
        <w:tc>
          <w:tcPr>
            <w:tcW w:w="1137" w:type="dxa"/>
            <w:shd w:val="clear" w:color="auto" w:fill="auto"/>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Votación Sí/No</w:t>
            </w:r>
          </w:p>
        </w:tc>
      </w:tr>
      <w:tr w:rsidR="007C57D2" w:rsidRPr="007C57D2" w:rsidTr="007C57D2">
        <w:trPr>
          <w:jc w:val="center"/>
        </w:trPr>
        <w:tc>
          <w:tcPr>
            <w:tcW w:w="1070"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5</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Jorge Cerchiaro Figueroa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Modificación del inciso </w:t>
            </w:r>
            <w:r w:rsidRPr="007C57D2">
              <w:rPr>
                <w:rFonts w:ascii="Times New Roman" w:hAnsi="Times New Roman"/>
                <w:sz w:val="28"/>
                <w:lang w:eastAsia="es-ES"/>
              </w:rPr>
              <w:t>3º: sustituir “dos días después” por “al día siguiente”</w:t>
            </w:r>
          </w:p>
        </w:tc>
        <w:tc>
          <w:tcPr>
            <w:tcW w:w="1137"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105/2</w:t>
            </w:r>
          </w:p>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Proposiciones aprobadas</w:t>
            </w:r>
          </w:p>
        </w:tc>
      </w:tr>
      <w:tr w:rsidR="007C57D2" w:rsidRPr="007C57D2" w:rsidTr="007C57D2">
        <w:trPr>
          <w:jc w:val="center"/>
        </w:trPr>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Olga Beatriz González Correa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del inciso 3º: sustituir por “24 horas al día siguiente”</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José Octavio Cardona León</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al inciso 2º: incluir “Estación</w:t>
            </w:r>
            <w:r w:rsidRPr="007C57D2">
              <w:rPr>
                <w:rFonts w:ascii="Times New Roman" w:hAnsi="Times New Roman"/>
                <w:sz w:val="28"/>
                <w:lang w:eastAsia="es-ES"/>
              </w:rPr>
              <w:t xml:space="preserve"> de Policía o Unidad Policial”</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al inciso 3º: incluir “Estación de Policía o Unidad Policial”</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Luis M. López Aristizábal</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de inciso 2º: identificación de quien realiza el reporte en plataforma virtual</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James Mosquera Torres (integrada</w:t>
            </w:r>
            <w:r w:rsidRPr="007C57D2">
              <w:rPr>
                <w:rFonts w:ascii="Times New Roman" w:hAnsi="Times New Roman"/>
                <w:sz w:val="28"/>
                <w:lang w:eastAsia="es-ES"/>
              </w:rPr>
              <w:t xml:space="preserve"> con Liliana Rodríguez Valencia)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y adición del inciso 1º: creación del “Sistema Nacional de Denuncia Virtual”</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Erika Tatiana Sánchez Pinto</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Inclusión en incisos 2º y 3º, y en parágrafo: “Defensoría de Familia, Comisaría de Familia, Inspección</w:t>
            </w:r>
            <w:r w:rsidRPr="007C57D2">
              <w:rPr>
                <w:rFonts w:ascii="Times New Roman" w:hAnsi="Times New Roman"/>
                <w:sz w:val="28"/>
                <w:lang w:eastAsia="es-ES"/>
              </w:rPr>
              <w:t xml:space="preserve"> de Policía”.</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bl>
    <w:p w:rsidR="004E3E5E" w:rsidRPr="007C57D2" w:rsidRDefault="007C57D2" w:rsidP="008F3DAB">
      <w:pPr>
        <w:tabs>
          <w:tab w:val="left" w:pos="567"/>
        </w:tabs>
        <w:spacing w:after="0" w:line="240" w:lineRule="auto"/>
        <w:jc w:val="center"/>
        <w:rPr>
          <w:rFonts w:ascii="Times New Roman" w:hAnsi="Times New Roman"/>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7</w:t>
      </w:r>
      <w:r w:rsidRPr="007C57D2">
        <w:rPr>
          <w:rFonts w:ascii="Times New Roman" w:hAnsi="Times New Roman"/>
          <w:sz w:val="28"/>
          <w:lang w:eastAsia="es-ES"/>
        </w:rPr>
        <w:t xml:space="preserve">. </w:t>
      </w:r>
      <w:r w:rsidRPr="007C57D2">
        <w:rPr>
          <w:rFonts w:ascii="Times New Roman" w:hAnsi="Times New Roman"/>
          <w:i/>
          <w:iCs/>
          <w:sz w:val="28"/>
          <w:lang w:eastAsia="es-ES"/>
        </w:rPr>
        <w:t>Artículo 5: proposiciones avaladas</w:t>
      </w:r>
      <w:r w:rsidRPr="007C57D2">
        <w:rPr>
          <w:rFonts w:ascii="Times New Roman" w:hAnsi="Times New Roman"/>
          <w:sz w:val="28"/>
          <w:lang w:eastAsia="es-ES"/>
        </w:rPr>
        <w:t>.</w:t>
      </w:r>
    </w:p>
    <w:p w:rsidR="005122EC" w:rsidRPr="007C57D2" w:rsidRDefault="007C57D2" w:rsidP="008F3DAB">
      <w:pPr>
        <w:tabs>
          <w:tab w:val="left" w:pos="567"/>
        </w:tabs>
        <w:spacing w:after="0" w:line="240" w:lineRule="auto"/>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El último bloque comprendió los artículos 1, 4, 7, 8, 10, 12 y 13, todos con proposiciones avaladas. La votación se realizó de forma nominal y pública y, cerrado el registro, se anunció un resultado de </w:t>
      </w:r>
      <w:r w:rsidRPr="007C57D2">
        <w:rPr>
          <w:rFonts w:ascii="Times New Roman" w:hAnsi="Times New Roman"/>
          <w:b/>
          <w:bCs/>
          <w:sz w:val="28"/>
          <w:szCs w:val="28"/>
          <w:lang w:eastAsia="es-ES"/>
        </w:rPr>
        <w:t>98 votos por el SÍ y 2 votos por el NO</w:t>
      </w:r>
      <w:r w:rsidRPr="007C57D2">
        <w:rPr>
          <w:rStyle w:val="Refdenotaalpie"/>
          <w:rFonts w:ascii="Times New Roman" w:hAnsi="Times New Roman"/>
          <w:b/>
          <w:bCs/>
          <w:sz w:val="28"/>
          <w:szCs w:val="28"/>
          <w:lang w:eastAsia="es-ES"/>
        </w:rPr>
        <w:footnoteReference w:id="106"/>
      </w:r>
      <w:r w:rsidRPr="007C57D2">
        <w:rPr>
          <w:rFonts w:ascii="Times New Roman" w:hAnsi="Times New Roman"/>
          <w:sz w:val="28"/>
          <w:szCs w:val="28"/>
          <w:lang w:eastAsia="es-ES"/>
        </w:rPr>
        <w:t>. En consecuenc</w:t>
      </w:r>
      <w:r w:rsidRPr="007C57D2">
        <w:rPr>
          <w:rFonts w:ascii="Times New Roman" w:hAnsi="Times New Roman"/>
          <w:sz w:val="28"/>
          <w:szCs w:val="28"/>
          <w:lang w:eastAsia="es-ES"/>
        </w:rPr>
        <w:t>ia, dichos artículos fueron aprobados con la mayoría absoluta exigida. El detalle de las proposiciones avaladas se muestra en la siguiente tabla:</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70"/>
        <w:gridCol w:w="2309"/>
        <w:gridCol w:w="3846"/>
        <w:gridCol w:w="1563"/>
      </w:tblGrid>
      <w:tr w:rsidR="00A0085A" w:rsidRPr="007C57D2" w:rsidTr="007C57D2">
        <w:trPr>
          <w:jc w:val="center"/>
        </w:trPr>
        <w:tc>
          <w:tcPr>
            <w:tcW w:w="8362" w:type="dxa"/>
            <w:gridSpan w:val="4"/>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Bloque 3</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Autor(es) </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p>
        </w:tc>
        <w:tc>
          <w:tcPr>
            <w:tcW w:w="1137"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Votación Sí/No</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John Jairo Berrío López</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Modificación del inciso </w:t>
            </w:r>
            <w:r w:rsidRPr="007C57D2">
              <w:rPr>
                <w:rFonts w:ascii="Times New Roman" w:hAnsi="Times New Roman"/>
                <w:sz w:val="28"/>
                <w:lang w:eastAsia="es-ES"/>
              </w:rPr>
              <w:t>1º: agregar “un sistema que incorpora” y suprimir “y adolescentes”</w:t>
            </w:r>
          </w:p>
        </w:tc>
        <w:tc>
          <w:tcPr>
            <w:tcW w:w="1137"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98/2</w:t>
            </w:r>
          </w:p>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Proposiciones aprobadas</w:t>
            </w: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4</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Varios: Luis M. López Aristizábal, Orlando Castillo Advíncula, Libardo Cruz Casado, Liliana Rodríguez Valencia y Olga Beatriz González Correa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Modificación </w:t>
            </w:r>
            <w:r w:rsidRPr="007C57D2">
              <w:rPr>
                <w:rFonts w:ascii="Times New Roman" w:hAnsi="Times New Roman"/>
                <w:sz w:val="28"/>
                <w:lang w:eastAsia="es-ES"/>
              </w:rPr>
              <w:t>del literal f) (descripción de vestimenta), adición de parágrafo 2º (información genética), adición de lit. h) (fecha, hora, lugar), modificación del parágrafo 1º (coordinación interinstitucional), inclusión de datos de contacto de familiares</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7</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consentimiento expreso de padres o tutores para el tratamiento de datos personales</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8</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José Octavio Cardona León</w:t>
            </w:r>
          </w:p>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Adición de parágrafo: emisión de una alerta de éxito cuando el niño o niña sea encontrado</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10</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Varios: Luis M. López Aristizábal, Olg</w:t>
            </w:r>
            <w:r w:rsidRPr="007C57D2">
              <w:rPr>
                <w:rFonts w:ascii="Times New Roman" w:hAnsi="Times New Roman"/>
                <w:sz w:val="28"/>
                <w:lang w:eastAsia="es-ES"/>
              </w:rPr>
              <w:t>a Beatriz González Correa, Erika Tatiana Sánchez Pinto y Anne Perdomo Gutiérrez</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Ajustes al parágrafo 2º (referencia normativa); adición de lit. f) sobre difusión en radio, TV y medios digitales; sustitución de términos (“extraviado o desaparecido” y supres</w:t>
            </w:r>
            <w:r w:rsidRPr="007C57D2">
              <w:rPr>
                <w:rFonts w:ascii="Times New Roman" w:hAnsi="Times New Roman"/>
                <w:sz w:val="28"/>
                <w:lang w:eastAsia="es-ES"/>
              </w:rPr>
              <w:t xml:space="preserve">ión de “adolescente”); parágrafo nuevo sobre activación con interés superior del menor </w:t>
            </w:r>
            <w:r w:rsidRPr="007C57D2">
              <w:rPr>
                <w:rFonts w:ascii="Times New Roman" w:hAnsi="Times New Roman"/>
                <w:sz w:val="28"/>
                <w:lang w:eastAsia="es-ES"/>
              </w:rPr>
              <w:t xml:space="preserve">de edad </w:t>
            </w:r>
            <w:r w:rsidRPr="007C57D2">
              <w:rPr>
                <w:rFonts w:ascii="Times New Roman" w:hAnsi="Times New Roman"/>
                <w:sz w:val="28"/>
                <w:lang w:eastAsia="es-ES"/>
              </w:rPr>
              <w:t>y sin discriminación</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12</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Varios: Olga Beatriz González Correa</w:t>
            </w:r>
            <w:r w:rsidRPr="007C57D2">
              <w:rPr>
                <w:rFonts w:ascii="Times New Roman" w:hAnsi="Times New Roman"/>
                <w:sz w:val="28"/>
              </w:rPr>
              <w:t xml:space="preserve"> y </w:t>
            </w:r>
            <w:r w:rsidRPr="007C57D2">
              <w:rPr>
                <w:rFonts w:ascii="Times New Roman" w:hAnsi="Times New Roman"/>
                <w:sz w:val="28"/>
                <w:lang w:eastAsia="es-ES"/>
              </w:rPr>
              <w:t>Erika Tatiana Sánchez Pinto</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Modificación del inciso 2º: participación ciudadana voluntaria y </w:t>
            </w:r>
            <w:r w:rsidRPr="007C57D2">
              <w:rPr>
                <w:rFonts w:ascii="Times New Roman" w:hAnsi="Times New Roman"/>
                <w:sz w:val="28"/>
                <w:lang w:eastAsia="es-ES"/>
              </w:rPr>
              <w:t>gratuita; apoyo para la difusión; supresión del término “adolescente” y adición de la expresión “o desaparecido”</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070"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13</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Varios: Julián Peinado Ramírez, Liliana Rodríguez Valencia y Olga Beatriz González Correa</w:t>
            </w:r>
          </w:p>
        </w:tc>
        <w:tc>
          <w:tcPr>
            <w:tcW w:w="384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inciso primero (informes anuales al</w:t>
            </w:r>
            <w:r w:rsidRPr="007C57D2">
              <w:rPr>
                <w:rFonts w:ascii="Times New Roman" w:hAnsi="Times New Roman"/>
                <w:sz w:val="28"/>
                <w:lang w:eastAsia="es-ES"/>
              </w:rPr>
              <w:t xml:space="preserve"> Congreso); adición de inciso final y parágrafo (Medicina Legal); adición de parágrafo (análisis de factores y recomendaciones)</w:t>
            </w:r>
          </w:p>
        </w:tc>
        <w:tc>
          <w:tcPr>
            <w:tcW w:w="1137"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bl>
    <w:p w:rsidR="004E3E5E" w:rsidRPr="007C57D2" w:rsidRDefault="007C57D2" w:rsidP="008F3DAB">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8</w:t>
      </w:r>
      <w:r w:rsidRPr="007C57D2">
        <w:rPr>
          <w:rFonts w:ascii="Times New Roman" w:hAnsi="Times New Roman"/>
          <w:sz w:val="28"/>
          <w:lang w:eastAsia="es-ES"/>
        </w:rPr>
        <w:t>.</w:t>
      </w:r>
      <w:r w:rsidRPr="007C57D2">
        <w:rPr>
          <w:rFonts w:ascii="Times New Roman" w:hAnsi="Times New Roman"/>
          <w:sz w:val="28"/>
          <w:lang w:eastAsia="es-ES"/>
        </w:rPr>
        <w:t xml:space="preserve"> </w:t>
      </w:r>
      <w:r w:rsidRPr="007C57D2">
        <w:rPr>
          <w:rFonts w:ascii="Times New Roman" w:hAnsi="Times New Roman"/>
          <w:i/>
          <w:iCs/>
          <w:sz w:val="28"/>
          <w:lang w:eastAsia="es-ES"/>
        </w:rPr>
        <w:t>Artículos 1, 4, 7, 8, 10, 12 y 13: proposiciones avaladas</w:t>
      </w:r>
      <w:r w:rsidRPr="007C57D2">
        <w:rPr>
          <w:rFonts w:ascii="Times New Roman" w:hAnsi="Times New Roman"/>
          <w:sz w:val="28"/>
          <w:lang w:eastAsia="es-ES"/>
        </w:rPr>
        <w:t>.</w:t>
      </w:r>
    </w:p>
    <w:p w:rsidR="00FE799A"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La sesión continuó con la</w:t>
      </w:r>
      <w:r w:rsidRPr="007C57D2">
        <w:rPr>
          <w:rFonts w:ascii="Times New Roman" w:hAnsi="Times New Roman"/>
          <w:sz w:val="28"/>
          <w:szCs w:val="28"/>
          <w:lang w:eastAsia="es-ES"/>
        </w:rPr>
        <w:t>s</w:t>
      </w:r>
      <w:r w:rsidRPr="007C57D2">
        <w:rPr>
          <w:rFonts w:ascii="Times New Roman" w:hAnsi="Times New Roman"/>
          <w:sz w:val="28"/>
          <w:szCs w:val="28"/>
          <w:lang w:eastAsia="es-ES"/>
        </w:rPr>
        <w:t xml:space="preserve"> proposiciones avaladas al artículo 9. La Presidencia abrió la votación y, cerrado el registro, se anunció un resultado de </w:t>
      </w:r>
      <w:r w:rsidRPr="007C57D2">
        <w:rPr>
          <w:rFonts w:ascii="Times New Roman" w:hAnsi="Times New Roman"/>
          <w:b/>
          <w:bCs/>
          <w:sz w:val="28"/>
          <w:szCs w:val="28"/>
          <w:lang w:eastAsia="es-ES"/>
        </w:rPr>
        <w:t>98 votos por el SÍ y 1 voto por el NO</w:t>
      </w:r>
      <w:r w:rsidRPr="007C57D2">
        <w:rPr>
          <w:rStyle w:val="Refdenotaalpie"/>
          <w:rFonts w:ascii="Times New Roman" w:hAnsi="Times New Roman"/>
          <w:b/>
          <w:bCs/>
          <w:sz w:val="28"/>
          <w:szCs w:val="28"/>
          <w:lang w:eastAsia="es-ES"/>
        </w:rPr>
        <w:footnoteReference w:id="107"/>
      </w:r>
      <w:r w:rsidRPr="007C57D2">
        <w:rPr>
          <w:rFonts w:ascii="Times New Roman" w:hAnsi="Times New Roman"/>
          <w:sz w:val="28"/>
          <w:szCs w:val="28"/>
          <w:lang w:eastAsia="es-ES"/>
        </w:rPr>
        <w:t>. En consecuencia, dicho artículo fue aprobado mediante votación nominal y pública</w:t>
      </w:r>
      <w:r w:rsidRPr="007C57D2">
        <w:rPr>
          <w:rStyle w:val="Refdenotaalpie"/>
          <w:rFonts w:ascii="Times New Roman" w:hAnsi="Times New Roman"/>
          <w:sz w:val="28"/>
          <w:szCs w:val="28"/>
          <w:lang w:eastAsia="es-ES"/>
        </w:rPr>
        <w:footnoteReference w:id="108"/>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 xml:space="preserve">mayoría absoluta exigida. El </w:t>
      </w:r>
      <w:r w:rsidRPr="007C57D2">
        <w:rPr>
          <w:rFonts w:ascii="Times New Roman" w:hAnsi="Times New Roman"/>
          <w:bCs/>
          <w:sz w:val="28"/>
          <w:szCs w:val="28"/>
          <w:lang w:eastAsia="es-ES"/>
        </w:rPr>
        <w:t xml:space="preserve">contenido </w:t>
      </w:r>
      <w:r w:rsidRPr="007C57D2">
        <w:rPr>
          <w:rFonts w:ascii="Times New Roman" w:hAnsi="Times New Roman"/>
          <w:bCs/>
          <w:sz w:val="28"/>
          <w:szCs w:val="28"/>
          <w:lang w:eastAsia="es-ES"/>
        </w:rPr>
        <w:t>de las proposiciones avaladas se presenta en la siguiente tabla:</w:t>
      </w:r>
    </w:p>
    <w:p w:rsidR="004E3E5E" w:rsidRPr="007C57D2" w:rsidRDefault="007C57D2" w:rsidP="008F3DAB">
      <w:pPr>
        <w:pStyle w:val="Prrafodelista"/>
        <w:rPr>
          <w:rFonts w:ascii="Times New Roman" w:hAnsi="Times New Roman"/>
          <w:sz w:val="28"/>
          <w:szCs w:val="2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1129"/>
        <w:gridCol w:w="2268"/>
        <w:gridCol w:w="3691"/>
        <w:gridCol w:w="1696"/>
      </w:tblGrid>
      <w:tr w:rsidR="00A0085A" w:rsidRPr="007C57D2" w:rsidTr="007C57D2">
        <w:trPr>
          <w:jc w:val="center"/>
        </w:trPr>
        <w:tc>
          <w:tcPr>
            <w:tcW w:w="8784" w:type="dxa"/>
            <w:gridSpan w:val="4"/>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 9 – Proposiciones avaladas</w:t>
            </w:r>
          </w:p>
        </w:tc>
      </w:tr>
      <w:tr w:rsidR="007C57D2" w:rsidRPr="007C57D2" w:rsidTr="007C57D2">
        <w:trPr>
          <w:jc w:val="center"/>
        </w:trPr>
        <w:tc>
          <w:tcPr>
            <w:tcW w:w="112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268"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Autor(es) </w:t>
            </w:r>
          </w:p>
        </w:tc>
        <w:tc>
          <w:tcPr>
            <w:tcW w:w="369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p>
        </w:tc>
        <w:tc>
          <w:tcPr>
            <w:tcW w:w="1696"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Votación Sí/No</w:t>
            </w:r>
          </w:p>
        </w:tc>
      </w:tr>
      <w:tr w:rsidR="007C57D2" w:rsidRPr="007C57D2" w:rsidTr="007C57D2">
        <w:trPr>
          <w:jc w:val="center"/>
        </w:trPr>
        <w:tc>
          <w:tcPr>
            <w:tcW w:w="112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9</w:t>
            </w:r>
          </w:p>
        </w:tc>
        <w:tc>
          <w:tcPr>
            <w:tcW w:w="2268"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Susana Gómez Castaño</w:t>
            </w:r>
          </w:p>
        </w:tc>
        <w:tc>
          <w:tcPr>
            <w:tcW w:w="369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Modificación del literal a) para incluir “niño o niña” y agregar “menor de 12 años”; eliminación de los literales b) y c) para evitar requisitos restrictivos en la activación de la alerta</w:t>
            </w:r>
          </w:p>
        </w:tc>
        <w:tc>
          <w:tcPr>
            <w:tcW w:w="1696"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98/1</w:t>
            </w:r>
          </w:p>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Proposiciones aprobadas</w:t>
            </w:r>
          </w:p>
        </w:tc>
      </w:tr>
      <w:tr w:rsidR="007C57D2" w:rsidRPr="007C57D2" w:rsidTr="007C57D2">
        <w:trPr>
          <w:jc w:val="center"/>
        </w:trPr>
        <w:tc>
          <w:tcPr>
            <w:tcW w:w="112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268"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Mauricio Cuéllar</w:t>
            </w:r>
          </w:p>
        </w:tc>
        <w:tc>
          <w:tcPr>
            <w:tcW w:w="369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Ajuste de redacción </w:t>
            </w:r>
            <w:r w:rsidRPr="007C57D2">
              <w:rPr>
                <w:rFonts w:ascii="Times New Roman" w:hAnsi="Times New Roman"/>
                <w:sz w:val="28"/>
                <w:lang w:eastAsia="es-ES"/>
              </w:rPr>
              <w:t>sobre quiénes deben disponer de información suficiente para emitir la alerta</w:t>
            </w:r>
          </w:p>
        </w:tc>
        <w:tc>
          <w:tcPr>
            <w:tcW w:w="1696"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r w:rsidR="007C57D2" w:rsidRPr="007C57D2" w:rsidTr="007C57D2">
        <w:trPr>
          <w:jc w:val="center"/>
        </w:trPr>
        <w:tc>
          <w:tcPr>
            <w:tcW w:w="112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268"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Óscar Villamizar</w:t>
            </w:r>
          </w:p>
        </w:tc>
        <w:tc>
          <w:tcPr>
            <w:tcW w:w="369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Eliminación de la expresión “patria potestad”</w:t>
            </w:r>
          </w:p>
        </w:tc>
        <w:tc>
          <w:tcPr>
            <w:tcW w:w="1696"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r>
    </w:tbl>
    <w:p w:rsidR="004E3E5E" w:rsidRPr="007C57D2" w:rsidRDefault="007C57D2" w:rsidP="008F3DAB">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9</w:t>
      </w:r>
      <w:r w:rsidRPr="007C57D2">
        <w:rPr>
          <w:rFonts w:ascii="Times New Roman" w:hAnsi="Times New Roman"/>
          <w:sz w:val="28"/>
          <w:lang w:eastAsia="es-ES"/>
        </w:rPr>
        <w:t>. Artículo 9: proposiciones avaladas.</w:t>
      </w:r>
    </w:p>
    <w:p w:rsidR="0043579C"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Finalmente, la Plenaria de la Cámara de Representantes aprobó</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con votación nominal y pública</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con </w:t>
      </w:r>
      <w:r w:rsidRPr="007C57D2">
        <w:rPr>
          <w:rFonts w:ascii="Times New Roman" w:hAnsi="Times New Roman"/>
          <w:b/>
          <w:bCs/>
          <w:sz w:val="28"/>
          <w:szCs w:val="28"/>
          <w:lang w:eastAsia="es-ES"/>
        </w:rPr>
        <w:t>98 votos por el SÍ y 1 voto por el NO</w:t>
      </w:r>
      <w:r w:rsidRPr="007C57D2">
        <w:rPr>
          <w:rStyle w:val="Refdenotaalpie"/>
          <w:rFonts w:ascii="Times New Roman" w:hAnsi="Times New Roman"/>
          <w:b/>
          <w:bCs/>
          <w:sz w:val="28"/>
          <w:szCs w:val="28"/>
          <w:lang w:eastAsia="es-ES"/>
        </w:rPr>
        <w:footnoteReference w:id="109"/>
      </w:r>
      <w:r w:rsidRPr="007C57D2">
        <w:rPr>
          <w:rFonts w:ascii="Times New Roman" w:hAnsi="Times New Roman"/>
          <w:sz w:val="28"/>
          <w:szCs w:val="28"/>
          <w:lang w:eastAsia="es-ES"/>
        </w:rPr>
        <w:t xml:space="preserve"> </w:t>
      </w:r>
      <w:r w:rsidRPr="007C57D2">
        <w:rPr>
          <w:rFonts w:ascii="Times New Roman" w:hAnsi="Times New Roman"/>
          <w:sz w:val="28"/>
          <w:szCs w:val="28"/>
          <w:lang w:val="es-ES"/>
        </w:rPr>
        <w:t>el título del proyecto</w:t>
      </w:r>
      <w:r w:rsidRPr="007C57D2">
        <w:rPr>
          <w:rFonts w:ascii="Times New Roman" w:hAnsi="Times New Roman"/>
          <w:sz w:val="28"/>
          <w:szCs w:val="28"/>
          <w:lang w:val="es-ES"/>
        </w:rPr>
        <w:t xml:space="preserve"> </w:t>
      </w:r>
      <w:r w:rsidRPr="007C57D2">
        <w:rPr>
          <w:rFonts w:ascii="Times New Roman" w:hAnsi="Times New Roman"/>
          <w:sz w:val="28"/>
          <w:szCs w:val="28"/>
        </w:rPr>
        <w:t>—</w:t>
      </w:r>
      <w:r w:rsidRPr="007C57D2">
        <w:rPr>
          <w:rFonts w:ascii="Times New Roman" w:hAnsi="Times New Roman"/>
          <w:i/>
          <w:iCs/>
          <w:sz w:val="28"/>
          <w:szCs w:val="28"/>
          <w:lang w:val="es-ES"/>
        </w:rPr>
        <w:t>Por medio de la cual se crea y se reglamenta Alerta Colombia (Ley Sara Sofía) y se dictan otras disposiciones</w:t>
      </w:r>
      <w:r w:rsidRPr="007C57D2">
        <w:rPr>
          <w:rFonts w:ascii="Times New Roman" w:hAnsi="Times New Roman"/>
          <w:sz w:val="28"/>
          <w:szCs w:val="28"/>
        </w:rPr>
        <w:t>—</w:t>
      </w:r>
      <w:r w:rsidRPr="007C57D2">
        <w:rPr>
          <w:rFonts w:ascii="Times New Roman" w:hAnsi="Times New Roman"/>
          <w:sz w:val="28"/>
          <w:szCs w:val="28"/>
          <w:lang w:val="es-ES"/>
        </w:rPr>
        <w:t xml:space="preserve"> </w:t>
      </w:r>
      <w:r w:rsidRPr="007C57D2">
        <w:rPr>
          <w:rFonts w:ascii="Times New Roman" w:hAnsi="Times New Roman"/>
          <w:sz w:val="28"/>
          <w:szCs w:val="28"/>
        </w:rPr>
        <w:t xml:space="preserve">y la pregunta respecto de si los congresistas </w:t>
      </w:r>
      <w:r w:rsidRPr="007C57D2">
        <w:rPr>
          <w:rFonts w:ascii="Times New Roman" w:hAnsi="Times New Roman"/>
          <w:sz w:val="28"/>
          <w:szCs w:val="28"/>
        </w:rPr>
        <w:t>deseaban que este proyecto fuese ley de la República.</w:t>
      </w:r>
    </w:p>
    <w:p w:rsidR="00CD686A"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4"/>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Publicación oficial del texto aprobado en segundo debate</w:t>
      </w:r>
    </w:p>
    <w:p w:rsidR="004E3E5E"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El texto definitivo aprobado en la Plenaria de la Cámara de Representantes fue publicado en la Gaceta del Congreso </w:t>
      </w:r>
      <w:r w:rsidRPr="007C57D2">
        <w:rPr>
          <w:rFonts w:ascii="Times New Roman" w:hAnsi="Times New Roman"/>
          <w:sz w:val="28"/>
          <w:szCs w:val="28"/>
          <w:lang w:eastAsia="es-MX"/>
        </w:rPr>
        <w:t xml:space="preserve">n.º </w:t>
      </w:r>
      <w:r w:rsidRPr="007C57D2">
        <w:rPr>
          <w:rFonts w:ascii="Times New Roman" w:hAnsi="Times New Roman"/>
          <w:sz w:val="28"/>
          <w:szCs w:val="28"/>
          <w:lang w:eastAsia="es-ES"/>
        </w:rPr>
        <w:t xml:space="preserve">567 del 10 de mayo de </w:t>
      </w:r>
      <w:r w:rsidRPr="007C57D2">
        <w:rPr>
          <w:rFonts w:ascii="Times New Roman" w:hAnsi="Times New Roman"/>
          <w:sz w:val="28"/>
          <w:szCs w:val="28"/>
          <w:lang w:eastAsia="es-ES"/>
        </w:rPr>
        <w:t>2024</w:t>
      </w:r>
      <w:r w:rsidRPr="007C57D2">
        <w:rPr>
          <w:rStyle w:val="Refdenotaalpie"/>
          <w:rFonts w:ascii="Times New Roman" w:hAnsi="Times New Roman"/>
          <w:sz w:val="28"/>
          <w:szCs w:val="28"/>
          <w:lang w:eastAsia="es-ES"/>
        </w:rPr>
        <w:footnoteReference w:id="110"/>
      </w:r>
      <w:r w:rsidRPr="007C57D2">
        <w:rPr>
          <w:rFonts w:ascii="Times New Roman" w:hAnsi="Times New Roman"/>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Conclusión.</w:t>
      </w:r>
      <w:r w:rsidRPr="007C57D2">
        <w:rPr>
          <w:rFonts w:ascii="Times New Roman" w:hAnsi="Times New Roman"/>
          <w:sz w:val="28"/>
          <w:szCs w:val="28"/>
          <w:lang w:eastAsia="es-ES"/>
        </w:rPr>
        <w:t xml:space="preserve"> La Sala encuentra que, en el segundo debate del PLE adelantado en la Plenaria de la Cámara de Representantes, se cumplieron los requisitos procedimentales relativos a la presentación y publicación del informe de ponencia, el anuncio pre</w:t>
      </w:r>
      <w:r w:rsidRPr="007C57D2">
        <w:rPr>
          <w:rFonts w:ascii="Times New Roman" w:hAnsi="Times New Roman"/>
          <w:sz w:val="28"/>
          <w:szCs w:val="28"/>
          <w:lang w:eastAsia="es-ES"/>
        </w:rPr>
        <w:t xml:space="preserve">vio, el </w:t>
      </w:r>
      <w:r w:rsidRPr="007C57D2">
        <w:rPr>
          <w:rFonts w:ascii="Times New Roman" w:hAnsi="Times New Roman"/>
          <w:i/>
          <w:iCs/>
          <w:sz w:val="28"/>
          <w:szCs w:val="28"/>
          <w:lang w:eastAsia="es-ES"/>
        </w:rPr>
        <w:t xml:space="preserve">quorum </w:t>
      </w:r>
      <w:r w:rsidRPr="007C57D2">
        <w:rPr>
          <w:rFonts w:ascii="Times New Roman" w:hAnsi="Times New Roman"/>
          <w:sz w:val="28"/>
          <w:szCs w:val="28"/>
          <w:lang w:eastAsia="es-ES"/>
        </w:rPr>
        <w:t xml:space="preserve">deliberatorio y decisorio, la votación nominal y pública; la mayoría absoluta y la publicación del texto aprobado, conforme a lo exigido en la Constitución y en la Ley 5 de 1992. La siguiente tabla resume dichos aspectos: </w:t>
      </w:r>
    </w:p>
    <w:p w:rsidR="004E3E5E"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2939"/>
        <w:gridCol w:w="4560"/>
        <w:gridCol w:w="1329"/>
      </w:tblGrid>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Segundo debate</w:t>
            </w:r>
          </w:p>
        </w:tc>
      </w:tr>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Plenaria de la Cámara de Representantes</w:t>
            </w:r>
          </w:p>
        </w:tc>
      </w:tr>
      <w:tr w:rsidR="007C57D2" w:rsidRPr="007C57D2" w:rsidTr="007C57D2">
        <w:tc>
          <w:tcPr>
            <w:tcW w:w="2939"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Requisito</w:t>
            </w:r>
          </w:p>
        </w:tc>
        <w:tc>
          <w:tcPr>
            <w:tcW w:w="4560"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Detalle</w:t>
            </w:r>
          </w:p>
        </w:tc>
        <w:tc>
          <w:tcPr>
            <w:tcW w:w="1329"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Resultado</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informe de ponencia positiva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val="es-ES_tradnl"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 xml:space="preserve">n.º </w:t>
            </w:r>
            <w:r w:rsidRPr="007C57D2">
              <w:rPr>
                <w:rFonts w:ascii="Times New Roman" w:hAnsi="Times New Roman"/>
                <w:sz w:val="28"/>
                <w:lang w:val="es-ES_tradnl" w:eastAsia="es-ES"/>
              </w:rPr>
              <w:t>1675 del 28 de noviembre de 2023 (p. 8-16)</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Anuncio previo</w:t>
            </w:r>
          </w:p>
        </w:tc>
        <w:tc>
          <w:tcPr>
            <w:tcW w:w="4560"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Acta 131 del 15 de abril de 2024 </w:t>
            </w:r>
          </w:p>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 xml:space="preserve">n.º </w:t>
            </w:r>
            <w:r w:rsidRPr="007C57D2">
              <w:rPr>
                <w:rFonts w:ascii="Times New Roman" w:hAnsi="Times New Roman"/>
                <w:sz w:val="28"/>
                <w:lang w:val="es-ES_tradnl" w:eastAsia="es-ES"/>
              </w:rPr>
              <w:t>1052 del 26 de julio de 2024 (p. 76)</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Debate y aprobación</w:t>
            </w:r>
          </w:p>
        </w:tc>
        <w:tc>
          <w:tcPr>
            <w:tcW w:w="4560"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Acta 132 del 16 de abril de 2024</w:t>
            </w:r>
          </w:p>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Gaceta del Congreso n.º 1211 del 28 de agosto de 2024 (p. 31-58)</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deliberatorio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decisorio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Votación nominal y pública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Mayoría exigida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de</w:t>
            </w:r>
            <w:r w:rsidRPr="007C57D2">
              <w:rPr>
                <w:rFonts w:ascii="Times New Roman" w:hAnsi="Times New Roman"/>
                <w:sz w:val="28"/>
                <w:lang w:eastAsia="es-ES"/>
              </w:rPr>
              <w:t>l</w:t>
            </w:r>
            <w:r w:rsidRPr="007C57D2">
              <w:rPr>
                <w:rFonts w:ascii="Times New Roman" w:hAnsi="Times New Roman"/>
                <w:sz w:val="28"/>
                <w:lang w:eastAsia="es-ES"/>
              </w:rPr>
              <w:t xml:space="preserve"> texto aprobado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Gaceta del Congreso n.º 567 del 10 de mayo de 2024 </w:t>
            </w:r>
            <w:r w:rsidRPr="007C57D2">
              <w:rPr>
                <w:rFonts w:ascii="Times New Roman" w:hAnsi="Times New Roman"/>
                <w:sz w:val="28"/>
                <w:lang w:eastAsia="es-ES"/>
              </w:rPr>
              <w:t>(p. 29-33)</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bl>
    <w:p w:rsidR="006B38C8" w:rsidRPr="007C57D2" w:rsidRDefault="007C57D2" w:rsidP="008F3DAB">
      <w:pPr>
        <w:tabs>
          <w:tab w:val="left" w:pos="360"/>
        </w:tabs>
        <w:spacing w:after="0" w:line="240" w:lineRule="auto"/>
        <w:contextualSpacing/>
        <w:jc w:val="center"/>
        <w:rPr>
          <w:rFonts w:ascii="Times New Roman" w:hAnsi="Times New Roman"/>
          <w:i/>
          <w:iCs/>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10</w:t>
      </w:r>
      <w:r w:rsidRPr="007C57D2">
        <w:rPr>
          <w:rFonts w:ascii="Times New Roman" w:hAnsi="Times New Roman"/>
          <w:sz w:val="28"/>
          <w:lang w:eastAsia="es-ES"/>
        </w:rPr>
        <w:t>.</w:t>
      </w:r>
      <w:r w:rsidRPr="007C57D2">
        <w:rPr>
          <w:rFonts w:ascii="Times New Roman" w:hAnsi="Times New Roman"/>
          <w:i/>
          <w:iCs/>
          <w:sz w:val="28"/>
          <w:lang w:eastAsia="es-ES"/>
        </w:rPr>
        <w:t xml:space="preserve"> Plenaria de la Cámara de Representantes: segundo debate.</w:t>
      </w:r>
    </w:p>
    <w:p w:rsidR="00C10212"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8F3DAB"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8F3DAB"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8F3DAB"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8F3DAB"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4E3E5E"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4.2. Trámite en el Senado de la República</w:t>
      </w:r>
    </w:p>
    <w:p w:rsidR="004E3E5E"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 xml:space="preserve">Designación del ponente y publicación del informe de ponencia para primer debate </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w:t>
      </w:r>
      <w:r w:rsidRPr="007C57D2">
        <w:rPr>
          <w:rFonts w:ascii="Times New Roman" w:hAnsi="Times New Roman"/>
          <w:sz w:val="28"/>
          <w:szCs w:val="28"/>
          <w:lang w:eastAsia="es-MX"/>
        </w:rPr>
        <w:t xml:space="preserve">l 9 de mayo de 2024, el PLE fue </w:t>
      </w:r>
      <w:r w:rsidRPr="007C57D2">
        <w:rPr>
          <w:rFonts w:ascii="Times New Roman" w:hAnsi="Times New Roman"/>
          <w:sz w:val="28"/>
          <w:szCs w:val="28"/>
          <w:lang w:eastAsia="es-MX"/>
        </w:rPr>
        <w:t>remitido por el presidente de la Cámara de Representantes a la Comisión Primera Constitucional Permanente del Senado de la República, donde fue recibido y radicado en la misma fecha</w:t>
      </w:r>
      <w:r w:rsidRPr="007C57D2">
        <w:rPr>
          <w:rStyle w:val="Refdenotaalpie"/>
          <w:rFonts w:ascii="Times New Roman" w:hAnsi="Times New Roman"/>
          <w:sz w:val="28"/>
          <w:szCs w:val="28"/>
          <w:lang w:eastAsia="es-MX"/>
        </w:rPr>
        <w:footnoteReference w:id="111"/>
      </w:r>
      <w:r w:rsidRPr="007C57D2">
        <w:rPr>
          <w:rFonts w:ascii="Times New Roman" w:hAnsi="Times New Roman"/>
          <w:sz w:val="28"/>
          <w:szCs w:val="28"/>
          <w:lang w:eastAsia="es-MX"/>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rPr>
        <w:t xml:space="preserve">Mediante Acta MD-16 del 14 de mayo de 2024, la Mesa Directiva designó </w:t>
      </w:r>
      <w:r w:rsidRPr="007C57D2">
        <w:rPr>
          <w:rFonts w:ascii="Times New Roman" w:hAnsi="Times New Roman"/>
          <w:sz w:val="28"/>
          <w:szCs w:val="28"/>
          <w:lang w:eastAsia="es-MX"/>
        </w:rPr>
        <w:t>como ponente único de la iniciativa al senador Alejandro Carlos Chacón Álvarez</w:t>
      </w:r>
      <w:r w:rsidRPr="007C57D2">
        <w:rPr>
          <w:rStyle w:val="Refdenotaalpie"/>
          <w:rFonts w:ascii="Times New Roman" w:hAnsi="Times New Roman"/>
          <w:sz w:val="28"/>
          <w:szCs w:val="28"/>
          <w:lang w:eastAsia="es-MX"/>
        </w:rPr>
        <w:footnoteReference w:id="112"/>
      </w:r>
      <w:r w:rsidRPr="007C57D2">
        <w:rPr>
          <w:rFonts w:ascii="Times New Roman" w:hAnsi="Times New Roman"/>
          <w:sz w:val="28"/>
          <w:szCs w:val="28"/>
          <w:lang w:eastAsia="es-MX"/>
        </w:rPr>
        <w:t>, en cumplimiento de lo dispuesto en el artículo 150 de la Ley 5 de 1992</w:t>
      </w:r>
      <w:r w:rsidRPr="007C57D2">
        <w:rPr>
          <w:rStyle w:val="Refdenotaalpie"/>
          <w:rFonts w:ascii="Times New Roman" w:hAnsi="Times New Roman"/>
          <w:sz w:val="28"/>
          <w:szCs w:val="28"/>
          <w:lang w:eastAsia="es-MX"/>
        </w:rPr>
        <w:footnoteReference w:id="113"/>
      </w:r>
      <w:r w:rsidRPr="007C57D2">
        <w:rPr>
          <w:rFonts w:ascii="Times New Roman" w:hAnsi="Times New Roman"/>
          <w:sz w:val="28"/>
          <w:szCs w:val="28"/>
          <w:lang w:eastAsia="es-MX"/>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Conforme a lo previsto en el artículo 160 de la Constitución, y en los artículos 156 y 157 de la Ley</w:t>
      </w:r>
      <w:r w:rsidRPr="007C57D2">
        <w:rPr>
          <w:rFonts w:ascii="Times New Roman" w:hAnsi="Times New Roman"/>
          <w:sz w:val="28"/>
          <w:szCs w:val="28"/>
          <w:lang w:eastAsia="es-ES"/>
        </w:rPr>
        <w:t xml:space="preserve"> 5 de 1992, </w:t>
      </w:r>
      <w:r w:rsidRPr="007C57D2">
        <w:rPr>
          <w:rFonts w:ascii="Times New Roman" w:hAnsi="Times New Roman"/>
          <w:sz w:val="28"/>
          <w:szCs w:val="28"/>
          <w:lang w:eastAsia="es-ES"/>
        </w:rPr>
        <w:t xml:space="preserve">el 21 de mayo de 2024, </w:t>
      </w:r>
      <w:r w:rsidRPr="007C57D2">
        <w:rPr>
          <w:rFonts w:ascii="Times New Roman" w:hAnsi="Times New Roman"/>
          <w:sz w:val="28"/>
          <w:szCs w:val="28"/>
          <w:lang w:eastAsia="es-ES"/>
        </w:rPr>
        <w:t>el ponente designado radicó el informe de ponencia para primer debate del PLE ante la Comisión Primera Constitucional Permanente del Senado de la República</w:t>
      </w:r>
      <w:r w:rsidRPr="007C57D2">
        <w:rPr>
          <w:rStyle w:val="Refdenotaalpie"/>
          <w:rFonts w:ascii="Times New Roman" w:hAnsi="Times New Roman"/>
          <w:sz w:val="28"/>
          <w:szCs w:val="28"/>
          <w:lang w:eastAsia="es-ES"/>
        </w:rPr>
        <w:footnoteReference w:id="114"/>
      </w:r>
      <w:r w:rsidRPr="007C57D2">
        <w:rPr>
          <w:rFonts w:ascii="Times New Roman" w:hAnsi="Times New Roman"/>
          <w:sz w:val="28"/>
          <w:szCs w:val="28"/>
          <w:lang w:eastAsia="es-ES"/>
        </w:rPr>
        <w:t xml:space="preserve">, el cual fue </w:t>
      </w:r>
      <w:r w:rsidRPr="007C57D2">
        <w:rPr>
          <w:rFonts w:ascii="Times New Roman" w:hAnsi="Times New Roman"/>
          <w:sz w:val="28"/>
          <w:szCs w:val="28"/>
        </w:rPr>
        <w:t>publicado en la Gaceta del Congreso 625 del 21 de m</w:t>
      </w:r>
      <w:r w:rsidRPr="007C57D2">
        <w:rPr>
          <w:rFonts w:ascii="Times New Roman" w:hAnsi="Times New Roman"/>
          <w:sz w:val="28"/>
          <w:szCs w:val="28"/>
        </w:rPr>
        <w:t>ayo de 2024</w:t>
      </w:r>
      <w:r w:rsidRPr="007C57D2">
        <w:rPr>
          <w:rStyle w:val="Refdenotaalpie"/>
          <w:rFonts w:ascii="Times New Roman" w:hAnsi="Times New Roman"/>
          <w:sz w:val="28"/>
          <w:szCs w:val="28"/>
        </w:rPr>
        <w:footnoteReference w:id="115"/>
      </w:r>
      <w:r w:rsidRPr="007C57D2">
        <w:rPr>
          <w:rFonts w:ascii="Times New Roman" w:hAnsi="Times New Roman"/>
          <w:sz w:val="28"/>
          <w:szCs w:val="28"/>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Anuncio previo a la discusión y votación</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Como se </w:t>
      </w:r>
      <w:r w:rsidRPr="007C57D2">
        <w:rPr>
          <w:rFonts w:ascii="Times New Roman" w:hAnsi="Times New Roman"/>
          <w:sz w:val="28"/>
          <w:szCs w:val="28"/>
          <w:lang w:eastAsia="es-ES"/>
        </w:rPr>
        <w:t xml:space="preserve">precisará </w:t>
      </w:r>
      <w:r w:rsidRPr="007C57D2">
        <w:rPr>
          <w:rFonts w:ascii="Times New Roman" w:hAnsi="Times New Roman"/>
          <w:sz w:val="28"/>
          <w:szCs w:val="28"/>
          <w:lang w:eastAsia="es-ES"/>
        </w:rPr>
        <w:t xml:space="preserve">en el apartado siguiente, el PLE fue aprobado en primer debate en la Comisión Primera Constitucional Permanente del Senado de la República durante la sesión del </w:t>
      </w:r>
      <w:r w:rsidRPr="007C57D2">
        <w:rPr>
          <w:rFonts w:ascii="Times New Roman" w:hAnsi="Times New Roman"/>
          <w:b/>
          <w:bCs/>
          <w:sz w:val="28"/>
          <w:szCs w:val="28"/>
          <w:lang w:eastAsia="es-ES"/>
        </w:rPr>
        <w:t>28 de mayo de 2024</w:t>
      </w:r>
      <w:r w:rsidRPr="007C57D2">
        <w:rPr>
          <w:rStyle w:val="Refdenotaalpie"/>
          <w:rFonts w:ascii="Times New Roman" w:hAnsi="Times New Roman"/>
          <w:b/>
          <w:bCs/>
          <w:sz w:val="28"/>
          <w:szCs w:val="28"/>
          <w:lang w:eastAsia="es-ES"/>
        </w:rPr>
        <w:footnoteReference w:id="116"/>
      </w:r>
      <w:r w:rsidRPr="007C57D2">
        <w:rPr>
          <w:rFonts w:ascii="Times New Roman" w:hAnsi="Times New Roman"/>
          <w:sz w:val="28"/>
          <w:szCs w:val="28"/>
          <w:lang w:eastAsia="es-ES"/>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Con base en la información que obra en las Gacetas del Congreso, el número consecutivo de las actas y las fórmulas empleadas para efectuar los anuncios, la Corte constata </w:t>
      </w:r>
      <w:r w:rsidRPr="007C57D2">
        <w:rPr>
          <w:rFonts w:ascii="Times New Roman" w:hAnsi="Times New Roman"/>
          <w:sz w:val="28"/>
          <w:szCs w:val="28"/>
          <w:lang w:eastAsia="es-ES"/>
        </w:rPr>
        <w:t>lo siguiente:</w:t>
      </w:r>
      <w:r w:rsidRPr="007C57D2">
        <w:rPr>
          <w:rFonts w:ascii="Times New Roman" w:hAnsi="Times New Roman"/>
          <w:sz w:val="28"/>
          <w:szCs w:val="28"/>
          <w:lang w:eastAsia="es-ES"/>
        </w:rPr>
        <w:t xml:space="preserve"> (i) estos se realizaron en una sesión distinta y anterior a aquella</w:t>
      </w:r>
      <w:r w:rsidRPr="007C57D2">
        <w:rPr>
          <w:rFonts w:ascii="Times New Roman" w:hAnsi="Times New Roman"/>
          <w:sz w:val="28"/>
          <w:szCs w:val="28"/>
          <w:lang w:eastAsia="es-ES"/>
        </w:rPr>
        <w:t xml:space="preserve"> prevista para la discusión y votación del PLE; (ii) las fechas señaladas para la votación del PLE fueron ciertas y determinadas; (iii) el PLE se discutió y aprobó en una sesión distinta a aquella en la que fue anunciado, y (iv) no se presentó ruptura en l</w:t>
      </w:r>
      <w:r w:rsidRPr="007C57D2">
        <w:rPr>
          <w:rFonts w:ascii="Times New Roman" w:hAnsi="Times New Roman"/>
          <w:sz w:val="28"/>
          <w:szCs w:val="28"/>
          <w:lang w:eastAsia="es-ES"/>
        </w:rPr>
        <w:t xml:space="preserve">a cadena de anuncios. En consecuencia, los anuncios cumplieron las condiciones de validez previstas en </w:t>
      </w:r>
      <w:r w:rsidRPr="007C57D2">
        <w:rPr>
          <w:rFonts w:ascii="Times New Roman" w:hAnsi="Times New Roman"/>
          <w:sz w:val="28"/>
          <w:szCs w:val="28"/>
          <w:lang w:val="es-ES" w:eastAsia="es-ES"/>
        </w:rPr>
        <w:t>artículo 160 de la Constitución y desarrolladas por la jurisprudencia constitucional, garantizando así los principios de publicidad y transparencia en el</w:t>
      </w:r>
      <w:r w:rsidRPr="007C57D2">
        <w:rPr>
          <w:rFonts w:ascii="Times New Roman" w:hAnsi="Times New Roman"/>
          <w:sz w:val="28"/>
          <w:szCs w:val="28"/>
          <w:lang w:val="es-ES" w:eastAsia="es-ES"/>
        </w:rPr>
        <w:t xml:space="preserve"> procedimiento legislativo, como se refleja en la siguiente tabla:</w:t>
      </w:r>
    </w:p>
    <w:p w:rsidR="005B1FE5" w:rsidRPr="007C57D2" w:rsidRDefault="007C57D2" w:rsidP="008F3DAB">
      <w:pPr>
        <w:pStyle w:val="Prrafodelista"/>
        <w:tabs>
          <w:tab w:val="left" w:pos="567"/>
        </w:tabs>
        <w:ind w:left="0"/>
        <w:jc w:val="both"/>
        <w:rPr>
          <w:rFonts w:ascii="Times New Roman" w:hAnsi="Times New Roman"/>
          <w:sz w:val="28"/>
          <w:szCs w:val="28"/>
          <w:lang w:eastAsia="es-ES"/>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123"/>
        <w:gridCol w:w="6243"/>
        <w:gridCol w:w="1560"/>
      </w:tblGrid>
      <w:tr w:rsidR="00A0085A" w:rsidRPr="007C57D2" w:rsidTr="007C57D2">
        <w:tc>
          <w:tcPr>
            <w:tcW w:w="8926" w:type="dxa"/>
            <w:gridSpan w:val="3"/>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b/>
                <w:bCs/>
                <w:sz w:val="28"/>
                <w:lang w:eastAsia="es-ES"/>
              </w:rPr>
            </w:pPr>
            <w:r w:rsidRPr="007C57D2">
              <w:rPr>
                <w:rFonts w:ascii="Times New Roman" w:hAnsi="Times New Roman"/>
                <w:b/>
                <w:bCs/>
                <w:sz w:val="28"/>
                <w:lang w:eastAsia="es-ES"/>
              </w:rPr>
              <w:t>Anuncios en la Comisión Primera del Senado de la República</w:t>
            </w:r>
          </w:p>
        </w:tc>
      </w:tr>
      <w:tr w:rsidR="007C57D2" w:rsidRPr="007C57D2" w:rsidTr="007C57D2">
        <w:tc>
          <w:tcPr>
            <w:tcW w:w="1123"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b/>
                <w:bCs/>
                <w:sz w:val="28"/>
                <w:lang w:eastAsia="es-ES"/>
              </w:rPr>
            </w:pPr>
            <w:r w:rsidRPr="007C57D2">
              <w:rPr>
                <w:rFonts w:ascii="Times New Roman" w:hAnsi="Times New Roman"/>
                <w:b/>
                <w:bCs/>
                <w:sz w:val="28"/>
                <w:lang w:eastAsia="es-ES"/>
              </w:rPr>
              <w:t>Anuncio</w:t>
            </w:r>
          </w:p>
        </w:tc>
        <w:tc>
          <w:tcPr>
            <w:tcW w:w="6243"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b/>
                <w:bCs/>
                <w:sz w:val="28"/>
                <w:lang w:eastAsia="es-ES"/>
              </w:rPr>
            </w:pPr>
            <w:r w:rsidRPr="007C57D2">
              <w:rPr>
                <w:rFonts w:ascii="Times New Roman" w:hAnsi="Times New Roman"/>
                <w:b/>
                <w:bCs/>
                <w:sz w:val="28"/>
                <w:lang w:eastAsia="es-ES"/>
              </w:rPr>
              <w:t>Sesión y contenido del anuncio</w:t>
            </w:r>
          </w:p>
        </w:tc>
        <w:tc>
          <w:tcPr>
            <w:tcW w:w="1560"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b/>
                <w:bCs/>
                <w:sz w:val="28"/>
                <w:lang w:eastAsia="es-ES"/>
              </w:rPr>
            </w:pPr>
            <w:r w:rsidRPr="007C57D2">
              <w:rPr>
                <w:rFonts w:ascii="Times New Roman" w:hAnsi="Times New Roman"/>
                <w:b/>
                <w:bCs/>
                <w:sz w:val="28"/>
                <w:lang w:eastAsia="es-ES"/>
              </w:rPr>
              <w:t>Acta/Gaceta</w:t>
            </w:r>
          </w:p>
        </w:tc>
      </w:tr>
      <w:tr w:rsidR="007C57D2" w:rsidRPr="007C57D2" w:rsidTr="007C57D2">
        <w:tc>
          <w:tcPr>
            <w:tcW w:w="1123"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sz w:val="28"/>
                <w:lang w:eastAsia="es-ES"/>
              </w:rPr>
            </w:pPr>
            <w:r w:rsidRPr="007C57D2">
              <w:rPr>
                <w:rFonts w:ascii="Times New Roman" w:hAnsi="Times New Roman"/>
                <w:sz w:val="28"/>
                <w:lang w:eastAsia="es-ES"/>
              </w:rPr>
              <w:t>Primer anuncio</w:t>
            </w:r>
          </w:p>
        </w:tc>
        <w:tc>
          <w:tcPr>
            <w:tcW w:w="6243"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sz w:val="28"/>
                <w:lang w:eastAsia="es-ES"/>
              </w:rPr>
            </w:pPr>
            <w:r w:rsidRPr="007C57D2">
              <w:rPr>
                <w:rFonts w:ascii="Times New Roman" w:hAnsi="Times New Roman"/>
                <w:b/>
                <w:bCs/>
                <w:sz w:val="28"/>
                <w:lang w:eastAsia="es-ES"/>
              </w:rPr>
              <w:t xml:space="preserve">Sesión del 21 de mayo de 2024: </w:t>
            </w:r>
            <w:r w:rsidRPr="007C57D2">
              <w:rPr>
                <w:rFonts w:ascii="Times New Roman" w:hAnsi="Times New Roman"/>
                <w:sz w:val="28"/>
                <w:lang w:eastAsia="es-ES"/>
              </w:rPr>
              <w:t>“La Secretaria da lectura a los proyectos que, por disposición de la Presidencia, se someterán a discusión y votación en la próxima sesión ordinaria de la Comisión […] Proyecto de Ley Estatutaria número 285 de 2024 Senado – 266 de 2023 Cámara, por medio de</w:t>
            </w:r>
            <w:r w:rsidRPr="007C57D2">
              <w:rPr>
                <w:rFonts w:ascii="Times New Roman" w:hAnsi="Times New Roman"/>
                <w:sz w:val="28"/>
                <w:lang w:eastAsia="es-ES"/>
              </w:rPr>
              <w:t xml:space="preserve"> la cual se crea y se reglamenta Alerta Colombia Ley Sara Sofía y se dictan otras disposiciones […] Siendo las 3:06 p. m., la Presidencia levanta la sesión y se convoca a sesión de la oposición de acuerdo al artículo 19 de la Ley 1909 de 2018 para el </w:t>
            </w:r>
            <w:r w:rsidRPr="007C57D2">
              <w:rPr>
                <w:rFonts w:ascii="Times New Roman" w:hAnsi="Times New Roman"/>
                <w:b/>
                <w:bCs/>
                <w:sz w:val="28"/>
                <w:lang w:eastAsia="es-ES"/>
              </w:rPr>
              <w:t>próxi</w:t>
            </w:r>
            <w:r w:rsidRPr="007C57D2">
              <w:rPr>
                <w:rFonts w:ascii="Times New Roman" w:hAnsi="Times New Roman"/>
                <w:b/>
                <w:bCs/>
                <w:sz w:val="28"/>
                <w:lang w:eastAsia="es-ES"/>
              </w:rPr>
              <w:t>mo miércoles 22 de mayo de 2024</w:t>
            </w:r>
            <w:r w:rsidRPr="007C57D2">
              <w:rPr>
                <w:rFonts w:ascii="Times New Roman" w:hAnsi="Times New Roman"/>
                <w:sz w:val="28"/>
                <w:lang w:eastAsia="es-ES"/>
              </w:rPr>
              <w:t xml:space="preserve"> a partir de las 9:00 a. m., en el salón de la Comisión Primera del Senado (salón – Guillermo Valencia) – Capitolio Nacional”.</w:t>
            </w:r>
          </w:p>
        </w:tc>
        <w:tc>
          <w:tcPr>
            <w:tcW w:w="1560"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sz w:val="28"/>
                <w:lang w:eastAsia="es-ES"/>
              </w:rPr>
            </w:pPr>
            <w:r w:rsidRPr="007C57D2">
              <w:rPr>
                <w:rFonts w:ascii="Times New Roman" w:hAnsi="Times New Roman"/>
                <w:sz w:val="28"/>
                <w:lang w:eastAsia="es-ES"/>
              </w:rPr>
              <w:t xml:space="preserve">Acta </w:t>
            </w:r>
            <w:r w:rsidRPr="007C57D2">
              <w:rPr>
                <w:rFonts w:ascii="Times New Roman" w:hAnsi="Times New Roman"/>
                <w:b/>
                <w:bCs/>
                <w:sz w:val="28"/>
                <w:lang w:eastAsia="es-ES"/>
              </w:rPr>
              <w:t>46</w:t>
            </w:r>
            <w:r w:rsidRPr="007C57D2">
              <w:rPr>
                <w:rFonts w:ascii="Times New Roman" w:hAnsi="Times New Roman"/>
                <w:sz w:val="28"/>
                <w:lang w:eastAsia="es-ES"/>
              </w:rPr>
              <w:t xml:space="preserve"> del 21 de mayo de 2024</w:t>
            </w:r>
            <w:r w:rsidRPr="007C57D2">
              <w:rPr>
                <w:rFonts w:ascii="Times New Roman" w:hAnsi="Times New Roman"/>
                <w:sz w:val="28"/>
                <w:lang w:eastAsia="es-ES"/>
              </w:rPr>
              <w:t>.</w:t>
            </w:r>
            <w:r w:rsidRPr="007C57D2">
              <w:rPr>
                <w:rFonts w:ascii="Times New Roman" w:hAnsi="Times New Roman"/>
                <w:sz w:val="28"/>
                <w:lang w:eastAsia="es-ES"/>
              </w:rPr>
              <w:t xml:space="preserve"> Gaceta del Congreso 901 del 17 de junio de 2024 (p. 6)</w:t>
            </w:r>
          </w:p>
        </w:tc>
      </w:tr>
      <w:tr w:rsidR="007C57D2" w:rsidRPr="007C57D2" w:rsidTr="007C57D2">
        <w:tc>
          <w:tcPr>
            <w:tcW w:w="1123"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sz w:val="28"/>
                <w:lang w:eastAsia="es-ES"/>
              </w:rPr>
            </w:pPr>
            <w:r w:rsidRPr="007C57D2">
              <w:rPr>
                <w:rFonts w:ascii="Times New Roman" w:hAnsi="Times New Roman"/>
                <w:sz w:val="28"/>
                <w:lang w:eastAsia="es-ES"/>
              </w:rPr>
              <w:t xml:space="preserve">Segundo </w:t>
            </w:r>
            <w:r w:rsidRPr="007C57D2">
              <w:rPr>
                <w:rFonts w:ascii="Times New Roman" w:hAnsi="Times New Roman"/>
                <w:sz w:val="28"/>
                <w:lang w:eastAsia="es-ES"/>
              </w:rPr>
              <w:t>anuncio</w:t>
            </w:r>
          </w:p>
        </w:tc>
        <w:tc>
          <w:tcPr>
            <w:tcW w:w="6243"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sz w:val="28"/>
                <w:lang w:eastAsia="es-ES"/>
              </w:rPr>
            </w:pPr>
            <w:r w:rsidRPr="007C57D2">
              <w:rPr>
                <w:rFonts w:ascii="Times New Roman" w:hAnsi="Times New Roman"/>
                <w:b/>
                <w:bCs/>
                <w:sz w:val="28"/>
                <w:lang w:eastAsia="es-ES"/>
              </w:rPr>
              <w:t xml:space="preserve">Sesión del 22 de mayo de 2024: </w:t>
            </w:r>
            <w:r w:rsidRPr="007C57D2">
              <w:rPr>
                <w:rFonts w:ascii="Times New Roman" w:hAnsi="Times New Roman"/>
                <w:sz w:val="28"/>
                <w:lang w:eastAsia="es-ES"/>
              </w:rPr>
              <w:t>“La Secretaria da lectura a los proyectos que, por disposición de la Presidencia, se someterán a discusión y votación en la próxima sesión ordinaria de la Comisión […] Proyecto de Ley Estatutaria número 285 de 2024 Se</w:t>
            </w:r>
            <w:r w:rsidRPr="007C57D2">
              <w:rPr>
                <w:rFonts w:ascii="Times New Roman" w:hAnsi="Times New Roman"/>
                <w:sz w:val="28"/>
                <w:lang w:eastAsia="es-ES"/>
              </w:rPr>
              <w:t xml:space="preserve">nado, 266 de 2023 Cámara, por medio de la cual se crea y se reglamenta alerta Colombia Ley Sara Sofía y se dictan otras disposiciones […] Siendo las 10:25 a. m., la Presidencia levanta la sesión y se convoca a sesión ordinaria el </w:t>
            </w:r>
            <w:r w:rsidRPr="007C57D2">
              <w:rPr>
                <w:rFonts w:ascii="Times New Roman" w:hAnsi="Times New Roman"/>
                <w:b/>
                <w:bCs/>
                <w:sz w:val="28"/>
                <w:lang w:eastAsia="es-ES"/>
              </w:rPr>
              <w:t xml:space="preserve">próximo jueves 23 de mayo </w:t>
            </w:r>
            <w:r w:rsidRPr="007C57D2">
              <w:rPr>
                <w:rFonts w:ascii="Times New Roman" w:hAnsi="Times New Roman"/>
                <w:b/>
                <w:bCs/>
                <w:sz w:val="28"/>
                <w:lang w:eastAsia="es-ES"/>
              </w:rPr>
              <w:t>de 2024</w:t>
            </w:r>
            <w:r w:rsidRPr="007C57D2">
              <w:rPr>
                <w:rFonts w:ascii="Times New Roman" w:hAnsi="Times New Roman"/>
                <w:sz w:val="28"/>
                <w:lang w:eastAsia="es-ES"/>
              </w:rPr>
              <w:t xml:space="preserve"> a partir de las 9:00 a. m., en el salón de la Comisión Primera de Senado (Salón – Guillermo Valencia) - Capitolio Nacional”.</w:t>
            </w:r>
          </w:p>
        </w:tc>
        <w:tc>
          <w:tcPr>
            <w:tcW w:w="1560"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b/>
                <w:bCs/>
                <w:sz w:val="28"/>
                <w:lang w:eastAsia="es-ES"/>
              </w:rPr>
            </w:pPr>
            <w:r w:rsidRPr="007C57D2">
              <w:rPr>
                <w:rFonts w:ascii="Times New Roman" w:hAnsi="Times New Roman"/>
                <w:sz w:val="28"/>
                <w:lang w:eastAsia="es-ES"/>
              </w:rPr>
              <w:t xml:space="preserve">Acta </w:t>
            </w:r>
            <w:r w:rsidRPr="007C57D2">
              <w:rPr>
                <w:rFonts w:ascii="Times New Roman" w:hAnsi="Times New Roman"/>
                <w:b/>
                <w:bCs/>
                <w:sz w:val="28"/>
                <w:lang w:eastAsia="es-ES"/>
              </w:rPr>
              <w:t>47</w:t>
            </w:r>
            <w:r w:rsidRPr="007C57D2">
              <w:rPr>
                <w:rFonts w:ascii="Times New Roman" w:hAnsi="Times New Roman"/>
                <w:sz w:val="28"/>
                <w:lang w:eastAsia="es-ES"/>
              </w:rPr>
              <w:t xml:space="preserve"> del 22 de mayo de 2024</w:t>
            </w:r>
            <w:r w:rsidRPr="007C57D2">
              <w:rPr>
                <w:rFonts w:ascii="Times New Roman" w:hAnsi="Times New Roman"/>
                <w:sz w:val="28"/>
                <w:lang w:eastAsia="es-ES"/>
              </w:rPr>
              <w:t>.</w:t>
            </w:r>
            <w:r w:rsidRPr="007C57D2">
              <w:rPr>
                <w:rFonts w:ascii="Times New Roman" w:hAnsi="Times New Roman"/>
                <w:sz w:val="28"/>
                <w:lang w:eastAsia="es-ES"/>
              </w:rPr>
              <w:t xml:space="preserve"> Gaceta del Congreso 1015 del 18 de julio de 2024 (p. 6)</w:t>
            </w:r>
          </w:p>
        </w:tc>
      </w:tr>
      <w:tr w:rsidR="007C57D2" w:rsidRPr="007C57D2" w:rsidTr="007C57D2">
        <w:tc>
          <w:tcPr>
            <w:tcW w:w="1123"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sz w:val="28"/>
                <w:lang w:eastAsia="es-ES"/>
              </w:rPr>
            </w:pPr>
            <w:r w:rsidRPr="007C57D2">
              <w:rPr>
                <w:rFonts w:ascii="Times New Roman" w:hAnsi="Times New Roman"/>
                <w:sz w:val="28"/>
                <w:lang w:eastAsia="es-ES"/>
              </w:rPr>
              <w:t>Tercer anuncio</w:t>
            </w:r>
          </w:p>
        </w:tc>
        <w:tc>
          <w:tcPr>
            <w:tcW w:w="6243"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b/>
                <w:bCs/>
                <w:sz w:val="28"/>
                <w:lang w:eastAsia="es-ES"/>
              </w:rPr>
            </w:pPr>
            <w:r w:rsidRPr="007C57D2">
              <w:rPr>
                <w:rFonts w:ascii="Times New Roman" w:hAnsi="Times New Roman"/>
                <w:b/>
                <w:bCs/>
                <w:sz w:val="28"/>
                <w:lang w:eastAsia="es-ES"/>
              </w:rPr>
              <w:t>Sesión del 23 de ma</w:t>
            </w:r>
            <w:r w:rsidRPr="007C57D2">
              <w:rPr>
                <w:rFonts w:ascii="Times New Roman" w:hAnsi="Times New Roman"/>
                <w:b/>
                <w:bCs/>
                <w:sz w:val="28"/>
                <w:lang w:eastAsia="es-ES"/>
              </w:rPr>
              <w:t xml:space="preserve">yo de 2024: </w:t>
            </w:r>
            <w:r w:rsidRPr="007C57D2">
              <w:rPr>
                <w:rFonts w:ascii="Times New Roman" w:hAnsi="Times New Roman"/>
                <w:sz w:val="28"/>
                <w:lang w:eastAsia="es-ES"/>
              </w:rPr>
              <w:t xml:space="preserve">“La Secretaria da lectura a los proyectos que, por disposición de la Presidencia, se someterán a discusión y votación en la próxima sesión ordinaria de la Comisión […] Proyecto de Ley Estatutaria número 285 de 2024 Senado - 266 de 2023 Cámara, </w:t>
            </w:r>
            <w:r w:rsidRPr="007C57D2">
              <w:rPr>
                <w:rFonts w:ascii="Times New Roman" w:hAnsi="Times New Roman"/>
                <w:sz w:val="28"/>
                <w:lang w:eastAsia="es-ES"/>
              </w:rPr>
              <w:t xml:space="preserve">por medio de la cual se crea y se reglamenta alerta Colombia Ley Sara Sofía y se dictan otras disposiciones […] Siendo las 10:40 a. m., la Presidencia levanta la sesión y convoca a la sesión de oposición el </w:t>
            </w:r>
            <w:r w:rsidRPr="007C57D2">
              <w:rPr>
                <w:rFonts w:ascii="Times New Roman" w:hAnsi="Times New Roman"/>
                <w:b/>
                <w:bCs/>
                <w:sz w:val="28"/>
                <w:lang w:eastAsia="es-ES"/>
              </w:rPr>
              <w:t>próximo lunes 27 de mayo de 2024</w:t>
            </w:r>
            <w:r w:rsidRPr="007C57D2">
              <w:rPr>
                <w:rFonts w:ascii="Times New Roman" w:hAnsi="Times New Roman"/>
                <w:sz w:val="28"/>
                <w:lang w:eastAsia="es-ES"/>
              </w:rPr>
              <w:t xml:space="preserve"> a partir de las </w:t>
            </w:r>
            <w:r w:rsidRPr="007C57D2">
              <w:rPr>
                <w:rFonts w:ascii="Times New Roman" w:hAnsi="Times New Roman"/>
                <w:sz w:val="28"/>
                <w:lang w:eastAsia="es-ES"/>
              </w:rPr>
              <w:t>2:00 p. m., en el salón de la comisión Primera del Senado (salón – Guillermo Valencia) – Capitolio Nacional”.</w:t>
            </w:r>
          </w:p>
        </w:tc>
        <w:tc>
          <w:tcPr>
            <w:tcW w:w="1560"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b/>
                <w:bCs/>
                <w:sz w:val="28"/>
                <w:lang w:eastAsia="es-ES"/>
              </w:rPr>
            </w:pPr>
            <w:r w:rsidRPr="007C57D2">
              <w:rPr>
                <w:rFonts w:ascii="Times New Roman" w:hAnsi="Times New Roman"/>
                <w:sz w:val="28"/>
                <w:lang w:eastAsia="es-ES"/>
              </w:rPr>
              <w:t xml:space="preserve">Acta </w:t>
            </w:r>
            <w:r w:rsidRPr="007C57D2">
              <w:rPr>
                <w:rFonts w:ascii="Times New Roman" w:hAnsi="Times New Roman"/>
                <w:b/>
                <w:bCs/>
                <w:sz w:val="28"/>
                <w:lang w:eastAsia="es-ES"/>
              </w:rPr>
              <w:t>48</w:t>
            </w:r>
            <w:r w:rsidRPr="007C57D2">
              <w:rPr>
                <w:rFonts w:ascii="Times New Roman" w:hAnsi="Times New Roman"/>
                <w:sz w:val="28"/>
                <w:lang w:eastAsia="es-ES"/>
              </w:rPr>
              <w:t xml:space="preserve"> del 23 de mayo de 2024</w:t>
            </w:r>
            <w:r w:rsidRPr="007C57D2">
              <w:rPr>
                <w:rFonts w:ascii="Times New Roman" w:hAnsi="Times New Roman"/>
                <w:sz w:val="28"/>
                <w:lang w:eastAsia="es-ES"/>
              </w:rPr>
              <w:t>.</w:t>
            </w:r>
            <w:r w:rsidRPr="007C57D2">
              <w:rPr>
                <w:rFonts w:ascii="Times New Roman" w:hAnsi="Times New Roman"/>
                <w:sz w:val="28"/>
                <w:lang w:eastAsia="es-ES"/>
              </w:rPr>
              <w:t xml:space="preserve"> Gaceta del Congreso 1365 del 11 de septiembre de 2024 (p. 10)</w:t>
            </w:r>
          </w:p>
        </w:tc>
      </w:tr>
      <w:tr w:rsidR="007C57D2" w:rsidRPr="007C57D2" w:rsidTr="007C57D2">
        <w:tc>
          <w:tcPr>
            <w:tcW w:w="1123" w:type="dxa"/>
            <w:shd w:val="clear" w:color="auto" w:fill="auto"/>
            <w:vAlign w:val="center"/>
          </w:tcPr>
          <w:p w:rsidR="004E3E5E" w:rsidRPr="007C57D2" w:rsidRDefault="007C57D2" w:rsidP="007C57D2">
            <w:pPr>
              <w:tabs>
                <w:tab w:val="left" w:pos="360"/>
              </w:tabs>
              <w:spacing w:after="0" w:line="240" w:lineRule="auto"/>
              <w:jc w:val="center"/>
              <w:rPr>
                <w:rFonts w:ascii="Times New Roman" w:hAnsi="Times New Roman"/>
                <w:sz w:val="28"/>
                <w:lang w:eastAsia="es-ES"/>
              </w:rPr>
            </w:pPr>
            <w:r w:rsidRPr="007C57D2">
              <w:rPr>
                <w:rFonts w:ascii="Times New Roman" w:hAnsi="Times New Roman"/>
                <w:sz w:val="28"/>
                <w:lang w:eastAsia="es-ES"/>
              </w:rPr>
              <w:t>Cuarto y último anuncio</w:t>
            </w:r>
          </w:p>
        </w:tc>
        <w:tc>
          <w:tcPr>
            <w:tcW w:w="6243"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sz w:val="28"/>
                <w:lang w:eastAsia="es-ES"/>
              </w:rPr>
            </w:pPr>
            <w:r w:rsidRPr="007C57D2">
              <w:rPr>
                <w:rFonts w:ascii="Times New Roman" w:hAnsi="Times New Roman"/>
                <w:b/>
                <w:bCs/>
                <w:sz w:val="28"/>
                <w:lang w:eastAsia="es-ES"/>
              </w:rPr>
              <w:t xml:space="preserve">Sesión del 27 de mayo de 2024: </w:t>
            </w:r>
            <w:r w:rsidRPr="007C57D2">
              <w:rPr>
                <w:rFonts w:ascii="Times New Roman" w:hAnsi="Times New Roman"/>
                <w:sz w:val="28"/>
                <w:lang w:eastAsia="es-ES"/>
              </w:rPr>
              <w:t>“La Secretaria da lectura a los proyectos que, por disposición de la Presidencia, se someterán a discusión y votación en la próxima sesión ordinaria de la Comisión […] Proyecto de Ley Estatutaria número 285 de 2024 Senado, 26</w:t>
            </w:r>
            <w:r w:rsidRPr="007C57D2">
              <w:rPr>
                <w:rFonts w:ascii="Times New Roman" w:hAnsi="Times New Roman"/>
                <w:sz w:val="28"/>
                <w:lang w:eastAsia="es-ES"/>
              </w:rPr>
              <w:t xml:space="preserve">6 de 2023 Cámara, por medio de la cual se crea y se reglamenta alerta Colombia Ley Sara Sofía y se dictan otras disposiciones […]Siendo las 6:40 p. m., la Presidencia levanta la sesión y se convoca a sesión ordinaria el </w:t>
            </w:r>
            <w:r w:rsidRPr="007C57D2">
              <w:rPr>
                <w:rFonts w:ascii="Times New Roman" w:hAnsi="Times New Roman"/>
                <w:b/>
                <w:bCs/>
                <w:sz w:val="28"/>
                <w:lang w:eastAsia="es-ES"/>
              </w:rPr>
              <w:t>próximo martes 28 de mayo de 2024</w:t>
            </w:r>
            <w:r w:rsidRPr="007C57D2">
              <w:rPr>
                <w:rFonts w:ascii="Times New Roman" w:hAnsi="Times New Roman"/>
                <w:sz w:val="28"/>
                <w:lang w:eastAsia="es-ES"/>
              </w:rPr>
              <w:t xml:space="preserve"> a </w:t>
            </w:r>
            <w:r w:rsidRPr="007C57D2">
              <w:rPr>
                <w:rFonts w:ascii="Times New Roman" w:hAnsi="Times New Roman"/>
                <w:sz w:val="28"/>
                <w:lang w:eastAsia="es-ES"/>
              </w:rPr>
              <w:t>partir de las 9:00 a. m., en el salón de la comisión Primera de Senado (salón – Guillermo Valencia) - Capitolio Nacional”.</w:t>
            </w:r>
          </w:p>
        </w:tc>
        <w:tc>
          <w:tcPr>
            <w:tcW w:w="1560" w:type="dxa"/>
            <w:shd w:val="clear" w:color="auto" w:fill="auto"/>
            <w:vAlign w:val="center"/>
          </w:tcPr>
          <w:p w:rsidR="004E3E5E" w:rsidRPr="007C57D2" w:rsidRDefault="007C57D2" w:rsidP="007C57D2">
            <w:pPr>
              <w:tabs>
                <w:tab w:val="left" w:pos="360"/>
              </w:tabs>
              <w:spacing w:after="0" w:line="240" w:lineRule="auto"/>
              <w:jc w:val="both"/>
              <w:rPr>
                <w:rFonts w:ascii="Times New Roman" w:hAnsi="Times New Roman"/>
                <w:b/>
                <w:bCs/>
                <w:sz w:val="28"/>
                <w:lang w:eastAsia="es-ES"/>
              </w:rPr>
            </w:pPr>
            <w:r w:rsidRPr="007C57D2">
              <w:rPr>
                <w:rFonts w:ascii="Times New Roman" w:hAnsi="Times New Roman"/>
                <w:sz w:val="28"/>
                <w:lang w:eastAsia="es-ES"/>
              </w:rPr>
              <w:t xml:space="preserve">Acta </w:t>
            </w:r>
            <w:r w:rsidRPr="007C57D2">
              <w:rPr>
                <w:rFonts w:ascii="Times New Roman" w:hAnsi="Times New Roman"/>
                <w:b/>
                <w:bCs/>
                <w:sz w:val="28"/>
                <w:lang w:eastAsia="es-ES"/>
              </w:rPr>
              <w:t>49</w:t>
            </w:r>
            <w:r w:rsidRPr="007C57D2">
              <w:rPr>
                <w:rFonts w:ascii="Times New Roman" w:hAnsi="Times New Roman"/>
                <w:sz w:val="28"/>
                <w:lang w:eastAsia="es-ES"/>
              </w:rPr>
              <w:t xml:space="preserve"> del 27 de mayo de 2024</w:t>
            </w:r>
            <w:r w:rsidRPr="007C57D2">
              <w:rPr>
                <w:rFonts w:ascii="Times New Roman" w:hAnsi="Times New Roman"/>
                <w:sz w:val="28"/>
                <w:lang w:eastAsia="es-ES"/>
              </w:rPr>
              <w:t>.</w:t>
            </w:r>
            <w:r w:rsidRPr="007C57D2">
              <w:rPr>
                <w:rFonts w:ascii="Times New Roman" w:hAnsi="Times New Roman"/>
                <w:sz w:val="28"/>
                <w:lang w:eastAsia="es-ES"/>
              </w:rPr>
              <w:t xml:space="preserve"> Gaceta del Congreso 912 del 17 de junio de 2024 (p. 5)</w:t>
            </w:r>
          </w:p>
        </w:tc>
      </w:tr>
    </w:tbl>
    <w:p w:rsidR="004E3E5E" w:rsidRPr="007C57D2" w:rsidRDefault="007C57D2" w:rsidP="008F3DAB">
      <w:pPr>
        <w:tabs>
          <w:tab w:val="left" w:pos="360"/>
        </w:tabs>
        <w:spacing w:after="0" w:line="240" w:lineRule="auto"/>
        <w:jc w:val="center"/>
        <w:rPr>
          <w:rFonts w:ascii="Times New Roman" w:hAnsi="Times New Roman"/>
          <w:sz w:val="28"/>
          <w:lang w:eastAsia="es-ES"/>
        </w:rPr>
      </w:pPr>
      <w:r w:rsidRPr="007C57D2">
        <w:rPr>
          <w:rFonts w:ascii="Times New Roman" w:hAnsi="Times New Roman"/>
          <w:sz w:val="28"/>
          <w:lang w:eastAsia="es-ES"/>
        </w:rPr>
        <w:t xml:space="preserve">Tabla </w:t>
      </w:r>
      <w:r w:rsidRPr="007C57D2">
        <w:rPr>
          <w:rFonts w:ascii="Times New Roman" w:hAnsi="Times New Roman"/>
          <w:sz w:val="28"/>
          <w:lang w:eastAsia="es-ES"/>
        </w:rPr>
        <w:t>11</w:t>
      </w:r>
      <w:r w:rsidRPr="007C57D2">
        <w:rPr>
          <w:rFonts w:ascii="Times New Roman" w:hAnsi="Times New Roman"/>
          <w:sz w:val="28"/>
          <w:lang w:eastAsia="es-ES"/>
        </w:rPr>
        <w:t xml:space="preserve">. </w:t>
      </w:r>
      <w:r w:rsidRPr="007C57D2">
        <w:rPr>
          <w:rFonts w:ascii="Times New Roman" w:hAnsi="Times New Roman"/>
          <w:i/>
          <w:iCs/>
          <w:sz w:val="28"/>
          <w:lang w:eastAsia="es-ES"/>
        </w:rPr>
        <w:t>Anuncios en la Comisión Primera del</w:t>
      </w:r>
      <w:r w:rsidRPr="007C57D2">
        <w:rPr>
          <w:rFonts w:ascii="Times New Roman" w:hAnsi="Times New Roman"/>
          <w:i/>
          <w:iCs/>
          <w:sz w:val="28"/>
          <w:lang w:eastAsia="es-ES"/>
        </w:rPr>
        <w:t xml:space="preserve"> Senado de la República</w:t>
      </w:r>
      <w:r w:rsidRPr="007C57D2">
        <w:rPr>
          <w:rFonts w:ascii="Times New Roman" w:hAnsi="Times New Roman"/>
          <w:sz w:val="28"/>
          <w:lang w:eastAsia="es-ES"/>
        </w:rPr>
        <w:t>.</w:t>
      </w:r>
    </w:p>
    <w:p w:rsidR="00A35FF3" w:rsidRPr="007C57D2" w:rsidRDefault="007C57D2" w:rsidP="008F3DAB">
      <w:pPr>
        <w:tabs>
          <w:tab w:val="left" w:pos="360"/>
        </w:tabs>
        <w:spacing w:after="0" w:line="240" w:lineRule="auto"/>
        <w:jc w:val="both"/>
        <w:rPr>
          <w:rFonts w:ascii="Times New Roman" w:hAnsi="Times New Roman"/>
          <w:b/>
          <w:bCs/>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Discusión y aprobación del PLE en primer debate, mayorías y forma de votación</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Como se indicó en el apartado anterior, el PLE fue discutido y aprobado en primer debate en la </w:t>
      </w:r>
      <w:r w:rsidRPr="007C57D2">
        <w:rPr>
          <w:rFonts w:ascii="Times New Roman" w:hAnsi="Times New Roman"/>
          <w:sz w:val="28"/>
          <w:szCs w:val="28"/>
          <w:shd w:val="clear" w:color="auto" w:fill="FFFFFF"/>
        </w:rPr>
        <w:t xml:space="preserve">Comisión Primera Constitucional Permanente del Senado de la República durante la sesión del </w:t>
      </w:r>
      <w:r w:rsidRPr="007C57D2">
        <w:rPr>
          <w:rFonts w:ascii="Times New Roman" w:hAnsi="Times New Roman"/>
          <w:b/>
          <w:bCs/>
          <w:sz w:val="28"/>
          <w:szCs w:val="28"/>
          <w:shd w:val="clear" w:color="auto" w:fill="FFFFFF"/>
        </w:rPr>
        <w:t>28 de mayo de 2024</w:t>
      </w:r>
      <w:r w:rsidRPr="007C57D2">
        <w:rPr>
          <w:rFonts w:ascii="Times New Roman" w:hAnsi="Times New Roman"/>
          <w:sz w:val="28"/>
          <w:szCs w:val="28"/>
          <w:shd w:val="clear" w:color="auto" w:fill="FFFFFF"/>
        </w:rPr>
        <w:t xml:space="preserve">, según conta en el Acta </w:t>
      </w:r>
      <w:r w:rsidRPr="007C57D2">
        <w:rPr>
          <w:rFonts w:ascii="Times New Roman" w:hAnsi="Times New Roman"/>
          <w:sz w:val="28"/>
          <w:szCs w:val="28"/>
          <w:shd w:val="clear" w:color="auto" w:fill="FFFFFF"/>
          <w:lang w:val="es-ES_tradnl"/>
        </w:rPr>
        <w:t xml:space="preserve">50 de la misma fecha, publicada en la </w:t>
      </w:r>
      <w:r w:rsidRPr="007C57D2">
        <w:rPr>
          <w:rFonts w:ascii="Times New Roman" w:hAnsi="Times New Roman"/>
          <w:sz w:val="28"/>
          <w:szCs w:val="28"/>
          <w:shd w:val="clear" w:color="auto" w:fill="FFFFFF"/>
        </w:rPr>
        <w:t>Gaceta del Congreso n.º 1366 del 11 de septiembre de 2024.</w:t>
      </w:r>
      <w:r w:rsidRPr="007C57D2">
        <w:rPr>
          <w:rStyle w:val="Refdenotaalpie"/>
          <w:rFonts w:ascii="Times New Roman" w:hAnsi="Times New Roman"/>
          <w:sz w:val="28"/>
          <w:szCs w:val="28"/>
          <w:shd w:val="clear" w:color="auto" w:fill="FFFFFF"/>
        </w:rPr>
        <w:footnoteReference w:id="117"/>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A continuación, la Sala</w:t>
      </w:r>
      <w:r w:rsidRPr="007C57D2">
        <w:rPr>
          <w:rFonts w:ascii="Times New Roman" w:hAnsi="Times New Roman"/>
          <w:sz w:val="28"/>
          <w:szCs w:val="28"/>
          <w:shd w:val="clear" w:color="auto" w:fill="FFFFFF"/>
        </w:rPr>
        <w:t xml:space="preserve"> verificará si dicha aprobación se realizó conforme a las reglas constitucionales sobre (i)</w:t>
      </w:r>
      <w:r w:rsidRPr="007C57D2">
        <w:rPr>
          <w:rFonts w:ascii="Times New Roman" w:hAnsi="Times New Roman"/>
          <w:sz w:val="28"/>
          <w:szCs w:val="28"/>
          <w:shd w:val="clear" w:color="auto" w:fill="FFFFFF"/>
        </w:rPr>
        <w:t xml:space="preserve">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deliberatorio y decisorio, (ii) votación nominal y pública y (iii) mayoría absoluta.</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Al momento de debatirse y aprobarse el PLE, la </w:t>
      </w:r>
      <w:r w:rsidRPr="007C57D2">
        <w:rPr>
          <w:rFonts w:ascii="Times New Roman" w:hAnsi="Times New Roman"/>
          <w:sz w:val="28"/>
          <w:szCs w:val="28"/>
          <w:shd w:val="clear" w:color="auto" w:fill="FFFFFF"/>
        </w:rPr>
        <w:t>Comisión Primera Constit</w:t>
      </w:r>
      <w:r w:rsidRPr="007C57D2">
        <w:rPr>
          <w:rFonts w:ascii="Times New Roman" w:hAnsi="Times New Roman"/>
          <w:sz w:val="28"/>
          <w:szCs w:val="28"/>
          <w:shd w:val="clear" w:color="auto" w:fill="FFFFFF"/>
        </w:rPr>
        <w:t>ucional Permanente del Senado de la República estaba integrada por veintiún (21) senadores</w:t>
      </w:r>
      <w:r w:rsidRPr="007C57D2">
        <w:rPr>
          <w:rStyle w:val="Refdenotaalpie"/>
          <w:rFonts w:ascii="Times New Roman" w:hAnsi="Times New Roman"/>
          <w:sz w:val="28"/>
          <w:szCs w:val="28"/>
          <w:shd w:val="clear" w:color="auto" w:fill="FFFFFF"/>
        </w:rPr>
        <w:footnoteReference w:id="118"/>
      </w:r>
      <w:r w:rsidRPr="007C57D2">
        <w:rPr>
          <w:rFonts w:ascii="Times New Roman" w:hAnsi="Times New Roman"/>
          <w:sz w:val="28"/>
          <w:szCs w:val="28"/>
          <w:shd w:val="clear" w:color="auto" w:fill="FFFFFF"/>
        </w:rPr>
        <w:t xml:space="preserve">. Por consiguiente, el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deliberatorio era de seis (6) senadores</w:t>
      </w:r>
      <w:r w:rsidRPr="007C57D2">
        <w:rPr>
          <w:rStyle w:val="Refdenotaalpie"/>
          <w:rFonts w:ascii="Times New Roman" w:hAnsi="Times New Roman"/>
          <w:sz w:val="28"/>
          <w:szCs w:val="28"/>
          <w:shd w:val="clear" w:color="auto" w:fill="FFFFFF"/>
        </w:rPr>
        <w:footnoteReference w:id="119"/>
      </w:r>
      <w:r w:rsidRPr="007C57D2">
        <w:rPr>
          <w:rFonts w:ascii="Times New Roman" w:hAnsi="Times New Roman"/>
          <w:sz w:val="28"/>
          <w:szCs w:val="28"/>
          <w:shd w:val="clear" w:color="auto" w:fill="FFFFFF"/>
        </w:rPr>
        <w:t xml:space="preserve"> y el decisorio de once (11) senadores</w:t>
      </w:r>
      <w:r w:rsidRPr="007C57D2">
        <w:rPr>
          <w:rStyle w:val="Refdenotaalpie"/>
          <w:rFonts w:ascii="Times New Roman" w:hAnsi="Times New Roman"/>
          <w:sz w:val="28"/>
          <w:szCs w:val="28"/>
          <w:shd w:val="clear" w:color="auto" w:fill="FFFFFF"/>
        </w:rPr>
        <w:footnoteReference w:id="120"/>
      </w:r>
      <w:r w:rsidRPr="007C57D2">
        <w:rPr>
          <w:rFonts w:ascii="Times New Roman" w:hAnsi="Times New Roman"/>
          <w:sz w:val="28"/>
          <w:szCs w:val="28"/>
          <w:shd w:val="clear" w:color="auto" w:fill="FFFFFF"/>
        </w:rPr>
        <w:t>. Además, la mayoría absoluta era de once (11) senadores</w:t>
      </w:r>
      <w:r w:rsidRPr="007C57D2">
        <w:rPr>
          <w:rStyle w:val="Refdenotaalpie"/>
          <w:rFonts w:ascii="Times New Roman" w:hAnsi="Times New Roman"/>
          <w:sz w:val="28"/>
          <w:szCs w:val="28"/>
          <w:shd w:val="clear" w:color="auto" w:fill="FFFFFF"/>
        </w:rPr>
        <w:footnoteReference w:id="121"/>
      </w:r>
      <w:r w:rsidRPr="007C57D2">
        <w:rPr>
          <w:rFonts w:ascii="Times New Roman" w:hAnsi="Times New Roman"/>
          <w:sz w:val="28"/>
          <w:szCs w:val="28"/>
          <w:shd w:val="clear" w:color="auto" w:fill="FFFFFF"/>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La sesión inició con el llamado a lista efectuado por orden de la Presidencia. Se registró la presencia de</w:t>
      </w:r>
      <w:r w:rsidRPr="007C57D2">
        <w:rPr>
          <w:rFonts w:ascii="Times New Roman" w:hAnsi="Times New Roman"/>
          <w:bCs/>
          <w:sz w:val="28"/>
          <w:szCs w:val="28"/>
          <w:lang w:eastAsia="es-ES"/>
        </w:rPr>
        <w:t xml:space="preserve"> 9 senadores, 1 ausencia y, en el transcurso de la sesión, se hicieron presentes 11 senadores más, con lo cual la Secretaría constató la existenc</w:t>
      </w:r>
      <w:r w:rsidRPr="007C57D2">
        <w:rPr>
          <w:rFonts w:ascii="Times New Roman" w:hAnsi="Times New Roman"/>
          <w:bCs/>
          <w:sz w:val="28"/>
          <w:szCs w:val="28"/>
          <w:lang w:eastAsia="es-ES"/>
        </w:rPr>
        <w:t xml:space="preserve">ia de </w:t>
      </w:r>
      <w:r w:rsidRPr="007C57D2">
        <w:rPr>
          <w:rFonts w:ascii="Times New Roman" w:hAnsi="Times New Roman"/>
          <w:bCs/>
          <w:i/>
          <w:iCs/>
          <w:sz w:val="28"/>
          <w:szCs w:val="28"/>
          <w:lang w:eastAsia="es-ES"/>
        </w:rPr>
        <w:t>quorum</w:t>
      </w:r>
      <w:r w:rsidRPr="007C57D2">
        <w:rPr>
          <w:rFonts w:ascii="Times New Roman" w:hAnsi="Times New Roman"/>
          <w:bCs/>
          <w:sz w:val="28"/>
          <w:szCs w:val="28"/>
          <w:lang w:eastAsia="es-ES"/>
        </w:rPr>
        <w:t xml:space="preserve"> </w:t>
      </w:r>
      <w:r w:rsidRPr="007C57D2">
        <w:rPr>
          <w:rFonts w:ascii="Times New Roman" w:hAnsi="Times New Roman"/>
          <w:bCs/>
          <w:i/>
          <w:iCs/>
          <w:sz w:val="28"/>
          <w:szCs w:val="28"/>
          <w:lang w:eastAsia="es-ES"/>
        </w:rPr>
        <w:t>deliberatorio</w:t>
      </w:r>
      <w:r w:rsidRPr="007C57D2">
        <w:rPr>
          <w:rFonts w:ascii="Times New Roman" w:hAnsi="Times New Roman"/>
          <w:bCs/>
          <w:sz w:val="28"/>
          <w:szCs w:val="28"/>
          <w:lang w:eastAsia="es-ES"/>
        </w:rPr>
        <w:t>, para un total de 20 asistentes</w:t>
      </w:r>
      <w:r w:rsidRPr="007C57D2">
        <w:rPr>
          <w:rStyle w:val="Refdenotaalpie"/>
          <w:rFonts w:ascii="Times New Roman" w:hAnsi="Times New Roman"/>
          <w:bCs/>
          <w:sz w:val="28"/>
          <w:szCs w:val="28"/>
          <w:lang w:eastAsia="es-ES"/>
        </w:rPr>
        <w:footnoteReference w:id="122"/>
      </w:r>
      <w:r w:rsidRPr="007C57D2">
        <w:rPr>
          <w:rFonts w:ascii="Times New Roman" w:hAnsi="Times New Roman"/>
          <w:bCs/>
          <w:sz w:val="28"/>
          <w:szCs w:val="28"/>
          <w:lang w:eastAsia="es-ES"/>
        </w:rPr>
        <w:t>.</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Posteriormente, la </w:t>
      </w:r>
      <w:r w:rsidRPr="007C57D2">
        <w:rPr>
          <w:rFonts w:ascii="Times New Roman" w:hAnsi="Times New Roman"/>
          <w:sz w:val="28"/>
          <w:szCs w:val="28"/>
          <w:lang w:eastAsia="es-ES"/>
        </w:rPr>
        <w:t>Secretaría</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leyó </w:t>
      </w:r>
      <w:r w:rsidRPr="007C57D2">
        <w:rPr>
          <w:rFonts w:ascii="Times New Roman" w:hAnsi="Times New Roman"/>
          <w:sz w:val="28"/>
          <w:szCs w:val="28"/>
          <w:lang w:eastAsia="es-ES"/>
        </w:rPr>
        <w:t xml:space="preserve">la proposición positiva con la que terminaba el informe de ponencia. La Presidencia abrió y cerró la discusión y dispuso la votación mediante el sistema nominal y público. Cerrado el registro, el resultado fue de </w:t>
      </w:r>
      <w:r w:rsidRPr="007C57D2">
        <w:rPr>
          <w:rFonts w:ascii="Times New Roman" w:hAnsi="Times New Roman"/>
          <w:b/>
          <w:bCs/>
          <w:sz w:val="28"/>
          <w:szCs w:val="28"/>
          <w:lang w:eastAsia="es-ES"/>
        </w:rPr>
        <w:t>12 votos por el SÍ y ninguno por el NO</w:t>
      </w:r>
      <w:r w:rsidRPr="007C57D2">
        <w:rPr>
          <w:rStyle w:val="Refdenotaalpie"/>
          <w:rFonts w:ascii="Times New Roman" w:hAnsi="Times New Roman"/>
          <w:bCs/>
          <w:sz w:val="28"/>
          <w:szCs w:val="28"/>
          <w:lang w:eastAsia="es-ES"/>
        </w:rPr>
        <w:footnoteReference w:id="123"/>
      </w:r>
      <w:r w:rsidRPr="007C57D2">
        <w:rPr>
          <w:rFonts w:ascii="Times New Roman" w:hAnsi="Times New Roman"/>
          <w:sz w:val="28"/>
          <w:szCs w:val="28"/>
          <w:lang w:eastAsia="es-ES"/>
        </w:rPr>
        <w:t>. En</w:t>
      </w:r>
      <w:r w:rsidRPr="007C57D2">
        <w:rPr>
          <w:rFonts w:ascii="Times New Roman" w:hAnsi="Times New Roman"/>
          <w:sz w:val="28"/>
          <w:szCs w:val="28"/>
          <w:lang w:eastAsia="es-ES"/>
        </w:rPr>
        <w:t xml:space="preserve"> consecuencia, la proposición fue aprobada con la </w:t>
      </w:r>
      <w:r w:rsidRPr="007C57D2">
        <w:rPr>
          <w:rFonts w:ascii="Times New Roman" w:hAnsi="Times New Roman"/>
          <w:bCs/>
          <w:sz w:val="28"/>
          <w:szCs w:val="28"/>
          <w:lang w:eastAsia="es-ES"/>
        </w:rPr>
        <w:t>mayoría absoluta exigida para el efecto</w:t>
      </w:r>
      <w:r w:rsidRPr="007C57D2">
        <w:rPr>
          <w:rStyle w:val="Refdenotaalpie"/>
          <w:rFonts w:ascii="Times New Roman" w:hAnsi="Times New Roman"/>
          <w:bCs/>
          <w:sz w:val="28"/>
          <w:szCs w:val="28"/>
          <w:lang w:eastAsia="es-ES"/>
        </w:rPr>
        <w:footnoteReference w:id="124"/>
      </w:r>
      <w:r w:rsidRPr="007C57D2">
        <w:rPr>
          <w:rFonts w:ascii="Times New Roman" w:hAnsi="Times New Roman"/>
          <w:bCs/>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De inmediato</w:t>
      </w:r>
      <w:r w:rsidRPr="007C57D2">
        <w:rPr>
          <w:rFonts w:ascii="Times New Roman" w:hAnsi="Times New Roman"/>
          <w:sz w:val="28"/>
          <w:szCs w:val="28"/>
          <w:lang w:eastAsia="es-ES"/>
        </w:rPr>
        <w:t>, la Presidencia abrió la discusión del articulado del PLE y concedió el uso de la palabra al ponente, Alejandro Carlos Chacón Camargo, quien explicó q</w:t>
      </w:r>
      <w:r w:rsidRPr="007C57D2">
        <w:rPr>
          <w:rFonts w:ascii="Times New Roman" w:hAnsi="Times New Roman"/>
          <w:sz w:val="28"/>
          <w:szCs w:val="28"/>
          <w:lang w:eastAsia="es-ES"/>
        </w:rPr>
        <w:t>ue, luego de una reunión sostenida con la Policía Nacional, radicó varias proposiciones que recog</w:t>
      </w:r>
      <w:r w:rsidRPr="007C57D2">
        <w:rPr>
          <w:rFonts w:ascii="Times New Roman" w:hAnsi="Times New Roman"/>
          <w:sz w:val="28"/>
          <w:szCs w:val="28"/>
          <w:lang w:eastAsia="es-ES"/>
        </w:rPr>
        <w:t>ían</w:t>
      </w:r>
      <w:r w:rsidRPr="007C57D2">
        <w:rPr>
          <w:rFonts w:ascii="Times New Roman" w:hAnsi="Times New Roman"/>
          <w:sz w:val="28"/>
          <w:szCs w:val="28"/>
          <w:lang w:eastAsia="es-ES"/>
        </w:rPr>
        <w:t xml:space="preserve"> las sugerencias planteadas por dicha institución. Señaló, además, que el senador Humberto de la Calle Lombana presentó otras proposiciones, igualmente aval</w:t>
      </w:r>
      <w:r w:rsidRPr="007C57D2">
        <w:rPr>
          <w:rFonts w:ascii="Times New Roman" w:hAnsi="Times New Roman"/>
          <w:sz w:val="28"/>
          <w:szCs w:val="28"/>
          <w:lang w:eastAsia="es-ES"/>
        </w:rPr>
        <w:t xml:space="preserve">adas. El </w:t>
      </w:r>
      <w:r w:rsidRPr="007C57D2">
        <w:rPr>
          <w:rFonts w:ascii="Times New Roman" w:hAnsi="Times New Roman"/>
          <w:sz w:val="28"/>
          <w:szCs w:val="28"/>
          <w:lang w:eastAsia="es-ES"/>
        </w:rPr>
        <w:t xml:space="preserve">contenido </w:t>
      </w:r>
      <w:r w:rsidRPr="007C57D2">
        <w:rPr>
          <w:rFonts w:ascii="Times New Roman" w:hAnsi="Times New Roman"/>
          <w:sz w:val="28"/>
          <w:szCs w:val="28"/>
          <w:lang w:eastAsia="es-ES"/>
        </w:rPr>
        <w:t>de estas proposiciones se sintetiza en la siguiente tabla:</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1141"/>
        <w:gridCol w:w="2309"/>
        <w:gridCol w:w="5334"/>
      </w:tblGrid>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Autor(es) </w:t>
            </w:r>
          </w:p>
        </w:tc>
        <w:tc>
          <w:tcPr>
            <w:tcW w:w="5334"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r w:rsidRPr="007C57D2">
              <w:rPr>
                <w:rStyle w:val="Refdenotaalpie"/>
                <w:rFonts w:ascii="Times New Roman" w:hAnsi="Times New Roman"/>
                <w:b/>
                <w:bCs/>
                <w:sz w:val="28"/>
                <w:lang w:eastAsia="es-ES"/>
              </w:rPr>
              <w:footnoteReference w:id="125"/>
            </w:r>
          </w:p>
        </w:tc>
      </w:tr>
      <w:tr w:rsidR="007C57D2" w:rsidRPr="007C57D2" w:rsidTr="007C57D2">
        <w:trPr>
          <w:jc w:val="center"/>
        </w:trPr>
        <w:tc>
          <w:tcPr>
            <w:tcW w:w="1141"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2</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 xml:space="preserve">Humberto De la Calle Lombana </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Número 206.</w:t>
            </w:r>
            <w:r w:rsidRPr="007C57D2">
              <w:rPr>
                <w:rFonts w:ascii="Times New Roman" w:hAnsi="Times New Roman"/>
                <w:sz w:val="28"/>
                <w:lang w:eastAsia="es-ES"/>
              </w:rPr>
              <w:t xml:space="preserve"> </w:t>
            </w:r>
            <w:r w:rsidRPr="007C57D2">
              <w:rPr>
                <w:rFonts w:ascii="Times New Roman" w:hAnsi="Times New Roman"/>
                <w:i/>
                <w:iCs/>
                <w:sz w:val="28"/>
                <w:lang w:eastAsia="es-ES"/>
              </w:rPr>
              <w:t>Definición niños y niñas extraviados</w:t>
            </w:r>
            <w:r w:rsidRPr="007C57D2">
              <w:rPr>
                <w:rFonts w:ascii="Times New Roman" w:hAnsi="Times New Roman"/>
                <w:sz w:val="28"/>
                <w:lang w:eastAsia="es-ES"/>
              </w:rPr>
              <w:t xml:space="preserve">. Modifica el literal a) </w:t>
            </w:r>
          </w:p>
        </w:tc>
      </w:tr>
      <w:tr w:rsidR="007C57D2" w:rsidRPr="007C57D2" w:rsidTr="007C57D2">
        <w:trPr>
          <w:jc w:val="center"/>
        </w:trPr>
        <w:tc>
          <w:tcPr>
            <w:tcW w:w="1141"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Alejandro Carlos Chacón Camargo</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Número 207.</w:t>
            </w:r>
            <w:r w:rsidRPr="007C57D2">
              <w:rPr>
                <w:rFonts w:ascii="Times New Roman" w:hAnsi="Times New Roman"/>
                <w:sz w:val="28"/>
                <w:lang w:eastAsia="es-ES"/>
              </w:rPr>
              <w:t xml:space="preserve"> Elimina “quien tenga conocimiento” en el literal b); suprime el literal c); en el literal e) sustituye “identificar” por “individualizar”; en los literales g) y h) incluye al ICBF y a la Policía Nacional</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3</w:t>
            </w:r>
          </w:p>
        </w:tc>
        <w:tc>
          <w:tcPr>
            <w:tcW w:w="230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Alejandro Carlos Chacón Camargo</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Número</w:t>
            </w:r>
            <w:r w:rsidRPr="007C57D2">
              <w:rPr>
                <w:rFonts w:ascii="Times New Roman" w:hAnsi="Times New Roman"/>
                <w:b/>
                <w:bCs/>
                <w:sz w:val="28"/>
                <w:lang w:eastAsia="es-ES"/>
              </w:rPr>
              <w:t xml:space="preserve"> </w:t>
            </w:r>
            <w:r w:rsidRPr="007C57D2">
              <w:rPr>
                <w:rFonts w:ascii="Times New Roman" w:hAnsi="Times New Roman"/>
                <w:b/>
                <w:bCs/>
                <w:sz w:val="28"/>
                <w:lang w:eastAsia="es-ES"/>
              </w:rPr>
              <w:t xml:space="preserve">208. </w:t>
            </w:r>
            <w:r w:rsidRPr="007C57D2">
              <w:rPr>
                <w:rFonts w:ascii="Times New Roman" w:hAnsi="Times New Roman"/>
                <w:i/>
                <w:iCs/>
                <w:sz w:val="28"/>
                <w:lang w:eastAsia="es-ES"/>
              </w:rPr>
              <w:t>Autorización</w:t>
            </w:r>
            <w:r w:rsidRPr="007C57D2">
              <w:rPr>
                <w:rFonts w:ascii="Times New Roman" w:hAnsi="Times New Roman"/>
                <w:sz w:val="28"/>
                <w:lang w:eastAsia="es-ES"/>
              </w:rPr>
              <w:t>.</w:t>
            </w:r>
            <w:r w:rsidRPr="007C57D2">
              <w:rPr>
                <w:rFonts w:ascii="Times New Roman" w:hAnsi="Times New Roman"/>
                <w:sz w:val="28"/>
                <w:lang w:eastAsia="es-ES"/>
              </w:rPr>
              <w:t xml:space="preserve"> </w:t>
            </w:r>
            <w:r w:rsidRPr="007C57D2">
              <w:rPr>
                <w:rFonts w:ascii="Times New Roman" w:hAnsi="Times New Roman"/>
                <w:sz w:val="28"/>
                <w:lang w:eastAsia="es-ES"/>
              </w:rPr>
              <w:t>Adiciona las expresiones: “o quien hace sus veces en el territorio”, “consentimiento informado” y “y tratamiento”.</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4</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Número 209.</w:t>
            </w:r>
            <w:r w:rsidRPr="007C57D2">
              <w:rPr>
                <w:rFonts w:ascii="Times New Roman" w:hAnsi="Times New Roman"/>
                <w:sz w:val="28"/>
                <w:lang w:eastAsia="es-ES"/>
              </w:rPr>
              <w:t xml:space="preserve"> </w:t>
            </w:r>
            <w:r w:rsidRPr="007C57D2">
              <w:rPr>
                <w:rFonts w:ascii="Times New Roman" w:hAnsi="Times New Roman"/>
                <w:i/>
                <w:iCs/>
                <w:sz w:val="28"/>
                <w:lang w:eastAsia="es-ES"/>
              </w:rPr>
              <w:t>Datos biométricos y personales</w:t>
            </w:r>
            <w:r w:rsidRPr="007C57D2">
              <w:rPr>
                <w:rFonts w:ascii="Times New Roman" w:hAnsi="Times New Roman"/>
                <w:sz w:val="28"/>
                <w:lang w:eastAsia="es-ES"/>
              </w:rPr>
              <w:t xml:space="preserve">. En el literal e) sustituye “identificación” por </w:t>
            </w:r>
            <w:r w:rsidRPr="007C57D2">
              <w:rPr>
                <w:rFonts w:ascii="Times New Roman" w:hAnsi="Times New Roman"/>
                <w:sz w:val="28"/>
                <w:lang w:eastAsia="es-ES"/>
              </w:rPr>
              <w:t>“individualización”; elimina el parágrafo 2.</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5</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Número 210.</w:t>
            </w:r>
            <w:r w:rsidRPr="007C57D2">
              <w:rPr>
                <w:rFonts w:ascii="Times New Roman" w:hAnsi="Times New Roman"/>
                <w:sz w:val="28"/>
                <w:lang w:eastAsia="es-ES"/>
              </w:rPr>
              <w:t xml:space="preserve"> </w:t>
            </w:r>
            <w:r w:rsidRPr="007C57D2">
              <w:rPr>
                <w:rFonts w:ascii="Times New Roman" w:hAnsi="Times New Roman"/>
                <w:i/>
                <w:iCs/>
                <w:sz w:val="28"/>
                <w:lang w:eastAsia="es-ES"/>
              </w:rPr>
              <w:t>Sistema Nacional de “Reporte” Virtual.</w:t>
            </w:r>
            <w:r w:rsidRPr="007C57D2">
              <w:rPr>
                <w:rFonts w:ascii="Times New Roman" w:hAnsi="Times New Roman"/>
                <w:sz w:val="28"/>
                <w:lang w:eastAsia="es-ES"/>
              </w:rPr>
              <w:t xml:space="preserve"> Sustituye “Policía Nacional” por “Instituto Colombiano de Bienestar Familiar”; reemplaza “Denuncia” por “Reporte”.</w:t>
            </w:r>
          </w:p>
        </w:tc>
      </w:tr>
      <w:tr w:rsidR="007C57D2" w:rsidRPr="007C57D2" w:rsidTr="007C57D2">
        <w:trPr>
          <w:jc w:val="center"/>
        </w:trPr>
        <w:tc>
          <w:tcPr>
            <w:tcW w:w="1141"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6</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Humberto De la Calle Lombana</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Proposición 211.</w:t>
            </w:r>
            <w:r w:rsidRPr="007C57D2">
              <w:rPr>
                <w:rFonts w:ascii="Times New Roman" w:hAnsi="Times New Roman"/>
                <w:sz w:val="28"/>
                <w:lang w:eastAsia="es-ES"/>
              </w:rPr>
              <w:t xml:space="preserve"> </w:t>
            </w:r>
            <w:r w:rsidRPr="007C57D2">
              <w:rPr>
                <w:rFonts w:ascii="Times New Roman" w:hAnsi="Times New Roman"/>
                <w:i/>
                <w:iCs/>
                <w:sz w:val="28"/>
                <w:lang w:eastAsia="es-ES"/>
              </w:rPr>
              <w:t>Divulgación.</w:t>
            </w:r>
            <w:r w:rsidRPr="007C57D2">
              <w:rPr>
                <w:rFonts w:ascii="Times New Roman" w:hAnsi="Times New Roman"/>
                <w:sz w:val="28"/>
                <w:lang w:eastAsia="es-ES"/>
              </w:rPr>
              <w:t xml:space="preserve"> Elimina el parágrafo 4º (obligaciones de alcaldías y gobernaciones).</w:t>
            </w:r>
          </w:p>
        </w:tc>
      </w:tr>
      <w:tr w:rsidR="007C57D2" w:rsidRPr="007C57D2" w:rsidTr="007C57D2">
        <w:trPr>
          <w:jc w:val="center"/>
        </w:trPr>
        <w:tc>
          <w:tcPr>
            <w:tcW w:w="1141"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Alejandro Carlos Chacón Camargo</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Proposición 212.</w:t>
            </w:r>
            <w:r w:rsidRPr="007C57D2">
              <w:rPr>
                <w:rFonts w:ascii="Times New Roman" w:hAnsi="Times New Roman"/>
                <w:sz w:val="28"/>
                <w:lang w:eastAsia="es-ES"/>
              </w:rPr>
              <w:t xml:space="preserve"> </w:t>
            </w:r>
            <w:r w:rsidRPr="007C57D2">
              <w:rPr>
                <w:rFonts w:ascii="Times New Roman" w:hAnsi="Times New Roman"/>
                <w:i/>
                <w:iCs/>
                <w:sz w:val="28"/>
                <w:lang w:eastAsia="es-ES"/>
              </w:rPr>
              <w:t>Divulgación.</w:t>
            </w:r>
            <w:r w:rsidRPr="007C57D2">
              <w:rPr>
                <w:rFonts w:ascii="Times New Roman" w:hAnsi="Times New Roman"/>
                <w:sz w:val="28"/>
                <w:lang w:eastAsia="es-ES"/>
              </w:rPr>
              <w:t xml:space="preserve"> En el literal g) elimina “menor”, sustituye “garantice” por “permita” e “identificación” por “individualización”; en el parágrafo 1 incluye al ICBF y excluye a la Policía Nacional; en el parágrafo 2 precisa que la alerta la emiten los operadores móviles; </w:t>
            </w:r>
            <w:r w:rsidRPr="007C57D2">
              <w:rPr>
                <w:rFonts w:ascii="Times New Roman" w:hAnsi="Times New Roman"/>
                <w:sz w:val="28"/>
                <w:lang w:eastAsia="es-ES"/>
              </w:rPr>
              <w:t>en el parágrafo 3 reemplaza “podrá” por “brindará”; en el parágrafo 5 asigna al ICBF la administración de la web; en el parágrafo 6 ajusta al régimen disciplinario.</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8</w:t>
            </w:r>
          </w:p>
        </w:tc>
        <w:tc>
          <w:tcPr>
            <w:tcW w:w="230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Alejandro Carlos Chacón Camargo</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Proposición 213.</w:t>
            </w:r>
            <w:r w:rsidRPr="007C57D2">
              <w:rPr>
                <w:rFonts w:ascii="Times New Roman" w:hAnsi="Times New Roman"/>
                <w:sz w:val="28"/>
                <w:lang w:eastAsia="es-ES"/>
              </w:rPr>
              <w:t xml:space="preserve"> </w:t>
            </w:r>
            <w:r w:rsidRPr="007C57D2">
              <w:rPr>
                <w:rFonts w:ascii="Times New Roman" w:hAnsi="Times New Roman"/>
                <w:i/>
                <w:iCs/>
                <w:sz w:val="28"/>
                <w:lang w:eastAsia="es-ES"/>
              </w:rPr>
              <w:t>Eliminación del registro de los datos</w:t>
            </w:r>
            <w:r w:rsidRPr="007C57D2">
              <w:rPr>
                <w:rFonts w:ascii="Times New Roman" w:hAnsi="Times New Roman"/>
                <w:sz w:val="28"/>
                <w:lang w:eastAsia="es-ES"/>
              </w:rPr>
              <w:t xml:space="preserve">. Adiciona la palabra “registro”; añade al ICBF como responsable del tratamiento de datos; incluye a los proveedores de telecomunicaciones para enviar la alerta de éxito. </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9</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Proposición 214.</w:t>
            </w:r>
            <w:r w:rsidRPr="007C57D2">
              <w:rPr>
                <w:rFonts w:ascii="Times New Roman" w:hAnsi="Times New Roman"/>
                <w:sz w:val="28"/>
                <w:lang w:eastAsia="es-ES"/>
              </w:rPr>
              <w:t xml:space="preserve"> </w:t>
            </w:r>
            <w:r w:rsidRPr="007C57D2">
              <w:rPr>
                <w:rFonts w:ascii="Times New Roman" w:hAnsi="Times New Roman"/>
                <w:i/>
                <w:iCs/>
                <w:sz w:val="28"/>
                <w:lang w:eastAsia="es-ES"/>
              </w:rPr>
              <w:t>Activación de la Alerta Colombia.</w:t>
            </w:r>
            <w:r w:rsidRPr="007C57D2">
              <w:rPr>
                <w:rFonts w:ascii="Times New Roman" w:hAnsi="Times New Roman"/>
                <w:sz w:val="28"/>
                <w:lang w:eastAsia="es-ES"/>
              </w:rPr>
              <w:t xml:space="preserve"> Adiciona al ICBF y a entidade</w:t>
            </w:r>
            <w:r w:rsidRPr="007C57D2">
              <w:rPr>
                <w:rFonts w:ascii="Times New Roman" w:hAnsi="Times New Roman"/>
                <w:sz w:val="28"/>
                <w:lang w:eastAsia="es-ES"/>
              </w:rPr>
              <w:t>s del Sistema Nacional de Bienestar Familiar; adopta la medida “inmediata” bajo el principio de eficacia estatal.</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11</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Proposición 215.</w:t>
            </w:r>
            <w:r w:rsidRPr="007C57D2">
              <w:rPr>
                <w:rFonts w:ascii="Times New Roman" w:hAnsi="Times New Roman"/>
                <w:sz w:val="28"/>
                <w:lang w:eastAsia="es-ES"/>
              </w:rPr>
              <w:t xml:space="preserve"> </w:t>
            </w:r>
            <w:r w:rsidRPr="007C57D2">
              <w:rPr>
                <w:rFonts w:ascii="Times New Roman" w:hAnsi="Times New Roman"/>
                <w:i/>
                <w:iCs/>
                <w:sz w:val="28"/>
                <w:lang w:eastAsia="es-ES"/>
              </w:rPr>
              <w:t>Zona de difusión</w:t>
            </w:r>
            <w:r w:rsidRPr="007C57D2">
              <w:rPr>
                <w:rFonts w:ascii="Times New Roman" w:hAnsi="Times New Roman"/>
                <w:sz w:val="28"/>
                <w:lang w:eastAsia="es-ES"/>
              </w:rPr>
              <w:t xml:space="preserve">. Adiciona al ICBF. </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13</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b/>
                <w:bCs/>
                <w:sz w:val="28"/>
                <w:lang w:eastAsia="es-ES"/>
              </w:rPr>
              <w:t>Proposición 216.</w:t>
            </w:r>
            <w:r w:rsidRPr="007C57D2">
              <w:rPr>
                <w:rFonts w:ascii="Times New Roman" w:hAnsi="Times New Roman"/>
                <w:sz w:val="28"/>
                <w:lang w:eastAsia="es-ES"/>
              </w:rPr>
              <w:t xml:space="preserve"> </w:t>
            </w:r>
            <w:r w:rsidRPr="007C57D2">
              <w:rPr>
                <w:rFonts w:ascii="Times New Roman" w:hAnsi="Times New Roman"/>
                <w:i/>
                <w:iCs/>
                <w:sz w:val="28"/>
                <w:lang w:eastAsia="es-ES"/>
              </w:rPr>
              <w:t>Informe anual.</w:t>
            </w:r>
            <w:r w:rsidRPr="007C57D2">
              <w:rPr>
                <w:rFonts w:ascii="Times New Roman" w:hAnsi="Times New Roman"/>
                <w:sz w:val="28"/>
                <w:lang w:eastAsia="es-ES"/>
              </w:rPr>
              <w:t xml:space="preserve"> Adiciona al ICBF y excluye a la Policía Nacional. </w:t>
            </w:r>
          </w:p>
        </w:tc>
      </w:tr>
    </w:tbl>
    <w:p w:rsidR="004E3E5E" w:rsidRPr="007C57D2" w:rsidRDefault="007C57D2" w:rsidP="008F3DAB">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Tabla 1</w:t>
      </w:r>
      <w:r w:rsidRPr="007C57D2">
        <w:rPr>
          <w:rFonts w:ascii="Times New Roman" w:hAnsi="Times New Roman"/>
          <w:sz w:val="28"/>
          <w:lang w:eastAsia="es-ES"/>
        </w:rPr>
        <w:t>2</w:t>
      </w:r>
      <w:r w:rsidRPr="007C57D2">
        <w:rPr>
          <w:rFonts w:ascii="Times New Roman" w:hAnsi="Times New Roman"/>
          <w:sz w:val="28"/>
          <w:lang w:eastAsia="es-ES"/>
        </w:rPr>
        <w:t xml:space="preserve">. </w:t>
      </w:r>
      <w:r w:rsidRPr="007C57D2">
        <w:rPr>
          <w:rFonts w:ascii="Times New Roman" w:hAnsi="Times New Roman"/>
          <w:i/>
          <w:iCs/>
          <w:sz w:val="28"/>
          <w:lang w:eastAsia="es-ES"/>
        </w:rPr>
        <w:t>Proposiciones</w:t>
      </w:r>
      <w:r w:rsidRPr="007C57D2">
        <w:rPr>
          <w:rFonts w:ascii="Times New Roman" w:hAnsi="Times New Roman"/>
          <w:sz w:val="28"/>
          <w:lang w:eastAsia="es-ES"/>
        </w:rPr>
        <w:t>.</w:t>
      </w:r>
    </w:p>
    <w:p w:rsidR="00147841"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eastAsia="es-ES"/>
        </w:rPr>
        <w:t>Agotada la lectura de las proposiciones, la Presidencia cerró la discusión del articulado en el texto del pliego de modificaciones</w:t>
      </w:r>
      <w:r w:rsidRPr="007C57D2">
        <w:rPr>
          <w:rStyle w:val="Refdenotaalpie"/>
          <w:rFonts w:ascii="Times New Roman" w:hAnsi="Times New Roman"/>
          <w:sz w:val="28"/>
          <w:szCs w:val="28"/>
          <w:lang w:eastAsia="es-ES"/>
        </w:rPr>
        <w:footnoteReference w:id="126"/>
      </w:r>
      <w:r w:rsidRPr="007C57D2">
        <w:rPr>
          <w:rFonts w:ascii="Times New Roman" w:hAnsi="Times New Roman"/>
          <w:sz w:val="28"/>
          <w:szCs w:val="28"/>
          <w:lang w:eastAsia="es-ES"/>
        </w:rPr>
        <w:t xml:space="preserve"> y dispuso que su votación se realizara en un solo bloque. Cerrado el registro, el resultado fue de </w:t>
      </w:r>
      <w:r w:rsidRPr="007C57D2">
        <w:rPr>
          <w:rFonts w:ascii="Times New Roman" w:hAnsi="Times New Roman"/>
          <w:b/>
          <w:bCs/>
          <w:sz w:val="28"/>
          <w:szCs w:val="28"/>
          <w:lang w:eastAsia="es-ES"/>
        </w:rPr>
        <w:t>15 votos por el SÍ y ninguno por el NO</w:t>
      </w:r>
      <w:r w:rsidRPr="007C57D2">
        <w:rPr>
          <w:rStyle w:val="Refdenotaalpie"/>
          <w:rFonts w:ascii="Times New Roman" w:hAnsi="Times New Roman"/>
          <w:sz w:val="28"/>
          <w:szCs w:val="28"/>
          <w:lang w:eastAsia="es-ES"/>
        </w:rPr>
        <w:footnoteReference w:id="127"/>
      </w:r>
      <w:r w:rsidRPr="007C57D2">
        <w:rPr>
          <w:rFonts w:ascii="Times New Roman" w:hAnsi="Times New Roman"/>
          <w:sz w:val="28"/>
          <w:szCs w:val="28"/>
          <w:lang w:eastAsia="es-ES"/>
        </w:rPr>
        <w:t>.</w:t>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En consecuencia, el articulado del PLE fue aprobado mediante votación nominal y pública</w:t>
      </w:r>
      <w:r w:rsidRPr="007C57D2">
        <w:rPr>
          <w:rStyle w:val="Refdenotaalpie"/>
          <w:rFonts w:ascii="Times New Roman" w:hAnsi="Times New Roman"/>
          <w:sz w:val="28"/>
          <w:szCs w:val="28"/>
          <w:lang w:eastAsia="es-ES"/>
        </w:rPr>
        <w:footnoteReference w:id="128"/>
      </w:r>
      <w:r w:rsidRPr="007C57D2">
        <w:rPr>
          <w:rFonts w:ascii="Times New Roman" w:hAnsi="Times New Roman"/>
          <w:sz w:val="28"/>
          <w:szCs w:val="28"/>
          <w:lang w:eastAsia="es-ES"/>
        </w:rPr>
        <w:t xml:space="preserve">, con la </w:t>
      </w:r>
      <w:r w:rsidRPr="007C57D2">
        <w:rPr>
          <w:rFonts w:ascii="Times New Roman" w:hAnsi="Times New Roman"/>
          <w:bCs/>
          <w:sz w:val="28"/>
          <w:szCs w:val="28"/>
          <w:lang w:eastAsia="es-ES"/>
        </w:rPr>
        <w:t>mayoría absoluta e</w:t>
      </w:r>
      <w:r w:rsidRPr="007C57D2">
        <w:rPr>
          <w:rFonts w:ascii="Times New Roman" w:hAnsi="Times New Roman"/>
          <w:bCs/>
          <w:sz w:val="28"/>
          <w:szCs w:val="28"/>
          <w:lang w:eastAsia="es-ES"/>
        </w:rPr>
        <w:t>xigida</w:t>
      </w:r>
      <w:r w:rsidRPr="007C57D2">
        <w:rPr>
          <w:rStyle w:val="Refdenotaalpie"/>
          <w:rFonts w:ascii="Times New Roman" w:hAnsi="Times New Roman"/>
          <w:bCs/>
          <w:sz w:val="28"/>
          <w:szCs w:val="28"/>
          <w:lang w:eastAsia="es-ES"/>
        </w:rPr>
        <w:footnoteReference w:id="129"/>
      </w:r>
      <w:r w:rsidRPr="007C57D2">
        <w:rPr>
          <w:rFonts w:ascii="Times New Roman" w:hAnsi="Times New Roman"/>
          <w:bCs/>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Finalmente, la Comisión Primera Constitucional Permanente del Senado de la República aprobó</w:t>
      </w:r>
      <w:r w:rsidRPr="007C57D2">
        <w:rPr>
          <w:rFonts w:ascii="Times New Roman" w:hAnsi="Times New Roman"/>
          <w:sz w:val="28"/>
          <w:szCs w:val="28"/>
          <w:lang w:eastAsia="es-ES"/>
        </w:rPr>
        <w:t>, mediante votación nominal y pública,</w:t>
      </w:r>
      <w:r w:rsidRPr="007C57D2">
        <w:rPr>
          <w:rFonts w:ascii="Times New Roman" w:hAnsi="Times New Roman"/>
          <w:sz w:val="28"/>
          <w:szCs w:val="28"/>
          <w:lang w:eastAsia="es-ES"/>
        </w:rPr>
        <w:t xml:space="preserve"> con </w:t>
      </w:r>
      <w:r w:rsidRPr="007C57D2">
        <w:rPr>
          <w:rFonts w:ascii="Times New Roman" w:hAnsi="Times New Roman"/>
          <w:b/>
          <w:bCs/>
          <w:sz w:val="28"/>
          <w:szCs w:val="28"/>
          <w:lang w:eastAsia="es-ES"/>
        </w:rPr>
        <w:t>16 votos por el SÍ y ninguno por el NO</w:t>
      </w:r>
      <w:r w:rsidRPr="007C57D2">
        <w:rPr>
          <w:rStyle w:val="Refdenotaalpie"/>
          <w:rFonts w:ascii="Times New Roman" w:hAnsi="Times New Roman"/>
          <w:b/>
          <w:bCs/>
          <w:sz w:val="28"/>
          <w:szCs w:val="28"/>
          <w:lang w:eastAsia="es-ES"/>
        </w:rPr>
        <w:footnoteReference w:id="130"/>
      </w:r>
      <w:r w:rsidRPr="007C57D2">
        <w:rPr>
          <w:rFonts w:ascii="Times New Roman" w:hAnsi="Times New Roman"/>
          <w:sz w:val="28"/>
          <w:szCs w:val="28"/>
          <w:lang w:eastAsia="es-ES"/>
        </w:rPr>
        <w:t xml:space="preserve"> </w:t>
      </w:r>
      <w:r w:rsidRPr="007C57D2">
        <w:rPr>
          <w:rFonts w:ascii="Times New Roman" w:hAnsi="Times New Roman"/>
          <w:sz w:val="28"/>
          <w:szCs w:val="28"/>
          <w:lang w:val="es-ES"/>
        </w:rPr>
        <w:t>el título del proyecto</w:t>
      </w:r>
      <w:r w:rsidRPr="007C57D2">
        <w:rPr>
          <w:rFonts w:ascii="Times New Roman" w:hAnsi="Times New Roman"/>
          <w:i/>
          <w:iCs/>
          <w:sz w:val="28"/>
          <w:szCs w:val="28"/>
          <w:lang w:val="es-ES"/>
        </w:rPr>
        <w:t xml:space="preserve"> </w:t>
      </w:r>
      <w:r w:rsidRPr="007C57D2">
        <w:rPr>
          <w:rFonts w:ascii="Times New Roman" w:hAnsi="Times New Roman"/>
          <w:sz w:val="28"/>
          <w:szCs w:val="28"/>
        </w:rPr>
        <w:t xml:space="preserve">y la pregunta respecto de si los senadores querían que este proyecto fuese ley de la República.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lang w:eastAsia="es-ES"/>
        </w:rPr>
        <w:t>Publicación oficial del texto aprobado en primer debate</w:t>
      </w:r>
    </w:p>
    <w:p w:rsidR="004E3E5E" w:rsidRPr="007C57D2" w:rsidRDefault="007C57D2" w:rsidP="008F3DAB">
      <w:pPr>
        <w:tabs>
          <w:tab w:val="left" w:pos="360"/>
        </w:tabs>
        <w:spacing w:after="0" w:line="240" w:lineRule="auto"/>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El texto definitivo aprobado en la Comisión Primera Constitucional Permanente del Senado de la República fue publicado en la Gaceta del Congreso </w:t>
      </w:r>
      <w:r w:rsidRPr="007C57D2">
        <w:rPr>
          <w:rFonts w:ascii="Times New Roman" w:hAnsi="Times New Roman"/>
          <w:sz w:val="28"/>
          <w:szCs w:val="28"/>
          <w:lang w:eastAsia="es-MX"/>
        </w:rPr>
        <w:t xml:space="preserve">n.º </w:t>
      </w:r>
      <w:r w:rsidRPr="007C57D2">
        <w:rPr>
          <w:rFonts w:ascii="Times New Roman" w:hAnsi="Times New Roman"/>
          <w:sz w:val="28"/>
          <w:szCs w:val="28"/>
          <w:lang w:eastAsia="es-ES"/>
        </w:rPr>
        <w:t>759 del 5 de junio de 2024</w:t>
      </w:r>
      <w:r w:rsidRPr="007C57D2">
        <w:rPr>
          <w:rStyle w:val="Refdenotaalpie"/>
          <w:rFonts w:ascii="Times New Roman" w:hAnsi="Times New Roman"/>
          <w:sz w:val="28"/>
          <w:szCs w:val="28"/>
          <w:lang w:eastAsia="es-ES"/>
        </w:rPr>
        <w:footnoteReference w:id="131"/>
      </w:r>
      <w:r w:rsidRPr="007C57D2">
        <w:rPr>
          <w:rFonts w:ascii="Times New Roman" w:hAnsi="Times New Roman"/>
          <w:sz w:val="28"/>
          <w:szCs w:val="28"/>
          <w:lang w:eastAsia="es-ES"/>
        </w:rPr>
        <w:t>.</w:t>
      </w: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Conclusión.</w:t>
      </w:r>
      <w:r w:rsidRPr="007C57D2">
        <w:rPr>
          <w:rFonts w:ascii="Times New Roman" w:hAnsi="Times New Roman"/>
          <w:sz w:val="28"/>
          <w:szCs w:val="28"/>
          <w:lang w:eastAsia="es-ES"/>
        </w:rPr>
        <w:t xml:space="preserve"> La Corte observa que, en el primer debate del PLE adelantado en la</w:t>
      </w:r>
      <w:r w:rsidRPr="007C57D2">
        <w:rPr>
          <w:rFonts w:ascii="Times New Roman" w:hAnsi="Times New Roman"/>
          <w:sz w:val="28"/>
          <w:szCs w:val="28"/>
          <w:lang w:eastAsia="es-ES"/>
        </w:rPr>
        <w:t xml:space="preserve"> Comisión Primera Constitucional Permanente del Senado de la República, se cumplieron los requisitos procedimentales relativos a la presentación y publicación del informe de ponencia, los anuncios previos, el </w:t>
      </w:r>
      <w:r w:rsidRPr="007C57D2">
        <w:rPr>
          <w:rFonts w:ascii="Times New Roman" w:hAnsi="Times New Roman"/>
          <w:i/>
          <w:iCs/>
          <w:sz w:val="28"/>
          <w:szCs w:val="28"/>
          <w:lang w:eastAsia="es-ES"/>
        </w:rPr>
        <w:t xml:space="preserve">quorum </w:t>
      </w:r>
      <w:r w:rsidRPr="007C57D2">
        <w:rPr>
          <w:rFonts w:ascii="Times New Roman" w:hAnsi="Times New Roman"/>
          <w:sz w:val="28"/>
          <w:szCs w:val="28"/>
          <w:lang w:eastAsia="es-ES"/>
        </w:rPr>
        <w:t>deliberatorio y decisorio, la votación n</w:t>
      </w:r>
      <w:r w:rsidRPr="007C57D2">
        <w:rPr>
          <w:rFonts w:ascii="Times New Roman" w:hAnsi="Times New Roman"/>
          <w:sz w:val="28"/>
          <w:szCs w:val="28"/>
          <w:lang w:eastAsia="es-ES"/>
        </w:rPr>
        <w:t>ominal y pública; la mayoría absoluta y la publicación del texto aprobado, conforme a lo exigido en la Constitución y en la Ley 5 de 1992. La siguiente tabla sinte</w:t>
      </w:r>
      <w:r w:rsidRPr="007C57D2">
        <w:rPr>
          <w:rFonts w:ascii="Times New Roman" w:hAnsi="Times New Roman"/>
          <w:sz w:val="28"/>
          <w:szCs w:val="28"/>
          <w:lang w:eastAsia="es-ES"/>
        </w:rPr>
        <w:t>t</w:t>
      </w:r>
      <w:r w:rsidRPr="007C57D2">
        <w:rPr>
          <w:rFonts w:ascii="Times New Roman" w:hAnsi="Times New Roman"/>
          <w:sz w:val="28"/>
          <w:szCs w:val="28"/>
          <w:lang w:eastAsia="es-ES"/>
        </w:rPr>
        <w:t xml:space="preserve">iza dichos aspectos: </w:t>
      </w:r>
    </w:p>
    <w:p w:rsidR="004E3E5E" w:rsidRPr="007C57D2" w:rsidRDefault="007C57D2" w:rsidP="008F3DAB">
      <w:pPr>
        <w:pStyle w:val="Prrafodelista"/>
        <w:rPr>
          <w:rFonts w:ascii="Times New Roman" w:hAnsi="Times New Roman"/>
          <w:sz w:val="28"/>
          <w:szCs w:val="2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2939"/>
        <w:gridCol w:w="4560"/>
        <w:gridCol w:w="1329"/>
      </w:tblGrid>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Primer debate</w:t>
            </w:r>
          </w:p>
        </w:tc>
      </w:tr>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 xml:space="preserve">Comisión Primera Constitucional Permanente del Senado </w:t>
            </w:r>
            <w:r w:rsidRPr="007C57D2">
              <w:rPr>
                <w:rFonts w:ascii="Times New Roman" w:hAnsi="Times New Roman"/>
                <w:b/>
                <w:bCs/>
                <w:sz w:val="28"/>
                <w:lang w:eastAsia="es-ES"/>
              </w:rPr>
              <w:t>de la República</w:t>
            </w:r>
          </w:p>
        </w:tc>
      </w:tr>
      <w:tr w:rsidR="007C57D2" w:rsidRPr="007C57D2" w:rsidTr="007C57D2">
        <w:tc>
          <w:tcPr>
            <w:tcW w:w="2939"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Requisito</w:t>
            </w:r>
          </w:p>
        </w:tc>
        <w:tc>
          <w:tcPr>
            <w:tcW w:w="4560"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Detalle</w:t>
            </w:r>
          </w:p>
        </w:tc>
        <w:tc>
          <w:tcPr>
            <w:tcW w:w="1329"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Resultado</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informe de ponencia positiva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val="es-ES_tradnl"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625</w:t>
            </w:r>
            <w:r w:rsidRPr="007C57D2">
              <w:rPr>
                <w:rFonts w:ascii="Times New Roman" w:hAnsi="Times New Roman"/>
                <w:sz w:val="28"/>
                <w:lang w:val="es-ES_tradnl" w:eastAsia="es-ES"/>
              </w:rPr>
              <w:t xml:space="preserve"> del 21 de mayo de 2024 (p. 2-13)</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Anuncios previos</w:t>
            </w:r>
          </w:p>
        </w:tc>
        <w:tc>
          <w:tcPr>
            <w:tcW w:w="4560" w:type="dxa"/>
            <w:shd w:val="clear" w:color="auto" w:fill="auto"/>
            <w:vAlign w:val="center"/>
          </w:tcPr>
          <w:p w:rsidR="004E3E5E" w:rsidRPr="007C57D2" w:rsidRDefault="007C57D2" w:rsidP="007C57D2">
            <w:pPr>
              <w:pStyle w:val="Prrafodelista"/>
              <w:tabs>
                <w:tab w:val="left" w:pos="360"/>
              </w:tabs>
              <w:ind w:left="0"/>
              <w:jc w:val="both"/>
              <w:rPr>
                <w:rFonts w:ascii="Times New Roman" w:hAnsi="Times New Roman"/>
                <w:sz w:val="28"/>
                <w:lang w:val="es-ES_tradnl" w:eastAsia="es-ES"/>
              </w:rPr>
            </w:pPr>
            <w:r w:rsidRPr="007C57D2">
              <w:rPr>
                <w:rFonts w:ascii="Times New Roman" w:hAnsi="Times New Roman"/>
                <w:i/>
                <w:iCs/>
                <w:sz w:val="28"/>
                <w:lang w:eastAsia="es-ES"/>
              </w:rPr>
              <w:t>Primer anuncio:</w:t>
            </w:r>
            <w:r w:rsidRPr="007C57D2">
              <w:rPr>
                <w:rFonts w:ascii="Times New Roman" w:hAnsi="Times New Roman"/>
                <w:sz w:val="28"/>
                <w:lang w:eastAsia="es-ES"/>
              </w:rPr>
              <w:t xml:space="preserve"> Acta 46 del 21 de mayo de 2024</w:t>
            </w:r>
            <w:r w:rsidRPr="007C57D2">
              <w:rPr>
                <w:rFonts w:ascii="Times New Roman" w:hAnsi="Times New Roman"/>
                <w:sz w:val="28"/>
                <w:lang w:eastAsia="es-ES"/>
              </w:rPr>
              <w:t xml:space="preserve">. </w:t>
            </w: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901</w:t>
            </w:r>
            <w:r w:rsidRPr="007C57D2">
              <w:rPr>
                <w:rFonts w:ascii="Times New Roman" w:hAnsi="Times New Roman"/>
                <w:sz w:val="28"/>
                <w:lang w:val="es-ES_tradnl" w:eastAsia="es-ES"/>
              </w:rPr>
              <w:t xml:space="preserve"> del 17 de junio de 2024 (p. 6)</w:t>
            </w:r>
          </w:p>
          <w:p w:rsidR="004E3E5E" w:rsidRPr="007C57D2" w:rsidRDefault="007C57D2" w:rsidP="007C57D2">
            <w:pPr>
              <w:pStyle w:val="Prrafodelista"/>
              <w:tabs>
                <w:tab w:val="left" w:pos="360"/>
              </w:tabs>
              <w:ind w:left="0"/>
              <w:jc w:val="both"/>
              <w:rPr>
                <w:rFonts w:ascii="Times New Roman" w:hAnsi="Times New Roman"/>
                <w:sz w:val="28"/>
                <w:lang w:val="es-ES_tradnl" w:eastAsia="es-ES"/>
              </w:rPr>
            </w:pPr>
          </w:p>
          <w:p w:rsidR="004E3E5E" w:rsidRPr="007C57D2" w:rsidRDefault="007C57D2" w:rsidP="007C57D2">
            <w:pPr>
              <w:pStyle w:val="Prrafodelista"/>
              <w:tabs>
                <w:tab w:val="left" w:pos="360"/>
              </w:tabs>
              <w:ind w:left="0"/>
              <w:jc w:val="both"/>
              <w:rPr>
                <w:rFonts w:ascii="Times New Roman" w:hAnsi="Times New Roman"/>
                <w:sz w:val="28"/>
                <w:lang w:val="es-ES_tradnl" w:eastAsia="es-ES"/>
              </w:rPr>
            </w:pPr>
            <w:r w:rsidRPr="007C57D2">
              <w:rPr>
                <w:rFonts w:ascii="Times New Roman" w:hAnsi="Times New Roman"/>
                <w:i/>
                <w:iCs/>
                <w:sz w:val="28"/>
                <w:lang w:val="es-ES_tradnl" w:eastAsia="es-ES"/>
              </w:rPr>
              <w:t>Segundo anuncio:</w:t>
            </w:r>
            <w:r w:rsidRPr="007C57D2">
              <w:rPr>
                <w:rFonts w:ascii="Times New Roman" w:hAnsi="Times New Roman"/>
                <w:sz w:val="28"/>
                <w:lang w:val="es-ES_tradnl" w:eastAsia="es-ES"/>
              </w:rPr>
              <w:t xml:space="preserve"> </w:t>
            </w:r>
            <w:r w:rsidRPr="007C57D2">
              <w:rPr>
                <w:rFonts w:ascii="Times New Roman" w:hAnsi="Times New Roman"/>
                <w:sz w:val="28"/>
                <w:lang w:eastAsia="es-ES"/>
              </w:rPr>
              <w:t>Acta 47 del 22 de mayo de 2024</w:t>
            </w:r>
            <w:r w:rsidRPr="007C57D2">
              <w:rPr>
                <w:rFonts w:ascii="Times New Roman" w:hAnsi="Times New Roman"/>
                <w:sz w:val="28"/>
                <w:lang w:eastAsia="es-ES"/>
              </w:rPr>
              <w:t>.</w:t>
            </w:r>
            <w:r w:rsidRPr="007C57D2">
              <w:rPr>
                <w:rFonts w:ascii="Times New Roman" w:hAnsi="Times New Roman"/>
                <w:sz w:val="28"/>
                <w:lang w:eastAsia="es-ES"/>
              </w:rPr>
              <w:t xml:space="preserve"> </w:t>
            </w: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1015</w:t>
            </w:r>
            <w:r w:rsidRPr="007C57D2">
              <w:rPr>
                <w:rFonts w:ascii="Times New Roman" w:hAnsi="Times New Roman"/>
                <w:sz w:val="28"/>
                <w:lang w:val="es-ES_tradnl" w:eastAsia="es-ES"/>
              </w:rPr>
              <w:t xml:space="preserve"> del 18 de julio de 2024 (p. 6)</w:t>
            </w:r>
          </w:p>
          <w:p w:rsidR="004E3E5E" w:rsidRPr="007C57D2" w:rsidRDefault="007C57D2" w:rsidP="007C57D2">
            <w:pPr>
              <w:pStyle w:val="Prrafodelista"/>
              <w:tabs>
                <w:tab w:val="left" w:pos="360"/>
              </w:tabs>
              <w:ind w:left="0"/>
              <w:jc w:val="both"/>
              <w:rPr>
                <w:rFonts w:ascii="Times New Roman" w:hAnsi="Times New Roman"/>
                <w:sz w:val="28"/>
                <w:lang w:val="es-ES_tradnl" w:eastAsia="es-ES"/>
              </w:rPr>
            </w:pPr>
          </w:p>
          <w:p w:rsidR="004E3E5E" w:rsidRPr="007C57D2" w:rsidRDefault="007C57D2" w:rsidP="007C57D2">
            <w:pPr>
              <w:pStyle w:val="Prrafodelista"/>
              <w:tabs>
                <w:tab w:val="left" w:pos="360"/>
              </w:tabs>
              <w:ind w:left="0"/>
              <w:jc w:val="both"/>
              <w:rPr>
                <w:rFonts w:ascii="Times New Roman" w:hAnsi="Times New Roman"/>
                <w:sz w:val="28"/>
                <w:lang w:val="es-ES_tradnl" w:eastAsia="es-ES"/>
              </w:rPr>
            </w:pPr>
            <w:r w:rsidRPr="007C57D2">
              <w:rPr>
                <w:rFonts w:ascii="Times New Roman" w:hAnsi="Times New Roman"/>
                <w:i/>
                <w:iCs/>
                <w:sz w:val="28"/>
                <w:lang w:val="es-ES_tradnl" w:eastAsia="es-ES"/>
              </w:rPr>
              <w:t>Tercer anuncio:</w:t>
            </w:r>
            <w:r w:rsidRPr="007C57D2">
              <w:rPr>
                <w:rFonts w:ascii="Times New Roman" w:hAnsi="Times New Roman"/>
                <w:sz w:val="28"/>
                <w:lang w:val="es-ES_tradnl" w:eastAsia="es-ES"/>
              </w:rPr>
              <w:t xml:space="preserve"> </w:t>
            </w:r>
            <w:r w:rsidRPr="007C57D2">
              <w:rPr>
                <w:rFonts w:ascii="Times New Roman" w:hAnsi="Times New Roman"/>
                <w:sz w:val="28"/>
                <w:lang w:eastAsia="es-ES"/>
              </w:rPr>
              <w:t>Acta 48 del 23 de mayo de 2024</w:t>
            </w:r>
            <w:r w:rsidRPr="007C57D2">
              <w:rPr>
                <w:rFonts w:ascii="Times New Roman" w:hAnsi="Times New Roman"/>
                <w:sz w:val="28"/>
                <w:lang w:eastAsia="es-ES"/>
              </w:rPr>
              <w:t>.</w:t>
            </w:r>
            <w:r w:rsidRPr="007C57D2">
              <w:rPr>
                <w:rFonts w:ascii="Times New Roman" w:hAnsi="Times New Roman"/>
                <w:sz w:val="28"/>
                <w:lang w:eastAsia="es-ES"/>
              </w:rPr>
              <w:t xml:space="preserve"> </w:t>
            </w: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1365</w:t>
            </w:r>
            <w:r w:rsidRPr="007C57D2">
              <w:rPr>
                <w:rFonts w:ascii="Times New Roman" w:hAnsi="Times New Roman"/>
                <w:sz w:val="28"/>
                <w:lang w:val="es-ES_tradnl" w:eastAsia="es-ES"/>
              </w:rPr>
              <w:t xml:space="preserve"> del 11 de septiembre de 2024 (p. 10)</w:t>
            </w:r>
          </w:p>
          <w:p w:rsidR="004E3E5E" w:rsidRPr="007C57D2" w:rsidRDefault="007C57D2" w:rsidP="007C57D2">
            <w:pPr>
              <w:pStyle w:val="Prrafodelista"/>
              <w:tabs>
                <w:tab w:val="left" w:pos="360"/>
              </w:tabs>
              <w:ind w:left="0"/>
              <w:jc w:val="both"/>
              <w:rPr>
                <w:rFonts w:ascii="Times New Roman" w:hAnsi="Times New Roman"/>
                <w:sz w:val="28"/>
                <w:lang w:val="es-ES_tradnl" w:eastAsia="es-ES"/>
              </w:rPr>
            </w:pPr>
          </w:p>
          <w:p w:rsidR="004E3E5E" w:rsidRPr="007C57D2" w:rsidRDefault="007C57D2" w:rsidP="007C57D2">
            <w:pPr>
              <w:pStyle w:val="Prrafodelista"/>
              <w:tabs>
                <w:tab w:val="left" w:pos="360"/>
              </w:tabs>
              <w:ind w:left="0"/>
              <w:jc w:val="both"/>
              <w:rPr>
                <w:rFonts w:ascii="Times New Roman" w:hAnsi="Times New Roman"/>
                <w:sz w:val="28"/>
                <w:lang w:val="es-ES_tradnl" w:eastAsia="es-ES"/>
              </w:rPr>
            </w:pPr>
            <w:r w:rsidRPr="007C57D2">
              <w:rPr>
                <w:rFonts w:ascii="Times New Roman" w:hAnsi="Times New Roman"/>
                <w:i/>
                <w:iCs/>
                <w:sz w:val="28"/>
                <w:lang w:val="es-ES_tradnl" w:eastAsia="es-ES"/>
              </w:rPr>
              <w:t>Cuarto anuncio:</w:t>
            </w:r>
            <w:r w:rsidRPr="007C57D2">
              <w:rPr>
                <w:rFonts w:ascii="Times New Roman" w:hAnsi="Times New Roman"/>
                <w:sz w:val="28"/>
                <w:lang w:val="es-ES_tradnl" w:eastAsia="es-ES"/>
              </w:rPr>
              <w:t xml:space="preserve"> </w:t>
            </w:r>
            <w:r w:rsidRPr="007C57D2">
              <w:rPr>
                <w:rFonts w:ascii="Times New Roman" w:hAnsi="Times New Roman"/>
                <w:sz w:val="28"/>
                <w:lang w:eastAsia="es-ES"/>
              </w:rPr>
              <w:t>Acta 49 del 27 de mayo de 2024</w:t>
            </w:r>
            <w:r w:rsidRPr="007C57D2">
              <w:rPr>
                <w:rFonts w:ascii="Times New Roman" w:hAnsi="Times New Roman"/>
                <w:sz w:val="28"/>
                <w:lang w:eastAsia="es-ES"/>
              </w:rPr>
              <w:t>.</w:t>
            </w:r>
            <w:r w:rsidRPr="007C57D2">
              <w:rPr>
                <w:rFonts w:ascii="Times New Roman" w:hAnsi="Times New Roman"/>
                <w:sz w:val="28"/>
                <w:lang w:eastAsia="es-ES"/>
              </w:rPr>
              <w:t xml:space="preserve"> </w:t>
            </w: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912</w:t>
            </w:r>
            <w:r w:rsidRPr="007C57D2">
              <w:rPr>
                <w:rFonts w:ascii="Times New Roman" w:hAnsi="Times New Roman"/>
                <w:sz w:val="28"/>
                <w:lang w:val="es-ES_tradnl" w:eastAsia="es-ES"/>
              </w:rPr>
              <w:t xml:space="preserve"> del 17 de junio de 2024 (p. 5).</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Debate y aprobación</w:t>
            </w:r>
          </w:p>
        </w:tc>
        <w:tc>
          <w:tcPr>
            <w:tcW w:w="4560" w:type="dxa"/>
            <w:shd w:val="clear" w:color="auto" w:fill="auto"/>
            <w:vAlign w:val="center"/>
          </w:tcPr>
          <w:p w:rsidR="00117AC0"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Acta 50 del 28 de mayo de 2024 </w:t>
            </w:r>
          </w:p>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Gaceta del Congreso n.º 1366 del 11 de septiembre de 2024 (p. 9-19)</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deliberatorio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decisorio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Votación nominal y pública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Mayoría exigida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de</w:t>
            </w:r>
            <w:r w:rsidRPr="007C57D2">
              <w:rPr>
                <w:rFonts w:ascii="Times New Roman" w:hAnsi="Times New Roman"/>
                <w:sz w:val="28"/>
                <w:lang w:eastAsia="es-ES"/>
              </w:rPr>
              <w:t>l</w:t>
            </w:r>
            <w:r w:rsidRPr="007C57D2">
              <w:rPr>
                <w:rFonts w:ascii="Times New Roman" w:hAnsi="Times New Roman"/>
                <w:sz w:val="28"/>
                <w:lang w:eastAsia="es-ES"/>
              </w:rPr>
              <w:t xml:space="preserve"> texto aprobado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Gaceta del Congreso n.º 759 del 5 de junio de 2024 (p. 9-11)</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bl>
    <w:p w:rsidR="004E3E5E" w:rsidRPr="007C57D2" w:rsidRDefault="007C57D2" w:rsidP="008F3DAB">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Tabla 1</w:t>
      </w:r>
      <w:r w:rsidRPr="007C57D2">
        <w:rPr>
          <w:rFonts w:ascii="Times New Roman" w:hAnsi="Times New Roman"/>
          <w:sz w:val="28"/>
          <w:lang w:eastAsia="es-ES"/>
        </w:rPr>
        <w:t>3</w:t>
      </w:r>
      <w:r w:rsidRPr="007C57D2">
        <w:rPr>
          <w:rFonts w:ascii="Times New Roman" w:hAnsi="Times New Roman"/>
          <w:sz w:val="28"/>
          <w:lang w:eastAsia="es-ES"/>
        </w:rPr>
        <w:t xml:space="preserve">. </w:t>
      </w:r>
      <w:r w:rsidRPr="007C57D2">
        <w:rPr>
          <w:rFonts w:ascii="Times New Roman" w:hAnsi="Times New Roman"/>
          <w:i/>
          <w:iCs/>
          <w:sz w:val="28"/>
          <w:lang w:eastAsia="es-ES"/>
        </w:rPr>
        <w:t>Comisión Primera Constitucional Permanente del Senado de la República</w:t>
      </w:r>
    </w:p>
    <w:p w:rsidR="00147841"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 xml:space="preserve">Designación de ponentes y publicación del informe de ponencia para segundo debate </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Antes de concluir la sesión del 28 de mayo de 2024, el presidente del Senado de la República designó al representante </w:t>
      </w:r>
      <w:r w:rsidRPr="007C57D2">
        <w:rPr>
          <w:rFonts w:ascii="Times New Roman" w:hAnsi="Times New Roman"/>
          <w:sz w:val="28"/>
          <w:szCs w:val="28"/>
          <w:lang w:eastAsia="es-MX"/>
        </w:rPr>
        <w:t>Carlos Adolfo Ardila Espinosa</w:t>
      </w:r>
      <w:r w:rsidRPr="007C57D2">
        <w:rPr>
          <w:rFonts w:ascii="Times New Roman" w:hAnsi="Times New Roman"/>
          <w:sz w:val="28"/>
          <w:szCs w:val="28"/>
          <w:lang w:eastAsia="es-ES"/>
        </w:rPr>
        <w:t xml:space="preserve"> como ponente único para </w:t>
      </w:r>
      <w:r w:rsidRPr="007C57D2">
        <w:rPr>
          <w:rFonts w:ascii="Times New Roman" w:hAnsi="Times New Roman"/>
          <w:sz w:val="28"/>
          <w:szCs w:val="28"/>
          <w:lang w:eastAsia="es-ES"/>
        </w:rPr>
        <w:t xml:space="preserve">el segundo debate del PLE en la Plenaria de esa </w:t>
      </w:r>
      <w:r w:rsidRPr="007C57D2">
        <w:rPr>
          <w:rFonts w:ascii="Times New Roman" w:hAnsi="Times New Roman"/>
          <w:sz w:val="28"/>
          <w:szCs w:val="28"/>
          <w:lang w:eastAsia="es-ES"/>
        </w:rPr>
        <w:t>Corporación</w:t>
      </w:r>
      <w:r w:rsidRPr="007C57D2">
        <w:rPr>
          <w:rStyle w:val="Refdenotaalpie"/>
          <w:rFonts w:ascii="Times New Roman" w:hAnsi="Times New Roman"/>
          <w:sz w:val="28"/>
          <w:szCs w:val="28"/>
          <w:lang w:eastAsia="es-MX"/>
        </w:rPr>
        <w:footnoteReference w:id="132"/>
      </w:r>
      <w:r w:rsidRPr="007C57D2">
        <w:rPr>
          <w:rFonts w:ascii="Times New Roman" w:hAnsi="Times New Roman"/>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Posteriormente, el ponente designado radicó ante la Secretaría del Senado de la República el informe de ponencia positiva para segundo debate, acompañado del pliego de modificaciones. Dicho informe fue publicado en la Gaceta del Congreso </w:t>
      </w:r>
      <w:r w:rsidRPr="007C57D2">
        <w:rPr>
          <w:rFonts w:ascii="Times New Roman" w:hAnsi="Times New Roman"/>
          <w:sz w:val="28"/>
          <w:szCs w:val="28"/>
          <w:lang w:eastAsia="es-MX"/>
        </w:rPr>
        <w:t>n.º 759 del 5 de j</w:t>
      </w:r>
      <w:r w:rsidRPr="007C57D2">
        <w:rPr>
          <w:rFonts w:ascii="Times New Roman" w:hAnsi="Times New Roman"/>
          <w:sz w:val="28"/>
          <w:szCs w:val="28"/>
          <w:lang w:eastAsia="es-MX"/>
        </w:rPr>
        <w:t>unio de 2024</w:t>
      </w:r>
      <w:r w:rsidRPr="007C57D2">
        <w:rPr>
          <w:rStyle w:val="Refdenotaalpie"/>
          <w:rFonts w:ascii="Times New Roman" w:hAnsi="Times New Roman"/>
          <w:sz w:val="28"/>
          <w:szCs w:val="28"/>
          <w:lang w:eastAsia="es-MX"/>
        </w:rPr>
        <w:footnoteReference w:id="133"/>
      </w:r>
      <w:r w:rsidRPr="007C57D2">
        <w:rPr>
          <w:rFonts w:ascii="Times New Roman" w:hAnsi="Times New Roman"/>
          <w:sz w:val="28"/>
          <w:szCs w:val="28"/>
          <w:lang w:eastAsia="es-MX"/>
        </w:rPr>
        <w:t>.</w:t>
      </w:r>
    </w:p>
    <w:p w:rsidR="000A4A35" w:rsidRPr="007C57D2" w:rsidRDefault="007C57D2" w:rsidP="008F3DAB">
      <w:pPr>
        <w:pStyle w:val="Prrafodelista"/>
        <w:tabs>
          <w:tab w:val="left" w:pos="567"/>
        </w:tabs>
        <w:ind w:left="0"/>
        <w:jc w:val="both"/>
        <w:rPr>
          <w:rFonts w:ascii="Times New Roman" w:hAnsi="Times New Roman"/>
          <w:sz w:val="28"/>
          <w:szCs w:val="28"/>
          <w:lang w:eastAsia="es-ES"/>
        </w:rPr>
      </w:pPr>
    </w:p>
    <w:p w:rsidR="008F3DAB" w:rsidRPr="007C57D2" w:rsidRDefault="007C57D2" w:rsidP="008F3DAB">
      <w:pPr>
        <w:pStyle w:val="Prrafodelista"/>
        <w:tabs>
          <w:tab w:val="left" w:pos="567"/>
        </w:tabs>
        <w:ind w:left="0"/>
        <w:jc w:val="both"/>
        <w:rPr>
          <w:rFonts w:ascii="Times New Roman" w:hAnsi="Times New Roman"/>
          <w:sz w:val="28"/>
          <w:szCs w:val="28"/>
          <w:lang w:eastAsia="es-ES"/>
        </w:rPr>
      </w:pPr>
    </w:p>
    <w:p w:rsidR="00C10212"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Anuncio previo a la discusión</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Conforme al </w:t>
      </w:r>
      <w:r w:rsidRPr="007C57D2">
        <w:rPr>
          <w:rFonts w:ascii="Times New Roman" w:hAnsi="Times New Roman"/>
          <w:b/>
          <w:bCs/>
          <w:sz w:val="28"/>
          <w:szCs w:val="28"/>
          <w:lang w:eastAsia="es-ES"/>
        </w:rPr>
        <w:t xml:space="preserve">Acta </w:t>
      </w:r>
      <w:r w:rsidRPr="007C57D2">
        <w:rPr>
          <w:rFonts w:ascii="Times New Roman" w:hAnsi="Times New Roman"/>
          <w:b/>
          <w:bCs/>
          <w:sz w:val="28"/>
          <w:szCs w:val="28"/>
          <w:lang w:eastAsia="es-MX"/>
        </w:rPr>
        <w:t xml:space="preserve">n.º 75 </w:t>
      </w:r>
      <w:r w:rsidRPr="007C57D2">
        <w:rPr>
          <w:rFonts w:ascii="Times New Roman" w:hAnsi="Times New Roman"/>
          <w:sz w:val="28"/>
          <w:szCs w:val="28"/>
          <w:lang w:eastAsia="es-MX"/>
        </w:rPr>
        <w:t>del 6 de junio de 2024, publicada en la Gaceta del Congreso n.º 13 del 28 de enero de 2025</w:t>
      </w:r>
      <w:r w:rsidRPr="007C57D2">
        <w:rPr>
          <w:rStyle w:val="Refdenotaalpie"/>
          <w:rFonts w:ascii="Times New Roman" w:hAnsi="Times New Roman"/>
          <w:sz w:val="28"/>
          <w:szCs w:val="28"/>
          <w:lang w:eastAsia="es-MX"/>
        </w:rPr>
        <w:footnoteReference w:id="134"/>
      </w:r>
      <w:r w:rsidRPr="007C57D2">
        <w:rPr>
          <w:rFonts w:ascii="Times New Roman" w:hAnsi="Times New Roman"/>
          <w:sz w:val="28"/>
          <w:szCs w:val="28"/>
          <w:lang w:eastAsia="es-MX"/>
        </w:rPr>
        <w:t xml:space="preserve">, el anuncio del PLE en la Plenaria del Senado de la República tuvo lugar en la sesión celebrada el </w:t>
      </w:r>
      <w:r w:rsidRPr="007C57D2">
        <w:rPr>
          <w:rFonts w:ascii="Times New Roman" w:hAnsi="Times New Roman"/>
          <w:b/>
          <w:bCs/>
          <w:sz w:val="28"/>
          <w:szCs w:val="28"/>
          <w:lang w:eastAsia="es-MX"/>
        </w:rPr>
        <w:t>6 de junio</w:t>
      </w:r>
      <w:r w:rsidRPr="007C57D2">
        <w:rPr>
          <w:rFonts w:ascii="Times New Roman" w:hAnsi="Times New Roman"/>
          <w:sz w:val="28"/>
          <w:szCs w:val="28"/>
          <w:lang w:eastAsia="es-MX"/>
        </w:rPr>
        <w:t xml:space="preserve"> </w:t>
      </w:r>
      <w:r w:rsidRPr="007C57D2">
        <w:rPr>
          <w:rFonts w:ascii="Times New Roman" w:hAnsi="Times New Roman"/>
          <w:b/>
          <w:bCs/>
          <w:sz w:val="28"/>
          <w:szCs w:val="28"/>
          <w:lang w:eastAsia="es-MX"/>
        </w:rPr>
        <w:t>de 2024</w:t>
      </w:r>
      <w:r w:rsidRPr="007C57D2">
        <w:rPr>
          <w:rFonts w:ascii="Times New Roman" w:hAnsi="Times New Roman"/>
          <w:sz w:val="28"/>
          <w:szCs w:val="28"/>
          <w:lang w:eastAsia="es-MX"/>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MX"/>
        </w:rPr>
        <w:t xml:space="preserve">En la citada acta consta que la Secretaría </w:t>
      </w:r>
      <w:r w:rsidRPr="007C57D2">
        <w:rPr>
          <w:rFonts w:ascii="Times New Roman" w:hAnsi="Times New Roman"/>
          <w:bCs/>
          <w:sz w:val="28"/>
          <w:szCs w:val="28"/>
          <w:lang w:eastAsia="es-MX"/>
        </w:rPr>
        <w:t xml:space="preserve">dio lectura a los proyectos de ley que, por instrucción de la Presidencia, se someterían a </w:t>
      </w:r>
      <w:r w:rsidRPr="007C57D2">
        <w:rPr>
          <w:rFonts w:ascii="Times New Roman" w:hAnsi="Times New Roman"/>
          <w:bCs/>
          <w:sz w:val="28"/>
          <w:szCs w:val="28"/>
          <w:lang w:eastAsia="es-MX"/>
        </w:rPr>
        <w:t>discusión y votación “en la sesión plenaria del Senado de la República de Colombia, siguiente a la del día 6 de junio de 2024”, entre ellos, el “Proyecto de Ley Estatutaria número 285 de 2024 Senado – 266 de 2023 Cámara, por medio de la cual se crea y se r</w:t>
      </w:r>
      <w:r w:rsidRPr="007C57D2">
        <w:rPr>
          <w:rFonts w:ascii="Times New Roman" w:hAnsi="Times New Roman"/>
          <w:bCs/>
          <w:sz w:val="28"/>
          <w:szCs w:val="28"/>
          <w:lang w:eastAsia="es-MX"/>
        </w:rPr>
        <w:t xml:space="preserve">eglamenta alerta Colombia - Ley Sara Sofía y se dictan otras disposiciones”. Al finalizar la sesión, se dejó constancia de lo siguiente: “Siendo las 03:25 p. m., la Presidencia levanta la sesión y convoca para el martes 11 de junio de los corrientes a las </w:t>
      </w:r>
      <w:r w:rsidRPr="007C57D2">
        <w:rPr>
          <w:rFonts w:ascii="Times New Roman" w:hAnsi="Times New Roman"/>
          <w:bCs/>
          <w:sz w:val="28"/>
          <w:szCs w:val="28"/>
          <w:lang w:eastAsia="es-MX"/>
        </w:rPr>
        <w:t>11:00 a. m.”.</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Según el </w:t>
      </w:r>
      <w:r w:rsidRPr="007C57D2">
        <w:rPr>
          <w:rFonts w:ascii="Times New Roman" w:hAnsi="Times New Roman"/>
          <w:b/>
          <w:bCs/>
          <w:sz w:val="28"/>
          <w:szCs w:val="28"/>
          <w:lang w:eastAsia="es-ES"/>
        </w:rPr>
        <w:t xml:space="preserve">Acta </w:t>
      </w:r>
      <w:r w:rsidRPr="007C57D2">
        <w:rPr>
          <w:rFonts w:ascii="Times New Roman" w:hAnsi="Times New Roman"/>
          <w:b/>
          <w:bCs/>
          <w:sz w:val="28"/>
          <w:szCs w:val="28"/>
          <w:lang w:eastAsia="es-MX"/>
        </w:rPr>
        <w:t xml:space="preserve">n.º </w:t>
      </w:r>
      <w:r w:rsidRPr="007C57D2">
        <w:rPr>
          <w:rFonts w:ascii="Times New Roman" w:hAnsi="Times New Roman"/>
          <w:b/>
          <w:bCs/>
          <w:sz w:val="28"/>
          <w:szCs w:val="28"/>
          <w:lang w:eastAsia="es-ES"/>
        </w:rPr>
        <w:t>76 del 11 de junio de 2024</w:t>
      </w:r>
      <w:r w:rsidRPr="007C57D2">
        <w:rPr>
          <w:rFonts w:ascii="Times New Roman" w:hAnsi="Times New Roman"/>
          <w:sz w:val="28"/>
          <w:szCs w:val="28"/>
          <w:lang w:eastAsia="es-ES"/>
        </w:rPr>
        <w:t xml:space="preserve">, publicada en la Gaceta del Congreso </w:t>
      </w:r>
      <w:r w:rsidRPr="007C57D2">
        <w:rPr>
          <w:rFonts w:ascii="Times New Roman" w:hAnsi="Times New Roman"/>
          <w:sz w:val="28"/>
          <w:szCs w:val="28"/>
          <w:lang w:eastAsia="es-MX"/>
        </w:rPr>
        <w:t>n.º</w:t>
      </w:r>
      <w:r w:rsidRPr="007C57D2">
        <w:rPr>
          <w:rFonts w:ascii="Times New Roman" w:hAnsi="Times New Roman"/>
          <w:b/>
          <w:bCs/>
          <w:sz w:val="28"/>
          <w:szCs w:val="28"/>
          <w:lang w:eastAsia="es-MX"/>
        </w:rPr>
        <w:t xml:space="preserve"> </w:t>
      </w:r>
      <w:r w:rsidRPr="007C57D2">
        <w:rPr>
          <w:rFonts w:ascii="Times New Roman" w:hAnsi="Times New Roman"/>
          <w:sz w:val="28"/>
          <w:szCs w:val="28"/>
          <w:lang w:eastAsia="es-MX"/>
        </w:rPr>
        <w:t xml:space="preserve">27 del 5 de febrero de </w:t>
      </w:r>
      <w:r w:rsidRPr="007C57D2">
        <w:rPr>
          <w:rFonts w:ascii="Times New Roman" w:hAnsi="Times New Roman"/>
          <w:sz w:val="28"/>
          <w:szCs w:val="28"/>
          <w:lang w:eastAsia="es-ES"/>
        </w:rPr>
        <w:t>2025</w:t>
      </w:r>
      <w:r w:rsidRPr="007C57D2">
        <w:rPr>
          <w:rStyle w:val="Refdenotaalpie"/>
          <w:rFonts w:ascii="Times New Roman" w:hAnsi="Times New Roman"/>
          <w:sz w:val="28"/>
          <w:szCs w:val="28"/>
          <w:lang w:eastAsia="es-ES"/>
        </w:rPr>
        <w:footnoteReference w:id="135"/>
      </w:r>
      <w:r w:rsidRPr="007C57D2">
        <w:rPr>
          <w:rFonts w:ascii="Times New Roman" w:hAnsi="Times New Roman"/>
          <w:sz w:val="28"/>
          <w:szCs w:val="28"/>
          <w:lang w:eastAsia="es-ES"/>
        </w:rPr>
        <w:t xml:space="preserve">, el debate del PLE en la Plenaria del Senado de la República se realizó aquel día. </w:t>
      </w: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Con fundamento en la información que obra </w:t>
      </w:r>
      <w:r w:rsidRPr="007C57D2">
        <w:rPr>
          <w:rFonts w:ascii="Times New Roman" w:hAnsi="Times New Roman"/>
          <w:sz w:val="28"/>
          <w:szCs w:val="28"/>
          <w:lang w:eastAsia="es-ES"/>
        </w:rPr>
        <w:t xml:space="preserve">en las Gacetas del Congreso, el número consecutivo de las actas y la fórmula empleada para efectuar el anuncio, la Corte constata </w:t>
      </w:r>
      <w:r w:rsidRPr="007C57D2">
        <w:rPr>
          <w:rFonts w:ascii="Times New Roman" w:hAnsi="Times New Roman"/>
          <w:sz w:val="28"/>
          <w:szCs w:val="28"/>
          <w:lang w:eastAsia="es-ES"/>
        </w:rPr>
        <w:t>lo siguiente:</w:t>
      </w:r>
      <w:r w:rsidRPr="007C57D2">
        <w:rPr>
          <w:rFonts w:ascii="Times New Roman" w:hAnsi="Times New Roman"/>
          <w:sz w:val="28"/>
          <w:szCs w:val="28"/>
          <w:lang w:eastAsia="es-ES"/>
        </w:rPr>
        <w:t xml:space="preserve"> (i) este se realizó en una sesión distinta y anterior a aquella en la cual se llevó a cabo la discusión y votaci</w:t>
      </w:r>
      <w:r w:rsidRPr="007C57D2">
        <w:rPr>
          <w:rFonts w:ascii="Times New Roman" w:hAnsi="Times New Roman"/>
          <w:sz w:val="28"/>
          <w:szCs w:val="28"/>
          <w:lang w:eastAsia="es-ES"/>
        </w:rPr>
        <w:t>ón del PLE; (ii) la fecha de la sesión en la que se debatió y aprobó el PLE fue cierta y determinada; (iii) el proyecto de ley se votó en una sesión distinta en la que fue anunciado, y (iv) no hubo cadena de anuncios.</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Discusión y aprobación del PLE en seg</w:t>
      </w:r>
      <w:r w:rsidRPr="007C57D2">
        <w:rPr>
          <w:rFonts w:ascii="Times New Roman" w:hAnsi="Times New Roman"/>
          <w:b/>
          <w:bCs/>
          <w:sz w:val="28"/>
          <w:szCs w:val="28"/>
          <w:shd w:val="clear" w:color="auto" w:fill="FFFFFF"/>
        </w:rPr>
        <w:t>undo debate, mayorías y forma de votación</w:t>
      </w:r>
    </w:p>
    <w:p w:rsidR="004E3E5E" w:rsidRPr="007C57D2" w:rsidRDefault="007C57D2" w:rsidP="008F3DAB">
      <w:pPr>
        <w:pStyle w:val="Prrafodelista"/>
        <w:tabs>
          <w:tab w:val="left" w:pos="360"/>
        </w:tabs>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 xml:space="preserve">Como se indicó en el apartado anterior, el PLE fue discutido y aprobado en segundo debate en la Plenaria </w:t>
      </w:r>
      <w:r w:rsidRPr="007C57D2">
        <w:rPr>
          <w:rFonts w:ascii="Times New Roman" w:hAnsi="Times New Roman"/>
          <w:sz w:val="28"/>
          <w:szCs w:val="28"/>
          <w:shd w:val="clear" w:color="auto" w:fill="FFFFFF"/>
        </w:rPr>
        <w:t xml:space="preserve">del Senado de la República durante la sesión del </w:t>
      </w:r>
      <w:r w:rsidRPr="007C57D2">
        <w:rPr>
          <w:rFonts w:ascii="Times New Roman" w:hAnsi="Times New Roman"/>
          <w:b/>
          <w:bCs/>
          <w:sz w:val="28"/>
          <w:szCs w:val="28"/>
          <w:shd w:val="clear" w:color="auto" w:fill="FFFFFF"/>
        </w:rPr>
        <w:t>11 de junio de 2024</w:t>
      </w:r>
      <w:r w:rsidRPr="007C57D2">
        <w:rPr>
          <w:rFonts w:ascii="Times New Roman" w:hAnsi="Times New Roman"/>
          <w:sz w:val="28"/>
          <w:szCs w:val="28"/>
          <w:shd w:val="clear" w:color="auto" w:fill="FFFFFF"/>
        </w:rPr>
        <w:t>, según con</w:t>
      </w:r>
      <w:r w:rsidRPr="007C57D2">
        <w:rPr>
          <w:rFonts w:ascii="Times New Roman" w:hAnsi="Times New Roman"/>
          <w:sz w:val="28"/>
          <w:szCs w:val="28"/>
          <w:shd w:val="clear" w:color="auto" w:fill="FFFFFF"/>
        </w:rPr>
        <w:t>s</w:t>
      </w:r>
      <w:r w:rsidRPr="007C57D2">
        <w:rPr>
          <w:rFonts w:ascii="Times New Roman" w:hAnsi="Times New Roman"/>
          <w:sz w:val="28"/>
          <w:szCs w:val="28"/>
          <w:shd w:val="clear" w:color="auto" w:fill="FFFFFF"/>
        </w:rPr>
        <w:t xml:space="preserve">ta en el </w:t>
      </w:r>
      <w:r w:rsidRPr="007C57D2">
        <w:rPr>
          <w:rFonts w:ascii="Times New Roman" w:hAnsi="Times New Roman"/>
          <w:b/>
          <w:bCs/>
          <w:sz w:val="28"/>
          <w:szCs w:val="28"/>
          <w:shd w:val="clear" w:color="auto" w:fill="FFFFFF"/>
        </w:rPr>
        <w:t xml:space="preserve">Acta </w:t>
      </w:r>
      <w:r w:rsidRPr="007C57D2">
        <w:rPr>
          <w:rFonts w:ascii="Times New Roman" w:hAnsi="Times New Roman"/>
          <w:b/>
          <w:bCs/>
          <w:sz w:val="28"/>
          <w:szCs w:val="28"/>
          <w:shd w:val="clear" w:color="auto" w:fill="FFFFFF"/>
          <w:lang w:val="es-ES_tradnl"/>
        </w:rPr>
        <w:t>76</w:t>
      </w:r>
      <w:r w:rsidRPr="007C57D2">
        <w:rPr>
          <w:rFonts w:ascii="Times New Roman" w:hAnsi="Times New Roman"/>
          <w:sz w:val="28"/>
          <w:szCs w:val="28"/>
          <w:shd w:val="clear" w:color="auto" w:fill="FFFFFF"/>
          <w:lang w:val="es-ES_tradnl"/>
        </w:rPr>
        <w:t xml:space="preserve"> de la misma fecha, publicada en la </w:t>
      </w:r>
      <w:r w:rsidRPr="007C57D2">
        <w:rPr>
          <w:rFonts w:ascii="Times New Roman" w:hAnsi="Times New Roman"/>
          <w:sz w:val="28"/>
          <w:szCs w:val="28"/>
          <w:shd w:val="clear" w:color="auto" w:fill="FFFFFF"/>
        </w:rPr>
        <w:t xml:space="preserve">Gaceta del </w:t>
      </w:r>
      <w:r w:rsidRPr="007C57D2">
        <w:rPr>
          <w:rFonts w:ascii="Times New Roman" w:hAnsi="Times New Roman"/>
          <w:sz w:val="28"/>
          <w:szCs w:val="28"/>
          <w:lang w:eastAsia="es-ES"/>
        </w:rPr>
        <w:t xml:space="preserve">Congreso </w:t>
      </w:r>
      <w:r w:rsidRPr="007C57D2">
        <w:rPr>
          <w:rFonts w:ascii="Times New Roman" w:hAnsi="Times New Roman"/>
          <w:sz w:val="28"/>
          <w:szCs w:val="28"/>
          <w:lang w:eastAsia="es-MX"/>
        </w:rPr>
        <w:t>n.º</w:t>
      </w:r>
      <w:r w:rsidRPr="007C57D2">
        <w:rPr>
          <w:rFonts w:ascii="Times New Roman" w:hAnsi="Times New Roman"/>
          <w:b/>
          <w:bCs/>
          <w:sz w:val="28"/>
          <w:szCs w:val="28"/>
          <w:lang w:eastAsia="es-MX"/>
        </w:rPr>
        <w:t xml:space="preserve"> </w:t>
      </w:r>
      <w:r w:rsidRPr="007C57D2">
        <w:rPr>
          <w:rFonts w:ascii="Times New Roman" w:hAnsi="Times New Roman"/>
          <w:sz w:val="28"/>
          <w:szCs w:val="28"/>
          <w:lang w:eastAsia="es-MX"/>
        </w:rPr>
        <w:t xml:space="preserve">27 del 5 de febrero de </w:t>
      </w:r>
      <w:r w:rsidRPr="007C57D2">
        <w:rPr>
          <w:rFonts w:ascii="Times New Roman" w:hAnsi="Times New Roman"/>
          <w:sz w:val="28"/>
          <w:szCs w:val="28"/>
          <w:lang w:eastAsia="es-ES"/>
        </w:rPr>
        <w:t>2025</w:t>
      </w:r>
      <w:r w:rsidRPr="007C57D2">
        <w:rPr>
          <w:rFonts w:ascii="Times New Roman" w:hAnsi="Times New Roman"/>
          <w:sz w:val="28"/>
          <w:szCs w:val="28"/>
          <w:shd w:val="clear" w:color="auto" w:fill="FFFFFF"/>
        </w:rPr>
        <w:t>. A continuación, la Sala verificará si dicha aprobación se realizó conforme a las reglas constitucionales sobre (i)</w:t>
      </w:r>
      <w:r w:rsidRPr="007C57D2">
        <w:rPr>
          <w:rFonts w:ascii="Times New Roman" w:hAnsi="Times New Roman"/>
          <w:sz w:val="28"/>
          <w:szCs w:val="28"/>
          <w:shd w:val="clear" w:color="auto" w:fill="FFFFFF"/>
        </w:rPr>
        <w:t xml:space="preserve"> </w:t>
      </w:r>
      <w:r w:rsidRPr="007C57D2">
        <w:rPr>
          <w:rFonts w:ascii="Times New Roman" w:hAnsi="Times New Roman"/>
          <w:i/>
          <w:iCs/>
          <w:sz w:val="28"/>
          <w:szCs w:val="28"/>
          <w:shd w:val="clear" w:color="auto" w:fill="FFFFFF"/>
        </w:rPr>
        <w:t>quorum</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deliberatorio y decisorio, (ii) votación </w:t>
      </w:r>
      <w:r w:rsidRPr="007C57D2">
        <w:rPr>
          <w:rFonts w:ascii="Times New Roman" w:hAnsi="Times New Roman"/>
          <w:sz w:val="28"/>
          <w:szCs w:val="28"/>
          <w:shd w:val="clear" w:color="auto" w:fill="FFFFFF"/>
        </w:rPr>
        <w:t>nominal y pública y (iii) mayoría absoluta.</w:t>
      </w:r>
    </w:p>
    <w:p w:rsidR="004E3E5E" w:rsidRPr="007C57D2" w:rsidRDefault="007C57D2" w:rsidP="008F3DAB">
      <w:pPr>
        <w:pStyle w:val="Prrafodelista"/>
        <w:tabs>
          <w:tab w:val="left" w:pos="360"/>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360"/>
          <w:tab w:val="left" w:pos="567"/>
        </w:tabs>
        <w:ind w:left="0" w:firstLine="0"/>
        <w:jc w:val="both"/>
        <w:rPr>
          <w:rFonts w:ascii="Times New Roman" w:hAnsi="Times New Roman"/>
          <w:sz w:val="28"/>
          <w:szCs w:val="28"/>
          <w:lang w:eastAsia="es-ES"/>
        </w:rPr>
      </w:pPr>
      <w:r w:rsidRPr="007C57D2">
        <w:rPr>
          <w:rFonts w:ascii="Times New Roman" w:hAnsi="Times New Roman"/>
          <w:sz w:val="28"/>
          <w:szCs w:val="28"/>
        </w:rPr>
        <w:t xml:space="preserve">Al momento de discutirse y aprobarse el PLE, el Senado de la República estaba conformado por ciento siete (107) senadores. Por consiguiente, el </w:t>
      </w:r>
      <w:r w:rsidRPr="007C57D2">
        <w:rPr>
          <w:rFonts w:ascii="Times New Roman" w:hAnsi="Times New Roman"/>
          <w:i/>
          <w:iCs/>
          <w:sz w:val="28"/>
          <w:szCs w:val="28"/>
        </w:rPr>
        <w:t xml:space="preserve">quorum </w:t>
      </w:r>
      <w:r w:rsidRPr="007C57D2">
        <w:rPr>
          <w:rFonts w:ascii="Times New Roman" w:hAnsi="Times New Roman"/>
          <w:sz w:val="28"/>
          <w:szCs w:val="28"/>
        </w:rPr>
        <w:t xml:space="preserve">deliberatorio era de veintisiete (27) senadores y el </w:t>
      </w:r>
      <w:r w:rsidRPr="007C57D2">
        <w:rPr>
          <w:rFonts w:ascii="Times New Roman" w:hAnsi="Times New Roman"/>
          <w:sz w:val="28"/>
          <w:szCs w:val="28"/>
        </w:rPr>
        <w:t>decisorio de cincuenta y cuatro (54) senadores. Además, la mayoría absoluta era de cincuenta y cuatro (54) senadores.</w:t>
      </w:r>
    </w:p>
    <w:p w:rsidR="004E3E5E" w:rsidRPr="007C57D2" w:rsidRDefault="007C57D2" w:rsidP="008F3DAB">
      <w:pPr>
        <w:pStyle w:val="Prrafodelista"/>
        <w:tabs>
          <w:tab w:val="left" w:pos="360"/>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rPr>
        <w:t xml:space="preserve"> </w:t>
      </w:r>
      <w:r w:rsidRPr="007C57D2">
        <w:rPr>
          <w:rFonts w:ascii="Times New Roman" w:hAnsi="Times New Roman"/>
          <w:sz w:val="28"/>
          <w:szCs w:val="28"/>
          <w:lang w:eastAsia="es-ES"/>
        </w:rPr>
        <w:t>La sesión inició con el llamado a lista efectuado por orden de la Presidencia. Se registró la asistencia de</w:t>
      </w:r>
      <w:r w:rsidRPr="007C57D2">
        <w:rPr>
          <w:rFonts w:ascii="Times New Roman" w:hAnsi="Times New Roman"/>
          <w:bCs/>
          <w:sz w:val="28"/>
          <w:szCs w:val="28"/>
          <w:lang w:eastAsia="es-ES"/>
        </w:rPr>
        <w:t xml:space="preserve"> 100 senadores y 5 ausentes c</w:t>
      </w:r>
      <w:r w:rsidRPr="007C57D2">
        <w:rPr>
          <w:rFonts w:ascii="Times New Roman" w:hAnsi="Times New Roman"/>
          <w:bCs/>
          <w:sz w:val="28"/>
          <w:szCs w:val="28"/>
          <w:lang w:eastAsia="es-ES"/>
        </w:rPr>
        <w:t xml:space="preserve">on excusa, con lo cual la Secretaría constató la existencia de </w:t>
      </w:r>
      <w:r w:rsidRPr="007C57D2">
        <w:rPr>
          <w:rFonts w:ascii="Times New Roman" w:hAnsi="Times New Roman"/>
          <w:bCs/>
          <w:i/>
          <w:iCs/>
          <w:sz w:val="28"/>
          <w:szCs w:val="28"/>
          <w:lang w:eastAsia="es-ES"/>
        </w:rPr>
        <w:t>quorum</w:t>
      </w:r>
      <w:r w:rsidRPr="007C57D2">
        <w:rPr>
          <w:rFonts w:ascii="Times New Roman" w:hAnsi="Times New Roman"/>
          <w:bCs/>
          <w:sz w:val="28"/>
          <w:szCs w:val="28"/>
          <w:lang w:eastAsia="es-ES"/>
        </w:rPr>
        <w:t xml:space="preserve"> </w:t>
      </w:r>
      <w:r w:rsidRPr="007C57D2">
        <w:rPr>
          <w:rFonts w:ascii="Times New Roman" w:hAnsi="Times New Roman"/>
          <w:bCs/>
          <w:i/>
          <w:iCs/>
          <w:sz w:val="28"/>
          <w:szCs w:val="28"/>
          <w:lang w:eastAsia="es-ES"/>
        </w:rPr>
        <w:t>decisorio</w:t>
      </w:r>
      <w:r w:rsidRPr="007C57D2">
        <w:rPr>
          <w:rStyle w:val="Refdenotaalpie"/>
          <w:rFonts w:ascii="Times New Roman" w:hAnsi="Times New Roman"/>
          <w:bCs/>
          <w:sz w:val="28"/>
          <w:szCs w:val="28"/>
          <w:lang w:eastAsia="es-ES"/>
        </w:rPr>
        <w:footnoteReference w:id="136"/>
      </w:r>
      <w:r w:rsidRPr="007C57D2">
        <w:rPr>
          <w:rFonts w:ascii="Times New Roman" w:hAnsi="Times New Roman"/>
          <w:bCs/>
          <w:i/>
          <w:iCs/>
          <w:sz w:val="28"/>
          <w:szCs w:val="28"/>
          <w:lang w:eastAsia="es-ES"/>
        </w:rPr>
        <w:t>.</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360"/>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Luego, la Presidencia concedió el uso de la palabra al ponente de la iniciativa, senador Alejandro Carlos Chacón Camargo, quien destacó el consenso alcanzado en torno al proyecto, fruto del acompañamiento de todos los partidos y de la concertación de las p</w:t>
      </w:r>
      <w:r w:rsidRPr="007C57D2">
        <w:rPr>
          <w:rFonts w:ascii="Times New Roman" w:hAnsi="Times New Roman"/>
          <w:sz w:val="28"/>
          <w:szCs w:val="28"/>
          <w:lang w:eastAsia="es-ES"/>
        </w:rPr>
        <w:t xml:space="preserve">roposiciones con diversos congresistas. Señaló, además, que varias de las recomendaciones incorporadas provenían de entidades como el </w:t>
      </w:r>
      <w:r w:rsidRPr="007C57D2">
        <w:rPr>
          <w:rFonts w:ascii="Times New Roman" w:hAnsi="Times New Roman"/>
          <w:sz w:val="28"/>
          <w:szCs w:val="28"/>
          <w:lang w:eastAsia="es-ES"/>
        </w:rPr>
        <w:t>ICBF</w:t>
      </w:r>
      <w:r w:rsidRPr="007C57D2">
        <w:rPr>
          <w:rFonts w:ascii="Times New Roman" w:hAnsi="Times New Roman"/>
          <w:sz w:val="28"/>
          <w:szCs w:val="28"/>
          <w:lang w:eastAsia="es-ES"/>
        </w:rPr>
        <w:t>, y reconoció el apoyo de partidos políticos que han promovido iniciativas similares.</w:t>
      </w:r>
    </w:p>
    <w:p w:rsidR="004E3E5E" w:rsidRPr="007C57D2" w:rsidRDefault="007C57D2" w:rsidP="008F3DAB">
      <w:pPr>
        <w:pStyle w:val="Prrafodelista"/>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eastAsia="es-ES"/>
        </w:rPr>
        <w:t>Acto seguido, la Presidencia or</w:t>
      </w:r>
      <w:r w:rsidRPr="007C57D2">
        <w:rPr>
          <w:rFonts w:ascii="Times New Roman" w:hAnsi="Times New Roman"/>
          <w:sz w:val="28"/>
          <w:szCs w:val="28"/>
          <w:lang w:eastAsia="es-ES"/>
        </w:rPr>
        <w:t xml:space="preserve">denó a la Secretaría dar lectura a la proposición positiva con que terminaba el informe de ponencia del </w:t>
      </w:r>
      <w:r w:rsidRPr="007C57D2">
        <w:rPr>
          <w:rFonts w:ascii="Times New Roman" w:hAnsi="Times New Roman"/>
          <w:sz w:val="28"/>
          <w:szCs w:val="28"/>
          <w:lang w:eastAsia="es-ES"/>
        </w:rPr>
        <w:t xml:space="preserve">proyecto de </w:t>
      </w:r>
      <w:r w:rsidRPr="007C57D2">
        <w:rPr>
          <w:rFonts w:ascii="Times New Roman" w:hAnsi="Times New Roman"/>
          <w:sz w:val="28"/>
          <w:szCs w:val="28"/>
        </w:rPr>
        <w:t>ley estatutaria número 266 de 2023 Cámara - 285 de 2024 Senado</w:t>
      </w:r>
      <w:r w:rsidRPr="007C57D2">
        <w:rPr>
          <w:rFonts w:ascii="Times New Roman" w:hAnsi="Times New Roman"/>
          <w:sz w:val="28"/>
          <w:szCs w:val="28"/>
          <w:lang w:eastAsia="es-ES"/>
        </w:rPr>
        <w:t xml:space="preserve">. Concluida la discusión, se sometió a votación, cuyo resultado fue de </w:t>
      </w:r>
      <w:r w:rsidRPr="007C57D2">
        <w:rPr>
          <w:rFonts w:ascii="Times New Roman" w:hAnsi="Times New Roman"/>
          <w:b/>
          <w:bCs/>
          <w:sz w:val="28"/>
          <w:szCs w:val="28"/>
          <w:lang w:eastAsia="es-ES"/>
        </w:rPr>
        <w:t>64 voto</w:t>
      </w:r>
      <w:r w:rsidRPr="007C57D2">
        <w:rPr>
          <w:rFonts w:ascii="Times New Roman" w:hAnsi="Times New Roman"/>
          <w:b/>
          <w:bCs/>
          <w:sz w:val="28"/>
          <w:szCs w:val="28"/>
          <w:lang w:eastAsia="es-ES"/>
        </w:rPr>
        <w:t>s por el SÍ y ninguno por el NO</w:t>
      </w:r>
      <w:r w:rsidRPr="007C57D2">
        <w:rPr>
          <w:rStyle w:val="Refdenotaalpie"/>
          <w:rFonts w:ascii="Times New Roman" w:hAnsi="Times New Roman"/>
          <w:sz w:val="28"/>
          <w:szCs w:val="28"/>
          <w:lang w:eastAsia="es-ES"/>
        </w:rPr>
        <w:footnoteReference w:id="137"/>
      </w:r>
      <w:r w:rsidRPr="007C57D2">
        <w:rPr>
          <w:rFonts w:ascii="Times New Roman" w:hAnsi="Times New Roman"/>
          <w:sz w:val="28"/>
          <w:szCs w:val="28"/>
          <w:lang w:eastAsia="es-ES"/>
        </w:rPr>
        <w:t>. En consecuencia, la proposición fue aprobada mediante votación nominal y pública</w:t>
      </w:r>
      <w:r w:rsidRPr="007C57D2">
        <w:rPr>
          <w:rStyle w:val="Refdenotaalpie"/>
          <w:rFonts w:ascii="Times New Roman" w:hAnsi="Times New Roman"/>
          <w:sz w:val="28"/>
          <w:szCs w:val="28"/>
          <w:lang w:eastAsia="es-ES"/>
        </w:rPr>
        <w:footnoteReference w:id="138"/>
      </w:r>
      <w:r w:rsidRPr="007C57D2">
        <w:rPr>
          <w:rFonts w:ascii="Times New Roman" w:hAnsi="Times New Roman"/>
          <w:sz w:val="28"/>
          <w:szCs w:val="28"/>
          <w:lang w:eastAsia="es-ES"/>
        </w:rPr>
        <w:t>, con la mayoría absoluta exigida.</w:t>
      </w:r>
    </w:p>
    <w:p w:rsidR="1B64A7DA" w:rsidRPr="007C57D2" w:rsidRDefault="007C57D2" w:rsidP="008F3DAB">
      <w:pPr>
        <w:pStyle w:val="Prrafodelista"/>
        <w:tabs>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Posteriormente, el subsecretario leyó un conjunto de proposiciones avaladas al articulado del PLE, </w:t>
      </w:r>
      <w:r w:rsidRPr="007C57D2">
        <w:rPr>
          <w:rFonts w:ascii="Times New Roman" w:hAnsi="Times New Roman"/>
          <w:sz w:val="28"/>
          <w:szCs w:val="28"/>
          <w:lang w:eastAsia="es-ES"/>
        </w:rPr>
        <w:t>presentadas por el senador Alejandro Carlos Chacón Camargo. Asimismo, informó que dos proposiciones de la senadora Soledad Tamayo Tamayo y una del senador Antonio José Correa Jiménez quedaban como constancias</w:t>
      </w:r>
      <w:r w:rsidRPr="007C57D2">
        <w:rPr>
          <w:rFonts w:ascii="Times New Roman" w:hAnsi="Times New Roman"/>
          <w:sz w:val="28"/>
          <w:szCs w:val="28"/>
          <w:lang w:eastAsia="es-ES"/>
        </w:rPr>
        <w:t xml:space="preserve"> por sus autores</w:t>
      </w:r>
      <w:r w:rsidRPr="007C57D2">
        <w:rPr>
          <w:rStyle w:val="Refdenotaalpie"/>
          <w:rFonts w:ascii="Times New Roman" w:hAnsi="Times New Roman"/>
          <w:sz w:val="28"/>
          <w:szCs w:val="28"/>
          <w:lang w:eastAsia="es-ES"/>
        </w:rPr>
        <w:footnoteReference w:id="139"/>
      </w:r>
      <w:r w:rsidRPr="007C57D2">
        <w:rPr>
          <w:rFonts w:ascii="Times New Roman" w:hAnsi="Times New Roman"/>
          <w:sz w:val="28"/>
          <w:szCs w:val="28"/>
          <w:lang w:eastAsia="es-ES"/>
        </w:rPr>
        <w:t>. En la siguiente tabla se rela</w:t>
      </w:r>
      <w:r w:rsidRPr="007C57D2">
        <w:rPr>
          <w:rFonts w:ascii="Times New Roman" w:hAnsi="Times New Roman"/>
          <w:sz w:val="28"/>
          <w:szCs w:val="28"/>
          <w:lang w:eastAsia="es-ES"/>
        </w:rPr>
        <w:t>cionan las proposiciones avaladas:</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1141"/>
        <w:gridCol w:w="2309"/>
        <w:gridCol w:w="5334"/>
      </w:tblGrid>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Artículo</w:t>
            </w:r>
          </w:p>
        </w:tc>
        <w:tc>
          <w:tcPr>
            <w:tcW w:w="2309"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Autor</w:t>
            </w:r>
          </w:p>
        </w:tc>
        <w:tc>
          <w:tcPr>
            <w:tcW w:w="5334"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b/>
                <w:bCs/>
                <w:sz w:val="28"/>
                <w:lang w:eastAsia="es-ES"/>
              </w:rPr>
            </w:pPr>
            <w:r w:rsidRPr="007C57D2">
              <w:rPr>
                <w:rFonts w:ascii="Times New Roman" w:hAnsi="Times New Roman"/>
                <w:b/>
                <w:bCs/>
                <w:sz w:val="28"/>
                <w:lang w:eastAsia="es-ES"/>
              </w:rPr>
              <w:t>Proposición</w:t>
            </w:r>
            <w:r w:rsidRPr="007C57D2">
              <w:rPr>
                <w:rStyle w:val="Refdenotaalpie"/>
                <w:rFonts w:ascii="Times New Roman" w:hAnsi="Times New Roman"/>
                <w:b/>
                <w:bCs/>
                <w:sz w:val="28"/>
                <w:lang w:eastAsia="es-ES"/>
              </w:rPr>
              <w:footnoteReference w:id="140"/>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2</w:t>
            </w:r>
          </w:p>
        </w:tc>
        <w:tc>
          <w:tcPr>
            <w:tcW w:w="2309" w:type="dxa"/>
            <w:vMerge w:val="restart"/>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Alejandro Carlos Chacón Camargo</w:t>
            </w: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sz w:val="28"/>
                <w:lang w:eastAsia="es-ES"/>
              </w:rPr>
              <w:t>Literal a) agrega “o son extraídas” y “o a su hogar, y su familia o núcleo cercano no pueden ubicarlas”</w:t>
            </w:r>
            <w:r w:rsidRPr="007C57D2">
              <w:rPr>
                <w:rStyle w:val="Refdenotaalpie"/>
                <w:rFonts w:ascii="Times New Roman" w:hAnsi="Times New Roman"/>
                <w:sz w:val="28"/>
                <w:lang w:eastAsia="es-ES"/>
              </w:rPr>
              <w:footnoteReference w:id="141"/>
            </w:r>
            <w:r w:rsidRPr="007C57D2">
              <w:rPr>
                <w:rFonts w:ascii="Times New Roman" w:hAnsi="Times New Roman"/>
                <w:sz w:val="28"/>
                <w:lang w:eastAsia="es-ES"/>
              </w:rPr>
              <w:t xml:space="preserve">. </w:t>
            </w:r>
            <w:r w:rsidRPr="007C57D2">
              <w:rPr>
                <w:rFonts w:ascii="Times New Roman" w:hAnsi="Times New Roman"/>
                <w:sz w:val="28"/>
                <w:lang w:eastAsia="es-ES"/>
              </w:rPr>
              <w:br/>
            </w:r>
            <w:r w:rsidRPr="007C57D2">
              <w:rPr>
                <w:rFonts w:ascii="Times New Roman" w:hAnsi="Times New Roman"/>
                <w:sz w:val="28"/>
                <w:lang w:eastAsia="es-ES"/>
              </w:rPr>
              <w:t xml:space="preserve">Literal b) elimina “tutores legales” e incluye “quien ostente la custodia o cuidadores”. </w:t>
            </w:r>
            <w:r w:rsidRPr="007C57D2">
              <w:rPr>
                <w:rFonts w:ascii="Times New Roman" w:hAnsi="Times New Roman"/>
                <w:sz w:val="28"/>
                <w:lang w:eastAsia="es-ES"/>
              </w:rPr>
              <w:br/>
              <w:t>Literal f) sustituye “tutores” por “quien ostente la custodia o cuidadores”.</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3</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sz w:val="28"/>
                <w:lang w:eastAsia="es-ES"/>
              </w:rPr>
              <w:t xml:space="preserve">Adiciona la expresión “quienes son los que ostentan la patria potestad”. </w:t>
            </w:r>
            <w:r w:rsidRPr="007C57D2">
              <w:rPr>
                <w:rFonts w:ascii="Times New Roman" w:hAnsi="Times New Roman"/>
                <w:sz w:val="28"/>
                <w:lang w:eastAsia="es-ES"/>
              </w:rPr>
              <w:br/>
            </w:r>
            <w:r w:rsidRPr="007C57D2">
              <w:rPr>
                <w:rFonts w:ascii="Times New Roman" w:hAnsi="Times New Roman"/>
                <w:sz w:val="28"/>
                <w:lang w:eastAsia="es-ES"/>
              </w:rPr>
              <w:t xml:space="preserve">Elimina “tutores” e incluye “quien tenga la custodia, cuidadores, familiares, o el Instituto Colombiano de Bienestar Familiar”. </w:t>
            </w:r>
            <w:r w:rsidRPr="007C57D2">
              <w:rPr>
                <w:rFonts w:ascii="Times New Roman" w:hAnsi="Times New Roman"/>
                <w:sz w:val="28"/>
                <w:lang w:eastAsia="es-ES"/>
              </w:rPr>
              <w:br/>
              <w:t>Adiciona la expresión “de su extravío”.</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4</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sz w:val="28"/>
                <w:lang w:eastAsia="es-ES"/>
              </w:rPr>
              <w:t xml:space="preserve">Literal c) cambia “edad” por “edad aproximada”. </w:t>
            </w:r>
            <w:r w:rsidRPr="007C57D2">
              <w:rPr>
                <w:rFonts w:ascii="Times New Roman" w:hAnsi="Times New Roman"/>
                <w:sz w:val="28"/>
                <w:lang w:eastAsia="es-ES"/>
              </w:rPr>
              <w:br/>
              <w:t>Literal i) sustituye “tutores” por</w:t>
            </w:r>
            <w:r w:rsidRPr="007C57D2">
              <w:rPr>
                <w:rFonts w:ascii="Times New Roman" w:hAnsi="Times New Roman"/>
                <w:sz w:val="28"/>
                <w:lang w:eastAsia="es-ES"/>
              </w:rPr>
              <w:t xml:space="preserve"> “quien ostente la custodia o cuidadores”.</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6</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sz w:val="28"/>
                <w:lang w:eastAsia="es-ES"/>
              </w:rPr>
              <w:t>Eliminación de los parágrafos 3 y 4</w:t>
            </w:r>
            <w:r w:rsidRPr="007C57D2">
              <w:rPr>
                <w:rStyle w:val="Refdenotaalpie"/>
                <w:rFonts w:ascii="Times New Roman" w:hAnsi="Times New Roman"/>
                <w:sz w:val="28"/>
                <w:lang w:eastAsia="es-ES"/>
              </w:rPr>
              <w:footnoteReference w:id="142"/>
            </w:r>
            <w:r w:rsidRPr="007C57D2">
              <w:rPr>
                <w:rFonts w:ascii="Times New Roman" w:hAnsi="Times New Roman"/>
                <w:sz w:val="28"/>
                <w:lang w:eastAsia="es-ES"/>
              </w:rPr>
              <w:t xml:space="preserve"> </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9</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sz w:val="28"/>
                <w:lang w:eastAsia="es-ES"/>
              </w:rPr>
              <w:t>Literal c) elimina “tutores” y adiciona “quien ostente la custodia, cuidadores, o”.</w:t>
            </w:r>
          </w:p>
        </w:tc>
      </w:tr>
      <w:tr w:rsidR="007C57D2" w:rsidRPr="007C57D2" w:rsidTr="007C57D2">
        <w:trPr>
          <w:jc w:val="center"/>
        </w:trPr>
        <w:tc>
          <w:tcPr>
            <w:tcW w:w="1141" w:type="dxa"/>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r w:rsidRPr="007C57D2">
              <w:rPr>
                <w:rFonts w:ascii="Times New Roman" w:hAnsi="Times New Roman"/>
                <w:sz w:val="28"/>
                <w:lang w:eastAsia="es-ES"/>
              </w:rPr>
              <w:t>14</w:t>
            </w:r>
          </w:p>
        </w:tc>
        <w:tc>
          <w:tcPr>
            <w:tcW w:w="2309" w:type="dxa"/>
            <w:vMerge/>
            <w:shd w:val="clear" w:color="auto" w:fill="auto"/>
            <w:vAlign w:val="center"/>
          </w:tcPr>
          <w:p w:rsidR="004E3E5E" w:rsidRPr="007C57D2" w:rsidRDefault="007C57D2" w:rsidP="007C57D2">
            <w:pPr>
              <w:pStyle w:val="Prrafodelista"/>
              <w:tabs>
                <w:tab w:val="left" w:pos="567"/>
              </w:tabs>
              <w:ind w:left="0"/>
              <w:jc w:val="center"/>
              <w:rPr>
                <w:rFonts w:ascii="Times New Roman" w:hAnsi="Times New Roman"/>
                <w:sz w:val="28"/>
                <w:lang w:eastAsia="es-ES"/>
              </w:rPr>
            </w:pPr>
          </w:p>
        </w:tc>
        <w:tc>
          <w:tcPr>
            <w:tcW w:w="5334" w:type="dxa"/>
            <w:shd w:val="clear" w:color="auto" w:fill="auto"/>
            <w:vAlign w:val="center"/>
          </w:tcPr>
          <w:p w:rsidR="004E3E5E" w:rsidRPr="007C57D2" w:rsidRDefault="007C57D2" w:rsidP="007C57D2">
            <w:pPr>
              <w:pStyle w:val="Prrafodelista"/>
              <w:tabs>
                <w:tab w:val="left" w:pos="567"/>
              </w:tabs>
              <w:ind w:left="0"/>
              <w:jc w:val="both"/>
              <w:rPr>
                <w:rFonts w:ascii="Times New Roman" w:hAnsi="Times New Roman"/>
                <w:sz w:val="28"/>
                <w:lang w:eastAsia="es-ES"/>
              </w:rPr>
            </w:pPr>
            <w:r w:rsidRPr="007C57D2">
              <w:rPr>
                <w:rFonts w:ascii="Times New Roman" w:hAnsi="Times New Roman"/>
                <w:sz w:val="28"/>
                <w:lang w:eastAsia="es-ES"/>
              </w:rPr>
              <w:t>Elimina “doce (12)” meses e incluye “seis (6)” meses.</w:t>
            </w:r>
            <w:r w:rsidRPr="007C57D2">
              <w:rPr>
                <w:rFonts w:ascii="Times New Roman" w:hAnsi="Times New Roman"/>
                <w:sz w:val="28"/>
                <w:lang w:eastAsia="es-ES"/>
              </w:rPr>
              <w:br/>
              <w:t xml:space="preserve">Elimina el parágrafo </w:t>
            </w:r>
            <w:r w:rsidRPr="007C57D2">
              <w:rPr>
                <w:rFonts w:ascii="Times New Roman" w:hAnsi="Times New Roman"/>
                <w:sz w:val="28"/>
                <w:lang w:eastAsia="es-ES"/>
              </w:rPr>
              <w:t>sobre la independencia de esta alerta frente a otras.</w:t>
            </w:r>
          </w:p>
        </w:tc>
      </w:tr>
    </w:tbl>
    <w:p w:rsidR="004E3E5E" w:rsidRPr="007C57D2" w:rsidRDefault="007C57D2" w:rsidP="008F3DAB">
      <w:pPr>
        <w:pStyle w:val="Prrafodelista"/>
        <w:tabs>
          <w:tab w:val="left" w:pos="360"/>
          <w:tab w:val="left" w:pos="567"/>
        </w:tabs>
        <w:ind w:left="0"/>
        <w:jc w:val="center"/>
        <w:rPr>
          <w:rFonts w:ascii="Times New Roman" w:hAnsi="Times New Roman"/>
          <w:i/>
          <w:iCs/>
          <w:sz w:val="28"/>
          <w:lang w:eastAsia="es-ES"/>
        </w:rPr>
      </w:pPr>
      <w:r w:rsidRPr="007C57D2">
        <w:rPr>
          <w:rFonts w:ascii="Times New Roman" w:hAnsi="Times New Roman"/>
          <w:i/>
          <w:iCs/>
          <w:sz w:val="28"/>
          <w:lang w:eastAsia="es-ES"/>
        </w:rPr>
        <w:t>Tabla 1</w:t>
      </w:r>
      <w:r w:rsidRPr="007C57D2">
        <w:rPr>
          <w:rFonts w:ascii="Times New Roman" w:hAnsi="Times New Roman"/>
          <w:i/>
          <w:iCs/>
          <w:sz w:val="28"/>
          <w:lang w:eastAsia="es-ES"/>
        </w:rPr>
        <w:t>4</w:t>
      </w:r>
      <w:r w:rsidRPr="007C57D2">
        <w:rPr>
          <w:rFonts w:ascii="Times New Roman" w:hAnsi="Times New Roman"/>
          <w:i/>
          <w:iCs/>
          <w:sz w:val="28"/>
          <w:lang w:eastAsia="es-ES"/>
        </w:rPr>
        <w:t>. Proposiciones</w:t>
      </w:r>
    </w:p>
    <w:p w:rsidR="00ED3460" w:rsidRPr="007C57D2" w:rsidRDefault="007C57D2" w:rsidP="008F3DAB">
      <w:pPr>
        <w:pStyle w:val="Prrafodelista"/>
        <w:tabs>
          <w:tab w:val="left" w:pos="360"/>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eastAsia="es-ES"/>
        </w:rPr>
        <w:t xml:space="preserve">Finalmente, la Presidencia sometió a votación de la Plenaria la omisión de la lectura del articulado, el bloque con las proposiciones avaladas a los artículos 2, 3, 4, 6, 9 y </w:t>
      </w:r>
      <w:r w:rsidRPr="007C57D2">
        <w:rPr>
          <w:rFonts w:ascii="Times New Roman" w:hAnsi="Times New Roman"/>
          <w:sz w:val="28"/>
          <w:szCs w:val="28"/>
          <w:lang w:eastAsia="es-ES"/>
        </w:rPr>
        <w:t>14, el título y la disposición de que el “</w:t>
      </w:r>
      <w:r w:rsidRPr="007C57D2">
        <w:rPr>
          <w:rFonts w:ascii="Times New Roman" w:hAnsi="Times New Roman"/>
          <w:bCs/>
          <w:sz w:val="28"/>
          <w:szCs w:val="28"/>
          <w:lang w:eastAsia="es-MX"/>
        </w:rPr>
        <w:t xml:space="preserve">Proyecto de Ley Estatutaria número 285 de 2024 Senado, 266 de 2023 Cámara” se convirtiera en ley de la República. Cerrado el registro, el resultado fue de </w:t>
      </w:r>
      <w:r w:rsidRPr="007C57D2">
        <w:rPr>
          <w:rFonts w:ascii="Times New Roman" w:hAnsi="Times New Roman"/>
          <w:b/>
          <w:bCs/>
          <w:sz w:val="28"/>
          <w:szCs w:val="28"/>
          <w:lang w:eastAsia="es-ES"/>
        </w:rPr>
        <w:t>61 votos por el SÍ y ninguno por el NO</w:t>
      </w:r>
      <w:r w:rsidRPr="007C57D2">
        <w:rPr>
          <w:rStyle w:val="Refdenotaalpie"/>
          <w:rFonts w:ascii="Times New Roman" w:hAnsi="Times New Roman"/>
          <w:b/>
          <w:bCs/>
          <w:sz w:val="28"/>
          <w:szCs w:val="28"/>
          <w:lang w:eastAsia="es-ES"/>
        </w:rPr>
        <w:footnoteReference w:id="143"/>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En consecuencia,</w:t>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l</w:t>
      </w:r>
      <w:r w:rsidRPr="007C57D2">
        <w:rPr>
          <w:rFonts w:ascii="Times New Roman" w:hAnsi="Times New Roman"/>
          <w:sz w:val="28"/>
          <w:szCs w:val="28"/>
          <w:lang w:eastAsia="es-ES"/>
        </w:rPr>
        <w:t>a iniciativa fue</w:t>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aprobada en último debate mediante votación nominal y pública</w:t>
      </w:r>
      <w:r w:rsidRPr="007C57D2">
        <w:rPr>
          <w:rStyle w:val="Refdenotaalpie"/>
          <w:rFonts w:ascii="Times New Roman" w:hAnsi="Times New Roman"/>
          <w:sz w:val="28"/>
          <w:szCs w:val="28"/>
          <w:lang w:eastAsia="es-ES"/>
        </w:rPr>
        <w:footnoteReference w:id="144"/>
      </w:r>
      <w:r w:rsidRPr="007C57D2">
        <w:rPr>
          <w:rFonts w:ascii="Times New Roman" w:hAnsi="Times New Roman"/>
          <w:sz w:val="28"/>
          <w:szCs w:val="28"/>
          <w:lang w:eastAsia="es-ES"/>
        </w:rPr>
        <w:t>, con la mayoría absoluta exigida</w:t>
      </w:r>
      <w:r w:rsidRPr="007C57D2">
        <w:rPr>
          <w:rStyle w:val="Refdenotaalpie"/>
          <w:rFonts w:ascii="Times New Roman" w:hAnsi="Times New Roman"/>
          <w:sz w:val="28"/>
          <w:szCs w:val="28"/>
          <w:lang w:eastAsia="es-ES"/>
        </w:rPr>
        <w:footnoteReference w:id="145"/>
      </w:r>
      <w:r w:rsidRPr="007C57D2">
        <w:rPr>
          <w:rFonts w:ascii="Times New Roman" w:hAnsi="Times New Roman"/>
          <w:sz w:val="28"/>
          <w:szCs w:val="28"/>
          <w:lang w:eastAsia="es-ES"/>
        </w:rPr>
        <w:t xml:space="preserve">. </w:t>
      </w:r>
    </w:p>
    <w:p w:rsidR="004E3E5E" w:rsidRPr="007C57D2" w:rsidRDefault="007C57D2" w:rsidP="008F3DAB">
      <w:pPr>
        <w:pStyle w:val="Prrafodelista"/>
        <w:tabs>
          <w:tab w:val="left" w:pos="360"/>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5"/>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rPr>
        <w:t>Publicación oficial del texto aprobado en segundo debate</w:t>
      </w:r>
    </w:p>
    <w:p w:rsidR="004E3E5E" w:rsidRPr="007C57D2" w:rsidRDefault="007C57D2" w:rsidP="008F3DAB">
      <w:pPr>
        <w:pStyle w:val="Prrafodelista"/>
        <w:shd w:val="clear" w:color="auto" w:fill="FFFFFF"/>
        <w:ind w:left="0"/>
        <w:jc w:val="both"/>
        <w:textAlignment w:val="baseline"/>
        <w:rPr>
          <w:rFonts w:ascii="Times New Roman" w:hAnsi="Times New Roman"/>
          <w:sz w:val="28"/>
          <w:szCs w:val="28"/>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El texto definitivo aprobado en la Plenaria del Senado de la República fue publicado en la Gaceta del Congreso </w:t>
      </w:r>
      <w:r w:rsidRPr="007C57D2">
        <w:rPr>
          <w:rFonts w:ascii="Times New Roman" w:hAnsi="Times New Roman"/>
          <w:sz w:val="28"/>
          <w:szCs w:val="28"/>
          <w:lang w:eastAsia="es-MX"/>
        </w:rPr>
        <w:t xml:space="preserve">n.º 874 </w:t>
      </w:r>
      <w:r w:rsidRPr="007C57D2">
        <w:rPr>
          <w:rFonts w:ascii="Times New Roman" w:hAnsi="Times New Roman"/>
          <w:sz w:val="28"/>
          <w:szCs w:val="28"/>
          <w:lang w:eastAsia="es-ES"/>
        </w:rPr>
        <w:t>del 13 de junio de 2024</w:t>
      </w:r>
      <w:r w:rsidRPr="007C57D2">
        <w:rPr>
          <w:rStyle w:val="Refdenotaalpie"/>
          <w:rFonts w:ascii="Times New Roman" w:hAnsi="Times New Roman"/>
          <w:sz w:val="28"/>
          <w:szCs w:val="28"/>
          <w:lang w:eastAsia="es-ES"/>
        </w:rPr>
        <w:footnoteReference w:id="146"/>
      </w:r>
      <w:r w:rsidRPr="007C57D2">
        <w:rPr>
          <w:rFonts w:ascii="Times New Roman" w:hAnsi="Times New Roman"/>
          <w:sz w:val="28"/>
          <w:szCs w:val="28"/>
          <w:lang w:eastAsia="es-ES"/>
        </w:rPr>
        <w:t xml:space="preserve">.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Conclusión.</w:t>
      </w:r>
      <w:r w:rsidRPr="007C57D2">
        <w:rPr>
          <w:rFonts w:ascii="Times New Roman" w:hAnsi="Times New Roman"/>
          <w:sz w:val="28"/>
          <w:szCs w:val="28"/>
          <w:lang w:eastAsia="es-ES"/>
        </w:rPr>
        <w:t xml:space="preserve"> La Corte observa que, en el segundo debate del PLE adelantado en la Plenaria del Senado de la Rep</w:t>
      </w:r>
      <w:r w:rsidRPr="007C57D2">
        <w:rPr>
          <w:rFonts w:ascii="Times New Roman" w:hAnsi="Times New Roman"/>
          <w:sz w:val="28"/>
          <w:szCs w:val="28"/>
          <w:lang w:eastAsia="es-ES"/>
        </w:rPr>
        <w:t xml:space="preserve">ública, se cumplieron los requisitos procedimentales relativos a la presentación y publicación del informe de ponencia, el anuncio previo, el </w:t>
      </w:r>
      <w:r w:rsidRPr="007C57D2">
        <w:rPr>
          <w:rFonts w:ascii="Times New Roman" w:hAnsi="Times New Roman"/>
          <w:i/>
          <w:iCs/>
          <w:sz w:val="28"/>
          <w:szCs w:val="28"/>
          <w:lang w:eastAsia="es-ES"/>
        </w:rPr>
        <w:t xml:space="preserve">quorum </w:t>
      </w:r>
      <w:r w:rsidRPr="007C57D2">
        <w:rPr>
          <w:rFonts w:ascii="Times New Roman" w:hAnsi="Times New Roman"/>
          <w:sz w:val="28"/>
          <w:szCs w:val="28"/>
          <w:lang w:eastAsia="es-ES"/>
        </w:rPr>
        <w:t>deliberatorio y decisorio, la votación nominal y pública</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la mayoría absoluta y la publicación del texto ap</w:t>
      </w:r>
      <w:r w:rsidRPr="007C57D2">
        <w:rPr>
          <w:rFonts w:ascii="Times New Roman" w:hAnsi="Times New Roman"/>
          <w:sz w:val="28"/>
          <w:szCs w:val="28"/>
          <w:lang w:eastAsia="es-ES"/>
        </w:rPr>
        <w:t xml:space="preserve">robado, conforme a lo exigido en la Constitución y en la Ley 5 de 1992. La siguiente tabla resume dichos aspectos: </w:t>
      </w:r>
    </w:p>
    <w:p w:rsidR="004E3E5E" w:rsidRPr="007C57D2" w:rsidRDefault="007C57D2" w:rsidP="008F3DAB">
      <w:pPr>
        <w:pStyle w:val="Prrafodelista"/>
        <w:tabs>
          <w:tab w:val="left" w:pos="567"/>
        </w:tabs>
        <w:ind w:left="0"/>
        <w:jc w:val="both"/>
        <w:rPr>
          <w:rFonts w:ascii="Times New Roman" w:hAnsi="Times New Roman"/>
          <w:sz w:val="28"/>
          <w:szCs w:val="2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2939"/>
        <w:gridCol w:w="4560"/>
        <w:gridCol w:w="1329"/>
      </w:tblGrid>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Segundo debate</w:t>
            </w:r>
          </w:p>
        </w:tc>
      </w:tr>
      <w:tr w:rsidR="00A0085A" w:rsidRPr="007C57D2" w:rsidTr="007C57D2">
        <w:tc>
          <w:tcPr>
            <w:tcW w:w="8828" w:type="dxa"/>
            <w:gridSpan w:val="3"/>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Plenaria del Senado de la República</w:t>
            </w:r>
          </w:p>
        </w:tc>
      </w:tr>
      <w:tr w:rsidR="007C57D2" w:rsidRPr="007C57D2" w:rsidTr="007C57D2">
        <w:tc>
          <w:tcPr>
            <w:tcW w:w="2939"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Requisito</w:t>
            </w:r>
          </w:p>
        </w:tc>
        <w:tc>
          <w:tcPr>
            <w:tcW w:w="4560"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Detalle</w:t>
            </w:r>
          </w:p>
        </w:tc>
        <w:tc>
          <w:tcPr>
            <w:tcW w:w="1329" w:type="dxa"/>
            <w:shd w:val="clear" w:color="auto" w:fill="auto"/>
          </w:tcPr>
          <w:p w:rsidR="004E3E5E" w:rsidRPr="007C57D2" w:rsidRDefault="007C57D2" w:rsidP="007C57D2">
            <w:pPr>
              <w:pStyle w:val="Prrafodelista"/>
              <w:tabs>
                <w:tab w:val="left" w:pos="360"/>
              </w:tabs>
              <w:ind w:left="0"/>
              <w:jc w:val="center"/>
              <w:rPr>
                <w:rFonts w:ascii="Times New Roman" w:hAnsi="Times New Roman"/>
                <w:b/>
                <w:bCs/>
                <w:sz w:val="28"/>
                <w:lang w:eastAsia="es-ES"/>
              </w:rPr>
            </w:pPr>
            <w:r w:rsidRPr="007C57D2">
              <w:rPr>
                <w:rFonts w:ascii="Times New Roman" w:hAnsi="Times New Roman"/>
                <w:b/>
                <w:bCs/>
                <w:sz w:val="28"/>
                <w:lang w:eastAsia="es-ES"/>
              </w:rPr>
              <w:t>Resultado</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informe de ponencia positiva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val="es-ES_tradnl"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759</w:t>
            </w:r>
            <w:r w:rsidRPr="007C57D2">
              <w:rPr>
                <w:rFonts w:ascii="Times New Roman" w:hAnsi="Times New Roman"/>
                <w:sz w:val="28"/>
                <w:lang w:val="es-ES_tradnl" w:eastAsia="es-ES"/>
              </w:rPr>
              <w:t xml:space="preserve"> del 5 de junio de 2024 (p. 1-8).</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Anuncio previo</w:t>
            </w:r>
          </w:p>
        </w:tc>
        <w:tc>
          <w:tcPr>
            <w:tcW w:w="4560" w:type="dxa"/>
            <w:shd w:val="clear" w:color="auto" w:fill="auto"/>
            <w:vAlign w:val="center"/>
          </w:tcPr>
          <w:p w:rsidR="00117AC0"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Acta 75 del 6 de junio de 2024</w:t>
            </w:r>
          </w:p>
          <w:p w:rsidR="004E3E5E" w:rsidRPr="007C57D2" w:rsidRDefault="007C57D2" w:rsidP="007C57D2">
            <w:pPr>
              <w:pStyle w:val="Prrafodelista"/>
              <w:tabs>
                <w:tab w:val="left" w:pos="360"/>
              </w:tabs>
              <w:ind w:left="0"/>
              <w:jc w:val="center"/>
              <w:rPr>
                <w:rFonts w:ascii="Times New Roman" w:hAnsi="Times New Roman"/>
                <w:sz w:val="28"/>
                <w:lang w:val="es-ES_tradnl" w:eastAsia="es-ES"/>
              </w:rPr>
            </w:pPr>
            <w:r w:rsidRPr="007C57D2">
              <w:rPr>
                <w:rFonts w:ascii="Times New Roman" w:hAnsi="Times New Roman"/>
                <w:sz w:val="28"/>
                <w:lang w:val="es-ES_tradnl" w:eastAsia="es-ES"/>
              </w:rPr>
              <w:t xml:space="preserve">Gaceta del Congreso </w:t>
            </w:r>
            <w:r w:rsidRPr="007C57D2">
              <w:rPr>
                <w:rFonts w:ascii="Times New Roman" w:hAnsi="Times New Roman"/>
                <w:sz w:val="28"/>
                <w:lang w:eastAsia="es-ES"/>
              </w:rPr>
              <w:t>n.º 13</w:t>
            </w:r>
            <w:r w:rsidRPr="007C57D2">
              <w:rPr>
                <w:rFonts w:ascii="Times New Roman" w:hAnsi="Times New Roman"/>
                <w:sz w:val="28"/>
                <w:lang w:val="es-ES_tradnl" w:eastAsia="es-ES"/>
              </w:rPr>
              <w:t xml:space="preserve"> del 28 de enero de 2025 (p. 38).</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Debate y aprobación</w:t>
            </w:r>
          </w:p>
        </w:tc>
        <w:tc>
          <w:tcPr>
            <w:tcW w:w="4560" w:type="dxa"/>
            <w:shd w:val="clear" w:color="auto" w:fill="auto"/>
            <w:vAlign w:val="center"/>
          </w:tcPr>
          <w:p w:rsidR="00117AC0"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Acta 76 del 11 de junio de 2024</w:t>
            </w:r>
          </w:p>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Gaceta del Congreso </w:t>
            </w:r>
            <w:r w:rsidRPr="007C57D2">
              <w:rPr>
                <w:rFonts w:ascii="Times New Roman" w:hAnsi="Times New Roman"/>
                <w:sz w:val="28"/>
                <w:lang w:eastAsia="es-ES"/>
              </w:rPr>
              <w:t>n.º 27 del 5 de febrero de 2025 (p. 84-90).</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deliberatorio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i/>
                <w:iCs/>
                <w:sz w:val="28"/>
                <w:lang w:eastAsia="es-ES"/>
              </w:rPr>
              <w:t xml:space="preserve">Quorum </w:t>
            </w:r>
            <w:r w:rsidRPr="007C57D2">
              <w:rPr>
                <w:rFonts w:ascii="Times New Roman" w:hAnsi="Times New Roman"/>
                <w:sz w:val="28"/>
                <w:lang w:eastAsia="es-ES"/>
              </w:rPr>
              <w:t>decisorio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Votación nominal y pública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 xml:space="preserve">Mayoría </w:t>
            </w:r>
            <w:r w:rsidRPr="007C57D2">
              <w:rPr>
                <w:rFonts w:ascii="Times New Roman" w:hAnsi="Times New Roman"/>
                <w:sz w:val="28"/>
                <w:lang w:eastAsia="es-ES"/>
              </w:rPr>
              <w:t>exigida</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Verificado en acta y certificación</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r w:rsidR="007C57D2" w:rsidRPr="007C57D2" w:rsidTr="007C57D2">
        <w:tc>
          <w:tcPr>
            <w:tcW w:w="293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Publicación de</w:t>
            </w:r>
            <w:r w:rsidRPr="007C57D2">
              <w:rPr>
                <w:rFonts w:ascii="Times New Roman" w:hAnsi="Times New Roman"/>
                <w:sz w:val="28"/>
                <w:lang w:eastAsia="es-ES"/>
              </w:rPr>
              <w:t>l</w:t>
            </w:r>
            <w:r w:rsidRPr="007C57D2">
              <w:rPr>
                <w:rFonts w:ascii="Times New Roman" w:hAnsi="Times New Roman"/>
                <w:sz w:val="28"/>
                <w:lang w:eastAsia="es-ES"/>
              </w:rPr>
              <w:t xml:space="preserve"> texto aprobado</w:t>
            </w:r>
          </w:p>
        </w:tc>
        <w:tc>
          <w:tcPr>
            <w:tcW w:w="4560"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Gaceta del Congreso n.º 874 del 13 de junio de 2024 (p. 12-14).</w:t>
            </w:r>
          </w:p>
        </w:tc>
        <w:tc>
          <w:tcPr>
            <w:tcW w:w="1329" w:type="dxa"/>
            <w:shd w:val="clear" w:color="auto" w:fill="auto"/>
            <w:vAlign w:val="center"/>
          </w:tcPr>
          <w:p w:rsidR="004E3E5E" w:rsidRPr="007C57D2" w:rsidRDefault="007C57D2" w:rsidP="007C57D2">
            <w:pPr>
              <w:pStyle w:val="Prrafodelista"/>
              <w:tabs>
                <w:tab w:val="left" w:pos="360"/>
              </w:tabs>
              <w:ind w:left="0"/>
              <w:jc w:val="center"/>
              <w:rPr>
                <w:rFonts w:ascii="Times New Roman" w:hAnsi="Times New Roman"/>
                <w:sz w:val="28"/>
                <w:lang w:eastAsia="es-ES"/>
              </w:rPr>
            </w:pPr>
            <w:r w:rsidRPr="007C57D2">
              <w:rPr>
                <w:rFonts w:ascii="Times New Roman" w:hAnsi="Times New Roman"/>
                <w:sz w:val="28"/>
                <w:lang w:eastAsia="es-ES"/>
              </w:rPr>
              <w:t>Cumple</w:t>
            </w:r>
          </w:p>
        </w:tc>
      </w:tr>
    </w:tbl>
    <w:p w:rsidR="004E3E5E" w:rsidRPr="007C57D2" w:rsidRDefault="007C57D2" w:rsidP="008F3DAB">
      <w:pPr>
        <w:pStyle w:val="Prrafodelista"/>
        <w:shd w:val="clear" w:color="auto" w:fill="FFFFFF"/>
        <w:ind w:left="0"/>
        <w:jc w:val="center"/>
        <w:textAlignment w:val="baseline"/>
        <w:rPr>
          <w:rFonts w:ascii="Times New Roman" w:hAnsi="Times New Roman"/>
          <w:i/>
          <w:iCs/>
          <w:sz w:val="28"/>
        </w:rPr>
      </w:pPr>
      <w:r w:rsidRPr="007C57D2">
        <w:rPr>
          <w:rFonts w:ascii="Times New Roman" w:hAnsi="Times New Roman"/>
          <w:sz w:val="28"/>
        </w:rPr>
        <w:t xml:space="preserve">Tabla </w:t>
      </w:r>
      <w:r w:rsidRPr="007C57D2">
        <w:rPr>
          <w:rFonts w:ascii="Times New Roman" w:hAnsi="Times New Roman"/>
          <w:sz w:val="28"/>
        </w:rPr>
        <w:t>1</w:t>
      </w:r>
      <w:r w:rsidRPr="007C57D2">
        <w:rPr>
          <w:rFonts w:ascii="Times New Roman" w:hAnsi="Times New Roman"/>
          <w:sz w:val="28"/>
        </w:rPr>
        <w:t>5.</w:t>
      </w:r>
      <w:r w:rsidRPr="007C57D2">
        <w:rPr>
          <w:rFonts w:ascii="Times New Roman" w:hAnsi="Times New Roman"/>
          <w:i/>
          <w:iCs/>
          <w:sz w:val="28"/>
        </w:rPr>
        <w:t xml:space="preserve"> Plenaria del Senado de la República: segundo debate</w:t>
      </w:r>
    </w:p>
    <w:p w:rsidR="009B5E10" w:rsidRPr="007C57D2" w:rsidRDefault="007C57D2" w:rsidP="008F3DAB">
      <w:pPr>
        <w:pStyle w:val="Prrafodelista"/>
        <w:shd w:val="clear" w:color="auto" w:fill="FFFFFF"/>
        <w:ind w:left="0"/>
        <w:jc w:val="both"/>
        <w:textAlignment w:val="baseline"/>
        <w:rPr>
          <w:rFonts w:ascii="Times New Roman" w:hAnsi="Times New Roman"/>
          <w:sz w:val="28"/>
          <w:szCs w:val="28"/>
        </w:rPr>
      </w:pPr>
    </w:p>
    <w:p w:rsidR="004E3E5E" w:rsidRPr="007C57D2" w:rsidRDefault="007C57D2" w:rsidP="008F3DAB">
      <w:pPr>
        <w:spacing w:after="0" w:line="240" w:lineRule="auto"/>
        <w:jc w:val="both"/>
        <w:rPr>
          <w:rFonts w:ascii="Times New Roman" w:hAnsi="Times New Roman"/>
          <w:b/>
          <w:bCs/>
          <w:sz w:val="28"/>
          <w:szCs w:val="28"/>
        </w:rPr>
      </w:pPr>
      <w:r w:rsidRPr="007C57D2">
        <w:rPr>
          <w:rFonts w:ascii="Times New Roman" w:hAnsi="Times New Roman"/>
          <w:b/>
          <w:bCs/>
          <w:sz w:val="28"/>
          <w:szCs w:val="28"/>
        </w:rPr>
        <w:t xml:space="preserve">4.3. </w:t>
      </w:r>
      <w:r w:rsidRPr="007C57D2">
        <w:rPr>
          <w:rFonts w:ascii="Times New Roman" w:hAnsi="Times New Roman"/>
          <w:b/>
          <w:bCs/>
          <w:sz w:val="28"/>
          <w:szCs w:val="28"/>
          <w:shd w:val="clear" w:color="auto" w:fill="FFFFFF"/>
        </w:rPr>
        <w:t>Plazos mínimos entre debates</w:t>
      </w:r>
    </w:p>
    <w:p w:rsidR="004E3E5E" w:rsidRPr="007C57D2" w:rsidRDefault="007C57D2" w:rsidP="008F3DAB">
      <w:pPr>
        <w:tabs>
          <w:tab w:val="left" w:pos="360"/>
        </w:tabs>
        <w:spacing w:after="0" w:line="240" w:lineRule="auto"/>
        <w:jc w:val="both"/>
        <w:rPr>
          <w:rFonts w:ascii="Times New Roman" w:hAnsi="Times New Roman"/>
          <w:b/>
          <w:bCs/>
          <w:i/>
          <w:iCs/>
          <w:sz w:val="28"/>
          <w:szCs w:val="28"/>
          <w:shd w:val="clear" w:color="auto" w:fill="FFFFFF"/>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val="es-ES"/>
        </w:rPr>
        <w:t xml:space="preserve">El artículo 160 de la Constitución </w:t>
      </w:r>
      <w:r w:rsidRPr="007C57D2">
        <w:rPr>
          <w:rFonts w:ascii="Times New Roman" w:hAnsi="Times New Roman"/>
          <w:sz w:val="28"/>
          <w:szCs w:val="28"/>
        </w:rPr>
        <w:t xml:space="preserve">fija los plazos que deben mediar entre los debates legislativos. Establece que deben transcurrir al menos ocho (8) días entre el primero y el segundo debate en cada cámara, y un mínimo de quince (15) días entre la aprobación del proyecto en una de ellas y </w:t>
      </w:r>
      <w:r w:rsidRPr="007C57D2">
        <w:rPr>
          <w:rFonts w:ascii="Times New Roman" w:hAnsi="Times New Roman"/>
          <w:sz w:val="28"/>
          <w:szCs w:val="28"/>
        </w:rPr>
        <w:t xml:space="preserve">el inicio de su discusión en la otra. A su vez, el artículo 157 del mismo ordenamiento dispone que, para convertirse en ley de la República, todo proyecto debe surtir </w:t>
      </w:r>
      <w:r w:rsidRPr="007C57D2">
        <w:rPr>
          <w:rFonts w:ascii="Times New Roman" w:hAnsi="Times New Roman"/>
          <w:sz w:val="28"/>
          <w:szCs w:val="28"/>
        </w:rPr>
        <w:t>dos debates</w:t>
      </w:r>
      <w:r w:rsidRPr="007C57D2">
        <w:rPr>
          <w:rFonts w:ascii="Times New Roman" w:hAnsi="Times New Roman"/>
          <w:sz w:val="28"/>
          <w:szCs w:val="28"/>
        </w:rPr>
        <w:t xml:space="preserve">: el primero en la comisión correspondiente y el segundo en la plenaria de la </w:t>
      </w:r>
      <w:r w:rsidRPr="007C57D2">
        <w:rPr>
          <w:rFonts w:ascii="Times New Roman" w:hAnsi="Times New Roman"/>
          <w:sz w:val="28"/>
          <w:szCs w:val="28"/>
        </w:rPr>
        <w:t>cámara de origen; luego, el mismo trámite debe repetirse en la otra cámara.</w:t>
      </w:r>
    </w:p>
    <w:p w:rsidR="004E3E5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En el caso de la iniciativa objeto de control, la Sala</w:t>
      </w:r>
      <w:r w:rsidRPr="007C57D2">
        <w:rPr>
          <w:rFonts w:ascii="Times New Roman" w:hAnsi="Times New Roman"/>
          <w:sz w:val="28"/>
          <w:szCs w:val="28"/>
          <w:lang w:eastAsia="es-ES"/>
        </w:rPr>
        <w:t xml:space="preserve"> Plena</w:t>
      </w:r>
      <w:r w:rsidRPr="007C57D2">
        <w:rPr>
          <w:rFonts w:ascii="Times New Roman" w:hAnsi="Times New Roman"/>
          <w:sz w:val="28"/>
          <w:szCs w:val="28"/>
          <w:lang w:eastAsia="es-ES"/>
        </w:rPr>
        <w:t xml:space="preserve"> constata que se cumplieron los plazos previstos y se realizaron los </w:t>
      </w:r>
      <w:r w:rsidRPr="007C57D2">
        <w:rPr>
          <w:rFonts w:ascii="Times New Roman" w:hAnsi="Times New Roman"/>
          <w:sz w:val="28"/>
          <w:szCs w:val="28"/>
          <w:lang w:eastAsia="es-ES"/>
        </w:rPr>
        <w:t xml:space="preserve">dos </w:t>
      </w:r>
      <w:r w:rsidRPr="007C57D2">
        <w:rPr>
          <w:rFonts w:ascii="Times New Roman" w:hAnsi="Times New Roman"/>
          <w:sz w:val="28"/>
          <w:szCs w:val="28"/>
          <w:lang w:eastAsia="es-ES"/>
        </w:rPr>
        <w:t>debates</w:t>
      </w:r>
      <w:r w:rsidRPr="007C57D2">
        <w:rPr>
          <w:rFonts w:ascii="Times New Roman" w:hAnsi="Times New Roman"/>
          <w:sz w:val="28"/>
          <w:szCs w:val="28"/>
          <w:lang w:eastAsia="es-ES"/>
        </w:rPr>
        <w:t xml:space="preserve"> correspondientes</w:t>
      </w:r>
      <w:r w:rsidRPr="007C57D2">
        <w:rPr>
          <w:rFonts w:ascii="Times New Roman" w:hAnsi="Times New Roman"/>
          <w:sz w:val="28"/>
          <w:szCs w:val="28"/>
          <w:lang w:eastAsia="es-ES"/>
        </w:rPr>
        <w:t>.</w:t>
      </w:r>
    </w:p>
    <w:p w:rsidR="006B38C8" w:rsidRPr="007C57D2" w:rsidRDefault="007C57D2" w:rsidP="008F3DAB">
      <w:pPr>
        <w:tabs>
          <w:tab w:val="left" w:pos="360"/>
        </w:tabs>
        <w:spacing w:after="0" w:line="240" w:lineRule="auto"/>
        <w:jc w:val="both"/>
        <w:rPr>
          <w:rFonts w:ascii="Times New Roman" w:hAnsi="Times New Roman"/>
          <w:b/>
          <w:bCs/>
          <w:i/>
          <w:iCs/>
          <w:sz w:val="28"/>
          <w:szCs w:val="28"/>
          <w:shd w:val="clear" w:color="auto" w:fill="FFFFFF"/>
        </w:rPr>
      </w:pPr>
    </w:p>
    <w:p w:rsidR="004E3E5E" w:rsidRPr="007C57D2" w:rsidRDefault="007C57D2" w:rsidP="008F3DAB">
      <w:pPr>
        <w:pStyle w:val="Prrafodelista"/>
        <w:numPr>
          <w:ilvl w:val="0"/>
          <w:numId w:val="6"/>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 xml:space="preserve">Tiempo transcurrido </w:t>
      </w:r>
      <w:r w:rsidRPr="007C57D2">
        <w:rPr>
          <w:rFonts w:ascii="Times New Roman" w:hAnsi="Times New Roman"/>
          <w:b/>
          <w:bCs/>
          <w:sz w:val="28"/>
          <w:szCs w:val="28"/>
          <w:shd w:val="clear" w:color="auto" w:fill="FFFFFF"/>
        </w:rPr>
        <w:t>entre el primer y el segundo debate en la Cámara de Representantes</w:t>
      </w:r>
    </w:p>
    <w:p w:rsidR="004E3E5E" w:rsidRPr="007C57D2" w:rsidRDefault="007C57D2" w:rsidP="008F3DAB">
      <w:pPr>
        <w:pStyle w:val="Prrafodelista"/>
        <w:tabs>
          <w:tab w:val="left" w:pos="360"/>
        </w:tabs>
        <w:jc w:val="both"/>
        <w:rPr>
          <w:rFonts w:ascii="Times New Roman" w:hAnsi="Times New Roman"/>
          <w:b/>
          <w:bCs/>
          <w:i/>
          <w:i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eastAsia="es-ES"/>
        </w:rPr>
        <w:t xml:space="preserve">El PLE fue aprobado por la Comisión Primera Constitucional Permanente de la Cámara de Representantes el </w:t>
      </w:r>
      <w:r w:rsidRPr="007C57D2">
        <w:rPr>
          <w:rFonts w:ascii="Times New Roman" w:hAnsi="Times New Roman"/>
          <w:b/>
          <w:bCs/>
          <w:sz w:val="28"/>
          <w:szCs w:val="28"/>
          <w:lang w:eastAsia="es-ES"/>
        </w:rPr>
        <w:t xml:space="preserve">8 de noviembre 2023 </w:t>
      </w:r>
      <w:r w:rsidRPr="007C57D2">
        <w:rPr>
          <w:rFonts w:ascii="Times New Roman" w:hAnsi="Times New Roman"/>
          <w:sz w:val="28"/>
          <w:szCs w:val="28"/>
          <w:lang w:eastAsia="es-ES"/>
        </w:rPr>
        <w:t xml:space="preserve">y, posteriormente, discutido en la Plenaria de la misma </w:t>
      </w:r>
      <w:r w:rsidRPr="007C57D2">
        <w:rPr>
          <w:rFonts w:ascii="Times New Roman" w:hAnsi="Times New Roman"/>
          <w:sz w:val="28"/>
          <w:szCs w:val="28"/>
          <w:lang w:eastAsia="es-ES"/>
        </w:rPr>
        <w:t>Corporación</w:t>
      </w:r>
      <w:r w:rsidRPr="007C57D2">
        <w:rPr>
          <w:rFonts w:ascii="Times New Roman" w:hAnsi="Times New Roman"/>
          <w:sz w:val="28"/>
          <w:szCs w:val="28"/>
          <w:lang w:eastAsia="es-ES"/>
        </w:rPr>
        <w:t xml:space="preserve"> el </w:t>
      </w:r>
      <w:r w:rsidRPr="007C57D2">
        <w:rPr>
          <w:rFonts w:ascii="Times New Roman" w:hAnsi="Times New Roman"/>
          <w:b/>
          <w:bCs/>
          <w:sz w:val="28"/>
          <w:szCs w:val="28"/>
          <w:lang w:eastAsia="es-ES"/>
        </w:rPr>
        <w:t>16 de abril de 2024</w:t>
      </w:r>
      <w:r w:rsidRPr="007C57D2">
        <w:rPr>
          <w:rFonts w:ascii="Times New Roman" w:hAnsi="Times New Roman"/>
          <w:sz w:val="28"/>
          <w:szCs w:val="28"/>
          <w:lang w:eastAsia="es-ES"/>
        </w:rPr>
        <w:t>. En consecuencia, entre el primer y el segundo debate transcurrió un plazo superior a ocho días calendario.</w:t>
      </w:r>
    </w:p>
    <w:p w:rsidR="004E3E5E" w:rsidRPr="007C57D2" w:rsidRDefault="007C57D2" w:rsidP="008F3DAB">
      <w:pPr>
        <w:pStyle w:val="Prrafodelista"/>
        <w:tabs>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6"/>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Tiempo transcurrido entre los debates en las cámaras</w:t>
      </w:r>
    </w:p>
    <w:p w:rsidR="004E3E5E" w:rsidRPr="007C57D2" w:rsidRDefault="007C57D2" w:rsidP="008F3DAB">
      <w:pPr>
        <w:pStyle w:val="Prrafodelista"/>
        <w:tabs>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eastAsia="es-ES"/>
        </w:rPr>
        <w:t>La Plenaria de la Cámara de Representantes aprobó el PLE e</w:t>
      </w:r>
      <w:r w:rsidRPr="007C57D2">
        <w:rPr>
          <w:rFonts w:ascii="Times New Roman" w:hAnsi="Times New Roman"/>
          <w:sz w:val="28"/>
          <w:szCs w:val="28"/>
          <w:lang w:eastAsia="es-ES"/>
        </w:rPr>
        <w:t xml:space="preserve">n la sesión del </w:t>
      </w:r>
      <w:r w:rsidRPr="007C57D2">
        <w:rPr>
          <w:rFonts w:ascii="Times New Roman" w:hAnsi="Times New Roman"/>
          <w:b/>
          <w:bCs/>
          <w:sz w:val="28"/>
          <w:szCs w:val="28"/>
          <w:lang w:eastAsia="es-ES"/>
        </w:rPr>
        <w:t>16 de abril de 2024</w:t>
      </w:r>
      <w:r w:rsidRPr="007C57D2">
        <w:rPr>
          <w:rFonts w:ascii="Times New Roman" w:hAnsi="Times New Roman"/>
          <w:sz w:val="28"/>
          <w:szCs w:val="28"/>
          <w:lang w:eastAsia="es-ES"/>
        </w:rPr>
        <w:t xml:space="preserve">. Por su parte, la Comisión Primera Constitucional Permanente del Senado de la República inició su deliberación el </w:t>
      </w:r>
      <w:r w:rsidRPr="007C57D2">
        <w:rPr>
          <w:rFonts w:ascii="Times New Roman" w:hAnsi="Times New Roman"/>
          <w:b/>
          <w:bCs/>
          <w:sz w:val="28"/>
          <w:szCs w:val="28"/>
          <w:lang w:eastAsia="es-ES"/>
        </w:rPr>
        <w:t>28 de mayo del mismo año</w:t>
      </w:r>
      <w:r w:rsidRPr="007C57D2">
        <w:rPr>
          <w:rFonts w:ascii="Times New Roman" w:hAnsi="Times New Roman"/>
          <w:sz w:val="28"/>
          <w:szCs w:val="28"/>
          <w:lang w:eastAsia="es-ES"/>
        </w:rPr>
        <w:t>. En consecuencia, entre la aprobación del proyecto de ley en la Cámara y el inici</w:t>
      </w:r>
      <w:r w:rsidRPr="007C57D2">
        <w:rPr>
          <w:rFonts w:ascii="Times New Roman" w:hAnsi="Times New Roman"/>
          <w:sz w:val="28"/>
          <w:szCs w:val="28"/>
          <w:lang w:eastAsia="es-ES"/>
        </w:rPr>
        <w:t xml:space="preserve">o del debate en el Senado transcurrió un plazo superior a quince días calendario. </w:t>
      </w:r>
    </w:p>
    <w:p w:rsidR="004E3E5E" w:rsidRPr="007C57D2" w:rsidRDefault="007C57D2" w:rsidP="008F3DAB">
      <w:pPr>
        <w:pStyle w:val="Prrafodelista"/>
        <w:tabs>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6"/>
        </w:numPr>
        <w:tabs>
          <w:tab w:val="left" w:pos="360"/>
        </w:tabs>
        <w:jc w:val="both"/>
        <w:rPr>
          <w:rFonts w:ascii="Times New Roman" w:hAnsi="Times New Roman"/>
          <w:b/>
          <w:bCs/>
          <w:sz w:val="28"/>
          <w:szCs w:val="28"/>
          <w:lang w:eastAsia="es-ES"/>
        </w:rPr>
      </w:pPr>
      <w:r w:rsidRPr="007C57D2">
        <w:rPr>
          <w:rFonts w:ascii="Times New Roman" w:hAnsi="Times New Roman"/>
          <w:b/>
          <w:bCs/>
          <w:sz w:val="28"/>
          <w:szCs w:val="28"/>
          <w:shd w:val="clear" w:color="auto" w:fill="FFFFFF"/>
        </w:rPr>
        <w:t>Tiempo transcurrido entre el primer y el segundo debate en el Senado de la República</w:t>
      </w:r>
    </w:p>
    <w:p w:rsidR="004E3E5E" w:rsidRPr="007C57D2" w:rsidRDefault="007C57D2" w:rsidP="008F3DAB">
      <w:pPr>
        <w:pStyle w:val="Prrafodelista"/>
        <w:tabs>
          <w:tab w:val="left" w:pos="567"/>
        </w:tabs>
        <w:ind w:left="0"/>
        <w:jc w:val="both"/>
        <w:rPr>
          <w:rFonts w:ascii="Times New Roman" w:hAnsi="Times New Roman"/>
          <w:b/>
          <w:bCs/>
          <w:sz w:val="28"/>
          <w:szCs w:val="28"/>
          <w:lang w:eastAsia="es-ES"/>
        </w:rPr>
      </w:pPr>
    </w:p>
    <w:p w:rsidR="004E3E5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eastAsia="es-ES"/>
        </w:rPr>
      </w:pPr>
      <w:r w:rsidRPr="007C57D2">
        <w:rPr>
          <w:rFonts w:ascii="Times New Roman" w:hAnsi="Times New Roman"/>
          <w:sz w:val="28"/>
          <w:szCs w:val="28"/>
          <w:lang w:eastAsia="es-ES"/>
        </w:rPr>
        <w:t xml:space="preserve">El PLE fue aprobado por la Comisión Primera Constitucional Permanente del Senado de la República el </w:t>
      </w:r>
      <w:r w:rsidRPr="007C57D2">
        <w:rPr>
          <w:rFonts w:ascii="Times New Roman" w:hAnsi="Times New Roman"/>
          <w:b/>
          <w:bCs/>
          <w:sz w:val="28"/>
          <w:szCs w:val="28"/>
          <w:lang w:eastAsia="es-ES"/>
        </w:rPr>
        <w:t xml:space="preserve">28 de mayo de 2024 </w:t>
      </w:r>
      <w:r w:rsidRPr="007C57D2">
        <w:rPr>
          <w:rFonts w:ascii="Times New Roman" w:hAnsi="Times New Roman"/>
          <w:sz w:val="28"/>
          <w:szCs w:val="28"/>
          <w:lang w:eastAsia="es-ES"/>
        </w:rPr>
        <w:t xml:space="preserve">y, posteriormente, discutido en la Plenaria de la misma </w:t>
      </w:r>
      <w:r w:rsidRPr="007C57D2">
        <w:rPr>
          <w:rFonts w:ascii="Times New Roman" w:hAnsi="Times New Roman"/>
          <w:sz w:val="28"/>
          <w:szCs w:val="28"/>
          <w:lang w:eastAsia="es-ES"/>
        </w:rPr>
        <w:t>Corporación</w:t>
      </w:r>
      <w:r w:rsidRPr="007C57D2">
        <w:rPr>
          <w:rFonts w:ascii="Times New Roman" w:hAnsi="Times New Roman"/>
          <w:sz w:val="28"/>
          <w:szCs w:val="28"/>
          <w:lang w:eastAsia="es-ES"/>
        </w:rPr>
        <w:t xml:space="preserve"> el </w:t>
      </w:r>
      <w:r w:rsidRPr="007C57D2">
        <w:rPr>
          <w:rFonts w:ascii="Times New Roman" w:hAnsi="Times New Roman"/>
          <w:b/>
          <w:bCs/>
          <w:sz w:val="28"/>
          <w:szCs w:val="28"/>
          <w:lang w:eastAsia="es-ES"/>
        </w:rPr>
        <w:t>11 de junio de 2024</w:t>
      </w:r>
      <w:r w:rsidRPr="007C57D2">
        <w:rPr>
          <w:rFonts w:ascii="Times New Roman" w:hAnsi="Times New Roman"/>
          <w:sz w:val="28"/>
          <w:szCs w:val="28"/>
          <w:lang w:eastAsia="es-ES"/>
        </w:rPr>
        <w:t>. En consecuencia, entre el primer y el segundo</w:t>
      </w:r>
      <w:r w:rsidRPr="007C57D2">
        <w:rPr>
          <w:rFonts w:ascii="Times New Roman" w:hAnsi="Times New Roman"/>
          <w:sz w:val="28"/>
          <w:szCs w:val="28"/>
          <w:lang w:eastAsia="es-ES"/>
        </w:rPr>
        <w:t xml:space="preserve"> debate transcurrió un plazo superior a ocho días calendario.</w:t>
      </w:r>
      <w:r w:rsidRPr="007C57D2">
        <w:rPr>
          <w:rFonts w:ascii="Times New Roman" w:hAnsi="Times New Roman"/>
          <w:sz w:val="28"/>
          <w:szCs w:val="28"/>
          <w:lang w:eastAsia="es-ES"/>
        </w:rPr>
        <w:t xml:space="preserve"> </w:t>
      </w:r>
    </w:p>
    <w:p w:rsidR="00030338"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030338"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4.4. Trámite de conciliación </w:t>
      </w:r>
    </w:p>
    <w:p w:rsidR="00112902"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112902"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4.4.1. Reglas constitucionales, legales y jurisprudenciales del trámite de conciliación. Reiteración de jurisprudencia</w:t>
      </w:r>
    </w:p>
    <w:p w:rsidR="00030338" w:rsidRPr="007C57D2" w:rsidRDefault="007C57D2" w:rsidP="008F3DAB">
      <w:pPr>
        <w:tabs>
          <w:tab w:val="left" w:pos="360"/>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El artículo 161 de la Constitución prevé que, </w:t>
      </w:r>
      <w:r w:rsidRPr="007C57D2">
        <w:rPr>
          <w:rFonts w:ascii="Times New Roman" w:hAnsi="Times New Roman"/>
          <w:sz w:val="28"/>
          <w:szCs w:val="28"/>
          <w:shd w:val="clear" w:color="auto" w:fill="FFFFFF"/>
        </w:rPr>
        <w:t>“[c]</w:t>
      </w:r>
      <w:r w:rsidRPr="007C57D2">
        <w:rPr>
          <w:rFonts w:ascii="Times New Roman" w:hAnsi="Times New Roman"/>
          <w:sz w:val="28"/>
          <w:szCs w:val="28"/>
          <w:shd w:val="clear" w:color="auto" w:fill="FFFFFF"/>
        </w:rPr>
        <w:t>uando surg</w:t>
      </w:r>
      <w:r w:rsidRPr="007C57D2">
        <w:rPr>
          <w:rFonts w:ascii="Times New Roman" w:hAnsi="Times New Roman"/>
          <w:sz w:val="28"/>
          <w:szCs w:val="28"/>
          <w:shd w:val="clear" w:color="auto" w:fill="FFFFFF"/>
        </w:rPr>
        <w:t>ieren</w:t>
      </w:r>
      <w:r w:rsidRPr="007C57D2">
        <w:rPr>
          <w:rFonts w:ascii="Times New Roman" w:hAnsi="Times New Roman"/>
          <w:sz w:val="28"/>
          <w:szCs w:val="28"/>
          <w:shd w:val="clear" w:color="auto" w:fill="FFFFFF"/>
        </w:rPr>
        <w:t xml:space="preserve"> discrepancias en las cámaras respecto de un proyecto, ambas integrarán comisiones de conciliadores conformadas por un mismo número de senadores y representantes, quienes reunidos conjuntamen</w:t>
      </w:r>
      <w:r w:rsidRPr="007C57D2">
        <w:rPr>
          <w:rFonts w:ascii="Times New Roman" w:hAnsi="Times New Roman"/>
          <w:sz w:val="28"/>
          <w:szCs w:val="28"/>
          <w:shd w:val="clear" w:color="auto" w:fill="FFFFFF"/>
        </w:rPr>
        <w:t>te, procurarán conciliar los textos y, en caso de no ser posible, definirán por mayoría</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Una vez conciliado el proyecto, las plenarias someterán a discusión y aprobación el texto y, en caso de persistir las diferencias</w:t>
      </w:r>
      <w:r w:rsidRPr="007C57D2">
        <w:rPr>
          <w:rFonts w:ascii="Times New Roman" w:hAnsi="Times New Roman"/>
          <w:sz w:val="28"/>
          <w:szCs w:val="28"/>
          <w:shd w:val="clear" w:color="auto" w:fill="FFFFFF"/>
        </w:rPr>
        <w:t>, se considerará negado el proyecto.</w:t>
      </w:r>
    </w:p>
    <w:p w:rsidR="00E84710" w:rsidRPr="007C57D2" w:rsidRDefault="007C57D2" w:rsidP="008F3DAB">
      <w:pPr>
        <w:pStyle w:val="Prrafodelista"/>
        <w:tabs>
          <w:tab w:val="left" w:pos="567"/>
        </w:tabs>
        <w:ind w:left="0" w:hanging="11"/>
        <w:jc w:val="both"/>
        <w:rPr>
          <w:rFonts w:ascii="Times New Roman" w:hAnsi="Times New Roman"/>
          <w:sz w:val="28"/>
          <w:szCs w:val="28"/>
          <w:shd w:val="clear" w:color="auto" w:fill="FFFFFF"/>
        </w:rPr>
      </w:pPr>
    </w:p>
    <w:p w:rsidR="00E84710"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El Congreso de la República reglamentó el trámite de conciliación en los artículos 186, 187, 188 y 189 de la Ley 5 de 1992. </w:t>
      </w:r>
      <w:r w:rsidRPr="007C57D2">
        <w:rPr>
          <w:rFonts w:ascii="Times New Roman" w:hAnsi="Times New Roman"/>
          <w:sz w:val="28"/>
          <w:szCs w:val="28"/>
          <w:shd w:val="clear" w:color="auto" w:fill="FFFFFF"/>
        </w:rPr>
        <w:t>La</w:t>
      </w:r>
      <w:r w:rsidRPr="007C57D2">
        <w:rPr>
          <w:rFonts w:ascii="Times New Roman" w:hAnsi="Times New Roman"/>
          <w:sz w:val="28"/>
          <w:szCs w:val="28"/>
          <w:shd w:val="clear" w:color="auto" w:fill="FFFFFF"/>
        </w:rPr>
        <w:t xml:space="preserve"> primera disposición </w:t>
      </w:r>
      <w:r w:rsidRPr="007C57D2">
        <w:rPr>
          <w:rFonts w:ascii="Times New Roman" w:hAnsi="Times New Roman"/>
          <w:sz w:val="28"/>
          <w:szCs w:val="28"/>
          <w:shd w:val="clear" w:color="auto" w:fill="FFFFFF"/>
        </w:rPr>
        <w:t>atribuye</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a</w:t>
      </w:r>
      <w:r w:rsidRPr="007C57D2">
        <w:rPr>
          <w:rFonts w:ascii="Times New Roman" w:hAnsi="Times New Roman"/>
          <w:sz w:val="28"/>
          <w:szCs w:val="28"/>
          <w:shd w:val="clear" w:color="auto" w:fill="FFFFFF"/>
        </w:rPr>
        <w:t xml:space="preserve"> los presidentes de las cámaras </w:t>
      </w:r>
      <w:r w:rsidRPr="007C57D2">
        <w:rPr>
          <w:rFonts w:ascii="Times New Roman" w:hAnsi="Times New Roman"/>
          <w:sz w:val="28"/>
          <w:szCs w:val="28"/>
          <w:shd w:val="clear" w:color="auto" w:fill="FFFFFF"/>
        </w:rPr>
        <w:t xml:space="preserve">la competencia </w:t>
      </w:r>
      <w:r w:rsidRPr="007C57D2">
        <w:rPr>
          <w:rFonts w:ascii="Times New Roman" w:hAnsi="Times New Roman"/>
          <w:sz w:val="28"/>
          <w:szCs w:val="28"/>
          <w:shd w:val="clear" w:color="auto" w:fill="FFFFFF"/>
        </w:rPr>
        <w:t xml:space="preserve">para integrar las comisiones, </w:t>
      </w:r>
      <w:r w:rsidRPr="007C57D2">
        <w:rPr>
          <w:rFonts w:ascii="Times New Roman" w:hAnsi="Times New Roman"/>
          <w:sz w:val="28"/>
          <w:szCs w:val="28"/>
          <w:shd w:val="clear" w:color="auto" w:fill="FFFFFF"/>
        </w:rPr>
        <w:t xml:space="preserve">define </w:t>
      </w:r>
      <w:r w:rsidRPr="007C57D2">
        <w:rPr>
          <w:rFonts w:ascii="Times New Roman" w:hAnsi="Times New Roman"/>
          <w:sz w:val="28"/>
          <w:szCs w:val="28"/>
          <w:shd w:val="clear" w:color="auto" w:fill="FFFFFF"/>
        </w:rPr>
        <w:t>el concepto de</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discrepancias</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y </w:t>
      </w:r>
      <w:r w:rsidRPr="007C57D2">
        <w:rPr>
          <w:rFonts w:ascii="Times New Roman" w:hAnsi="Times New Roman"/>
          <w:sz w:val="28"/>
          <w:szCs w:val="28"/>
          <w:shd w:val="clear" w:color="auto" w:fill="FFFFFF"/>
        </w:rPr>
        <w:t xml:space="preserve">regula </w:t>
      </w:r>
      <w:r w:rsidRPr="007C57D2">
        <w:rPr>
          <w:rFonts w:ascii="Times New Roman" w:hAnsi="Times New Roman"/>
          <w:sz w:val="28"/>
          <w:szCs w:val="28"/>
          <w:shd w:val="clear" w:color="auto" w:fill="FFFFFF"/>
        </w:rPr>
        <w:t xml:space="preserve">la forma en que dichas comisiones deben preparar el texto para superarlas. </w:t>
      </w:r>
      <w:r w:rsidRPr="007C57D2">
        <w:rPr>
          <w:rFonts w:ascii="Times New Roman" w:hAnsi="Times New Roman"/>
          <w:sz w:val="28"/>
          <w:szCs w:val="28"/>
          <w:shd w:val="clear" w:color="auto" w:fill="FFFFFF"/>
        </w:rPr>
        <w:t>La</w:t>
      </w:r>
      <w:r w:rsidRPr="007C57D2">
        <w:rPr>
          <w:rFonts w:ascii="Times New Roman" w:hAnsi="Times New Roman"/>
          <w:sz w:val="28"/>
          <w:szCs w:val="28"/>
          <w:shd w:val="clear" w:color="auto" w:fill="FFFFFF"/>
        </w:rPr>
        <w:t xml:space="preserve"> segunda disposición fija las reglas sobre la conformación de las comisiones accidentales de conciliación</w:t>
      </w:r>
      <w:r w:rsidRPr="007C57D2">
        <w:rPr>
          <w:rFonts w:ascii="Times New Roman" w:hAnsi="Times New Roman"/>
          <w:sz w:val="28"/>
          <w:szCs w:val="28"/>
          <w:shd w:val="clear" w:color="auto" w:fill="FFFFFF"/>
        </w:rPr>
        <w:t>. Finalmente, las disposiciones</w:t>
      </w:r>
      <w:r w:rsidRPr="007C57D2">
        <w:rPr>
          <w:rFonts w:ascii="Times New Roman" w:hAnsi="Times New Roman"/>
          <w:sz w:val="28"/>
          <w:szCs w:val="28"/>
          <w:shd w:val="clear" w:color="auto" w:fill="FFFFFF"/>
        </w:rPr>
        <w:t xml:space="preserve"> tercera y cuarta</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determinan</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que las comisiones </w:t>
      </w:r>
      <w:r w:rsidRPr="007C57D2">
        <w:rPr>
          <w:rFonts w:ascii="Times New Roman" w:hAnsi="Times New Roman"/>
          <w:sz w:val="28"/>
          <w:szCs w:val="28"/>
          <w:shd w:val="clear" w:color="auto" w:fill="FFFFFF"/>
        </w:rPr>
        <w:t xml:space="preserve">accidentales </w:t>
      </w:r>
      <w:r w:rsidRPr="007C57D2">
        <w:rPr>
          <w:rFonts w:ascii="Times New Roman" w:hAnsi="Times New Roman"/>
          <w:sz w:val="28"/>
          <w:szCs w:val="28"/>
          <w:shd w:val="clear" w:color="auto" w:fill="FFFFFF"/>
        </w:rPr>
        <w:t xml:space="preserve">deben presentar los respectivos informes de </w:t>
      </w:r>
      <w:r w:rsidRPr="007C57D2">
        <w:rPr>
          <w:rFonts w:ascii="Times New Roman" w:hAnsi="Times New Roman"/>
          <w:sz w:val="28"/>
          <w:szCs w:val="28"/>
          <w:shd w:val="clear" w:color="auto" w:fill="FFFFFF"/>
        </w:rPr>
        <w:t>conciliación en los plazos señalados y que, si repetido el segundo debate en las cámaras persistieren las diferencias sobre un proyecto de ley, se considerará negado en los artículos o disposiciones materia de discrepancia, siempre que no fueren fundamenta</w:t>
      </w:r>
      <w:r w:rsidRPr="007C57D2">
        <w:rPr>
          <w:rFonts w:ascii="Times New Roman" w:hAnsi="Times New Roman"/>
          <w:sz w:val="28"/>
          <w:szCs w:val="28"/>
          <w:shd w:val="clear" w:color="auto" w:fill="FFFFFF"/>
        </w:rPr>
        <w:t xml:space="preserve">les al sentido de la nueva ley. </w:t>
      </w:r>
    </w:p>
    <w:p w:rsidR="0037740C"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030338"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La Corte Constitucional ha interpretado este marco normativo y desarrollado un conjunto de reglas y criterios que el Congreso de la República debe atender dentro de esta etapa del trámite legislativo</w:t>
      </w:r>
      <w:r w:rsidRPr="007C57D2">
        <w:rPr>
          <w:rFonts w:ascii="Times New Roman" w:hAnsi="Times New Roman"/>
          <w:sz w:val="28"/>
          <w:szCs w:val="28"/>
          <w:shd w:val="clear" w:color="auto" w:fill="FFFFFF"/>
        </w:rPr>
        <w:t>. La finalidad de tales</w:t>
      </w:r>
      <w:r w:rsidRPr="007C57D2">
        <w:rPr>
          <w:rFonts w:ascii="Times New Roman" w:hAnsi="Times New Roman"/>
          <w:sz w:val="28"/>
          <w:szCs w:val="28"/>
          <w:shd w:val="clear" w:color="auto" w:fill="FFFFFF"/>
        </w:rPr>
        <w:t xml:space="preserve"> reglas consiste en </w:t>
      </w:r>
      <w:r w:rsidRPr="007C57D2">
        <w:rPr>
          <w:rFonts w:ascii="Times New Roman" w:hAnsi="Times New Roman"/>
          <w:sz w:val="28"/>
          <w:szCs w:val="28"/>
          <w:shd w:val="clear" w:color="auto" w:fill="FFFFFF"/>
        </w:rPr>
        <w:t xml:space="preserve">preservar el carácter democrático del proceso de expedición de leyes, sin desconocer que las comisiones accidentales de conciliación tienen como función hacer más eficiente la aprobación de las leyes. Estas reglas, a su vez, </w:t>
      </w:r>
      <w:r w:rsidRPr="007C57D2">
        <w:rPr>
          <w:rFonts w:ascii="Times New Roman" w:hAnsi="Times New Roman"/>
          <w:sz w:val="28"/>
          <w:szCs w:val="28"/>
          <w:shd w:val="clear" w:color="auto" w:fill="FFFFFF"/>
        </w:rPr>
        <w:t>son aplicab</w:t>
      </w:r>
      <w:r w:rsidRPr="007C57D2">
        <w:rPr>
          <w:rFonts w:ascii="Times New Roman" w:hAnsi="Times New Roman"/>
          <w:sz w:val="28"/>
          <w:szCs w:val="28"/>
          <w:shd w:val="clear" w:color="auto" w:fill="FFFFFF"/>
        </w:rPr>
        <w:t>les</w:t>
      </w:r>
      <w:r w:rsidRPr="007C57D2">
        <w:rPr>
          <w:rFonts w:ascii="Times New Roman" w:hAnsi="Times New Roman"/>
          <w:sz w:val="28"/>
          <w:szCs w:val="28"/>
          <w:shd w:val="clear" w:color="auto" w:fill="FFFFFF"/>
        </w:rPr>
        <w:t xml:space="preserve"> en tres momentos: (i) la conformación e integración de la comisión de conciliación; (ii) la habilitación de competencia y trabajo de los conciliadores; y (iii) la deliberación y aprobación del informe de conciliación.</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4.4.1.1. </w:t>
      </w:r>
      <w:r w:rsidRPr="007C57D2">
        <w:rPr>
          <w:rFonts w:ascii="Times New Roman" w:hAnsi="Times New Roman"/>
          <w:b/>
          <w:bCs/>
          <w:sz w:val="28"/>
          <w:szCs w:val="28"/>
          <w:lang w:eastAsia="es-ES"/>
        </w:rPr>
        <w:t>Primer momento: conforma</w:t>
      </w:r>
      <w:r w:rsidRPr="007C57D2">
        <w:rPr>
          <w:rFonts w:ascii="Times New Roman" w:hAnsi="Times New Roman"/>
          <w:b/>
          <w:bCs/>
          <w:sz w:val="28"/>
          <w:szCs w:val="28"/>
          <w:lang w:eastAsia="es-ES"/>
        </w:rPr>
        <w:t>ción e integración de la comisión</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El artículo 161, inciso 1, de la Constitución, prevé que las comisiones accidentales de conciliación están conformadas por un mismo número de senadores y representantes; mientras que el artículo 187, inciso 1, de la Ley 5</w:t>
      </w:r>
      <w:r w:rsidRPr="007C57D2">
        <w:rPr>
          <w:rFonts w:ascii="Times New Roman" w:hAnsi="Times New Roman"/>
          <w:sz w:val="28"/>
          <w:szCs w:val="28"/>
          <w:lang w:eastAsia="es-ES"/>
        </w:rPr>
        <w:t xml:space="preserve"> de 1992 exige que la comisión se integrará por los miembros de las respectivas comisiones permanentes que participaron en la discusión de los proyectos, así como por sus autores y ponentes, y quienes formularon reparos, observaciones o propuestas en las p</w:t>
      </w:r>
      <w:r w:rsidRPr="007C57D2">
        <w:rPr>
          <w:rFonts w:ascii="Times New Roman" w:hAnsi="Times New Roman"/>
          <w:sz w:val="28"/>
          <w:szCs w:val="28"/>
          <w:lang w:eastAsia="es-ES"/>
        </w:rPr>
        <w:t>lenarias. A ello se agrega que la comisión debe garantizar la representación de las bancadas, conforme con el artículo 187, inciso 2, de la Ley 5 de 1992</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adicionado</w:t>
      </w:r>
      <w:r w:rsidRPr="007C57D2">
        <w:rPr>
          <w:rFonts w:ascii="Times New Roman" w:hAnsi="Times New Roman"/>
          <w:sz w:val="28"/>
          <w:szCs w:val="28"/>
          <w:lang w:eastAsia="es-ES"/>
        </w:rPr>
        <w:t xml:space="preserve"> por el artículo 17 de la Ley 974 de 2005</w:t>
      </w:r>
      <w:r w:rsidRPr="007C57D2">
        <w:rPr>
          <w:rFonts w:ascii="Times New Roman" w:hAnsi="Times New Roman"/>
          <w:sz w:val="28"/>
          <w:szCs w:val="28"/>
          <w:lang w:eastAsia="es-ES"/>
        </w:rPr>
        <w:t>.</w:t>
      </w:r>
    </w:p>
    <w:p w:rsidR="00E84710" w:rsidRPr="007C57D2" w:rsidRDefault="007C57D2" w:rsidP="008F3DAB">
      <w:pPr>
        <w:tabs>
          <w:tab w:val="left" w:pos="567"/>
        </w:tabs>
        <w:spacing w:after="0" w:line="240" w:lineRule="auto"/>
        <w:ind w:hanging="11"/>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Para la Corte, la conformación e integración de</w:t>
      </w:r>
      <w:r w:rsidRPr="007C57D2">
        <w:rPr>
          <w:rFonts w:ascii="Times New Roman" w:hAnsi="Times New Roman"/>
          <w:sz w:val="28"/>
          <w:szCs w:val="28"/>
          <w:lang w:eastAsia="es-ES"/>
        </w:rPr>
        <w:t xml:space="preserve"> las comisiones accidentales de conciliación exige</w:t>
      </w:r>
      <w:r w:rsidRPr="007C57D2">
        <w:rPr>
          <w:rFonts w:ascii="Times New Roman" w:hAnsi="Times New Roman"/>
          <w:sz w:val="28"/>
          <w:szCs w:val="28"/>
          <w:lang w:eastAsia="es-ES"/>
        </w:rPr>
        <w:t xml:space="preserve"> dos condiciones. E</w:t>
      </w:r>
      <w:r w:rsidRPr="007C57D2">
        <w:rPr>
          <w:rFonts w:ascii="Times New Roman" w:hAnsi="Times New Roman"/>
          <w:sz w:val="28"/>
          <w:szCs w:val="28"/>
          <w:lang w:eastAsia="es-ES"/>
        </w:rPr>
        <w:t xml:space="preserve">n primer lugar, los presidentes de ambas cámaras </w:t>
      </w:r>
      <w:r w:rsidRPr="007C57D2">
        <w:rPr>
          <w:rFonts w:ascii="Times New Roman" w:hAnsi="Times New Roman"/>
          <w:sz w:val="28"/>
          <w:szCs w:val="28"/>
          <w:lang w:eastAsia="es-ES"/>
        </w:rPr>
        <w:t>deben tener</w:t>
      </w:r>
      <w:r w:rsidRPr="007C57D2">
        <w:rPr>
          <w:rFonts w:ascii="Times New Roman" w:hAnsi="Times New Roman"/>
          <w:sz w:val="28"/>
          <w:szCs w:val="28"/>
          <w:lang w:eastAsia="es-ES"/>
        </w:rPr>
        <w:t xml:space="preserve"> conocimiento cierto, previo y suficiente sobre las discrepancias entre los textos aprobados por las plenarias, para así confor</w:t>
      </w:r>
      <w:r w:rsidRPr="007C57D2">
        <w:rPr>
          <w:rFonts w:ascii="Times New Roman" w:hAnsi="Times New Roman"/>
          <w:sz w:val="28"/>
          <w:szCs w:val="28"/>
          <w:lang w:eastAsia="es-ES"/>
        </w:rPr>
        <w:t>mar la respectiva comisión</w:t>
      </w:r>
      <w:r w:rsidRPr="007C57D2">
        <w:rPr>
          <w:rStyle w:val="Refdenotaalpie"/>
          <w:rFonts w:ascii="Times New Roman" w:hAnsi="Times New Roman"/>
          <w:sz w:val="28"/>
          <w:szCs w:val="28"/>
          <w:lang w:eastAsia="es-ES"/>
        </w:rPr>
        <w:footnoteReference w:id="147"/>
      </w:r>
      <w:r w:rsidRPr="007C57D2">
        <w:rPr>
          <w:rFonts w:ascii="Times New Roman" w:hAnsi="Times New Roman"/>
          <w:sz w:val="28"/>
          <w:szCs w:val="28"/>
          <w:lang w:eastAsia="es-ES"/>
        </w:rPr>
        <w:t xml:space="preserve">. </w:t>
      </w:r>
    </w:p>
    <w:p w:rsidR="00E84710" w:rsidRPr="007C57D2" w:rsidRDefault="007C57D2" w:rsidP="008F3DAB">
      <w:pPr>
        <w:tabs>
          <w:tab w:val="left" w:pos="567"/>
        </w:tabs>
        <w:spacing w:after="0" w:line="240" w:lineRule="auto"/>
        <w:ind w:hanging="11"/>
        <w:contextualSpacing/>
        <w:jc w:val="both"/>
        <w:rPr>
          <w:rFonts w:ascii="Times New Roman" w:hAnsi="Times New Roman"/>
          <w:sz w:val="28"/>
          <w:szCs w:val="28"/>
          <w:lang w:eastAsia="es-ES"/>
        </w:rPr>
      </w:pPr>
    </w:p>
    <w:p w:rsidR="00F742CB"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Y, e</w:t>
      </w:r>
      <w:r w:rsidRPr="007C57D2">
        <w:rPr>
          <w:rFonts w:ascii="Times New Roman" w:hAnsi="Times New Roman"/>
          <w:sz w:val="28"/>
          <w:szCs w:val="28"/>
          <w:lang w:eastAsia="es-ES"/>
        </w:rPr>
        <w:t>n segundo lugar, la conformación debe regirse por tres criterios, a saber</w:t>
      </w:r>
      <w:r w:rsidRPr="007C57D2">
        <w:rPr>
          <w:rStyle w:val="Refdenotaalpie"/>
          <w:rFonts w:ascii="Times New Roman" w:hAnsi="Times New Roman"/>
          <w:sz w:val="28"/>
          <w:szCs w:val="28"/>
          <w:lang w:eastAsia="es-ES"/>
        </w:rPr>
        <w:footnoteReference w:id="148"/>
      </w:r>
      <w:r w:rsidRPr="007C57D2">
        <w:rPr>
          <w:rFonts w:ascii="Times New Roman" w:hAnsi="Times New Roman"/>
          <w:sz w:val="28"/>
          <w:szCs w:val="28"/>
          <w:lang w:eastAsia="es-ES"/>
        </w:rPr>
        <w:t>: (i) la simetría, es decir, que las comisiones deben estar compuestas por igual número de senadores y representantes; (ii) la calidad de los integ</w:t>
      </w:r>
      <w:r w:rsidRPr="007C57D2">
        <w:rPr>
          <w:rFonts w:ascii="Times New Roman" w:hAnsi="Times New Roman"/>
          <w:sz w:val="28"/>
          <w:szCs w:val="28"/>
          <w:lang w:eastAsia="es-ES"/>
        </w:rPr>
        <w:t xml:space="preserve">rantes, en la medida en que las comisiones deben estar integradas por quienes participaron en la discusión de los proyectos, sus autores y ponentes, así como por quienes formularon reparos, observaciones o propuestas en las plenarias; y (iii) </w:t>
      </w:r>
      <w:r w:rsidRPr="007C57D2">
        <w:rPr>
          <w:rFonts w:ascii="Times New Roman" w:hAnsi="Times New Roman"/>
          <w:sz w:val="28"/>
          <w:szCs w:val="28"/>
          <w:lang w:eastAsia="es-ES"/>
        </w:rPr>
        <w:t xml:space="preserve">la </w:t>
      </w:r>
      <w:r w:rsidRPr="007C57D2">
        <w:rPr>
          <w:rFonts w:ascii="Times New Roman" w:hAnsi="Times New Roman"/>
          <w:sz w:val="28"/>
          <w:szCs w:val="28"/>
          <w:lang w:eastAsia="es-ES"/>
        </w:rPr>
        <w:t>representa</w:t>
      </w:r>
      <w:r w:rsidRPr="007C57D2">
        <w:rPr>
          <w:rFonts w:ascii="Times New Roman" w:hAnsi="Times New Roman"/>
          <w:sz w:val="28"/>
          <w:szCs w:val="28"/>
          <w:lang w:eastAsia="es-ES"/>
        </w:rPr>
        <w:t xml:space="preserve">ción de las bancadas, de modo que se garantice </w:t>
      </w:r>
      <w:r w:rsidRPr="007C57D2">
        <w:rPr>
          <w:rFonts w:ascii="Times New Roman" w:hAnsi="Times New Roman"/>
          <w:sz w:val="28"/>
          <w:szCs w:val="28"/>
          <w:lang w:eastAsia="es-ES"/>
        </w:rPr>
        <w:t>su</w:t>
      </w:r>
      <w:r w:rsidRPr="007C57D2">
        <w:rPr>
          <w:rFonts w:ascii="Times New Roman" w:hAnsi="Times New Roman"/>
          <w:sz w:val="28"/>
          <w:szCs w:val="28"/>
          <w:lang w:eastAsia="es-ES"/>
        </w:rPr>
        <w:t xml:space="preserve"> participación efectiva en esta etapa del trámite legislativo</w:t>
      </w:r>
      <w:r w:rsidRPr="007C57D2">
        <w:rPr>
          <w:rFonts w:ascii="Times New Roman" w:hAnsi="Times New Roman"/>
          <w:sz w:val="28"/>
          <w:szCs w:val="28"/>
          <w:lang w:eastAsia="es-ES"/>
        </w:rPr>
        <w:t>.</w:t>
      </w:r>
    </w:p>
    <w:p w:rsidR="00E176AF" w:rsidRPr="007C57D2" w:rsidRDefault="007C57D2" w:rsidP="008F3DAB">
      <w:pPr>
        <w:pStyle w:val="Prrafodelista"/>
        <w:tabs>
          <w:tab w:val="left" w:pos="567"/>
        </w:tabs>
        <w:ind w:left="0"/>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L</w:t>
      </w:r>
      <w:r w:rsidRPr="007C57D2">
        <w:rPr>
          <w:rFonts w:ascii="Times New Roman" w:hAnsi="Times New Roman"/>
          <w:sz w:val="28"/>
          <w:szCs w:val="28"/>
          <w:lang w:eastAsia="es-ES"/>
        </w:rPr>
        <w:t xml:space="preserve">a Corte Constitucional ha dejado claro que </w:t>
      </w:r>
      <w:r w:rsidRPr="007C57D2">
        <w:rPr>
          <w:rFonts w:ascii="Times New Roman" w:hAnsi="Times New Roman"/>
          <w:sz w:val="28"/>
          <w:szCs w:val="28"/>
          <w:lang w:eastAsia="es-ES"/>
        </w:rPr>
        <w:t>el segundo requisito</w:t>
      </w:r>
      <w:r w:rsidRPr="007C57D2">
        <w:rPr>
          <w:rFonts w:ascii="Times New Roman" w:hAnsi="Times New Roman"/>
          <w:sz w:val="28"/>
          <w:szCs w:val="28"/>
          <w:lang w:eastAsia="es-ES"/>
        </w:rPr>
        <w:t xml:space="preserve"> no puede leerse de una manera tan estricta, al punto de exigir que las comisiones accidentales de conciliación deban integrarse por la totalidad de participantes en la discusión del proyecto, autores, ponentes y proponentes</w:t>
      </w:r>
      <w:r w:rsidRPr="007C57D2">
        <w:rPr>
          <w:rFonts w:ascii="Times New Roman" w:hAnsi="Times New Roman"/>
          <w:sz w:val="28"/>
          <w:szCs w:val="28"/>
          <w:lang w:eastAsia="es-ES"/>
        </w:rPr>
        <w:t>. Esta</w:t>
      </w:r>
      <w:r w:rsidRPr="007C57D2">
        <w:rPr>
          <w:rFonts w:ascii="Times New Roman" w:hAnsi="Times New Roman"/>
          <w:sz w:val="28"/>
          <w:szCs w:val="28"/>
          <w:lang w:eastAsia="es-ES"/>
        </w:rPr>
        <w:t xml:space="preserve"> sería una lectura </w:t>
      </w:r>
      <w:r w:rsidRPr="007C57D2">
        <w:rPr>
          <w:rFonts w:ascii="Times New Roman" w:hAnsi="Times New Roman"/>
          <w:sz w:val="28"/>
          <w:szCs w:val="28"/>
          <w:lang w:eastAsia="es-ES"/>
        </w:rPr>
        <w:t>irrazon</w:t>
      </w:r>
      <w:r w:rsidRPr="007C57D2">
        <w:rPr>
          <w:rFonts w:ascii="Times New Roman" w:hAnsi="Times New Roman"/>
          <w:sz w:val="28"/>
          <w:szCs w:val="28"/>
          <w:lang w:eastAsia="es-ES"/>
        </w:rPr>
        <w:t>able</w:t>
      </w:r>
      <w:r w:rsidRPr="007C57D2">
        <w:rPr>
          <w:rFonts w:ascii="Times New Roman" w:hAnsi="Times New Roman"/>
          <w:sz w:val="28"/>
          <w:szCs w:val="28"/>
          <w:lang w:eastAsia="es-ES"/>
        </w:rPr>
        <w:t xml:space="preserve"> del artículo 187 de la Ley 5 de 1992 que dificultaría el consenso en torno al texto que debe aprobarse</w:t>
      </w:r>
      <w:r w:rsidRPr="007C57D2">
        <w:rPr>
          <w:rStyle w:val="Refdenotaalpie"/>
          <w:rFonts w:ascii="Times New Roman" w:hAnsi="Times New Roman"/>
          <w:sz w:val="28"/>
          <w:szCs w:val="28"/>
          <w:lang w:eastAsia="es-ES"/>
        </w:rPr>
        <w:footnoteReference w:id="149"/>
      </w:r>
      <w:r w:rsidRPr="007C57D2">
        <w:rPr>
          <w:rFonts w:ascii="Times New Roman" w:hAnsi="Times New Roman"/>
          <w:sz w:val="28"/>
          <w:szCs w:val="28"/>
          <w:lang w:eastAsia="es-ES"/>
        </w:rPr>
        <w:t xml:space="preserve"> y afectaría la eficacia y la celeridad de la práctica legislativa</w:t>
      </w:r>
      <w:r w:rsidRPr="007C57D2">
        <w:rPr>
          <w:rStyle w:val="Refdenotaalpie"/>
          <w:rFonts w:ascii="Times New Roman" w:hAnsi="Times New Roman"/>
          <w:sz w:val="28"/>
          <w:szCs w:val="28"/>
          <w:lang w:eastAsia="es-ES"/>
        </w:rPr>
        <w:footnoteReference w:id="150"/>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Igualmente, este requisito no obliga a que se dé un espacio en la comisión de m</w:t>
      </w:r>
      <w:r w:rsidRPr="007C57D2">
        <w:rPr>
          <w:rFonts w:ascii="Times New Roman" w:hAnsi="Times New Roman"/>
          <w:sz w:val="28"/>
          <w:szCs w:val="28"/>
          <w:lang w:eastAsia="es-ES"/>
        </w:rPr>
        <w:t>ediación a congresistas de partidos de oposición, pues la obligación de cara a la pluralidad de bancadas en la comisión de conciliación “no es lo mismo que un deber hacia la oposición”</w:t>
      </w:r>
      <w:r w:rsidRPr="007C57D2">
        <w:rPr>
          <w:rStyle w:val="Refdenotaalpie"/>
          <w:rFonts w:ascii="Times New Roman" w:hAnsi="Times New Roman"/>
          <w:sz w:val="28"/>
          <w:szCs w:val="28"/>
          <w:lang w:eastAsia="es-ES"/>
        </w:rPr>
        <w:footnoteReference w:id="151"/>
      </w:r>
    </w:p>
    <w:p w:rsidR="00E84710" w:rsidRPr="007C57D2" w:rsidRDefault="007C57D2" w:rsidP="008F3DAB">
      <w:pPr>
        <w:tabs>
          <w:tab w:val="left" w:pos="567"/>
        </w:tabs>
        <w:spacing w:after="0" w:line="240" w:lineRule="auto"/>
        <w:ind w:hanging="11"/>
        <w:contextualSpacing/>
        <w:jc w:val="both"/>
        <w:rPr>
          <w:rFonts w:ascii="Times New Roman" w:hAnsi="Times New Roman"/>
          <w:sz w:val="28"/>
          <w:szCs w:val="28"/>
          <w:lang w:eastAsia="es-ES"/>
        </w:rPr>
      </w:pPr>
    </w:p>
    <w:p w:rsidR="006C77F1"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En relación con el tercer requisito, la Sala Plena considera necesari</w:t>
      </w:r>
      <w:r w:rsidRPr="007C57D2">
        <w:rPr>
          <w:rFonts w:ascii="Times New Roman" w:hAnsi="Times New Roman"/>
          <w:sz w:val="28"/>
          <w:szCs w:val="28"/>
          <w:lang w:eastAsia="es-ES"/>
        </w:rPr>
        <w:t xml:space="preserve">o precisar su alcance a la luz de dos recientes </w:t>
      </w:r>
      <w:r w:rsidRPr="007C57D2">
        <w:rPr>
          <w:rFonts w:ascii="Times New Roman" w:hAnsi="Times New Roman"/>
          <w:sz w:val="28"/>
          <w:szCs w:val="28"/>
          <w:lang w:eastAsia="es-ES"/>
        </w:rPr>
        <w:t>providencias</w:t>
      </w:r>
      <w:r w:rsidRPr="007C57D2">
        <w:rPr>
          <w:rFonts w:ascii="Times New Roman" w:hAnsi="Times New Roman"/>
          <w:sz w:val="28"/>
          <w:szCs w:val="28"/>
          <w:lang w:eastAsia="es-ES"/>
        </w:rPr>
        <w:t>: el Auto 1298 de 2024 y la Sentencia C</w:t>
      </w:r>
      <w:r w:rsidRPr="007C57D2">
        <w:rPr>
          <w:rFonts w:ascii="Times New Roman" w:hAnsi="Times New Roman"/>
          <w:sz w:val="28"/>
          <w:szCs w:val="28"/>
          <w:lang w:eastAsia="es-ES"/>
        </w:rPr>
        <w:t xml:space="preserve">-340 de 2025. La determinación de las reglas de decisión contenidas en estas providencias </w:t>
      </w:r>
      <w:r w:rsidRPr="007C57D2">
        <w:rPr>
          <w:rFonts w:ascii="Times New Roman" w:hAnsi="Times New Roman"/>
          <w:sz w:val="28"/>
          <w:szCs w:val="28"/>
          <w:lang w:eastAsia="es-ES"/>
        </w:rPr>
        <w:t>supone</w:t>
      </w:r>
      <w:r w:rsidRPr="007C57D2">
        <w:rPr>
          <w:rFonts w:ascii="Times New Roman" w:hAnsi="Times New Roman"/>
          <w:sz w:val="28"/>
          <w:szCs w:val="28"/>
          <w:lang w:eastAsia="es-ES"/>
        </w:rPr>
        <w:t xml:space="preserve"> examinar los fallos adoptados antes del citado auto y </w:t>
      </w:r>
      <w:r w:rsidRPr="007C57D2">
        <w:rPr>
          <w:rFonts w:ascii="Times New Roman" w:hAnsi="Times New Roman"/>
          <w:sz w:val="28"/>
          <w:szCs w:val="28"/>
          <w:lang w:eastAsia="es-ES"/>
        </w:rPr>
        <w:t xml:space="preserve">aquellos dictados </w:t>
      </w:r>
      <w:r w:rsidRPr="007C57D2">
        <w:rPr>
          <w:rFonts w:ascii="Times New Roman" w:hAnsi="Times New Roman"/>
          <w:sz w:val="28"/>
          <w:szCs w:val="28"/>
          <w:lang w:eastAsia="es-ES"/>
        </w:rPr>
        <w:t>con posterioridad a este, pero antes de la mencionada sentencia</w:t>
      </w:r>
      <w:r w:rsidRPr="007C57D2">
        <w:rPr>
          <w:rFonts w:ascii="Times New Roman" w:hAnsi="Times New Roman"/>
          <w:sz w:val="28"/>
          <w:szCs w:val="28"/>
          <w:lang w:eastAsia="es-ES"/>
        </w:rPr>
        <w:t>, que se han ocupado de examinar la validez de la composición de la comisión de conciliación por un senador y un representante a la Cámara del mismo partido político</w:t>
      </w:r>
      <w:r w:rsidRPr="007C57D2">
        <w:rPr>
          <w:rFonts w:ascii="Times New Roman" w:hAnsi="Times New Roman"/>
          <w:sz w:val="28"/>
          <w:szCs w:val="28"/>
          <w:lang w:eastAsia="es-ES"/>
        </w:rPr>
        <w:t xml:space="preserve">. </w:t>
      </w:r>
    </w:p>
    <w:p w:rsidR="00C10212" w:rsidRPr="007C57D2" w:rsidRDefault="007C57D2" w:rsidP="008F3DAB">
      <w:pPr>
        <w:pStyle w:val="Prrafodelista"/>
        <w:tabs>
          <w:tab w:val="left" w:pos="567"/>
        </w:tabs>
        <w:ind w:left="0"/>
        <w:jc w:val="both"/>
        <w:rPr>
          <w:rFonts w:ascii="Times New Roman" w:hAnsi="Times New Roman"/>
          <w:sz w:val="28"/>
          <w:szCs w:val="28"/>
          <w:lang w:eastAsia="es-ES"/>
        </w:rPr>
      </w:pPr>
    </w:p>
    <w:p w:rsidR="0077313D"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i/>
          <w:iCs/>
          <w:sz w:val="28"/>
          <w:szCs w:val="28"/>
          <w:lang w:eastAsia="es-ES"/>
        </w:rPr>
        <w:t>Decisi</w:t>
      </w:r>
      <w:r w:rsidRPr="007C57D2">
        <w:rPr>
          <w:rFonts w:ascii="Times New Roman" w:hAnsi="Times New Roman"/>
          <w:i/>
          <w:iCs/>
          <w:sz w:val="28"/>
          <w:szCs w:val="28"/>
          <w:lang w:eastAsia="es-ES"/>
        </w:rPr>
        <w:t>ones anteriores al Auto 1298 de 2024</w:t>
      </w:r>
      <w:r w:rsidRPr="007C57D2">
        <w:rPr>
          <w:rFonts w:ascii="Times New Roman" w:hAnsi="Times New Roman"/>
          <w:sz w:val="28"/>
          <w:szCs w:val="28"/>
          <w:lang w:eastAsia="es-ES"/>
        </w:rPr>
        <w:t xml:space="preserve">. La versión original del artículo 187 de la Ley 5 de 1992 únicamente establecía que las </w:t>
      </w:r>
      <w:r w:rsidRPr="007C57D2">
        <w:rPr>
          <w:rFonts w:ascii="Times New Roman" w:hAnsi="Times New Roman"/>
          <w:sz w:val="28"/>
          <w:szCs w:val="28"/>
          <w:lang w:eastAsia="es-ES"/>
        </w:rPr>
        <w:t xml:space="preserve">comisiones </w:t>
      </w:r>
      <w:r w:rsidRPr="007C57D2">
        <w:rPr>
          <w:rFonts w:ascii="Times New Roman" w:hAnsi="Times New Roman"/>
          <w:sz w:val="28"/>
          <w:szCs w:val="28"/>
          <w:lang w:eastAsia="es-ES"/>
        </w:rPr>
        <w:t xml:space="preserve">accidentales de conciliación estarían integradas </w:t>
      </w:r>
      <w:r w:rsidRPr="007C57D2">
        <w:rPr>
          <w:rFonts w:ascii="Times New Roman" w:hAnsi="Times New Roman"/>
          <w:i/>
          <w:iCs/>
          <w:sz w:val="28"/>
          <w:szCs w:val="28"/>
          <w:lang w:eastAsia="es-ES"/>
        </w:rPr>
        <w:t>preferencialmente</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por miembros de las respectivas comisiones permanente</w:t>
      </w:r>
      <w:r w:rsidRPr="007C57D2">
        <w:rPr>
          <w:rFonts w:ascii="Times New Roman" w:hAnsi="Times New Roman"/>
          <w:sz w:val="28"/>
          <w:szCs w:val="28"/>
          <w:lang w:eastAsia="es-ES"/>
        </w:rPr>
        <w:t xml:space="preserve">s que participaron en la discusión de los proyectos, así como por sus autores y ponentes y quienes hubiesen formulado reparos, observaciones o propuestas en las plenarias. Mediante el artículo 17 de la Ley 974 de 2005, el legislador </w:t>
      </w:r>
      <w:r w:rsidRPr="007C57D2">
        <w:rPr>
          <w:rFonts w:ascii="Times New Roman" w:hAnsi="Times New Roman"/>
          <w:sz w:val="28"/>
          <w:szCs w:val="28"/>
          <w:lang w:eastAsia="es-ES"/>
        </w:rPr>
        <w:t>eliminó la expresión “p</w:t>
      </w:r>
      <w:r w:rsidRPr="007C57D2">
        <w:rPr>
          <w:rFonts w:ascii="Times New Roman" w:hAnsi="Times New Roman"/>
          <w:sz w:val="28"/>
          <w:szCs w:val="28"/>
          <w:lang w:eastAsia="es-ES"/>
        </w:rPr>
        <w:t xml:space="preserve">referencialmente” del primer inciso y </w:t>
      </w:r>
      <w:r w:rsidRPr="007C57D2">
        <w:rPr>
          <w:rFonts w:ascii="Times New Roman" w:hAnsi="Times New Roman"/>
          <w:sz w:val="28"/>
          <w:szCs w:val="28"/>
          <w:lang w:eastAsia="es-ES"/>
        </w:rPr>
        <w:t xml:space="preserve">adicionó </w:t>
      </w:r>
      <w:r w:rsidRPr="007C57D2">
        <w:rPr>
          <w:rFonts w:ascii="Times New Roman" w:hAnsi="Times New Roman"/>
          <w:sz w:val="28"/>
          <w:szCs w:val="28"/>
          <w:lang w:eastAsia="es-ES"/>
        </w:rPr>
        <w:t xml:space="preserve">un segundo </w:t>
      </w:r>
      <w:r w:rsidRPr="007C57D2">
        <w:rPr>
          <w:rFonts w:ascii="Times New Roman" w:hAnsi="Times New Roman"/>
          <w:sz w:val="28"/>
          <w:szCs w:val="28"/>
          <w:lang w:eastAsia="es-ES"/>
        </w:rPr>
        <w:t xml:space="preserve">inciso </w:t>
      </w:r>
      <w:r w:rsidRPr="007C57D2">
        <w:rPr>
          <w:rFonts w:ascii="Times New Roman" w:hAnsi="Times New Roman"/>
          <w:sz w:val="28"/>
          <w:szCs w:val="28"/>
          <w:lang w:eastAsia="es-ES"/>
        </w:rPr>
        <w:t>en virtud del cual, “[e]n todo caso las Mesas Directivas asegurarán la representación de las bancadas en tales Comisiones”.</w:t>
      </w:r>
    </w:p>
    <w:p w:rsidR="002E00B5" w:rsidRPr="007C57D2" w:rsidRDefault="007C57D2" w:rsidP="008F3DAB">
      <w:pPr>
        <w:pStyle w:val="Prrafodelista"/>
        <w:tabs>
          <w:tab w:val="left" w:pos="567"/>
        </w:tabs>
        <w:ind w:left="0"/>
        <w:jc w:val="both"/>
        <w:rPr>
          <w:rFonts w:ascii="Times New Roman" w:hAnsi="Times New Roman"/>
          <w:sz w:val="28"/>
          <w:szCs w:val="28"/>
          <w:lang w:eastAsia="es-ES"/>
        </w:rPr>
      </w:pPr>
    </w:p>
    <w:p w:rsidR="002E00B5"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 xml:space="preserve">En la Sentencia C-453 de 2006, la </w:t>
      </w:r>
      <w:r w:rsidRPr="007C57D2">
        <w:rPr>
          <w:rFonts w:ascii="Times New Roman" w:hAnsi="Times New Roman"/>
          <w:sz w:val="28"/>
          <w:szCs w:val="28"/>
          <w:lang w:eastAsia="es-ES"/>
        </w:rPr>
        <w:t>Corporación</w:t>
      </w:r>
      <w:r w:rsidRPr="007C57D2">
        <w:rPr>
          <w:rFonts w:ascii="Times New Roman" w:hAnsi="Times New Roman"/>
          <w:sz w:val="28"/>
          <w:szCs w:val="28"/>
          <w:lang w:eastAsia="es-ES"/>
        </w:rPr>
        <w:t xml:space="preserve"> explicó que las modificaciones indicadas buscaron armonizar el reglamento del Congreso con lo dispuesto en la Ley de bancadas. La supresión de la voz “preferencialmente” y la adición del inciso 2 exige que “las indicaciones acerca de cómo deben estar inte</w:t>
      </w:r>
      <w:r w:rsidRPr="007C57D2">
        <w:rPr>
          <w:rFonts w:ascii="Times New Roman" w:hAnsi="Times New Roman"/>
          <w:sz w:val="28"/>
          <w:szCs w:val="28"/>
          <w:lang w:eastAsia="es-ES"/>
        </w:rPr>
        <w:t>gradas estas comisiones no sea ‘opcional’, sino ‘obligatorio’ y se asegure entonces, la representación efectiva de las bancadas, de acuerdo con los propósitos y objetivos adoptados de la Ley 974 de 2005”.</w:t>
      </w:r>
    </w:p>
    <w:p w:rsidR="002E00B5" w:rsidRPr="007C57D2" w:rsidRDefault="007C57D2" w:rsidP="008F3DAB">
      <w:pPr>
        <w:pStyle w:val="Prrafodelista"/>
        <w:tabs>
          <w:tab w:val="left" w:pos="567"/>
        </w:tabs>
        <w:ind w:left="0"/>
        <w:jc w:val="both"/>
        <w:rPr>
          <w:rFonts w:ascii="Times New Roman" w:hAnsi="Times New Roman"/>
          <w:sz w:val="28"/>
          <w:szCs w:val="28"/>
          <w:lang w:eastAsia="es-ES"/>
        </w:rPr>
      </w:pPr>
    </w:p>
    <w:p w:rsidR="008A4F7B"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A pesar de la reforma introducida por la Ley 974 d</w:t>
      </w:r>
      <w:r w:rsidRPr="007C57D2">
        <w:rPr>
          <w:rFonts w:ascii="Times New Roman" w:hAnsi="Times New Roman"/>
          <w:sz w:val="28"/>
          <w:szCs w:val="28"/>
          <w:lang w:eastAsia="es-ES"/>
        </w:rPr>
        <w:t xml:space="preserve">e 2005, </w:t>
      </w:r>
      <w:r w:rsidRPr="007C57D2">
        <w:rPr>
          <w:rFonts w:ascii="Times New Roman" w:hAnsi="Times New Roman"/>
          <w:sz w:val="28"/>
          <w:szCs w:val="28"/>
          <w:lang w:eastAsia="es-ES"/>
        </w:rPr>
        <w:t xml:space="preserve">antes del Auto 1298 de 2024, </w:t>
      </w:r>
      <w:r w:rsidRPr="007C57D2">
        <w:rPr>
          <w:rFonts w:ascii="Times New Roman" w:hAnsi="Times New Roman"/>
          <w:sz w:val="28"/>
          <w:szCs w:val="28"/>
          <w:lang w:eastAsia="es-ES"/>
        </w:rPr>
        <w:t xml:space="preserve">el cual será explicado a continuación, </w:t>
      </w:r>
      <w:r w:rsidRPr="007C57D2">
        <w:rPr>
          <w:rFonts w:ascii="Times New Roman" w:hAnsi="Times New Roman"/>
          <w:sz w:val="28"/>
          <w:szCs w:val="28"/>
          <w:lang w:eastAsia="es-ES"/>
        </w:rPr>
        <w:t xml:space="preserve">en el examen de trámites legislativos concretos, la Sala no </w:t>
      </w:r>
      <w:r w:rsidRPr="007C57D2">
        <w:rPr>
          <w:rFonts w:ascii="Times New Roman" w:hAnsi="Times New Roman"/>
          <w:sz w:val="28"/>
          <w:szCs w:val="28"/>
          <w:lang w:eastAsia="es-ES"/>
        </w:rPr>
        <w:t>aplicó</w:t>
      </w:r>
      <w:r w:rsidRPr="007C57D2">
        <w:rPr>
          <w:rFonts w:ascii="Times New Roman" w:hAnsi="Times New Roman"/>
          <w:sz w:val="28"/>
          <w:szCs w:val="28"/>
          <w:lang w:eastAsia="es-ES"/>
        </w:rPr>
        <w:t xml:space="preserve"> una regla uniforme que </w:t>
      </w:r>
      <w:r w:rsidRPr="007C57D2">
        <w:rPr>
          <w:rFonts w:ascii="Times New Roman" w:hAnsi="Times New Roman"/>
          <w:sz w:val="28"/>
          <w:szCs w:val="28"/>
          <w:lang w:eastAsia="es-ES"/>
        </w:rPr>
        <w:t>implicara</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que </w:t>
      </w:r>
      <w:r w:rsidRPr="007C57D2">
        <w:rPr>
          <w:rFonts w:ascii="Times New Roman" w:hAnsi="Times New Roman"/>
          <w:sz w:val="28"/>
          <w:szCs w:val="28"/>
          <w:lang w:eastAsia="es-ES"/>
        </w:rPr>
        <w:t xml:space="preserve">la conformación de la comisión accidental de conciliación </w:t>
      </w:r>
      <w:r w:rsidRPr="007C57D2">
        <w:rPr>
          <w:rFonts w:ascii="Times New Roman" w:hAnsi="Times New Roman"/>
          <w:sz w:val="28"/>
          <w:szCs w:val="28"/>
          <w:lang w:eastAsia="es-ES"/>
        </w:rPr>
        <w:t xml:space="preserve">por </w:t>
      </w:r>
      <w:r w:rsidRPr="007C57D2">
        <w:rPr>
          <w:rFonts w:ascii="Times New Roman" w:hAnsi="Times New Roman"/>
          <w:sz w:val="28"/>
          <w:szCs w:val="28"/>
          <w:lang w:eastAsia="es-ES"/>
        </w:rPr>
        <w:t>dos integrante</w:t>
      </w:r>
      <w:r w:rsidRPr="007C57D2">
        <w:rPr>
          <w:rFonts w:ascii="Times New Roman" w:hAnsi="Times New Roman"/>
          <w:sz w:val="28"/>
          <w:szCs w:val="28"/>
          <w:lang w:eastAsia="es-ES"/>
        </w:rPr>
        <w:t>s (uno por el Senado y otro por la Cámara)</w:t>
      </w:r>
      <w:r w:rsidRPr="007C57D2">
        <w:rPr>
          <w:rFonts w:ascii="Times New Roman" w:hAnsi="Times New Roman"/>
          <w:sz w:val="28"/>
          <w:szCs w:val="28"/>
          <w:lang w:eastAsia="es-ES"/>
        </w:rPr>
        <w:t xml:space="preserve"> de un mismo partido político fuera inválida</w:t>
      </w:r>
      <w:r w:rsidRPr="007C57D2">
        <w:rPr>
          <w:rFonts w:ascii="Times New Roman" w:hAnsi="Times New Roman"/>
          <w:sz w:val="28"/>
          <w:szCs w:val="28"/>
          <w:lang w:eastAsia="es-ES"/>
        </w:rPr>
        <w:t xml:space="preserve">. En efecto, en las </w:t>
      </w:r>
      <w:r w:rsidRPr="007C57D2">
        <w:rPr>
          <w:rFonts w:ascii="Times New Roman" w:hAnsi="Times New Roman"/>
          <w:sz w:val="28"/>
          <w:szCs w:val="28"/>
          <w:lang w:eastAsia="es-ES"/>
        </w:rPr>
        <w:t>s</w:t>
      </w:r>
      <w:r w:rsidRPr="007C57D2">
        <w:rPr>
          <w:rFonts w:ascii="Times New Roman" w:hAnsi="Times New Roman"/>
          <w:sz w:val="28"/>
          <w:szCs w:val="28"/>
          <w:lang w:eastAsia="es-ES"/>
        </w:rPr>
        <w:t>entencias C-346 y C-181 de 2022 y C-121 de 2024, la Corte no cuestionó y tampoco declaró la inexequibilidad de la conformación de comisiones de conci</w:t>
      </w:r>
      <w:r w:rsidRPr="007C57D2">
        <w:rPr>
          <w:rFonts w:ascii="Times New Roman" w:hAnsi="Times New Roman"/>
          <w:sz w:val="28"/>
          <w:szCs w:val="28"/>
          <w:lang w:eastAsia="es-ES"/>
        </w:rPr>
        <w:t xml:space="preserve">liación integradas por un único senador y un único representante pertenecientes a la misma bancada. </w:t>
      </w:r>
    </w:p>
    <w:p w:rsidR="008A4F7B" w:rsidRPr="007C57D2" w:rsidRDefault="007C57D2" w:rsidP="008F3DAB">
      <w:pPr>
        <w:pStyle w:val="Prrafodelista"/>
        <w:tabs>
          <w:tab w:val="left" w:pos="567"/>
        </w:tabs>
        <w:ind w:left="0"/>
        <w:jc w:val="both"/>
        <w:rPr>
          <w:rFonts w:ascii="Times New Roman" w:hAnsi="Times New Roman"/>
          <w:sz w:val="28"/>
          <w:szCs w:val="28"/>
          <w:lang w:eastAsia="es-ES"/>
        </w:rPr>
      </w:pPr>
    </w:p>
    <w:p w:rsidR="008A4F7B"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Así, en el caso de la Sentencia C-346 de 2022, la comisión accidental de conciliación estuvo conformada por un</w:t>
      </w:r>
      <w:r w:rsidRPr="007C57D2">
        <w:rPr>
          <w:rFonts w:ascii="Times New Roman" w:hAnsi="Times New Roman"/>
          <w:sz w:val="28"/>
          <w:szCs w:val="28"/>
          <w:lang w:eastAsia="es-ES"/>
        </w:rPr>
        <w:t>a</w:t>
      </w:r>
      <w:r w:rsidRPr="007C57D2">
        <w:rPr>
          <w:rFonts w:ascii="Times New Roman" w:hAnsi="Times New Roman"/>
          <w:sz w:val="28"/>
          <w:szCs w:val="28"/>
          <w:lang w:eastAsia="es-ES"/>
        </w:rPr>
        <w:t xml:space="preserve"> representante y un senador, ambos del Part</w:t>
      </w:r>
      <w:r w:rsidRPr="007C57D2">
        <w:rPr>
          <w:rFonts w:ascii="Times New Roman" w:hAnsi="Times New Roman"/>
          <w:sz w:val="28"/>
          <w:szCs w:val="28"/>
          <w:lang w:eastAsia="es-ES"/>
        </w:rPr>
        <w:t>ido Liberal</w:t>
      </w:r>
      <w:r w:rsidRPr="007C57D2">
        <w:rPr>
          <w:rFonts w:ascii="Times New Roman" w:hAnsi="Times New Roman"/>
          <w:sz w:val="28"/>
          <w:szCs w:val="28"/>
          <w:lang w:eastAsia="es-ES"/>
        </w:rPr>
        <w:t xml:space="preserve">; en la Sentencia C-181 del mismo año, por un senador y un representante, los dos del Partido Centro Democrático; y en la Sentencia C-121 de 2024, por una senadora del Partido Pacto Histórico y un representante de la misma colectividad. </w:t>
      </w:r>
    </w:p>
    <w:p w:rsidR="008A4F7B" w:rsidRPr="007C57D2" w:rsidRDefault="007C57D2" w:rsidP="008F3DAB">
      <w:pPr>
        <w:pStyle w:val="Prrafodelista"/>
        <w:tabs>
          <w:tab w:val="left" w:pos="567"/>
        </w:tabs>
        <w:ind w:left="0"/>
        <w:jc w:val="both"/>
        <w:rPr>
          <w:rFonts w:ascii="Times New Roman" w:hAnsi="Times New Roman"/>
          <w:sz w:val="28"/>
          <w:szCs w:val="28"/>
          <w:lang w:eastAsia="es-ES"/>
        </w:rPr>
      </w:pPr>
    </w:p>
    <w:p w:rsidR="00EF10B4"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 xml:space="preserve">Lo </w:t>
      </w:r>
      <w:r w:rsidRPr="007C57D2">
        <w:rPr>
          <w:rFonts w:ascii="Times New Roman" w:hAnsi="Times New Roman"/>
          <w:sz w:val="28"/>
          <w:szCs w:val="28"/>
          <w:lang w:eastAsia="es-ES"/>
        </w:rPr>
        <w:t>anterior supone admitir que</w:t>
      </w:r>
      <w:r w:rsidRPr="007C57D2">
        <w:rPr>
          <w:rFonts w:ascii="Times New Roman" w:hAnsi="Times New Roman"/>
          <w:sz w:val="28"/>
          <w:szCs w:val="28"/>
          <w:lang w:eastAsia="es-ES"/>
        </w:rPr>
        <w:t xml:space="preserve">, a pesar de lo previsto en el artículo 187 de la Ley 5 de 1992, modificado por el artículo 17 de la Ley 974 de 2005, </w:t>
      </w:r>
      <w:r w:rsidRPr="007C57D2">
        <w:rPr>
          <w:rFonts w:ascii="Times New Roman" w:hAnsi="Times New Roman"/>
          <w:sz w:val="28"/>
          <w:szCs w:val="28"/>
          <w:lang w:eastAsia="es-ES"/>
        </w:rPr>
        <w:t>con anterioridad al Auto 1298 de 2024</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la pluralidad de bancadas </w:t>
      </w:r>
      <w:r w:rsidRPr="007C57D2">
        <w:rPr>
          <w:rFonts w:ascii="Times New Roman" w:hAnsi="Times New Roman"/>
          <w:sz w:val="28"/>
          <w:szCs w:val="28"/>
          <w:lang w:eastAsia="es-ES"/>
        </w:rPr>
        <w:t>no era</w:t>
      </w:r>
      <w:r w:rsidRPr="007C57D2">
        <w:rPr>
          <w:rFonts w:ascii="Times New Roman" w:hAnsi="Times New Roman"/>
          <w:sz w:val="28"/>
          <w:szCs w:val="28"/>
          <w:lang w:eastAsia="es-ES"/>
        </w:rPr>
        <w:t xml:space="preserve"> un requisito inequívoco para la validez</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de la conformación de la comisión accidental de conciliación. </w:t>
      </w:r>
    </w:p>
    <w:p w:rsidR="001764DD" w:rsidRPr="007C57D2" w:rsidRDefault="007C57D2" w:rsidP="008F3DAB">
      <w:pPr>
        <w:pStyle w:val="Prrafodelista"/>
        <w:tabs>
          <w:tab w:val="left" w:pos="567"/>
        </w:tabs>
        <w:ind w:left="0"/>
        <w:jc w:val="both"/>
        <w:rPr>
          <w:rFonts w:ascii="Times New Roman" w:hAnsi="Times New Roman"/>
          <w:sz w:val="28"/>
          <w:szCs w:val="28"/>
          <w:lang w:eastAsia="es-ES"/>
        </w:rPr>
      </w:pPr>
    </w:p>
    <w:p w:rsidR="005471C7"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i/>
          <w:iCs/>
          <w:sz w:val="28"/>
          <w:szCs w:val="28"/>
          <w:lang w:eastAsia="es-ES"/>
        </w:rPr>
        <w:t>El Auto 1298 de 2024</w:t>
      </w:r>
      <w:r w:rsidRPr="007C57D2">
        <w:rPr>
          <w:rFonts w:ascii="Times New Roman" w:hAnsi="Times New Roman"/>
          <w:sz w:val="28"/>
          <w:szCs w:val="28"/>
          <w:lang w:eastAsia="es-ES"/>
        </w:rPr>
        <w:t xml:space="preserve">. En esta providencia, la Sala Plena </w:t>
      </w:r>
      <w:r w:rsidRPr="007C57D2">
        <w:rPr>
          <w:rFonts w:ascii="Times New Roman" w:hAnsi="Times New Roman"/>
          <w:sz w:val="28"/>
          <w:szCs w:val="28"/>
          <w:lang w:eastAsia="es-ES"/>
        </w:rPr>
        <w:t xml:space="preserve">estudió el trámite legislativo del Proyecto de Ley Estatutaria 190 de 2022 Cámara, 303 de 2023 Senado. Allí se ocupó de analizar </w:t>
      </w:r>
      <w:r w:rsidRPr="007C57D2">
        <w:rPr>
          <w:rFonts w:ascii="Times New Roman" w:hAnsi="Times New Roman"/>
          <w:sz w:val="28"/>
          <w:szCs w:val="28"/>
          <w:lang w:eastAsia="es-ES"/>
        </w:rPr>
        <w:t>la va</w:t>
      </w:r>
      <w:r w:rsidRPr="007C57D2">
        <w:rPr>
          <w:rFonts w:ascii="Times New Roman" w:hAnsi="Times New Roman"/>
          <w:sz w:val="28"/>
          <w:szCs w:val="28"/>
          <w:lang w:eastAsia="es-ES"/>
        </w:rPr>
        <w:t>lidez de la conformación de una comisión de conciliación por un representante y un senador</w:t>
      </w:r>
      <w:r w:rsidRPr="007C57D2">
        <w:rPr>
          <w:rFonts w:ascii="Times New Roman" w:hAnsi="Times New Roman"/>
          <w:sz w:val="28"/>
          <w:szCs w:val="28"/>
          <w:lang w:eastAsia="es-ES"/>
        </w:rPr>
        <w:t>, ambos del Partido Alianza Verde</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La Corte concluyó que dicha conformación constituía un vicio de procedimiento porque no </w:t>
      </w:r>
      <w:r w:rsidRPr="007C57D2">
        <w:rPr>
          <w:rFonts w:ascii="Times New Roman" w:hAnsi="Times New Roman"/>
          <w:sz w:val="28"/>
          <w:szCs w:val="28"/>
          <w:lang w:eastAsia="es-ES"/>
        </w:rPr>
        <w:t>contenía</w:t>
      </w:r>
      <w:r w:rsidRPr="007C57D2">
        <w:rPr>
          <w:rFonts w:ascii="Times New Roman" w:hAnsi="Times New Roman"/>
          <w:sz w:val="28"/>
          <w:szCs w:val="28"/>
          <w:lang w:eastAsia="es-ES"/>
        </w:rPr>
        <w:t xml:space="preserve"> un número plural de partidos polít</w:t>
      </w:r>
      <w:r w:rsidRPr="007C57D2">
        <w:rPr>
          <w:rFonts w:ascii="Times New Roman" w:hAnsi="Times New Roman"/>
          <w:sz w:val="28"/>
          <w:szCs w:val="28"/>
          <w:lang w:eastAsia="es-ES"/>
        </w:rPr>
        <w:t xml:space="preserve">icos. En consecuencia, dijo la </w:t>
      </w:r>
      <w:r w:rsidRPr="007C57D2">
        <w:rPr>
          <w:rFonts w:ascii="Times New Roman" w:hAnsi="Times New Roman"/>
          <w:sz w:val="28"/>
          <w:szCs w:val="28"/>
          <w:lang w:eastAsia="es-ES"/>
        </w:rPr>
        <w:t>Corporación</w:t>
      </w:r>
      <w:r w:rsidRPr="007C57D2">
        <w:rPr>
          <w:rFonts w:ascii="Times New Roman" w:hAnsi="Times New Roman"/>
          <w:sz w:val="28"/>
          <w:szCs w:val="28"/>
          <w:lang w:eastAsia="es-ES"/>
        </w:rPr>
        <w:t xml:space="preserve">, para respetar </w:t>
      </w:r>
      <w:r w:rsidRPr="007C57D2">
        <w:rPr>
          <w:rFonts w:ascii="Times New Roman" w:hAnsi="Times New Roman"/>
          <w:color w:val="000000"/>
          <w:sz w:val="28"/>
          <w:szCs w:val="28"/>
          <w:shd w:val="clear" w:color="auto" w:fill="FFFFFF"/>
          <w:lang w:val="es-ES_tradnl"/>
        </w:rPr>
        <w:t xml:space="preserve">el principio de pluralismo político, </w:t>
      </w:r>
      <w:r w:rsidRPr="007C57D2">
        <w:rPr>
          <w:rFonts w:ascii="Times New Roman" w:hAnsi="Times New Roman"/>
          <w:color w:val="000000"/>
          <w:sz w:val="28"/>
          <w:szCs w:val="28"/>
          <w:shd w:val="clear" w:color="auto" w:fill="FFFFFF"/>
        </w:rPr>
        <w:t xml:space="preserve">en el trámite de leyes en las que la conciliación verse sobre aspectos materiales y sustanciales relevantes del proyecto, </w:t>
      </w:r>
      <w:r w:rsidRPr="007C57D2">
        <w:rPr>
          <w:rFonts w:ascii="Times New Roman" w:hAnsi="Times New Roman"/>
          <w:color w:val="000000"/>
          <w:sz w:val="28"/>
          <w:szCs w:val="28"/>
          <w:shd w:val="clear" w:color="auto" w:fill="FFFFFF"/>
        </w:rPr>
        <w:t xml:space="preserve">las mesas directivas de cada cámara legislativa deben asegurar que las comisiones de conciliación estén conformadas por miembros de al menos dos bancadas por cada </w:t>
      </w:r>
      <w:r w:rsidRPr="007C57D2">
        <w:rPr>
          <w:rFonts w:ascii="Times New Roman" w:hAnsi="Times New Roman"/>
          <w:color w:val="000000"/>
          <w:sz w:val="28"/>
          <w:szCs w:val="28"/>
          <w:shd w:val="clear" w:color="auto" w:fill="FFFFFF"/>
        </w:rPr>
        <w:t>Corporación</w:t>
      </w:r>
      <w:r w:rsidRPr="007C57D2">
        <w:rPr>
          <w:rFonts w:ascii="Times New Roman" w:hAnsi="Times New Roman"/>
          <w:color w:val="000000"/>
          <w:sz w:val="28"/>
          <w:szCs w:val="28"/>
          <w:shd w:val="clear" w:color="auto" w:fill="FFFFFF"/>
        </w:rPr>
        <w:t>.</w:t>
      </w:r>
    </w:p>
    <w:p w:rsidR="005471C7" w:rsidRPr="007C57D2" w:rsidRDefault="007C57D2" w:rsidP="008F3DAB">
      <w:pPr>
        <w:pStyle w:val="Prrafodelista"/>
        <w:tabs>
          <w:tab w:val="left" w:pos="567"/>
        </w:tabs>
        <w:ind w:left="0"/>
        <w:jc w:val="both"/>
        <w:rPr>
          <w:rFonts w:ascii="Times New Roman" w:hAnsi="Times New Roman"/>
          <w:sz w:val="28"/>
          <w:szCs w:val="28"/>
          <w:lang w:eastAsia="es-ES"/>
        </w:rPr>
      </w:pPr>
    </w:p>
    <w:p w:rsidR="008C45A9"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color w:val="000000"/>
          <w:sz w:val="28"/>
          <w:szCs w:val="28"/>
          <w:shd w:val="clear" w:color="auto" w:fill="FFFFFF"/>
        </w:rPr>
        <w:t>La Sala advirtió que lo anterior “debe cumplirse, sin perjuicio de la necesaria</w:t>
      </w:r>
      <w:r w:rsidRPr="007C57D2">
        <w:rPr>
          <w:rFonts w:ascii="Times New Roman" w:hAnsi="Times New Roman"/>
          <w:color w:val="000000"/>
          <w:sz w:val="28"/>
          <w:szCs w:val="28"/>
          <w:shd w:val="clear" w:color="auto" w:fill="FFFFFF"/>
        </w:rPr>
        <w:t xml:space="preserve"> ponderación y verificación de las singularidades de cada proyecto de ley y del carácter adjetivo o material de las diferencias entre los textos por conciliar, lo cual será examinado por la Corte Constitucional al analizar particularmente los trámites legi</w:t>
      </w:r>
      <w:r w:rsidRPr="007C57D2">
        <w:rPr>
          <w:rFonts w:ascii="Times New Roman" w:hAnsi="Times New Roman"/>
          <w:color w:val="000000"/>
          <w:sz w:val="28"/>
          <w:szCs w:val="28"/>
          <w:shd w:val="clear" w:color="auto" w:fill="FFFFFF"/>
        </w:rPr>
        <w:t>slativos que se sometan a su consideración”.</w:t>
      </w:r>
      <w:r w:rsidRPr="007C57D2">
        <w:rPr>
          <w:rFonts w:ascii="Times New Roman" w:hAnsi="Times New Roman"/>
          <w:color w:val="000000"/>
          <w:sz w:val="28"/>
          <w:szCs w:val="28"/>
          <w:shd w:val="clear" w:color="auto" w:fill="FFFFFF"/>
        </w:rPr>
        <w:t xml:space="preserve"> En cualquier caso, </w:t>
      </w:r>
      <w:r w:rsidRPr="007C57D2">
        <w:rPr>
          <w:rFonts w:ascii="Times New Roman" w:hAnsi="Times New Roman"/>
          <w:sz w:val="28"/>
          <w:szCs w:val="28"/>
          <w:shd w:val="clear" w:color="auto" w:fill="FFFFFF"/>
        </w:rPr>
        <w:t>“[l]</w:t>
      </w:r>
      <w:r w:rsidRPr="007C57D2">
        <w:rPr>
          <w:rFonts w:ascii="Times New Roman" w:hAnsi="Times New Roman"/>
          <w:sz w:val="28"/>
          <w:szCs w:val="28"/>
          <w:shd w:val="clear" w:color="auto" w:fill="FFFFFF"/>
          <w:lang w:val="es-ES_tradnl"/>
        </w:rPr>
        <w:t>a publicidad, la ausencia de oposición y la votación del informe conciliatorio no pueden aceptarse como mecanismos de convalidación en este caso, pues estos no suplen el propósito antedich</w:t>
      </w:r>
      <w:r w:rsidRPr="007C57D2">
        <w:rPr>
          <w:rFonts w:ascii="Times New Roman" w:hAnsi="Times New Roman"/>
          <w:sz w:val="28"/>
          <w:szCs w:val="28"/>
          <w:shd w:val="clear" w:color="auto" w:fill="FFFFFF"/>
          <w:lang w:val="es-ES_tradnl"/>
        </w:rPr>
        <w:t xml:space="preserve">o”. </w:t>
      </w:r>
    </w:p>
    <w:p w:rsidR="008C45A9" w:rsidRPr="007C57D2" w:rsidRDefault="007C57D2" w:rsidP="008F3DAB">
      <w:pPr>
        <w:spacing w:after="0" w:line="240" w:lineRule="auto"/>
        <w:jc w:val="both"/>
        <w:rPr>
          <w:rFonts w:ascii="Times New Roman" w:hAnsi="Times New Roman"/>
          <w:sz w:val="28"/>
          <w:szCs w:val="28"/>
          <w:shd w:val="clear" w:color="auto" w:fill="FFFFFF"/>
          <w:lang w:val="es-ES_tradnl"/>
        </w:rPr>
      </w:pPr>
    </w:p>
    <w:p w:rsidR="00EB2A5A"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 xml:space="preserve">En este orden, la Sala concluyó que había un vicio subsanable, pues si bien se había cumplido con los requisitos de simetría y de calidad de los integrantes de la comisión de conciliación, </w:t>
      </w:r>
      <w:r w:rsidRPr="007C57D2">
        <w:rPr>
          <w:rFonts w:ascii="Times New Roman" w:hAnsi="Times New Roman"/>
          <w:sz w:val="28"/>
          <w:szCs w:val="28"/>
          <w:lang w:eastAsia="es-ES"/>
        </w:rPr>
        <w:t>la conformación de la comisión de conciliación no</w:t>
      </w:r>
      <w:r w:rsidRPr="007C57D2">
        <w:rPr>
          <w:rFonts w:ascii="Times New Roman" w:hAnsi="Times New Roman"/>
          <w:sz w:val="28"/>
          <w:szCs w:val="28"/>
          <w:lang w:eastAsia="es-ES"/>
        </w:rPr>
        <w:t xml:space="preserve"> había cumplido el requisito de representación de las bancadas</w:t>
      </w:r>
      <w:r w:rsidRPr="007C57D2">
        <w:rPr>
          <w:rFonts w:ascii="Times New Roman" w:hAnsi="Times New Roman"/>
          <w:sz w:val="28"/>
          <w:szCs w:val="28"/>
          <w:lang w:eastAsia="es-ES"/>
        </w:rPr>
        <w:t>: miembros de diferentes partidos políticos y más dos bancadas</w:t>
      </w:r>
      <w:r w:rsidRPr="007C57D2">
        <w:rPr>
          <w:rFonts w:ascii="Times New Roman" w:hAnsi="Times New Roman"/>
          <w:sz w:val="28"/>
          <w:szCs w:val="28"/>
          <w:lang w:eastAsia="es-ES"/>
        </w:rPr>
        <w:t>. </w:t>
      </w:r>
    </w:p>
    <w:p w:rsidR="00EB2A5A" w:rsidRPr="007C57D2" w:rsidRDefault="007C57D2" w:rsidP="008F3DAB">
      <w:pPr>
        <w:pStyle w:val="Prrafodelista"/>
        <w:tabs>
          <w:tab w:val="left" w:pos="567"/>
        </w:tabs>
        <w:ind w:left="0"/>
        <w:jc w:val="both"/>
        <w:rPr>
          <w:rFonts w:ascii="Times New Roman" w:hAnsi="Times New Roman"/>
          <w:sz w:val="28"/>
          <w:szCs w:val="28"/>
          <w:lang w:eastAsia="es-ES"/>
        </w:rPr>
      </w:pPr>
    </w:p>
    <w:p w:rsidR="008C45A9"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Con posterioridad al Auto 1298 de 2024, en la Sentencia C-121 de 2025, la Corte examinó una comisión conformada por un senador y</w:t>
      </w:r>
      <w:r w:rsidRPr="007C57D2">
        <w:rPr>
          <w:rFonts w:ascii="Times New Roman" w:hAnsi="Times New Roman"/>
          <w:sz w:val="28"/>
          <w:szCs w:val="28"/>
          <w:lang w:eastAsia="es-ES"/>
        </w:rPr>
        <w:t xml:space="preserve"> un representante, ambos del Pacto Histórico, y no consideró irregular su integración ni aplicó la regla fijada en el mencionado auto. </w:t>
      </w:r>
    </w:p>
    <w:p w:rsidR="005471C7" w:rsidRPr="007C57D2" w:rsidRDefault="007C57D2" w:rsidP="008F3DAB">
      <w:pPr>
        <w:pStyle w:val="Prrafodelista"/>
        <w:tabs>
          <w:tab w:val="left" w:pos="567"/>
        </w:tabs>
        <w:ind w:left="0"/>
        <w:jc w:val="both"/>
        <w:rPr>
          <w:rFonts w:ascii="Times New Roman" w:hAnsi="Times New Roman"/>
          <w:sz w:val="28"/>
          <w:szCs w:val="28"/>
          <w:lang w:eastAsia="es-ES"/>
        </w:rPr>
      </w:pPr>
    </w:p>
    <w:p w:rsidR="00C10212"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i/>
          <w:iCs/>
          <w:sz w:val="28"/>
          <w:szCs w:val="28"/>
          <w:lang w:eastAsia="es-ES"/>
        </w:rPr>
        <w:t>La Sentencia C-340 de 2025</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En esta </w:t>
      </w:r>
      <w:r w:rsidRPr="007C57D2">
        <w:rPr>
          <w:rFonts w:ascii="Times New Roman" w:hAnsi="Times New Roman"/>
          <w:sz w:val="28"/>
          <w:szCs w:val="28"/>
          <w:lang w:eastAsia="es-ES"/>
        </w:rPr>
        <w:t>providencia</w:t>
      </w:r>
      <w:r w:rsidRPr="007C57D2">
        <w:rPr>
          <w:rFonts w:ascii="Times New Roman" w:hAnsi="Times New Roman"/>
          <w:sz w:val="28"/>
          <w:szCs w:val="28"/>
          <w:lang w:eastAsia="es-ES"/>
        </w:rPr>
        <w:t xml:space="preserve">, la Sala analizó el trámite legislativo del Proyecto de Ley Estatutaria 157 de 2023 Senado, 360 de 2024 Cámara. Al verificar la composición de la comisión accidental de conciliación, constató que esta </w:t>
      </w:r>
      <w:r w:rsidRPr="007C57D2">
        <w:rPr>
          <w:rFonts w:ascii="Times New Roman" w:hAnsi="Times New Roman"/>
          <w:sz w:val="28"/>
          <w:szCs w:val="28"/>
          <w:lang w:eastAsia="es-ES"/>
        </w:rPr>
        <w:t>había sido</w:t>
      </w:r>
      <w:r w:rsidRPr="007C57D2">
        <w:rPr>
          <w:rFonts w:ascii="Times New Roman" w:hAnsi="Times New Roman"/>
          <w:sz w:val="28"/>
          <w:szCs w:val="28"/>
          <w:lang w:eastAsia="es-ES"/>
        </w:rPr>
        <w:t xml:space="preserve"> integrada por un senador y un representante</w:t>
      </w:r>
      <w:r w:rsidRPr="007C57D2">
        <w:rPr>
          <w:rFonts w:ascii="Times New Roman" w:hAnsi="Times New Roman"/>
          <w:sz w:val="28"/>
          <w:szCs w:val="28"/>
          <w:lang w:eastAsia="es-ES"/>
        </w:rPr>
        <w:t xml:space="preserve"> a la Cámara de partidos políticos distintos. </w:t>
      </w:r>
      <w:r w:rsidRPr="007C57D2">
        <w:rPr>
          <w:rFonts w:ascii="Times New Roman" w:hAnsi="Times New Roman"/>
          <w:sz w:val="28"/>
          <w:szCs w:val="28"/>
          <w:lang w:eastAsia="es-ES"/>
        </w:rPr>
        <w:t>La Corte advirtió que después del 1 de agosto de 2024, fecha en la cual se dictó el Auto 1298, la Sala no había aplicado la regla allí establecida de manera uniforme. Para el efecto, citó, además de la ya menci</w:t>
      </w:r>
      <w:r w:rsidRPr="007C57D2">
        <w:rPr>
          <w:rFonts w:ascii="Times New Roman" w:hAnsi="Times New Roman"/>
          <w:sz w:val="28"/>
          <w:szCs w:val="28"/>
          <w:lang w:eastAsia="es-ES"/>
        </w:rPr>
        <w:t>onada Sentencia C-121 de 2025, las sentencias C-370, C-359 y C-340 de 2024.</w:t>
      </w:r>
    </w:p>
    <w:p w:rsidR="005471C7"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Ante la falta de uniformidad</w:t>
      </w:r>
      <w:r w:rsidRPr="007C57D2">
        <w:rPr>
          <w:rFonts w:ascii="Times New Roman" w:hAnsi="Times New Roman"/>
          <w:sz w:val="28"/>
          <w:szCs w:val="28"/>
          <w:lang w:eastAsia="es-ES"/>
        </w:rPr>
        <w:t xml:space="preserve"> anotada</w:t>
      </w:r>
      <w:r w:rsidRPr="007C57D2">
        <w:rPr>
          <w:rFonts w:ascii="Times New Roman" w:hAnsi="Times New Roman"/>
          <w:sz w:val="28"/>
          <w:szCs w:val="28"/>
          <w:lang w:eastAsia="es-ES"/>
        </w:rPr>
        <w:t xml:space="preserve">, la Corte </w:t>
      </w:r>
      <w:r w:rsidRPr="007C57D2">
        <w:rPr>
          <w:rFonts w:ascii="Times New Roman" w:hAnsi="Times New Roman"/>
          <w:sz w:val="28"/>
          <w:szCs w:val="28"/>
          <w:lang w:eastAsia="es-ES"/>
        </w:rPr>
        <w:t>reiteró y p</w:t>
      </w:r>
      <w:r w:rsidRPr="007C57D2">
        <w:rPr>
          <w:rFonts w:ascii="Times New Roman" w:hAnsi="Times New Roman"/>
          <w:sz w:val="28"/>
          <w:szCs w:val="28"/>
          <w:lang w:eastAsia="es-ES"/>
        </w:rPr>
        <w:t xml:space="preserve">recisó la regla de decisión fijada en el Auto </w:t>
      </w:r>
      <w:r w:rsidRPr="007C57D2">
        <w:rPr>
          <w:rFonts w:ascii="Times New Roman" w:hAnsi="Times New Roman"/>
          <w:sz w:val="28"/>
          <w:szCs w:val="28"/>
          <w:lang w:eastAsia="es-ES"/>
        </w:rPr>
        <w:t xml:space="preserve">1298 de 2024, “en el sentido de que estos principios [pluralismo político y </w:t>
      </w:r>
      <w:r w:rsidRPr="007C57D2">
        <w:rPr>
          <w:rFonts w:ascii="Times New Roman" w:hAnsi="Times New Roman"/>
          <w:sz w:val="28"/>
          <w:szCs w:val="28"/>
          <w:lang w:eastAsia="es-ES"/>
        </w:rPr>
        <w:t>democrático] se cumplen cuando, al conformar las comisiones accidentales de conciliación, se garantiza, al menos, la participación de dos bancadas por cada cámara del Congreso de la República”.  Además, “a modo de jurisprudencia anunciada”, advirtió que “l</w:t>
      </w:r>
      <w:r w:rsidRPr="007C57D2">
        <w:rPr>
          <w:rFonts w:ascii="Times New Roman" w:hAnsi="Times New Roman"/>
          <w:sz w:val="28"/>
          <w:szCs w:val="28"/>
          <w:lang w:eastAsia="es-ES"/>
        </w:rPr>
        <w:t>a regla en comento se aplicará a (i) cualquier trámite legislativo sin distinción de la clase de ley y (ii)</w:t>
      </w:r>
      <w:r w:rsidRPr="007C57D2">
        <w:rPr>
          <w:rFonts w:ascii="Times New Roman" w:hAnsi="Times New Roman"/>
          <w:i/>
          <w:iCs/>
          <w:sz w:val="28"/>
          <w:szCs w:val="28"/>
          <w:lang w:eastAsia="es-ES"/>
        </w:rPr>
        <w:t> </w:t>
      </w:r>
      <w:r w:rsidRPr="007C57D2">
        <w:rPr>
          <w:rFonts w:ascii="Times New Roman" w:hAnsi="Times New Roman"/>
          <w:sz w:val="28"/>
          <w:szCs w:val="28"/>
          <w:lang w:eastAsia="es-ES"/>
        </w:rPr>
        <w:t>respecto de los proyectos de ley radicados con posterioridad a la notificación del Auto 1298 de 2024, esto es el 15 de noviembre de 2024”.</w:t>
      </w:r>
    </w:p>
    <w:p w:rsidR="00C408D3" w:rsidRPr="007C57D2" w:rsidRDefault="007C57D2" w:rsidP="008F3DAB">
      <w:pPr>
        <w:pStyle w:val="Prrafodelista"/>
        <w:tabs>
          <w:tab w:val="left" w:pos="567"/>
        </w:tabs>
        <w:ind w:left="0"/>
        <w:jc w:val="both"/>
        <w:rPr>
          <w:rFonts w:ascii="Times New Roman" w:hAnsi="Times New Roman"/>
          <w:sz w:val="28"/>
          <w:szCs w:val="28"/>
          <w:lang w:eastAsia="es-ES"/>
        </w:rPr>
      </w:pPr>
    </w:p>
    <w:p w:rsidR="00C408D3"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En atenc</w:t>
      </w:r>
      <w:r w:rsidRPr="007C57D2">
        <w:rPr>
          <w:rFonts w:ascii="Times New Roman" w:hAnsi="Times New Roman"/>
          <w:sz w:val="28"/>
          <w:szCs w:val="28"/>
          <w:lang w:eastAsia="es-ES"/>
        </w:rPr>
        <w:t>ión a lo expuesto, la Sala se abstuvo de aplicar la regla de decisión prevista en el Auto 1298 de 2024, por dos razones. Primera, el trámite legislativo se había surtido antes de que fuera notificado el Auto 1298 de 2024. Y, segunda, “porque esta regla imp</w:t>
      </w:r>
      <w:r w:rsidRPr="007C57D2">
        <w:rPr>
          <w:rFonts w:ascii="Times New Roman" w:hAnsi="Times New Roman"/>
          <w:sz w:val="28"/>
          <w:szCs w:val="28"/>
          <w:lang w:eastAsia="es-ES"/>
        </w:rPr>
        <w:t>lica un cambio en la jurisprudencia constitucional, que no preveía de manera expresa esta exigencia a partir de la interpretación del artículo 161 de la Constitución y 187 de la Ley 5ª de 1992 y porque, además, esta Corte no ha sido consistente en la aplic</w:t>
      </w:r>
      <w:r w:rsidRPr="007C57D2">
        <w:rPr>
          <w:rFonts w:ascii="Times New Roman" w:hAnsi="Times New Roman"/>
          <w:sz w:val="28"/>
          <w:szCs w:val="28"/>
          <w:lang w:eastAsia="es-ES"/>
        </w:rPr>
        <w:t>ación de la regla allí establecida”.</w:t>
      </w:r>
    </w:p>
    <w:p w:rsidR="000A12C7" w:rsidRPr="007C57D2" w:rsidRDefault="007C57D2" w:rsidP="008F3DAB">
      <w:pPr>
        <w:pStyle w:val="Prrafodelista"/>
        <w:tabs>
          <w:tab w:val="left" w:pos="567"/>
        </w:tabs>
        <w:ind w:left="0"/>
        <w:jc w:val="both"/>
        <w:rPr>
          <w:rFonts w:ascii="Times New Roman" w:hAnsi="Times New Roman"/>
          <w:sz w:val="28"/>
          <w:szCs w:val="28"/>
          <w:lang w:eastAsia="es-ES"/>
        </w:rPr>
      </w:pPr>
    </w:p>
    <w:p w:rsidR="000A12C7"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 xml:space="preserve">Respecto de la Sentencia C-340 de 2025, es importante destacar que en ella la Sala no consideró que el hecho de que en ese proceso hubiesen intervenido dos conciliadores de partidos distintos implicara el cumplimiento </w:t>
      </w:r>
      <w:r w:rsidRPr="007C57D2">
        <w:rPr>
          <w:rFonts w:ascii="Times New Roman" w:hAnsi="Times New Roman"/>
          <w:sz w:val="28"/>
          <w:szCs w:val="28"/>
          <w:lang w:eastAsia="es-ES"/>
        </w:rPr>
        <w:t>de la regla de pluralidad de bancadas. Por el contrario, reafirmó la regla fijada en el Auto 1298 de 2024, pero con efectos exclusivamente hacia el futuro.</w:t>
      </w:r>
    </w:p>
    <w:p w:rsidR="00C408D3"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p>
    <w:p w:rsidR="00E84710"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4.4.1.2. </w:t>
      </w:r>
      <w:r w:rsidRPr="007C57D2">
        <w:rPr>
          <w:rFonts w:ascii="Times New Roman" w:hAnsi="Times New Roman"/>
          <w:b/>
          <w:bCs/>
          <w:sz w:val="28"/>
          <w:szCs w:val="28"/>
          <w:lang w:eastAsia="es-ES"/>
        </w:rPr>
        <w:t>Segundo momento: habilitación de competencia y trabajo de los conciliadores designados</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Un</w:t>
      </w:r>
      <w:r w:rsidRPr="007C57D2">
        <w:rPr>
          <w:rFonts w:ascii="Times New Roman" w:hAnsi="Times New Roman"/>
          <w:sz w:val="28"/>
          <w:szCs w:val="28"/>
          <w:lang w:eastAsia="es-ES"/>
        </w:rPr>
        <w:t xml:space="preserve">a vez </w:t>
      </w:r>
      <w:r w:rsidRPr="007C57D2">
        <w:rPr>
          <w:rFonts w:ascii="Times New Roman" w:hAnsi="Times New Roman"/>
          <w:sz w:val="28"/>
          <w:szCs w:val="28"/>
          <w:lang w:eastAsia="es-ES"/>
        </w:rPr>
        <w:t>conformada</w:t>
      </w:r>
      <w:r w:rsidRPr="007C57D2">
        <w:rPr>
          <w:rFonts w:ascii="Times New Roman" w:hAnsi="Times New Roman"/>
          <w:sz w:val="28"/>
          <w:szCs w:val="28"/>
          <w:lang w:eastAsia="es-ES"/>
        </w:rPr>
        <w:t xml:space="preserve"> la comisión de conciliación </w:t>
      </w:r>
      <w:r w:rsidRPr="007C57D2">
        <w:rPr>
          <w:rFonts w:ascii="Times New Roman" w:hAnsi="Times New Roman"/>
          <w:sz w:val="28"/>
          <w:szCs w:val="28"/>
          <w:lang w:eastAsia="es-ES"/>
        </w:rPr>
        <w:t>de acuerdo</w:t>
      </w:r>
      <w:r w:rsidRPr="007C57D2">
        <w:rPr>
          <w:rFonts w:ascii="Times New Roman" w:hAnsi="Times New Roman"/>
          <w:sz w:val="28"/>
          <w:szCs w:val="28"/>
          <w:lang w:eastAsia="es-ES"/>
        </w:rPr>
        <w:t xml:space="preserve"> con los criterios </w:t>
      </w:r>
      <w:r w:rsidRPr="007C57D2">
        <w:rPr>
          <w:rFonts w:ascii="Times New Roman" w:hAnsi="Times New Roman"/>
          <w:sz w:val="28"/>
          <w:szCs w:val="28"/>
          <w:lang w:eastAsia="es-ES"/>
        </w:rPr>
        <w:t>explicados anteriormente</w:t>
      </w:r>
      <w:r w:rsidRPr="007C57D2">
        <w:rPr>
          <w:rFonts w:ascii="Times New Roman" w:hAnsi="Times New Roman"/>
          <w:sz w:val="28"/>
          <w:szCs w:val="28"/>
          <w:lang w:eastAsia="es-ES"/>
        </w:rPr>
        <w:t xml:space="preserve">, la jurisprudencia ha indicado que </w:t>
      </w:r>
      <w:r w:rsidRPr="007C57D2">
        <w:rPr>
          <w:rFonts w:ascii="Times New Roman" w:hAnsi="Times New Roman"/>
          <w:sz w:val="28"/>
          <w:szCs w:val="28"/>
          <w:lang w:eastAsia="es-ES"/>
        </w:rPr>
        <w:t>sus</w:t>
      </w:r>
      <w:r w:rsidRPr="007C57D2">
        <w:rPr>
          <w:rFonts w:ascii="Times New Roman" w:hAnsi="Times New Roman"/>
          <w:sz w:val="28"/>
          <w:szCs w:val="28"/>
          <w:lang w:eastAsia="es-ES"/>
        </w:rPr>
        <w:t xml:space="preserve"> integrantes deben examinar los insumos que recogen los antecedentes de los debates surtidos previamente</w:t>
      </w:r>
      <w:r w:rsidRPr="007C57D2">
        <w:rPr>
          <w:rStyle w:val="Refdenotaalpie"/>
          <w:rFonts w:ascii="Times New Roman" w:hAnsi="Times New Roman"/>
          <w:sz w:val="28"/>
          <w:szCs w:val="28"/>
          <w:lang w:eastAsia="es-ES"/>
        </w:rPr>
        <w:footnoteReference w:id="152"/>
      </w:r>
      <w:r w:rsidRPr="007C57D2">
        <w:rPr>
          <w:rFonts w:ascii="Times New Roman" w:hAnsi="Times New Roman"/>
          <w:sz w:val="28"/>
          <w:szCs w:val="28"/>
          <w:lang w:eastAsia="es-ES"/>
        </w:rPr>
        <w:t xml:space="preserve"> y, con ellos, procede</w:t>
      </w:r>
      <w:r w:rsidRPr="007C57D2">
        <w:rPr>
          <w:rFonts w:ascii="Times New Roman" w:hAnsi="Times New Roman"/>
          <w:sz w:val="28"/>
          <w:szCs w:val="28"/>
          <w:lang w:eastAsia="es-ES"/>
        </w:rPr>
        <w:t>r</w:t>
      </w:r>
      <w:r w:rsidRPr="007C57D2">
        <w:rPr>
          <w:rFonts w:ascii="Times New Roman" w:hAnsi="Times New Roman"/>
          <w:sz w:val="28"/>
          <w:szCs w:val="28"/>
          <w:lang w:eastAsia="es-ES"/>
        </w:rPr>
        <w:t xml:space="preserve"> a analizar y zanjar las divergencias existentes entre los textos de cada cámara, bien a través del consenso o, en su defecto, mediante decisión mayoritaria</w:t>
      </w:r>
      <w:r w:rsidRPr="007C57D2">
        <w:rPr>
          <w:rStyle w:val="Refdenotaalpie"/>
          <w:rFonts w:ascii="Times New Roman" w:hAnsi="Times New Roman"/>
          <w:sz w:val="28"/>
          <w:szCs w:val="28"/>
          <w:lang w:eastAsia="es-ES"/>
        </w:rPr>
        <w:footnoteReference w:id="153"/>
      </w:r>
      <w:r w:rsidRPr="007C57D2">
        <w:rPr>
          <w:rFonts w:ascii="Times New Roman" w:hAnsi="Times New Roman"/>
          <w:sz w:val="28"/>
          <w:szCs w:val="28"/>
          <w:lang w:eastAsia="es-ES"/>
        </w:rPr>
        <w:t>.</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Posteriormente, los integrantes de la comisión deberán preparar el </w:t>
      </w:r>
      <w:r w:rsidRPr="007C57D2">
        <w:rPr>
          <w:rFonts w:ascii="Times New Roman" w:hAnsi="Times New Roman"/>
          <w:sz w:val="28"/>
          <w:szCs w:val="28"/>
          <w:lang w:eastAsia="es-ES"/>
        </w:rPr>
        <w:t>informe de conciliación y ponerlo a consideración de las plenarias de cada cámara, dentro del plazo fijado por las mesas directivas</w:t>
      </w:r>
      <w:r w:rsidRPr="007C57D2">
        <w:rPr>
          <w:rStyle w:val="Refdenotaalpie"/>
          <w:rFonts w:ascii="Times New Roman" w:hAnsi="Times New Roman"/>
          <w:sz w:val="28"/>
          <w:szCs w:val="28"/>
          <w:lang w:eastAsia="es-ES"/>
        </w:rPr>
        <w:footnoteReference w:id="154"/>
      </w:r>
      <w:r w:rsidRPr="007C57D2">
        <w:rPr>
          <w:rFonts w:ascii="Times New Roman" w:hAnsi="Times New Roman"/>
          <w:sz w:val="28"/>
          <w:szCs w:val="28"/>
          <w:lang w:eastAsia="es-ES"/>
        </w:rPr>
        <w:t>.</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4.4.1.3. </w:t>
      </w:r>
      <w:r w:rsidRPr="007C57D2">
        <w:rPr>
          <w:rFonts w:ascii="Times New Roman" w:hAnsi="Times New Roman"/>
          <w:b/>
          <w:bCs/>
          <w:sz w:val="28"/>
          <w:szCs w:val="28"/>
          <w:lang w:eastAsia="es-ES"/>
        </w:rPr>
        <w:t>Tercer momento: deliberación y aprobación del informe de conciliación</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Las plenarias de </w:t>
      </w:r>
      <w:r w:rsidRPr="007C57D2">
        <w:rPr>
          <w:rFonts w:ascii="Times New Roman" w:hAnsi="Times New Roman"/>
          <w:sz w:val="28"/>
          <w:szCs w:val="28"/>
          <w:lang w:eastAsia="es-ES"/>
        </w:rPr>
        <w:t xml:space="preserve">la </w:t>
      </w:r>
      <w:r w:rsidRPr="007C57D2">
        <w:rPr>
          <w:rFonts w:ascii="Times New Roman" w:hAnsi="Times New Roman"/>
          <w:sz w:val="28"/>
          <w:szCs w:val="28"/>
          <w:lang w:eastAsia="es-ES"/>
        </w:rPr>
        <w:t xml:space="preserve">Cámara y </w:t>
      </w:r>
      <w:r w:rsidRPr="007C57D2">
        <w:rPr>
          <w:rFonts w:ascii="Times New Roman" w:hAnsi="Times New Roman"/>
          <w:sz w:val="28"/>
          <w:szCs w:val="28"/>
          <w:lang w:eastAsia="es-ES"/>
        </w:rPr>
        <w:t xml:space="preserve">el </w:t>
      </w:r>
      <w:r w:rsidRPr="007C57D2">
        <w:rPr>
          <w:rFonts w:ascii="Times New Roman" w:hAnsi="Times New Roman"/>
          <w:sz w:val="28"/>
          <w:szCs w:val="28"/>
          <w:lang w:eastAsia="es-ES"/>
        </w:rPr>
        <w:t xml:space="preserve">Senado deben deliberar y aprobar el texto conciliado. Para ello, el artículo 161, inciso 2, de la Constitución exige que el informe y el texto conciliado </w:t>
      </w:r>
      <w:r w:rsidRPr="007C57D2">
        <w:rPr>
          <w:rFonts w:ascii="Times New Roman" w:hAnsi="Times New Roman"/>
          <w:sz w:val="28"/>
          <w:szCs w:val="28"/>
          <w:lang w:eastAsia="es-ES"/>
        </w:rPr>
        <w:t>se publiquen</w:t>
      </w:r>
      <w:r w:rsidRPr="007C57D2">
        <w:rPr>
          <w:rFonts w:ascii="Times New Roman" w:hAnsi="Times New Roman"/>
          <w:sz w:val="28"/>
          <w:szCs w:val="28"/>
          <w:lang w:eastAsia="es-ES"/>
        </w:rPr>
        <w:t xml:space="preserve"> con al menos un día de antelación a la discusión que se adelantará en cada célula legisla</w:t>
      </w:r>
      <w:r w:rsidRPr="007C57D2">
        <w:rPr>
          <w:rFonts w:ascii="Times New Roman" w:hAnsi="Times New Roman"/>
          <w:sz w:val="28"/>
          <w:szCs w:val="28"/>
          <w:lang w:eastAsia="es-ES"/>
        </w:rPr>
        <w:t>tiva</w:t>
      </w:r>
      <w:r w:rsidRPr="007C57D2">
        <w:rPr>
          <w:rStyle w:val="Refdenotaalpie"/>
          <w:rFonts w:ascii="Times New Roman" w:hAnsi="Times New Roman"/>
          <w:sz w:val="28"/>
          <w:szCs w:val="28"/>
          <w:lang w:eastAsia="es-ES"/>
        </w:rPr>
        <w:footnoteReference w:id="155"/>
      </w:r>
      <w:r w:rsidRPr="007C57D2">
        <w:rPr>
          <w:rFonts w:ascii="Times New Roman" w:hAnsi="Times New Roman"/>
          <w:sz w:val="28"/>
          <w:szCs w:val="28"/>
          <w:lang w:eastAsia="es-ES"/>
        </w:rPr>
        <w:t xml:space="preserve">. </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Cumplida la publicación, las cámaras repetirán el segundo debate en plenarias</w:t>
      </w:r>
      <w:r w:rsidRPr="007C57D2">
        <w:rPr>
          <w:rStyle w:val="Refdenotaalpie"/>
          <w:rFonts w:ascii="Times New Roman" w:hAnsi="Times New Roman"/>
          <w:sz w:val="28"/>
          <w:szCs w:val="28"/>
          <w:lang w:eastAsia="es-ES"/>
        </w:rPr>
        <w:footnoteReference w:id="156"/>
      </w:r>
      <w:r w:rsidRPr="007C57D2">
        <w:rPr>
          <w:rFonts w:ascii="Times New Roman" w:hAnsi="Times New Roman"/>
          <w:sz w:val="28"/>
          <w:szCs w:val="28"/>
          <w:lang w:eastAsia="es-ES"/>
        </w:rPr>
        <w:t xml:space="preserve"> y discutirán únicamente la propuesta normativa unificada</w:t>
      </w:r>
      <w:r w:rsidRPr="007C57D2">
        <w:rPr>
          <w:rStyle w:val="Refdenotaalpie"/>
          <w:rFonts w:ascii="Times New Roman" w:hAnsi="Times New Roman"/>
          <w:sz w:val="28"/>
          <w:szCs w:val="28"/>
          <w:lang w:eastAsia="es-ES"/>
        </w:rPr>
        <w:footnoteReference w:id="157"/>
      </w:r>
      <w:r w:rsidRPr="007C57D2">
        <w:rPr>
          <w:rFonts w:ascii="Times New Roman" w:hAnsi="Times New Roman"/>
          <w:sz w:val="28"/>
          <w:szCs w:val="28"/>
          <w:lang w:eastAsia="es-ES"/>
        </w:rPr>
        <w:t>. Sobre este punto, la Corte ha advertido que no se trata de reabrir la discusión sobre la totalidad del proyec</w:t>
      </w:r>
      <w:r w:rsidRPr="007C57D2">
        <w:rPr>
          <w:rFonts w:ascii="Times New Roman" w:hAnsi="Times New Roman"/>
          <w:sz w:val="28"/>
          <w:szCs w:val="28"/>
          <w:lang w:eastAsia="es-ES"/>
        </w:rPr>
        <w:t>to, sino debatir la aprobación de un texto único, que reflej</w:t>
      </w:r>
      <w:r w:rsidRPr="007C57D2">
        <w:rPr>
          <w:rFonts w:ascii="Times New Roman" w:hAnsi="Times New Roman"/>
          <w:sz w:val="28"/>
          <w:szCs w:val="28"/>
          <w:lang w:eastAsia="es-ES"/>
        </w:rPr>
        <w:t>e</w:t>
      </w:r>
      <w:r w:rsidRPr="007C57D2">
        <w:rPr>
          <w:rFonts w:ascii="Times New Roman" w:hAnsi="Times New Roman"/>
          <w:sz w:val="28"/>
          <w:szCs w:val="28"/>
          <w:lang w:eastAsia="es-ES"/>
        </w:rPr>
        <w:t xml:space="preserve"> la voluntad integrada del Congreso</w:t>
      </w:r>
      <w:r w:rsidRPr="007C57D2">
        <w:rPr>
          <w:rStyle w:val="Refdenotaalpie"/>
          <w:rFonts w:ascii="Times New Roman" w:hAnsi="Times New Roman"/>
          <w:sz w:val="28"/>
          <w:szCs w:val="28"/>
          <w:lang w:eastAsia="es-ES"/>
        </w:rPr>
        <w:footnoteReference w:id="158"/>
      </w:r>
      <w:r w:rsidRPr="007C57D2">
        <w:rPr>
          <w:rFonts w:ascii="Times New Roman" w:hAnsi="Times New Roman"/>
          <w:sz w:val="28"/>
          <w:szCs w:val="28"/>
          <w:lang w:eastAsia="es-ES"/>
        </w:rPr>
        <w:t>.</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La deliberación finaliza en tres posibles situaciones. En la primera, las cámaras aprueban en su totalidad el texto conciliado, por lo que se procederá a co</w:t>
      </w:r>
      <w:r w:rsidRPr="007C57D2">
        <w:rPr>
          <w:rFonts w:ascii="Times New Roman" w:hAnsi="Times New Roman"/>
          <w:sz w:val="28"/>
          <w:szCs w:val="28"/>
          <w:lang w:eastAsia="es-ES"/>
        </w:rPr>
        <w:t xml:space="preserve">ntinuar con el trámite legislativo. En la segunda, las cámaras mantienen su discrepancia sobre la totalidad del proyecto, </w:t>
      </w:r>
      <w:r w:rsidRPr="007C57D2">
        <w:rPr>
          <w:rFonts w:ascii="Times New Roman" w:hAnsi="Times New Roman"/>
          <w:sz w:val="28"/>
          <w:szCs w:val="28"/>
          <w:lang w:eastAsia="es-ES"/>
        </w:rPr>
        <w:t xml:space="preserve">evento en el cual </w:t>
      </w:r>
      <w:r w:rsidRPr="007C57D2">
        <w:rPr>
          <w:rFonts w:ascii="Times New Roman" w:hAnsi="Times New Roman"/>
          <w:sz w:val="28"/>
          <w:szCs w:val="28"/>
          <w:lang w:eastAsia="es-ES"/>
        </w:rPr>
        <w:t>se entenderá negado el proyecto, conforme con el artículo 161, inciso 2, la Constitución</w:t>
      </w:r>
      <w:r w:rsidRPr="007C57D2">
        <w:rPr>
          <w:rStyle w:val="Refdenotaalpie"/>
          <w:rFonts w:ascii="Times New Roman" w:hAnsi="Times New Roman"/>
          <w:sz w:val="28"/>
          <w:szCs w:val="28"/>
          <w:lang w:eastAsia="es-ES"/>
        </w:rPr>
        <w:footnoteReference w:id="159"/>
      </w:r>
      <w:r w:rsidRPr="007C57D2">
        <w:rPr>
          <w:rFonts w:ascii="Times New Roman" w:hAnsi="Times New Roman"/>
          <w:sz w:val="28"/>
          <w:szCs w:val="28"/>
          <w:lang w:eastAsia="es-ES"/>
        </w:rPr>
        <w:t xml:space="preserve">. En la tercera situación, </w:t>
      </w:r>
      <w:r w:rsidRPr="007C57D2">
        <w:rPr>
          <w:rFonts w:ascii="Times New Roman" w:hAnsi="Times New Roman"/>
          <w:sz w:val="28"/>
          <w:szCs w:val="28"/>
          <w:lang w:eastAsia="es-ES"/>
        </w:rPr>
        <w:t>las cámaras aprueban parcialmente el proyecto y mantienen sus discrepancias respecto a algunos artículos.</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En este último caso debe aplicarse el artículo 189 de la Ley 5 de 1992 y entender que el proyecto no </w:t>
      </w:r>
      <w:r w:rsidRPr="007C57D2">
        <w:rPr>
          <w:rFonts w:ascii="Times New Roman" w:hAnsi="Times New Roman"/>
          <w:sz w:val="28"/>
          <w:szCs w:val="28"/>
          <w:lang w:eastAsia="es-ES"/>
        </w:rPr>
        <w:t>ha sido</w:t>
      </w:r>
      <w:r w:rsidRPr="007C57D2">
        <w:rPr>
          <w:rFonts w:ascii="Times New Roman" w:hAnsi="Times New Roman"/>
          <w:sz w:val="28"/>
          <w:szCs w:val="28"/>
          <w:lang w:eastAsia="es-ES"/>
        </w:rPr>
        <w:t xml:space="preserve"> negado en su integridad</w:t>
      </w:r>
      <w:r w:rsidRPr="007C57D2">
        <w:rPr>
          <w:rStyle w:val="Refdenotaalpie"/>
          <w:rFonts w:ascii="Times New Roman" w:hAnsi="Times New Roman"/>
          <w:sz w:val="28"/>
          <w:szCs w:val="28"/>
          <w:lang w:eastAsia="es-ES"/>
        </w:rPr>
        <w:footnoteReference w:id="160"/>
      </w:r>
      <w:r w:rsidRPr="007C57D2">
        <w:rPr>
          <w:rFonts w:ascii="Times New Roman" w:hAnsi="Times New Roman"/>
          <w:sz w:val="28"/>
          <w:szCs w:val="28"/>
          <w:lang w:eastAsia="es-ES"/>
        </w:rPr>
        <w:t>. Por el contrar</w:t>
      </w:r>
      <w:r w:rsidRPr="007C57D2">
        <w:rPr>
          <w:rFonts w:ascii="Times New Roman" w:hAnsi="Times New Roman"/>
          <w:sz w:val="28"/>
          <w:szCs w:val="28"/>
          <w:lang w:eastAsia="es-ES"/>
        </w:rPr>
        <w:t>io, se debe aplicar el criterio de separabilidad y determinar si el resultado afecta un(os) artículo</w:t>
      </w:r>
      <w:r w:rsidRPr="007C57D2">
        <w:rPr>
          <w:rFonts w:ascii="Times New Roman" w:hAnsi="Times New Roman"/>
          <w:sz w:val="28"/>
          <w:szCs w:val="28"/>
          <w:lang w:eastAsia="es-ES"/>
        </w:rPr>
        <w:t>(</w:t>
      </w:r>
      <w:r w:rsidRPr="007C57D2">
        <w:rPr>
          <w:rFonts w:ascii="Times New Roman" w:hAnsi="Times New Roman"/>
          <w:sz w:val="28"/>
          <w:szCs w:val="28"/>
          <w:lang w:eastAsia="es-ES"/>
        </w:rPr>
        <w:t>s</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que no altera(n)</w:t>
      </w:r>
      <w:r w:rsidRPr="007C57D2">
        <w:rPr>
          <w:rFonts w:ascii="Times New Roman" w:hAnsi="Times New Roman"/>
          <w:sz w:val="28"/>
          <w:szCs w:val="28"/>
          <w:lang w:eastAsia="es-ES"/>
        </w:rPr>
        <w:t xml:space="preserve"> la esencia del proyecto, o si, por el contrario, afecta </w:t>
      </w:r>
      <w:r w:rsidRPr="007C57D2">
        <w:rPr>
          <w:rFonts w:ascii="Times New Roman" w:hAnsi="Times New Roman"/>
          <w:sz w:val="28"/>
          <w:szCs w:val="28"/>
          <w:lang w:eastAsia="es-ES"/>
        </w:rPr>
        <w:t xml:space="preserve">un(os) </w:t>
      </w:r>
      <w:r w:rsidRPr="007C57D2">
        <w:rPr>
          <w:rFonts w:ascii="Times New Roman" w:hAnsi="Times New Roman"/>
          <w:sz w:val="28"/>
          <w:szCs w:val="28"/>
          <w:lang w:eastAsia="es-ES"/>
        </w:rPr>
        <w:t>artículo(s) que resulta</w:t>
      </w:r>
      <w:r w:rsidRPr="007C57D2">
        <w:rPr>
          <w:rFonts w:ascii="Times New Roman" w:hAnsi="Times New Roman"/>
          <w:sz w:val="28"/>
          <w:szCs w:val="28"/>
          <w:lang w:eastAsia="es-ES"/>
        </w:rPr>
        <w:t>(</w:t>
      </w:r>
      <w:r w:rsidRPr="007C57D2">
        <w:rPr>
          <w:rFonts w:ascii="Times New Roman" w:hAnsi="Times New Roman"/>
          <w:sz w:val="28"/>
          <w:szCs w:val="28"/>
          <w:lang w:eastAsia="es-ES"/>
        </w:rPr>
        <w:t>n</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fundamental</w:t>
      </w:r>
      <w:r w:rsidRPr="007C57D2">
        <w:rPr>
          <w:rFonts w:ascii="Times New Roman" w:hAnsi="Times New Roman"/>
          <w:sz w:val="28"/>
          <w:szCs w:val="28"/>
          <w:lang w:eastAsia="es-ES"/>
        </w:rPr>
        <w:t>(</w:t>
      </w:r>
      <w:r w:rsidRPr="007C57D2">
        <w:rPr>
          <w:rFonts w:ascii="Times New Roman" w:hAnsi="Times New Roman"/>
          <w:sz w:val="28"/>
          <w:szCs w:val="28"/>
          <w:lang w:eastAsia="es-ES"/>
        </w:rPr>
        <w:t>es</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para el sentido de la ley</w:t>
      </w:r>
      <w:r w:rsidRPr="007C57D2">
        <w:rPr>
          <w:rStyle w:val="Refdenotaalpie"/>
          <w:rFonts w:ascii="Times New Roman" w:hAnsi="Times New Roman"/>
          <w:sz w:val="28"/>
          <w:szCs w:val="28"/>
          <w:lang w:eastAsia="es-ES"/>
        </w:rPr>
        <w:footnoteReference w:id="161"/>
      </w:r>
      <w:r w:rsidRPr="007C57D2">
        <w:rPr>
          <w:rFonts w:ascii="Times New Roman" w:hAnsi="Times New Roman"/>
          <w:sz w:val="28"/>
          <w:szCs w:val="28"/>
          <w:lang w:eastAsia="es-ES"/>
        </w:rPr>
        <w:t>.</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Si los artículos sobre los cuales persisten las discrepancias no afectan el sentido de la ley, se entenderá que s</w:t>
      </w:r>
      <w:r w:rsidRPr="007C57D2">
        <w:rPr>
          <w:rFonts w:ascii="Times New Roman" w:hAnsi="Times New Roman"/>
          <w:sz w:val="28"/>
          <w:szCs w:val="28"/>
          <w:lang w:eastAsia="es-ES"/>
        </w:rPr>
        <w:t>o</w:t>
      </w:r>
      <w:r w:rsidRPr="007C57D2">
        <w:rPr>
          <w:rFonts w:ascii="Times New Roman" w:hAnsi="Times New Roman"/>
          <w:sz w:val="28"/>
          <w:szCs w:val="28"/>
          <w:lang w:eastAsia="es-ES"/>
        </w:rPr>
        <w:t>lo se excluyen del proyecto</w:t>
      </w:r>
      <w:r w:rsidRPr="007C57D2">
        <w:rPr>
          <w:rFonts w:ascii="Times New Roman" w:hAnsi="Times New Roman"/>
          <w:sz w:val="28"/>
          <w:szCs w:val="28"/>
          <w:lang w:eastAsia="es-ES"/>
        </w:rPr>
        <w:t xml:space="preserve"> los artículos negados</w:t>
      </w:r>
      <w:r w:rsidRPr="007C57D2">
        <w:rPr>
          <w:rFonts w:ascii="Times New Roman" w:hAnsi="Times New Roman"/>
          <w:sz w:val="28"/>
          <w:szCs w:val="28"/>
          <w:lang w:eastAsia="es-ES"/>
        </w:rPr>
        <w:t>; pero, si los artículos son esenciales, se entenderá negad</w:t>
      </w:r>
      <w:r w:rsidRPr="007C57D2">
        <w:rPr>
          <w:rFonts w:ascii="Times New Roman" w:hAnsi="Times New Roman"/>
          <w:sz w:val="28"/>
          <w:szCs w:val="28"/>
          <w:lang w:eastAsia="es-ES"/>
        </w:rPr>
        <w:t>o el proyecto en su</w:t>
      </w:r>
      <w:r w:rsidRPr="007C57D2">
        <w:rPr>
          <w:rFonts w:ascii="Times New Roman" w:hAnsi="Times New Roman"/>
          <w:sz w:val="28"/>
          <w:szCs w:val="28"/>
          <w:lang w:eastAsia="es-ES"/>
        </w:rPr>
        <w:t xml:space="preserve"> totalidad. Pa</w:t>
      </w:r>
      <w:r w:rsidRPr="007C57D2">
        <w:rPr>
          <w:rFonts w:ascii="Times New Roman" w:hAnsi="Times New Roman"/>
          <w:sz w:val="28"/>
          <w:szCs w:val="28"/>
          <w:lang w:eastAsia="es-ES"/>
        </w:rPr>
        <w:t>ra saber en qué medida los artículos impactan el sentido de la ley, la Corte ha acudido a dos criterios</w:t>
      </w:r>
      <w:r w:rsidRPr="007C57D2">
        <w:rPr>
          <w:rStyle w:val="Refdenotaalpie"/>
          <w:rFonts w:ascii="Times New Roman" w:hAnsi="Times New Roman"/>
          <w:sz w:val="28"/>
          <w:szCs w:val="28"/>
          <w:lang w:eastAsia="es-ES"/>
        </w:rPr>
        <w:footnoteReference w:id="162"/>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primero,</w:t>
      </w:r>
      <w:r w:rsidRPr="007C57D2">
        <w:rPr>
          <w:rFonts w:ascii="Times New Roman" w:hAnsi="Times New Roman"/>
          <w:sz w:val="28"/>
          <w:szCs w:val="28"/>
          <w:lang w:eastAsia="es-ES"/>
        </w:rPr>
        <w:t xml:space="preserve"> uno puramente cuantitativo, referente al número de artículos que tendrían que ser retirados del ordenamiento jurídico y a la proporción que e</w:t>
      </w:r>
      <w:r w:rsidRPr="007C57D2">
        <w:rPr>
          <w:rFonts w:ascii="Times New Roman" w:hAnsi="Times New Roman"/>
          <w:sz w:val="28"/>
          <w:szCs w:val="28"/>
          <w:lang w:eastAsia="es-ES"/>
        </w:rPr>
        <w:t>llos representan respe</w:t>
      </w:r>
      <w:r w:rsidRPr="007C57D2">
        <w:rPr>
          <w:rFonts w:ascii="Times New Roman" w:hAnsi="Times New Roman"/>
          <w:sz w:val="28"/>
          <w:szCs w:val="28"/>
          <w:lang w:eastAsia="es-ES"/>
        </w:rPr>
        <w:t>c</w:t>
      </w:r>
      <w:r w:rsidRPr="007C57D2">
        <w:rPr>
          <w:rFonts w:ascii="Times New Roman" w:hAnsi="Times New Roman"/>
          <w:sz w:val="28"/>
          <w:szCs w:val="28"/>
          <w:lang w:eastAsia="es-ES"/>
        </w:rPr>
        <w:t>to de la totalidad del texto legal. Este criterio es importante, solo si el porcentaje de la ley que estaría afectado fuese significativo</w:t>
      </w:r>
      <w:r w:rsidRPr="007C57D2">
        <w:rPr>
          <w:rFonts w:ascii="Times New Roman" w:hAnsi="Times New Roman"/>
          <w:sz w:val="28"/>
          <w:szCs w:val="28"/>
          <w:lang w:eastAsia="es-ES"/>
        </w:rPr>
        <w:t>. Y, segundo,</w:t>
      </w:r>
      <w:r w:rsidRPr="007C57D2">
        <w:rPr>
          <w:rFonts w:ascii="Times New Roman" w:hAnsi="Times New Roman"/>
          <w:sz w:val="28"/>
          <w:szCs w:val="28"/>
          <w:lang w:eastAsia="es-ES"/>
        </w:rPr>
        <w:t xml:space="preserve"> uno de carácter material, a partir del cual debe verificarse si el retiro de ciertos artículos implica que la iniciativa devendría en una distinta o perdería el atributivo de tener una real y efectiva aplicación.</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4.4.2. </w:t>
      </w:r>
      <w:r w:rsidRPr="007C57D2">
        <w:rPr>
          <w:rFonts w:ascii="Times New Roman" w:hAnsi="Times New Roman"/>
          <w:b/>
          <w:bCs/>
          <w:sz w:val="28"/>
          <w:szCs w:val="28"/>
          <w:lang w:eastAsia="es-ES"/>
        </w:rPr>
        <w:t>Verificación del trámite de concil</w:t>
      </w:r>
      <w:r w:rsidRPr="007C57D2">
        <w:rPr>
          <w:rFonts w:ascii="Times New Roman" w:hAnsi="Times New Roman"/>
          <w:b/>
          <w:bCs/>
          <w:sz w:val="28"/>
          <w:szCs w:val="28"/>
          <w:lang w:eastAsia="es-ES"/>
        </w:rPr>
        <w:t>iación</w:t>
      </w:r>
      <w:r w:rsidRPr="007C57D2">
        <w:rPr>
          <w:rFonts w:ascii="Times New Roman" w:hAnsi="Times New Roman"/>
          <w:b/>
          <w:bCs/>
          <w:sz w:val="28"/>
          <w:szCs w:val="28"/>
          <w:lang w:eastAsia="es-ES"/>
        </w:rPr>
        <w:t xml:space="preserve"> en el PLE</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Procede la Corte a verificar si las reglas antes descritas se cumplieron en el presente caso. Para ello, se comprobará la conformación de la comisión, el trabajo de sus designados y la deliberación y aprobación del texto conciliado.</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8F2528" w:rsidRPr="007C57D2" w:rsidRDefault="007C57D2" w:rsidP="008F3DAB">
      <w:pPr>
        <w:tabs>
          <w:tab w:val="left" w:pos="426"/>
        </w:tabs>
        <w:spacing w:after="0" w:line="240" w:lineRule="auto"/>
        <w:ind w:left="709" w:hanging="283"/>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a) </w:t>
      </w:r>
      <w:r w:rsidRPr="007C57D2">
        <w:rPr>
          <w:rFonts w:ascii="Times New Roman" w:hAnsi="Times New Roman"/>
          <w:b/>
          <w:bCs/>
          <w:sz w:val="28"/>
          <w:szCs w:val="28"/>
          <w:lang w:eastAsia="es-ES"/>
        </w:rPr>
        <w:t>Designación e integración de la Comisión de Conciliación</w:t>
      </w:r>
    </w:p>
    <w:p w:rsidR="008F2528"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En junio de 2024, l</w:t>
      </w:r>
      <w:r w:rsidRPr="007C57D2">
        <w:rPr>
          <w:rFonts w:ascii="Times New Roman" w:hAnsi="Times New Roman"/>
          <w:sz w:val="28"/>
          <w:szCs w:val="28"/>
          <w:lang w:eastAsia="es-ES"/>
        </w:rPr>
        <w:t>a mesa directiva de la Cámara de Representantes designó como conciliador al representante Carlos Adolfo Ardila Espinosa</w:t>
      </w:r>
      <w:r w:rsidRPr="007C57D2">
        <w:rPr>
          <w:rFonts w:ascii="Times New Roman" w:hAnsi="Times New Roman"/>
          <w:sz w:val="28"/>
          <w:szCs w:val="28"/>
          <w:lang w:eastAsia="es-ES"/>
        </w:rPr>
        <w:t xml:space="preserve"> (Partido Liberal)</w:t>
      </w:r>
      <w:r w:rsidRPr="007C57D2">
        <w:rPr>
          <w:rFonts w:ascii="Times New Roman" w:hAnsi="Times New Roman"/>
          <w:sz w:val="28"/>
          <w:szCs w:val="28"/>
          <w:lang w:eastAsia="es-ES"/>
        </w:rPr>
        <w:t xml:space="preserve">, quien tuvo a su cargo la ponencia del </w:t>
      </w:r>
      <w:r w:rsidRPr="007C57D2">
        <w:rPr>
          <w:rFonts w:ascii="Times New Roman" w:hAnsi="Times New Roman"/>
          <w:sz w:val="28"/>
          <w:szCs w:val="28"/>
          <w:lang w:eastAsia="es-ES"/>
        </w:rPr>
        <w:t>proyecto de ley durante su trámite en Cámara</w:t>
      </w:r>
      <w:r w:rsidRPr="007C57D2">
        <w:rPr>
          <w:rStyle w:val="Refdenotaalpie"/>
          <w:rFonts w:ascii="Times New Roman" w:hAnsi="Times New Roman"/>
          <w:sz w:val="28"/>
          <w:szCs w:val="28"/>
          <w:lang w:eastAsia="es-ES"/>
        </w:rPr>
        <w:footnoteReference w:id="163"/>
      </w:r>
      <w:r w:rsidRPr="007C57D2">
        <w:rPr>
          <w:rFonts w:ascii="Times New Roman" w:hAnsi="Times New Roman"/>
          <w:sz w:val="28"/>
          <w:szCs w:val="28"/>
          <w:lang w:eastAsia="es-ES"/>
        </w:rPr>
        <w:t xml:space="preserve">. Por su parte, </w:t>
      </w:r>
      <w:r w:rsidRPr="007C57D2">
        <w:rPr>
          <w:rFonts w:ascii="Times New Roman" w:hAnsi="Times New Roman"/>
          <w:sz w:val="28"/>
          <w:szCs w:val="28"/>
          <w:lang w:eastAsia="es-ES"/>
        </w:rPr>
        <w:t xml:space="preserve">en </w:t>
      </w:r>
      <w:r w:rsidRPr="007C57D2">
        <w:rPr>
          <w:rFonts w:ascii="Times New Roman" w:hAnsi="Times New Roman"/>
          <w:sz w:val="28"/>
          <w:szCs w:val="28"/>
          <w:lang w:eastAsia="es-ES"/>
        </w:rPr>
        <w:t xml:space="preserve">el </w:t>
      </w:r>
      <w:r w:rsidRPr="007C57D2">
        <w:rPr>
          <w:rFonts w:ascii="Times New Roman" w:hAnsi="Times New Roman"/>
          <w:sz w:val="28"/>
          <w:szCs w:val="28"/>
          <w:lang w:eastAsia="es-ES"/>
        </w:rPr>
        <w:t xml:space="preserve">mismo mes y año, </w:t>
      </w:r>
      <w:r w:rsidRPr="007C57D2">
        <w:rPr>
          <w:rFonts w:ascii="Times New Roman" w:hAnsi="Times New Roman"/>
          <w:sz w:val="28"/>
          <w:szCs w:val="28"/>
          <w:lang w:eastAsia="es-ES"/>
        </w:rPr>
        <w:t>la mesa directiva del Senado designó como conciliador al senador Alejandro Carlos Adolfo Chacón Camargo</w:t>
      </w:r>
      <w:r w:rsidRPr="007C57D2">
        <w:rPr>
          <w:rFonts w:ascii="Times New Roman" w:hAnsi="Times New Roman"/>
          <w:sz w:val="28"/>
          <w:szCs w:val="28"/>
          <w:lang w:eastAsia="es-ES"/>
        </w:rPr>
        <w:t xml:space="preserve"> (Partido Liberal)</w:t>
      </w:r>
      <w:r w:rsidRPr="007C57D2">
        <w:rPr>
          <w:rFonts w:ascii="Times New Roman" w:hAnsi="Times New Roman"/>
          <w:sz w:val="28"/>
          <w:szCs w:val="28"/>
          <w:lang w:eastAsia="es-ES"/>
        </w:rPr>
        <w:t>, quien tuvo a su cargo la ponencia del proyecto de</w:t>
      </w:r>
      <w:r w:rsidRPr="007C57D2">
        <w:rPr>
          <w:rFonts w:ascii="Times New Roman" w:hAnsi="Times New Roman"/>
          <w:sz w:val="28"/>
          <w:szCs w:val="28"/>
          <w:lang w:eastAsia="es-ES"/>
        </w:rPr>
        <w:t xml:space="preserve"> ley durante el trámite en Senado</w:t>
      </w:r>
      <w:r w:rsidRPr="007C57D2">
        <w:rPr>
          <w:rStyle w:val="Refdenotaalpie"/>
          <w:rFonts w:ascii="Times New Roman" w:hAnsi="Times New Roman"/>
          <w:sz w:val="28"/>
          <w:szCs w:val="28"/>
          <w:lang w:eastAsia="es-ES"/>
        </w:rPr>
        <w:footnoteReference w:id="164"/>
      </w:r>
      <w:r w:rsidRPr="007C57D2">
        <w:rPr>
          <w:rFonts w:ascii="Times New Roman" w:hAnsi="Times New Roman"/>
          <w:sz w:val="28"/>
          <w:szCs w:val="28"/>
          <w:lang w:eastAsia="es-ES"/>
        </w:rPr>
        <w:t>.</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Sobre este punto, debe advertirse que se nombró igual número de congresistas para discutir la conciliación del proyecto de ley, por lo que se cumple con el criterio de simetría. Asimismo, se constata que los designados </w:t>
      </w:r>
      <w:r w:rsidRPr="007C57D2">
        <w:rPr>
          <w:rFonts w:ascii="Times New Roman" w:hAnsi="Times New Roman"/>
          <w:sz w:val="28"/>
          <w:szCs w:val="28"/>
          <w:lang w:eastAsia="es-ES"/>
        </w:rPr>
        <w:t xml:space="preserve">participaron como ponentes, lo que da lugar al cumplimiento del criterio de calidad de los integrantes. </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0B09A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En cuanto a la representación de las bancadas, la Sala observa que</w:t>
      </w:r>
      <w:r w:rsidRPr="007C57D2">
        <w:rPr>
          <w:rFonts w:ascii="Times New Roman" w:hAnsi="Times New Roman"/>
          <w:sz w:val="28"/>
          <w:szCs w:val="28"/>
          <w:lang w:eastAsia="es-ES"/>
        </w:rPr>
        <w:t xml:space="preserve"> en el presente caso no corresponde la aplicación de la regla jurisprudencial definida en el Auto 1298 de 2024</w:t>
      </w:r>
      <w:r w:rsidRPr="007C57D2">
        <w:rPr>
          <w:rFonts w:ascii="Times New Roman" w:hAnsi="Times New Roman"/>
          <w:sz w:val="28"/>
          <w:szCs w:val="28"/>
          <w:lang w:eastAsia="es-ES"/>
        </w:rPr>
        <w:t xml:space="preserve"> y reiterada a modo de jurisprudencia anunciada en la Sentencia C-340 de 2025</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Lo anterior, porque </w:t>
      </w:r>
      <w:r w:rsidRPr="007C57D2">
        <w:rPr>
          <w:rFonts w:ascii="Times New Roman" w:hAnsi="Times New Roman"/>
          <w:sz w:val="28"/>
          <w:szCs w:val="28"/>
          <w:lang w:eastAsia="es-ES"/>
        </w:rPr>
        <w:t>el</w:t>
      </w:r>
      <w:r w:rsidRPr="007C57D2">
        <w:rPr>
          <w:rFonts w:ascii="Times New Roman" w:hAnsi="Times New Roman"/>
          <w:sz w:val="28"/>
        </w:rPr>
        <w:t xml:space="preserve"> </w:t>
      </w:r>
      <w:r w:rsidRPr="007C57D2">
        <w:rPr>
          <w:rFonts w:ascii="Times New Roman" w:hAnsi="Times New Roman"/>
          <w:sz w:val="28"/>
          <w:szCs w:val="28"/>
          <w:lang w:eastAsia="es-ES"/>
        </w:rPr>
        <w:t>proceso de formación del PLE</w:t>
      </w:r>
      <w:r w:rsidRPr="007C57D2">
        <w:rPr>
          <w:rFonts w:ascii="Times New Roman" w:hAnsi="Times New Roman"/>
          <w:sz w:val="28"/>
          <w:szCs w:val="28"/>
          <w:lang w:eastAsia="es-ES"/>
        </w:rPr>
        <w:t>, el cual inició</w:t>
      </w:r>
      <w:r w:rsidRPr="007C57D2">
        <w:rPr>
          <w:rFonts w:ascii="Times New Roman" w:hAnsi="Times New Roman"/>
          <w:sz w:val="28"/>
          <w:szCs w:val="28"/>
          <w:lang w:eastAsia="es-ES"/>
        </w:rPr>
        <w:t xml:space="preserve"> el 4 de octubre de 2023 y culminó el 19 de junio de 2024,</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se </w:t>
      </w:r>
      <w:r w:rsidRPr="007C57D2">
        <w:rPr>
          <w:rFonts w:ascii="Times New Roman" w:hAnsi="Times New Roman"/>
          <w:sz w:val="28"/>
          <w:szCs w:val="28"/>
          <w:lang w:eastAsia="es-ES"/>
        </w:rPr>
        <w:t>adelantó</w:t>
      </w:r>
      <w:r w:rsidRPr="007C57D2">
        <w:rPr>
          <w:rFonts w:ascii="Times New Roman" w:hAnsi="Times New Roman"/>
          <w:sz w:val="28"/>
          <w:szCs w:val="28"/>
          <w:lang w:eastAsia="es-ES"/>
        </w:rPr>
        <w:t xml:space="preserve"> antes de la notificación del Auto 1298 de 202</w:t>
      </w:r>
      <w:r w:rsidRPr="007C57D2">
        <w:rPr>
          <w:rFonts w:ascii="Times New Roman" w:hAnsi="Times New Roman"/>
          <w:sz w:val="28"/>
          <w:szCs w:val="28"/>
          <w:lang w:eastAsia="es-ES"/>
        </w:rPr>
        <w:t>4</w:t>
      </w:r>
      <w:r w:rsidRPr="007C57D2">
        <w:rPr>
          <w:rFonts w:ascii="Times New Roman" w:hAnsi="Times New Roman"/>
          <w:sz w:val="28"/>
          <w:szCs w:val="28"/>
          <w:lang w:eastAsia="es-ES"/>
        </w:rPr>
        <w:t>, es decir, con anterioridad a</w:t>
      </w:r>
      <w:r w:rsidRPr="007C57D2">
        <w:rPr>
          <w:rFonts w:ascii="Times New Roman" w:hAnsi="Times New Roman"/>
          <w:sz w:val="28"/>
          <w:szCs w:val="28"/>
          <w:lang w:eastAsia="es-ES"/>
        </w:rPr>
        <w:t>l 15 de noviembre del mismo año</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 xml:space="preserve">Por </w:t>
      </w:r>
      <w:r w:rsidRPr="007C57D2">
        <w:rPr>
          <w:rFonts w:ascii="Times New Roman" w:hAnsi="Times New Roman"/>
          <w:sz w:val="28"/>
          <w:szCs w:val="28"/>
          <w:lang w:eastAsia="es-ES"/>
        </w:rPr>
        <w:t>tanto, en la presente oportunidad</w:t>
      </w:r>
      <w:r w:rsidRPr="007C57D2">
        <w:rPr>
          <w:rFonts w:ascii="Times New Roman" w:hAnsi="Times New Roman"/>
          <w:sz w:val="28"/>
          <w:szCs w:val="28"/>
          <w:lang w:eastAsia="es-ES"/>
        </w:rPr>
        <w:t xml:space="preserve"> no es exigible el requisito de que dic</w:t>
      </w:r>
      <w:r w:rsidRPr="007C57D2">
        <w:rPr>
          <w:rFonts w:ascii="Times New Roman" w:hAnsi="Times New Roman"/>
          <w:sz w:val="28"/>
          <w:szCs w:val="28"/>
          <w:lang w:eastAsia="es-ES"/>
        </w:rPr>
        <w:t>ha comisión esté compuesta por</w:t>
      </w:r>
      <w:r w:rsidRPr="007C57D2">
        <w:rPr>
          <w:rFonts w:ascii="Times New Roman" w:hAnsi="Times New Roman"/>
          <w:sz w:val="28"/>
          <w:szCs w:val="28"/>
          <w:lang w:eastAsia="es-ES"/>
        </w:rPr>
        <w:t xml:space="preserve"> senadores y representantes que pertenezcan a al menos </w:t>
      </w:r>
      <w:r w:rsidRPr="007C57D2">
        <w:rPr>
          <w:rFonts w:ascii="Times New Roman" w:hAnsi="Times New Roman"/>
          <w:sz w:val="28"/>
          <w:szCs w:val="28"/>
          <w:lang w:eastAsia="es-ES"/>
        </w:rPr>
        <w:t>dos bancadas</w:t>
      </w:r>
      <w:r w:rsidRPr="007C57D2">
        <w:rPr>
          <w:rFonts w:ascii="Times New Roman" w:hAnsi="Times New Roman"/>
          <w:sz w:val="28"/>
          <w:szCs w:val="28"/>
          <w:lang w:eastAsia="es-ES"/>
        </w:rPr>
        <w:t xml:space="preserve"> por cada </w:t>
      </w:r>
      <w:r w:rsidRPr="007C57D2">
        <w:rPr>
          <w:rFonts w:ascii="Times New Roman" w:hAnsi="Times New Roman"/>
          <w:sz w:val="28"/>
          <w:szCs w:val="28"/>
          <w:lang w:eastAsia="es-ES"/>
        </w:rPr>
        <w:t>Corporación</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De este modo, en el asunto de la referencia no se configura un vicio de procedimiento en lo que atañe a la conformación de la comisión a</w:t>
      </w:r>
      <w:r w:rsidRPr="007C57D2">
        <w:rPr>
          <w:rFonts w:ascii="Times New Roman" w:hAnsi="Times New Roman"/>
          <w:sz w:val="28"/>
          <w:szCs w:val="28"/>
          <w:lang w:eastAsia="es-ES"/>
        </w:rPr>
        <w:t>ccidental de conciliación.</w:t>
      </w:r>
      <w:r w:rsidRPr="007C57D2">
        <w:rPr>
          <w:rFonts w:ascii="Times New Roman" w:hAnsi="Times New Roman"/>
          <w:sz w:val="28"/>
          <w:szCs w:val="28"/>
          <w:lang w:eastAsia="es-ES"/>
        </w:rPr>
        <w:t xml:space="preserve"> </w:t>
      </w:r>
    </w:p>
    <w:p w:rsidR="000A12C7" w:rsidRPr="007C57D2" w:rsidRDefault="007C57D2" w:rsidP="008F3DAB">
      <w:pPr>
        <w:pStyle w:val="Prrafodelista"/>
        <w:tabs>
          <w:tab w:val="left" w:pos="567"/>
        </w:tabs>
        <w:ind w:left="0"/>
        <w:jc w:val="both"/>
        <w:rPr>
          <w:rFonts w:ascii="Times New Roman" w:hAnsi="Times New Roman"/>
          <w:sz w:val="28"/>
          <w:szCs w:val="28"/>
          <w:lang w:eastAsia="es-ES"/>
        </w:rPr>
      </w:pPr>
    </w:p>
    <w:p w:rsidR="00C72422"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 xml:space="preserve">Sobre el particular, resulta conveniente destacar que no es posible la aplicación de la exigencia establecida en el Auto 1298 de 2024 al presente caso no solo por la delimitación temporal efectuada en la Sentencia C-340 de 2025. </w:t>
      </w:r>
      <w:r w:rsidRPr="007C57D2">
        <w:rPr>
          <w:rFonts w:ascii="Times New Roman" w:hAnsi="Times New Roman"/>
          <w:sz w:val="28"/>
          <w:szCs w:val="28"/>
          <w:lang w:eastAsia="es-ES"/>
        </w:rPr>
        <w:t>Además, es preciso consider</w:t>
      </w:r>
      <w:r w:rsidRPr="007C57D2">
        <w:rPr>
          <w:rFonts w:ascii="Times New Roman" w:hAnsi="Times New Roman"/>
          <w:sz w:val="28"/>
          <w:szCs w:val="28"/>
          <w:lang w:eastAsia="es-ES"/>
        </w:rPr>
        <w:t>ar que ello supondría una aplicación retroactiva de la jurisprudencia porque, como ya se indicó, a pesar de lo previsto en el artículo 187 de la Ley 5 de 1992, modificado por el artículo 17 de la Ley 974 de 2005, con anterioridad al Auto 1298 de 2024, la p</w:t>
      </w:r>
      <w:r w:rsidRPr="007C57D2">
        <w:rPr>
          <w:rFonts w:ascii="Times New Roman" w:hAnsi="Times New Roman"/>
          <w:sz w:val="28"/>
          <w:szCs w:val="28"/>
          <w:lang w:eastAsia="es-ES"/>
        </w:rPr>
        <w:t xml:space="preserve">luralidad de bancadas no era un requisito inequívoco para la validez de la conformación de la comisión accidental de conciliación. </w:t>
      </w:r>
    </w:p>
    <w:p w:rsidR="00C72422" w:rsidRPr="007C57D2" w:rsidRDefault="007C57D2" w:rsidP="008F3DAB">
      <w:pPr>
        <w:pStyle w:val="Prrafodelista"/>
        <w:tabs>
          <w:tab w:val="left" w:pos="567"/>
        </w:tabs>
        <w:ind w:left="0"/>
        <w:jc w:val="both"/>
        <w:rPr>
          <w:rFonts w:ascii="Times New Roman" w:hAnsi="Times New Roman"/>
          <w:sz w:val="28"/>
          <w:szCs w:val="28"/>
          <w:lang w:eastAsia="es-ES"/>
        </w:rPr>
      </w:pPr>
    </w:p>
    <w:p w:rsidR="000A12C7" w:rsidRPr="007C57D2" w:rsidRDefault="007C57D2" w:rsidP="008F3DAB">
      <w:pPr>
        <w:pStyle w:val="Prrafodelista"/>
        <w:numPr>
          <w:ilvl w:val="0"/>
          <w:numId w:val="3"/>
        </w:numPr>
        <w:tabs>
          <w:tab w:val="left" w:pos="567"/>
        </w:tabs>
        <w:ind w:left="0" w:hanging="11"/>
        <w:jc w:val="both"/>
        <w:rPr>
          <w:rFonts w:ascii="Times New Roman" w:hAnsi="Times New Roman"/>
          <w:sz w:val="28"/>
          <w:szCs w:val="28"/>
          <w:lang w:eastAsia="es-ES"/>
        </w:rPr>
      </w:pPr>
      <w:r w:rsidRPr="007C57D2">
        <w:rPr>
          <w:rFonts w:ascii="Times New Roman" w:hAnsi="Times New Roman"/>
          <w:sz w:val="28"/>
          <w:szCs w:val="28"/>
          <w:lang w:eastAsia="es-ES"/>
        </w:rPr>
        <w:t>Las decisiones de la Corte Constitucional deben garantizar la confianza legítima y la seguridad jurídica. La aplicación ret</w:t>
      </w:r>
      <w:r w:rsidRPr="007C57D2">
        <w:rPr>
          <w:rFonts w:ascii="Times New Roman" w:hAnsi="Times New Roman"/>
          <w:sz w:val="28"/>
          <w:szCs w:val="28"/>
          <w:lang w:eastAsia="es-ES"/>
        </w:rPr>
        <w:t>roactiva de los ajustes hechos al precedente constitucional puede ocasionar, en algunos eventos, traumatismos importantes. Además, si se aceptara que la regla de las dos bancadas puede aplicarse retroactivamente a todos los trámites legislativos que culmin</w:t>
      </w:r>
      <w:r w:rsidRPr="007C57D2">
        <w:rPr>
          <w:rFonts w:ascii="Times New Roman" w:hAnsi="Times New Roman"/>
          <w:sz w:val="28"/>
          <w:szCs w:val="28"/>
          <w:lang w:eastAsia="es-ES"/>
        </w:rPr>
        <w:t xml:space="preserve">aron antes de que la Corte dictó el Auto 1298 de 2024, se afectaría la confianza legítima del Congreso de la República que, para el momento en que actuó, no conocía la referida regla, básicamente porque aquella no </w:t>
      </w:r>
      <w:r w:rsidRPr="007C57D2">
        <w:rPr>
          <w:rFonts w:ascii="Times New Roman" w:hAnsi="Times New Roman"/>
          <w:sz w:val="28"/>
          <w:szCs w:val="28"/>
          <w:lang w:eastAsia="es-ES"/>
        </w:rPr>
        <w:t>existía</w:t>
      </w:r>
      <w:r w:rsidRPr="007C57D2">
        <w:rPr>
          <w:rFonts w:ascii="Times New Roman" w:hAnsi="Times New Roman"/>
          <w:sz w:val="28"/>
          <w:szCs w:val="28"/>
          <w:lang w:eastAsia="es-ES"/>
        </w:rPr>
        <w:t>.</w:t>
      </w:r>
    </w:p>
    <w:p w:rsidR="00C72422" w:rsidRPr="007C57D2" w:rsidRDefault="007C57D2" w:rsidP="008F3DAB">
      <w:pPr>
        <w:pStyle w:val="Prrafodelista"/>
        <w:tabs>
          <w:tab w:val="left" w:pos="567"/>
        </w:tabs>
        <w:ind w:left="0"/>
        <w:jc w:val="both"/>
        <w:rPr>
          <w:rFonts w:ascii="Times New Roman" w:hAnsi="Times New Roman"/>
          <w:sz w:val="28"/>
          <w:szCs w:val="28"/>
          <w:lang w:eastAsia="es-ES"/>
        </w:rPr>
      </w:pPr>
    </w:p>
    <w:p w:rsidR="00090FB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Con todo, la Sala considera nece</w:t>
      </w:r>
      <w:r w:rsidRPr="007C57D2">
        <w:rPr>
          <w:rFonts w:ascii="Times New Roman" w:hAnsi="Times New Roman"/>
          <w:sz w:val="28"/>
          <w:szCs w:val="28"/>
          <w:lang w:eastAsia="es-ES"/>
        </w:rPr>
        <w:t xml:space="preserve">sario reiterar la regla de decisión delimitada en el Auto 1298 de 2024 y precisada en la Sentencia C-340 de 2025, así: (i) las comisiones de conciliación deben estar conformadas por </w:t>
      </w:r>
      <w:r w:rsidRPr="007C57D2">
        <w:rPr>
          <w:rFonts w:ascii="Times New Roman" w:hAnsi="Times New Roman"/>
          <w:b/>
          <w:bCs/>
          <w:sz w:val="28"/>
          <w:szCs w:val="28"/>
          <w:lang w:eastAsia="es-ES"/>
        </w:rPr>
        <w:t>al menos</w:t>
      </w:r>
      <w:r w:rsidRPr="007C57D2">
        <w:rPr>
          <w:rFonts w:ascii="Times New Roman" w:hAnsi="Times New Roman"/>
          <w:sz w:val="28"/>
          <w:szCs w:val="28"/>
          <w:lang w:eastAsia="es-ES"/>
        </w:rPr>
        <w:t xml:space="preserve"> cuatro personas, dos por la Cámara de Representantes y dos por el</w:t>
      </w:r>
      <w:r w:rsidRPr="007C57D2">
        <w:rPr>
          <w:rFonts w:ascii="Times New Roman" w:hAnsi="Times New Roman"/>
          <w:sz w:val="28"/>
          <w:szCs w:val="28"/>
          <w:lang w:eastAsia="es-ES"/>
        </w:rPr>
        <w:t xml:space="preserve"> Senado de la República; (ii) </w:t>
      </w:r>
      <w:r w:rsidRPr="007C57D2">
        <w:rPr>
          <w:rFonts w:ascii="Times New Roman" w:hAnsi="Times New Roman"/>
          <w:sz w:val="28"/>
          <w:szCs w:val="28"/>
          <w:lang w:eastAsia="es-ES"/>
        </w:rPr>
        <w:t xml:space="preserve">esta conformación debe garantizar la participación de </w:t>
      </w:r>
      <w:r w:rsidRPr="007C57D2">
        <w:rPr>
          <w:rFonts w:ascii="Times New Roman" w:hAnsi="Times New Roman"/>
          <w:b/>
          <w:bCs/>
          <w:sz w:val="28"/>
          <w:szCs w:val="28"/>
          <w:lang w:eastAsia="es-ES"/>
        </w:rPr>
        <w:t>mínimo</w:t>
      </w:r>
      <w:r w:rsidRPr="007C57D2">
        <w:rPr>
          <w:rFonts w:ascii="Times New Roman" w:hAnsi="Times New Roman"/>
          <w:sz w:val="28"/>
          <w:szCs w:val="28"/>
          <w:lang w:eastAsia="es-ES"/>
        </w:rPr>
        <w:t xml:space="preserve"> dos bancadas; (iii) estas dos exigencias deben aplicarse a cualquier trámite legislativo sin distinción de la clase de ley y (iv) únicamente respecto de los proyectos de ley radicados con posterioridad a la notificación del Auto 1298 de 2024, esto es el 1</w:t>
      </w:r>
      <w:r w:rsidRPr="007C57D2">
        <w:rPr>
          <w:rFonts w:ascii="Times New Roman" w:hAnsi="Times New Roman"/>
          <w:sz w:val="28"/>
          <w:szCs w:val="28"/>
          <w:lang w:eastAsia="es-ES"/>
        </w:rPr>
        <w:t>5 de noviembre de 2024.</w:t>
      </w:r>
    </w:p>
    <w:p w:rsidR="004D6500" w:rsidRPr="007C57D2" w:rsidRDefault="007C57D2" w:rsidP="008F3DAB">
      <w:pPr>
        <w:pStyle w:val="Prrafodelista"/>
        <w:tabs>
          <w:tab w:val="left" w:pos="567"/>
        </w:tabs>
        <w:ind w:left="0"/>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Los integrantes verificaron que los textos aprobados por cada cámara no presentaban discrepancias respecto </w:t>
      </w:r>
      <w:r w:rsidRPr="007C57D2">
        <w:rPr>
          <w:rFonts w:ascii="Times New Roman" w:hAnsi="Times New Roman"/>
          <w:sz w:val="28"/>
          <w:szCs w:val="28"/>
          <w:lang w:eastAsia="es-ES"/>
        </w:rPr>
        <w:t>de</w:t>
      </w:r>
      <w:r w:rsidRPr="007C57D2">
        <w:rPr>
          <w:rFonts w:ascii="Times New Roman" w:hAnsi="Times New Roman"/>
          <w:sz w:val="28"/>
          <w:szCs w:val="28"/>
          <w:lang w:eastAsia="es-ES"/>
        </w:rPr>
        <w:t>l título y los artículos 1 y 15, que prevén el objeto de la Alerta Colombia y la vigencia de la ley</w:t>
      </w:r>
      <w:r w:rsidRPr="007C57D2">
        <w:rPr>
          <w:rStyle w:val="Refdenotaalpie"/>
          <w:rFonts w:ascii="Times New Roman" w:hAnsi="Times New Roman"/>
          <w:sz w:val="28"/>
          <w:szCs w:val="28"/>
          <w:lang w:eastAsia="es-ES"/>
        </w:rPr>
        <w:footnoteReference w:id="165"/>
      </w:r>
      <w:r w:rsidRPr="007C57D2">
        <w:rPr>
          <w:rFonts w:ascii="Times New Roman" w:hAnsi="Times New Roman"/>
          <w:sz w:val="28"/>
          <w:szCs w:val="28"/>
          <w:lang w:eastAsia="es-ES"/>
        </w:rPr>
        <w:t xml:space="preserve">. Además, encontraron </w:t>
      </w:r>
      <w:r w:rsidRPr="007C57D2">
        <w:rPr>
          <w:rFonts w:ascii="Times New Roman" w:hAnsi="Times New Roman"/>
          <w:sz w:val="28"/>
          <w:szCs w:val="28"/>
          <w:lang w:eastAsia="es-ES"/>
        </w:rPr>
        <w:t>que existían divergencias sobre los artículos restantes (2 a 14) y acordaron acoger el texto aprobado por el Senado. Lo anterior permite inferir que se cumplió el momento de habilitación de competencia y trabajo de los integrantes de la comisión accidental</w:t>
      </w:r>
      <w:r w:rsidRPr="007C57D2">
        <w:rPr>
          <w:rFonts w:ascii="Times New Roman" w:hAnsi="Times New Roman"/>
          <w:sz w:val="28"/>
          <w:szCs w:val="28"/>
          <w:lang w:eastAsia="es-ES"/>
        </w:rPr>
        <w:t xml:space="preserve"> de conciliación. </w:t>
      </w:r>
    </w:p>
    <w:p w:rsidR="004D6500" w:rsidRPr="007C57D2" w:rsidRDefault="007C57D2" w:rsidP="008F3DAB">
      <w:pPr>
        <w:pStyle w:val="Prrafodelista"/>
        <w:tabs>
          <w:tab w:val="left" w:pos="360"/>
        </w:tabs>
        <w:ind w:left="0"/>
        <w:jc w:val="both"/>
        <w:rPr>
          <w:rFonts w:ascii="Times New Roman" w:hAnsi="Times New Roman"/>
          <w:sz w:val="28"/>
          <w:szCs w:val="28"/>
          <w:lang w:eastAsia="es-ES"/>
        </w:rPr>
      </w:pPr>
    </w:p>
    <w:p w:rsidR="004D6500" w:rsidRPr="007C57D2" w:rsidRDefault="007C57D2" w:rsidP="008F3DAB">
      <w:pPr>
        <w:tabs>
          <w:tab w:val="left" w:pos="426"/>
        </w:tabs>
        <w:spacing w:after="0" w:line="240" w:lineRule="auto"/>
        <w:ind w:left="709" w:hanging="283"/>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b) </w:t>
      </w:r>
      <w:r w:rsidRPr="007C57D2">
        <w:rPr>
          <w:rFonts w:ascii="Times New Roman" w:hAnsi="Times New Roman"/>
          <w:b/>
          <w:bCs/>
          <w:sz w:val="28"/>
          <w:szCs w:val="28"/>
          <w:shd w:val="clear" w:color="auto" w:fill="FFFFFF"/>
        </w:rPr>
        <w:t xml:space="preserve">Trámite de aprobación del informe de conciliación en las plenarias de las dos cámaras </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4D650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sz w:val="28"/>
          <w:szCs w:val="28"/>
          <w:lang w:eastAsia="es-ES"/>
        </w:rPr>
        <w:t xml:space="preserve">Una vez conciliado el texto, </w:t>
      </w:r>
      <w:r w:rsidRPr="007C57D2">
        <w:rPr>
          <w:rFonts w:ascii="Times New Roman" w:hAnsi="Times New Roman"/>
          <w:sz w:val="28"/>
          <w:szCs w:val="28"/>
          <w:lang w:eastAsia="es-ES"/>
        </w:rPr>
        <w:t>sus</w:t>
      </w:r>
      <w:r w:rsidRPr="007C57D2">
        <w:rPr>
          <w:rFonts w:ascii="Times New Roman" w:hAnsi="Times New Roman"/>
          <w:sz w:val="28"/>
          <w:szCs w:val="28"/>
          <w:lang w:eastAsia="es-ES"/>
        </w:rPr>
        <w:t xml:space="preserve"> integrantes prepararon el informe de conciliación y lo publicaron en las gacetas 904 y 907 del 17 de junio de 2024, y, con ello, dieron inicio </w:t>
      </w:r>
      <w:r w:rsidRPr="007C57D2">
        <w:rPr>
          <w:rFonts w:ascii="Times New Roman" w:hAnsi="Times New Roman"/>
          <w:sz w:val="28"/>
          <w:szCs w:val="28"/>
          <w:lang w:eastAsia="es-ES"/>
        </w:rPr>
        <w:t>a su</w:t>
      </w:r>
      <w:r w:rsidRPr="007C57D2">
        <w:rPr>
          <w:rFonts w:ascii="Times New Roman" w:hAnsi="Times New Roman"/>
          <w:sz w:val="28"/>
          <w:szCs w:val="28"/>
          <w:lang w:eastAsia="es-ES"/>
        </w:rPr>
        <w:t xml:space="preserve"> discusión y aprobación. </w:t>
      </w:r>
      <w:r w:rsidRPr="007C57D2">
        <w:rPr>
          <w:rFonts w:ascii="Times New Roman" w:hAnsi="Times New Roman"/>
          <w:sz w:val="28"/>
          <w:szCs w:val="28"/>
          <w:lang w:eastAsia="es-ES"/>
        </w:rPr>
        <w:t xml:space="preserve">El texto comparativo de los proyectos aprobados en las plenarias fue el siguiente: </w:t>
      </w:r>
    </w:p>
    <w:p w:rsidR="0030167B" w:rsidRPr="007C57D2" w:rsidRDefault="007C57D2" w:rsidP="008F3DAB">
      <w:pPr>
        <w:pStyle w:val="Prrafodelista"/>
        <w:tabs>
          <w:tab w:val="left" w:pos="567"/>
        </w:tabs>
        <w:ind w:left="0"/>
        <w:jc w:val="both"/>
        <w:rPr>
          <w:rFonts w:ascii="Times New Roman" w:hAnsi="Times New Roman"/>
          <w:sz w:val="28"/>
          <w:szCs w:val="28"/>
          <w:lang w:eastAsia="es-ES"/>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657"/>
        <w:gridCol w:w="2185"/>
      </w:tblGrid>
      <w:tr w:rsidR="00685F32" w:rsidRPr="007C57D2" w:rsidTr="007C57D2">
        <w:tc>
          <w:tcPr>
            <w:tcW w:w="8789" w:type="dxa"/>
            <w:gridSpan w:val="3"/>
            <w:shd w:val="clear" w:color="auto" w:fill="auto"/>
          </w:tcPr>
          <w:p w:rsidR="00034F73" w:rsidRPr="007C57D2" w:rsidRDefault="007C57D2" w:rsidP="007C57D2">
            <w:pPr>
              <w:tabs>
                <w:tab w:val="left" w:pos="567"/>
              </w:tabs>
              <w:spacing w:after="0" w:line="240" w:lineRule="auto"/>
              <w:jc w:val="center"/>
              <w:rPr>
                <w:rFonts w:ascii="Times New Roman" w:hAnsi="Times New Roman"/>
                <w:b/>
                <w:sz w:val="28"/>
                <w:lang w:val="es-ES" w:eastAsia="es-ES"/>
              </w:rPr>
            </w:pPr>
          </w:p>
          <w:p w:rsidR="00034F73" w:rsidRPr="007C57D2" w:rsidRDefault="007C57D2" w:rsidP="007C57D2">
            <w:pPr>
              <w:tabs>
                <w:tab w:val="left" w:pos="567"/>
              </w:tabs>
              <w:spacing w:after="0" w:line="240" w:lineRule="auto"/>
              <w:jc w:val="center"/>
              <w:rPr>
                <w:rFonts w:ascii="Times New Roman" w:hAnsi="Times New Roman"/>
                <w:b/>
                <w:sz w:val="28"/>
                <w:lang w:val="es-ES" w:eastAsia="es-ES"/>
              </w:rPr>
            </w:pPr>
            <w:r w:rsidRPr="007C57D2">
              <w:rPr>
                <w:rFonts w:ascii="Times New Roman" w:hAnsi="Times New Roman"/>
                <w:b/>
                <w:sz w:val="28"/>
                <w:lang w:val="es-ES" w:eastAsia="es-ES"/>
              </w:rPr>
              <w:t>Conciliación de artículos</w:t>
            </w:r>
          </w:p>
          <w:p w:rsidR="00034F73" w:rsidRPr="007C57D2" w:rsidRDefault="007C57D2" w:rsidP="007C57D2">
            <w:pPr>
              <w:tabs>
                <w:tab w:val="left" w:pos="567"/>
              </w:tabs>
              <w:spacing w:after="0" w:line="240" w:lineRule="auto"/>
              <w:jc w:val="center"/>
              <w:rPr>
                <w:rFonts w:ascii="Times New Roman" w:hAnsi="Times New Roman"/>
                <w:sz w:val="28"/>
                <w:lang w:eastAsia="es-ES"/>
              </w:rPr>
            </w:pPr>
          </w:p>
        </w:tc>
      </w:tr>
      <w:tr w:rsidR="00685F32" w:rsidRPr="007C57D2" w:rsidTr="007C57D2">
        <w:tc>
          <w:tcPr>
            <w:tcW w:w="2947" w:type="dxa"/>
            <w:shd w:val="clear" w:color="auto" w:fill="auto"/>
            <w:vAlign w:val="center"/>
          </w:tcPr>
          <w:p w:rsidR="004D6500" w:rsidRPr="007C57D2" w:rsidRDefault="007C57D2" w:rsidP="007C57D2">
            <w:pPr>
              <w:pStyle w:val="TableParagraph"/>
              <w:tabs>
                <w:tab w:val="left" w:pos="2531"/>
              </w:tabs>
              <w:ind w:firstLine="2"/>
              <w:jc w:val="center"/>
              <w:rPr>
                <w:rFonts w:ascii="Times New Roman" w:hAnsi="Times New Roman" w:cs="Times New Roman"/>
                <w:b/>
                <w:sz w:val="28"/>
              </w:rPr>
            </w:pPr>
            <w:r w:rsidRPr="007C57D2">
              <w:rPr>
                <w:rFonts w:ascii="Times New Roman" w:hAnsi="Times New Roman" w:cs="Times New Roman"/>
                <w:b/>
                <w:w w:val="105"/>
                <w:sz w:val="28"/>
              </w:rPr>
              <w:t>Texto</w:t>
            </w:r>
            <w:r w:rsidRPr="007C57D2">
              <w:rPr>
                <w:rFonts w:ascii="Times New Roman" w:hAnsi="Times New Roman" w:cs="Times New Roman"/>
                <w:b/>
                <w:spacing w:val="-6"/>
                <w:w w:val="105"/>
                <w:sz w:val="28"/>
              </w:rPr>
              <w:t xml:space="preserve"> </w:t>
            </w:r>
            <w:r w:rsidRPr="007C57D2">
              <w:rPr>
                <w:rFonts w:ascii="Times New Roman" w:hAnsi="Times New Roman" w:cs="Times New Roman"/>
                <w:b/>
                <w:w w:val="105"/>
                <w:sz w:val="28"/>
              </w:rPr>
              <w:t>aprobado</w:t>
            </w:r>
            <w:r w:rsidRPr="007C57D2">
              <w:rPr>
                <w:rFonts w:ascii="Times New Roman" w:hAnsi="Times New Roman" w:cs="Times New Roman"/>
                <w:b/>
                <w:spacing w:val="-7"/>
                <w:w w:val="105"/>
                <w:sz w:val="28"/>
              </w:rPr>
              <w:t xml:space="preserve"> </w:t>
            </w:r>
            <w:r w:rsidRPr="007C57D2">
              <w:rPr>
                <w:rFonts w:ascii="Times New Roman" w:hAnsi="Times New Roman" w:cs="Times New Roman"/>
                <w:b/>
                <w:w w:val="105"/>
                <w:sz w:val="28"/>
              </w:rPr>
              <w:t>en</w:t>
            </w:r>
            <w:r w:rsidRPr="007C57D2">
              <w:rPr>
                <w:rFonts w:ascii="Times New Roman" w:hAnsi="Times New Roman" w:cs="Times New Roman"/>
                <w:b/>
                <w:spacing w:val="40"/>
                <w:w w:val="105"/>
                <w:sz w:val="28"/>
              </w:rPr>
              <w:t xml:space="preserve"> </w:t>
            </w:r>
            <w:r w:rsidRPr="007C57D2">
              <w:rPr>
                <w:rFonts w:ascii="Times New Roman" w:hAnsi="Times New Roman" w:cs="Times New Roman"/>
                <w:b/>
                <w:sz w:val="28"/>
              </w:rPr>
              <w:t>plenaria</w:t>
            </w:r>
            <w:r w:rsidRPr="007C57D2">
              <w:rPr>
                <w:rFonts w:ascii="Times New Roman" w:hAnsi="Times New Roman" w:cs="Times New Roman"/>
                <w:b/>
                <w:spacing w:val="8"/>
                <w:sz w:val="28"/>
              </w:rPr>
              <w:t xml:space="preserve"> </w:t>
            </w:r>
            <w:r w:rsidRPr="007C57D2">
              <w:rPr>
                <w:rFonts w:ascii="Times New Roman" w:hAnsi="Times New Roman" w:cs="Times New Roman"/>
                <w:b/>
                <w:sz w:val="28"/>
              </w:rPr>
              <w:t>de</w:t>
            </w:r>
            <w:r w:rsidRPr="007C57D2">
              <w:rPr>
                <w:rFonts w:ascii="Times New Roman" w:hAnsi="Times New Roman" w:cs="Times New Roman"/>
                <w:b/>
                <w:spacing w:val="9"/>
                <w:sz w:val="28"/>
              </w:rPr>
              <w:t xml:space="preserve"> </w:t>
            </w:r>
            <w:r w:rsidRPr="007C57D2">
              <w:rPr>
                <w:rFonts w:ascii="Times New Roman" w:hAnsi="Times New Roman" w:cs="Times New Roman"/>
                <w:b/>
                <w:spacing w:val="-2"/>
                <w:sz w:val="28"/>
              </w:rPr>
              <w:t>cámara</w:t>
            </w:r>
          </w:p>
          <w:p w:rsidR="004D6500" w:rsidRPr="007C57D2" w:rsidRDefault="007C57D2" w:rsidP="007C57D2">
            <w:pPr>
              <w:pStyle w:val="TableParagraph"/>
              <w:tabs>
                <w:tab w:val="left" w:pos="2531"/>
              </w:tabs>
              <w:jc w:val="center"/>
              <w:rPr>
                <w:rFonts w:ascii="Times New Roman" w:hAnsi="Times New Roman" w:cs="Times New Roman"/>
                <w:b/>
                <w:sz w:val="28"/>
              </w:rPr>
            </w:pPr>
          </w:p>
          <w:p w:rsidR="004D6500" w:rsidRPr="007C57D2" w:rsidRDefault="007C57D2" w:rsidP="007C57D2">
            <w:pPr>
              <w:tabs>
                <w:tab w:val="left" w:pos="567"/>
                <w:tab w:val="left" w:pos="2531"/>
              </w:tabs>
              <w:spacing w:after="0" w:line="240" w:lineRule="auto"/>
              <w:jc w:val="center"/>
              <w:rPr>
                <w:rFonts w:ascii="Times New Roman" w:hAnsi="Times New Roman"/>
                <w:sz w:val="28"/>
                <w:lang w:eastAsia="es-ES"/>
              </w:rPr>
            </w:pPr>
            <w:r w:rsidRPr="007C57D2">
              <w:rPr>
                <w:rFonts w:ascii="Times New Roman" w:hAnsi="Times New Roman"/>
                <w:b/>
                <w:w w:val="105"/>
                <w:sz w:val="28"/>
              </w:rPr>
              <w:t>Proyecto</w:t>
            </w:r>
            <w:r w:rsidRPr="007C57D2">
              <w:rPr>
                <w:rFonts w:ascii="Times New Roman" w:hAnsi="Times New Roman"/>
                <w:b/>
                <w:spacing w:val="-11"/>
                <w:w w:val="105"/>
                <w:sz w:val="28"/>
              </w:rPr>
              <w:t xml:space="preserve"> </w:t>
            </w:r>
            <w:r w:rsidRPr="007C57D2">
              <w:rPr>
                <w:rFonts w:ascii="Times New Roman" w:hAnsi="Times New Roman"/>
                <w:b/>
                <w:w w:val="105"/>
                <w:sz w:val="28"/>
              </w:rPr>
              <w:t>de</w:t>
            </w:r>
            <w:r w:rsidRPr="007C57D2">
              <w:rPr>
                <w:rFonts w:ascii="Times New Roman" w:hAnsi="Times New Roman"/>
                <w:b/>
                <w:spacing w:val="-9"/>
                <w:w w:val="105"/>
                <w:sz w:val="28"/>
              </w:rPr>
              <w:t xml:space="preserve"> </w:t>
            </w:r>
            <w:r w:rsidRPr="007C57D2">
              <w:rPr>
                <w:rFonts w:ascii="Times New Roman" w:hAnsi="Times New Roman"/>
                <w:b/>
                <w:w w:val="105"/>
                <w:sz w:val="28"/>
              </w:rPr>
              <w:t>ley</w:t>
            </w:r>
            <w:r w:rsidRPr="007C57D2">
              <w:rPr>
                <w:rFonts w:ascii="Times New Roman" w:hAnsi="Times New Roman"/>
                <w:b/>
                <w:spacing w:val="-9"/>
                <w:w w:val="105"/>
                <w:sz w:val="28"/>
              </w:rPr>
              <w:t xml:space="preserve"> </w:t>
            </w:r>
            <w:r w:rsidRPr="007C57D2">
              <w:rPr>
                <w:rFonts w:ascii="Times New Roman" w:hAnsi="Times New Roman"/>
                <w:b/>
                <w:w w:val="105"/>
                <w:sz w:val="28"/>
              </w:rPr>
              <w:t>266</w:t>
            </w:r>
            <w:r w:rsidRPr="007C57D2">
              <w:rPr>
                <w:rFonts w:ascii="Times New Roman" w:hAnsi="Times New Roman"/>
                <w:b/>
                <w:spacing w:val="-8"/>
                <w:w w:val="105"/>
                <w:sz w:val="28"/>
              </w:rPr>
              <w:t xml:space="preserve"> </w:t>
            </w:r>
            <w:r w:rsidRPr="007C57D2">
              <w:rPr>
                <w:rFonts w:ascii="Times New Roman" w:hAnsi="Times New Roman"/>
                <w:b/>
                <w:w w:val="105"/>
                <w:sz w:val="28"/>
              </w:rPr>
              <w:t>de</w:t>
            </w:r>
            <w:r w:rsidRPr="007C57D2">
              <w:rPr>
                <w:rFonts w:ascii="Times New Roman" w:hAnsi="Times New Roman"/>
                <w:b/>
                <w:spacing w:val="40"/>
                <w:w w:val="105"/>
                <w:sz w:val="28"/>
              </w:rPr>
              <w:t xml:space="preserve"> </w:t>
            </w:r>
            <w:r w:rsidRPr="007C57D2">
              <w:rPr>
                <w:rFonts w:ascii="Times New Roman" w:hAnsi="Times New Roman"/>
                <w:b/>
                <w:w w:val="105"/>
                <w:sz w:val="28"/>
              </w:rPr>
              <w:t>2023</w:t>
            </w:r>
            <w:r w:rsidRPr="007C57D2">
              <w:rPr>
                <w:rFonts w:ascii="Times New Roman" w:hAnsi="Times New Roman"/>
                <w:b/>
                <w:spacing w:val="-7"/>
                <w:w w:val="105"/>
                <w:sz w:val="28"/>
              </w:rPr>
              <w:t xml:space="preserve"> </w:t>
            </w:r>
            <w:r w:rsidRPr="007C57D2">
              <w:rPr>
                <w:rFonts w:ascii="Times New Roman" w:hAnsi="Times New Roman"/>
                <w:b/>
                <w:w w:val="105"/>
                <w:sz w:val="28"/>
              </w:rPr>
              <w:t>Cámara</w:t>
            </w:r>
          </w:p>
        </w:tc>
        <w:tc>
          <w:tcPr>
            <w:tcW w:w="3657" w:type="dxa"/>
            <w:shd w:val="clear" w:color="auto" w:fill="auto"/>
            <w:vAlign w:val="center"/>
          </w:tcPr>
          <w:p w:rsidR="004D6500" w:rsidRPr="007C57D2" w:rsidRDefault="007C57D2" w:rsidP="007C57D2">
            <w:pPr>
              <w:pStyle w:val="TableParagraph"/>
              <w:ind w:hanging="90"/>
              <w:jc w:val="center"/>
              <w:rPr>
                <w:rFonts w:ascii="Times New Roman" w:hAnsi="Times New Roman" w:cs="Times New Roman"/>
                <w:b/>
                <w:sz w:val="28"/>
              </w:rPr>
            </w:pPr>
            <w:r w:rsidRPr="007C57D2">
              <w:rPr>
                <w:rFonts w:ascii="Times New Roman" w:hAnsi="Times New Roman" w:cs="Times New Roman"/>
                <w:b/>
                <w:spacing w:val="-2"/>
                <w:w w:val="105"/>
                <w:sz w:val="28"/>
              </w:rPr>
              <w:t>Texto</w:t>
            </w:r>
            <w:r w:rsidRPr="007C57D2">
              <w:rPr>
                <w:rFonts w:ascii="Times New Roman" w:hAnsi="Times New Roman" w:cs="Times New Roman"/>
                <w:b/>
                <w:spacing w:val="-7"/>
                <w:w w:val="105"/>
                <w:sz w:val="28"/>
              </w:rPr>
              <w:t xml:space="preserve"> </w:t>
            </w:r>
            <w:r w:rsidRPr="007C57D2">
              <w:rPr>
                <w:rFonts w:ascii="Times New Roman" w:hAnsi="Times New Roman" w:cs="Times New Roman"/>
                <w:b/>
                <w:spacing w:val="-2"/>
                <w:w w:val="105"/>
                <w:sz w:val="28"/>
              </w:rPr>
              <w:t>aprobado</w:t>
            </w:r>
            <w:r w:rsidRPr="007C57D2">
              <w:rPr>
                <w:rFonts w:ascii="Times New Roman" w:hAnsi="Times New Roman" w:cs="Times New Roman"/>
                <w:b/>
                <w:spacing w:val="-7"/>
                <w:w w:val="105"/>
                <w:sz w:val="28"/>
              </w:rPr>
              <w:t xml:space="preserve"> </w:t>
            </w:r>
            <w:r w:rsidRPr="007C57D2">
              <w:rPr>
                <w:rFonts w:ascii="Times New Roman" w:hAnsi="Times New Roman" w:cs="Times New Roman"/>
                <w:b/>
                <w:spacing w:val="-2"/>
                <w:w w:val="105"/>
                <w:sz w:val="28"/>
              </w:rPr>
              <w:t xml:space="preserve">en </w:t>
            </w:r>
            <w:r w:rsidRPr="007C57D2">
              <w:rPr>
                <w:rFonts w:ascii="Times New Roman" w:hAnsi="Times New Roman" w:cs="Times New Roman"/>
                <w:b/>
                <w:w w:val="105"/>
                <w:sz w:val="28"/>
              </w:rPr>
              <w:t>plenaria</w:t>
            </w:r>
            <w:r w:rsidRPr="007C57D2">
              <w:rPr>
                <w:rFonts w:ascii="Times New Roman" w:hAnsi="Times New Roman" w:cs="Times New Roman"/>
                <w:b/>
                <w:spacing w:val="-7"/>
                <w:w w:val="105"/>
                <w:sz w:val="28"/>
              </w:rPr>
              <w:t xml:space="preserve"> del S</w:t>
            </w:r>
            <w:r w:rsidRPr="007C57D2">
              <w:rPr>
                <w:rFonts w:ascii="Times New Roman" w:hAnsi="Times New Roman" w:cs="Times New Roman"/>
                <w:b/>
                <w:w w:val="105"/>
                <w:sz w:val="28"/>
              </w:rPr>
              <w:t>enado</w:t>
            </w:r>
          </w:p>
          <w:p w:rsidR="004D6500" w:rsidRPr="007C57D2" w:rsidRDefault="007C57D2" w:rsidP="007C57D2">
            <w:pPr>
              <w:pStyle w:val="TableParagraph"/>
              <w:jc w:val="center"/>
              <w:rPr>
                <w:rFonts w:ascii="Times New Roman" w:hAnsi="Times New Roman" w:cs="Times New Roman"/>
                <w:b/>
                <w:sz w:val="28"/>
              </w:rPr>
            </w:pPr>
          </w:p>
          <w:p w:rsidR="004D6500"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spacing w:val="-2"/>
                <w:w w:val="105"/>
                <w:sz w:val="28"/>
              </w:rPr>
              <w:t>Proyecto</w:t>
            </w:r>
            <w:r w:rsidRPr="007C57D2">
              <w:rPr>
                <w:rFonts w:ascii="Times New Roman" w:hAnsi="Times New Roman"/>
                <w:b/>
                <w:spacing w:val="-7"/>
                <w:w w:val="105"/>
                <w:sz w:val="28"/>
              </w:rPr>
              <w:t xml:space="preserve"> </w:t>
            </w:r>
            <w:r w:rsidRPr="007C57D2">
              <w:rPr>
                <w:rFonts w:ascii="Times New Roman" w:hAnsi="Times New Roman"/>
                <w:b/>
                <w:spacing w:val="-2"/>
                <w:w w:val="105"/>
                <w:sz w:val="28"/>
              </w:rPr>
              <w:t>de</w:t>
            </w:r>
            <w:r w:rsidRPr="007C57D2">
              <w:rPr>
                <w:rFonts w:ascii="Times New Roman" w:hAnsi="Times New Roman"/>
                <w:b/>
                <w:spacing w:val="-7"/>
                <w:w w:val="105"/>
                <w:sz w:val="28"/>
              </w:rPr>
              <w:t xml:space="preserve"> </w:t>
            </w:r>
            <w:r w:rsidRPr="007C57D2">
              <w:rPr>
                <w:rFonts w:ascii="Times New Roman" w:hAnsi="Times New Roman"/>
                <w:b/>
                <w:spacing w:val="-2"/>
                <w:w w:val="105"/>
                <w:sz w:val="28"/>
              </w:rPr>
              <w:t>ley</w:t>
            </w:r>
            <w:r w:rsidRPr="007C57D2">
              <w:rPr>
                <w:rFonts w:ascii="Times New Roman" w:hAnsi="Times New Roman"/>
                <w:b/>
                <w:spacing w:val="-7"/>
                <w:w w:val="105"/>
                <w:sz w:val="28"/>
              </w:rPr>
              <w:t xml:space="preserve"> </w:t>
            </w:r>
            <w:r w:rsidRPr="007C57D2">
              <w:rPr>
                <w:rFonts w:ascii="Times New Roman" w:hAnsi="Times New Roman"/>
                <w:b/>
                <w:spacing w:val="-2"/>
                <w:w w:val="105"/>
                <w:sz w:val="28"/>
              </w:rPr>
              <w:t>285</w:t>
            </w:r>
            <w:r w:rsidRPr="007C57D2">
              <w:rPr>
                <w:rFonts w:ascii="Times New Roman" w:hAnsi="Times New Roman"/>
                <w:b/>
                <w:spacing w:val="40"/>
                <w:w w:val="105"/>
                <w:sz w:val="28"/>
              </w:rPr>
              <w:t xml:space="preserve"> </w:t>
            </w:r>
            <w:r w:rsidRPr="007C57D2">
              <w:rPr>
                <w:rFonts w:ascii="Times New Roman" w:hAnsi="Times New Roman"/>
                <w:b/>
                <w:w w:val="105"/>
                <w:sz w:val="28"/>
              </w:rPr>
              <w:t>de 2024 Senado</w:t>
            </w:r>
          </w:p>
        </w:tc>
        <w:tc>
          <w:tcPr>
            <w:tcW w:w="2185" w:type="dxa"/>
            <w:shd w:val="clear" w:color="auto" w:fill="auto"/>
            <w:vAlign w:val="center"/>
          </w:tcPr>
          <w:p w:rsidR="004D6500"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spacing w:val="-2"/>
                <w:w w:val="105"/>
                <w:sz w:val="28"/>
              </w:rPr>
              <w:t>Texto</w:t>
            </w:r>
            <w:r w:rsidRPr="007C57D2">
              <w:rPr>
                <w:rFonts w:ascii="Times New Roman" w:hAnsi="Times New Roman"/>
                <w:b/>
                <w:spacing w:val="-7"/>
                <w:w w:val="105"/>
                <w:sz w:val="28"/>
              </w:rPr>
              <w:t xml:space="preserve"> </w:t>
            </w:r>
            <w:r w:rsidRPr="007C57D2">
              <w:rPr>
                <w:rFonts w:ascii="Times New Roman" w:hAnsi="Times New Roman"/>
                <w:b/>
                <w:spacing w:val="-2"/>
                <w:w w:val="105"/>
                <w:sz w:val="28"/>
              </w:rPr>
              <w:t>que</w:t>
            </w:r>
            <w:r w:rsidRPr="007C57D2">
              <w:rPr>
                <w:rFonts w:ascii="Times New Roman" w:hAnsi="Times New Roman"/>
                <w:b/>
                <w:spacing w:val="-7"/>
                <w:w w:val="105"/>
                <w:sz w:val="28"/>
              </w:rPr>
              <w:t xml:space="preserve"> </w:t>
            </w:r>
            <w:r w:rsidRPr="007C57D2">
              <w:rPr>
                <w:rFonts w:ascii="Times New Roman" w:hAnsi="Times New Roman"/>
                <w:b/>
                <w:spacing w:val="-2"/>
                <w:w w:val="105"/>
                <w:sz w:val="28"/>
              </w:rPr>
              <w:t>se</w:t>
            </w:r>
            <w:r w:rsidRPr="007C57D2">
              <w:rPr>
                <w:rFonts w:ascii="Times New Roman" w:hAnsi="Times New Roman"/>
                <w:b/>
                <w:spacing w:val="40"/>
                <w:w w:val="105"/>
                <w:sz w:val="28"/>
              </w:rPr>
              <w:t xml:space="preserve"> </w:t>
            </w:r>
            <w:r w:rsidRPr="007C57D2">
              <w:rPr>
                <w:rFonts w:ascii="Times New Roman" w:hAnsi="Times New Roman"/>
                <w:b/>
                <w:spacing w:val="-2"/>
                <w:w w:val="105"/>
                <w:sz w:val="28"/>
              </w:rPr>
              <w:t>acoge</w:t>
            </w:r>
          </w:p>
        </w:tc>
      </w:tr>
      <w:tr w:rsidR="00685F32" w:rsidRPr="007C57D2" w:rsidTr="007C57D2">
        <w:tc>
          <w:tcPr>
            <w:tcW w:w="2947" w:type="dxa"/>
            <w:shd w:val="clear" w:color="auto" w:fill="auto"/>
          </w:tcPr>
          <w:p w:rsidR="0030167B"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i/>
                <w:w w:val="105"/>
                <w:sz w:val="28"/>
              </w:rPr>
              <w:t>Por</w:t>
            </w:r>
            <w:r w:rsidRPr="007C57D2">
              <w:rPr>
                <w:rFonts w:ascii="Times New Roman" w:hAnsi="Times New Roman"/>
                <w:i/>
                <w:spacing w:val="-2"/>
                <w:w w:val="105"/>
                <w:sz w:val="28"/>
              </w:rPr>
              <w:t xml:space="preserve"> </w:t>
            </w:r>
            <w:r w:rsidRPr="007C57D2">
              <w:rPr>
                <w:rFonts w:ascii="Times New Roman" w:hAnsi="Times New Roman"/>
                <w:i/>
                <w:w w:val="105"/>
                <w:sz w:val="28"/>
              </w:rPr>
              <w:t>medio</w:t>
            </w:r>
            <w:r w:rsidRPr="007C57D2">
              <w:rPr>
                <w:rFonts w:ascii="Times New Roman" w:hAnsi="Times New Roman"/>
                <w:i/>
                <w:spacing w:val="-2"/>
                <w:w w:val="105"/>
                <w:sz w:val="28"/>
              </w:rPr>
              <w:t xml:space="preserve"> </w:t>
            </w:r>
            <w:r w:rsidRPr="007C57D2">
              <w:rPr>
                <w:rFonts w:ascii="Times New Roman" w:hAnsi="Times New Roman"/>
                <w:i/>
                <w:w w:val="105"/>
                <w:sz w:val="28"/>
              </w:rPr>
              <w:t>de</w:t>
            </w:r>
            <w:r w:rsidRPr="007C57D2">
              <w:rPr>
                <w:rFonts w:ascii="Times New Roman" w:hAnsi="Times New Roman"/>
                <w:i/>
                <w:spacing w:val="-2"/>
                <w:w w:val="105"/>
                <w:sz w:val="28"/>
              </w:rPr>
              <w:t xml:space="preserve"> </w:t>
            </w:r>
            <w:r w:rsidRPr="007C57D2">
              <w:rPr>
                <w:rFonts w:ascii="Times New Roman" w:hAnsi="Times New Roman"/>
                <w:i/>
                <w:w w:val="105"/>
                <w:sz w:val="28"/>
              </w:rPr>
              <w:t>la</w:t>
            </w:r>
            <w:r w:rsidRPr="007C57D2">
              <w:rPr>
                <w:rFonts w:ascii="Times New Roman" w:hAnsi="Times New Roman"/>
                <w:i/>
                <w:spacing w:val="-1"/>
                <w:w w:val="105"/>
                <w:sz w:val="28"/>
              </w:rPr>
              <w:t xml:space="preserve"> </w:t>
            </w:r>
            <w:r w:rsidRPr="007C57D2">
              <w:rPr>
                <w:rFonts w:ascii="Times New Roman" w:hAnsi="Times New Roman"/>
                <w:i/>
                <w:w w:val="105"/>
                <w:sz w:val="28"/>
              </w:rPr>
              <w:t>cual</w:t>
            </w:r>
            <w:r w:rsidRPr="007C57D2">
              <w:rPr>
                <w:rFonts w:ascii="Times New Roman" w:hAnsi="Times New Roman"/>
                <w:i/>
                <w:spacing w:val="-1"/>
                <w:w w:val="105"/>
                <w:sz w:val="28"/>
              </w:rPr>
              <w:t xml:space="preserve"> </w:t>
            </w:r>
            <w:r w:rsidRPr="007C57D2">
              <w:rPr>
                <w:rFonts w:ascii="Times New Roman" w:hAnsi="Times New Roman"/>
                <w:i/>
                <w:w w:val="105"/>
                <w:sz w:val="28"/>
              </w:rPr>
              <w:t>se</w:t>
            </w:r>
            <w:r w:rsidRPr="007C57D2">
              <w:rPr>
                <w:rFonts w:ascii="Times New Roman" w:hAnsi="Times New Roman"/>
                <w:i/>
                <w:spacing w:val="-1"/>
                <w:w w:val="105"/>
                <w:sz w:val="28"/>
              </w:rPr>
              <w:t xml:space="preserve"> </w:t>
            </w:r>
            <w:r w:rsidRPr="007C57D2">
              <w:rPr>
                <w:rFonts w:ascii="Times New Roman" w:hAnsi="Times New Roman"/>
                <w:i/>
                <w:w w:val="105"/>
                <w:sz w:val="28"/>
              </w:rPr>
              <w:t>crea</w:t>
            </w:r>
            <w:r w:rsidRPr="007C57D2">
              <w:rPr>
                <w:rFonts w:ascii="Times New Roman" w:hAnsi="Times New Roman"/>
                <w:i/>
                <w:spacing w:val="-1"/>
                <w:w w:val="105"/>
                <w:sz w:val="28"/>
              </w:rPr>
              <w:t xml:space="preserve"> </w:t>
            </w:r>
            <w:r w:rsidRPr="007C57D2">
              <w:rPr>
                <w:rFonts w:ascii="Times New Roman" w:hAnsi="Times New Roman"/>
                <w:i/>
                <w:w w:val="105"/>
                <w:sz w:val="28"/>
              </w:rPr>
              <w:t>y</w:t>
            </w:r>
            <w:r w:rsidRPr="007C57D2">
              <w:rPr>
                <w:rFonts w:ascii="Times New Roman" w:hAnsi="Times New Roman"/>
                <w:i/>
                <w:spacing w:val="40"/>
                <w:w w:val="105"/>
                <w:sz w:val="28"/>
              </w:rPr>
              <w:t xml:space="preserve"> </w:t>
            </w:r>
            <w:r w:rsidRPr="007C57D2">
              <w:rPr>
                <w:rFonts w:ascii="Times New Roman" w:hAnsi="Times New Roman"/>
                <w:i/>
                <w:w w:val="105"/>
                <w:sz w:val="28"/>
              </w:rPr>
              <w:t>se</w:t>
            </w:r>
            <w:r w:rsidRPr="007C57D2">
              <w:rPr>
                <w:rFonts w:ascii="Times New Roman" w:hAnsi="Times New Roman"/>
                <w:i/>
                <w:spacing w:val="-9"/>
                <w:w w:val="105"/>
                <w:sz w:val="28"/>
              </w:rPr>
              <w:t xml:space="preserve"> </w:t>
            </w:r>
            <w:r w:rsidRPr="007C57D2">
              <w:rPr>
                <w:rFonts w:ascii="Times New Roman" w:hAnsi="Times New Roman"/>
                <w:i/>
                <w:w w:val="105"/>
                <w:sz w:val="28"/>
              </w:rPr>
              <w:t>reglamenta</w:t>
            </w:r>
            <w:r w:rsidRPr="007C57D2">
              <w:rPr>
                <w:rFonts w:ascii="Times New Roman" w:hAnsi="Times New Roman"/>
                <w:i/>
                <w:spacing w:val="-9"/>
                <w:w w:val="105"/>
                <w:sz w:val="28"/>
              </w:rPr>
              <w:t xml:space="preserve"> </w:t>
            </w:r>
            <w:r w:rsidRPr="007C57D2">
              <w:rPr>
                <w:rFonts w:ascii="Times New Roman" w:hAnsi="Times New Roman"/>
                <w:i/>
                <w:w w:val="105"/>
                <w:sz w:val="28"/>
              </w:rPr>
              <w:t>Alerta</w:t>
            </w:r>
            <w:r w:rsidRPr="007C57D2">
              <w:rPr>
                <w:rFonts w:ascii="Times New Roman" w:hAnsi="Times New Roman"/>
                <w:i/>
                <w:spacing w:val="-9"/>
                <w:w w:val="105"/>
                <w:sz w:val="28"/>
              </w:rPr>
              <w:t xml:space="preserve"> </w:t>
            </w:r>
            <w:r w:rsidRPr="007C57D2">
              <w:rPr>
                <w:rFonts w:ascii="Times New Roman" w:hAnsi="Times New Roman"/>
                <w:i/>
                <w:w w:val="105"/>
                <w:sz w:val="28"/>
              </w:rPr>
              <w:t>Colombia</w:t>
            </w:r>
            <w:r w:rsidRPr="007C57D2">
              <w:rPr>
                <w:rFonts w:ascii="Times New Roman" w:hAnsi="Times New Roman"/>
                <w:i/>
                <w:spacing w:val="40"/>
                <w:w w:val="105"/>
                <w:sz w:val="28"/>
              </w:rPr>
              <w:t xml:space="preserve"> </w:t>
            </w:r>
            <w:r w:rsidRPr="007C57D2">
              <w:rPr>
                <w:rFonts w:ascii="Times New Roman" w:hAnsi="Times New Roman"/>
                <w:i/>
                <w:spacing w:val="-2"/>
                <w:w w:val="105"/>
                <w:sz w:val="28"/>
              </w:rPr>
              <w:t>Ley</w:t>
            </w:r>
            <w:r w:rsidRPr="007C57D2">
              <w:rPr>
                <w:rFonts w:ascii="Times New Roman" w:hAnsi="Times New Roman"/>
                <w:i/>
                <w:spacing w:val="-7"/>
                <w:w w:val="105"/>
                <w:sz w:val="28"/>
              </w:rPr>
              <w:t xml:space="preserve"> </w:t>
            </w:r>
            <w:r w:rsidRPr="007C57D2">
              <w:rPr>
                <w:rFonts w:ascii="Times New Roman" w:hAnsi="Times New Roman"/>
                <w:i/>
                <w:spacing w:val="-2"/>
                <w:w w:val="105"/>
                <w:sz w:val="28"/>
              </w:rPr>
              <w:t>Sara</w:t>
            </w:r>
            <w:r w:rsidRPr="007C57D2">
              <w:rPr>
                <w:rFonts w:ascii="Times New Roman" w:hAnsi="Times New Roman"/>
                <w:i/>
                <w:spacing w:val="-7"/>
                <w:w w:val="105"/>
                <w:sz w:val="28"/>
              </w:rPr>
              <w:t xml:space="preserve"> </w:t>
            </w:r>
            <w:r w:rsidRPr="007C57D2">
              <w:rPr>
                <w:rFonts w:ascii="Times New Roman" w:hAnsi="Times New Roman"/>
                <w:i/>
                <w:spacing w:val="-2"/>
                <w:w w:val="105"/>
                <w:sz w:val="28"/>
              </w:rPr>
              <w:t>Sofía</w:t>
            </w:r>
            <w:r w:rsidRPr="007C57D2">
              <w:rPr>
                <w:rFonts w:ascii="Times New Roman" w:hAnsi="Times New Roman"/>
                <w:i/>
                <w:spacing w:val="-7"/>
                <w:w w:val="105"/>
                <w:sz w:val="28"/>
              </w:rPr>
              <w:t xml:space="preserve"> </w:t>
            </w:r>
            <w:r w:rsidRPr="007C57D2">
              <w:rPr>
                <w:rFonts w:ascii="Times New Roman" w:hAnsi="Times New Roman"/>
                <w:i/>
                <w:spacing w:val="-2"/>
                <w:w w:val="105"/>
                <w:sz w:val="28"/>
              </w:rPr>
              <w:t>y</w:t>
            </w:r>
            <w:r w:rsidRPr="007C57D2">
              <w:rPr>
                <w:rFonts w:ascii="Times New Roman" w:hAnsi="Times New Roman"/>
                <w:i/>
                <w:spacing w:val="-6"/>
                <w:w w:val="105"/>
                <w:sz w:val="28"/>
              </w:rPr>
              <w:t xml:space="preserve"> </w:t>
            </w:r>
            <w:r w:rsidRPr="007C57D2">
              <w:rPr>
                <w:rFonts w:ascii="Times New Roman" w:hAnsi="Times New Roman"/>
                <w:i/>
                <w:spacing w:val="-2"/>
                <w:w w:val="105"/>
                <w:sz w:val="28"/>
              </w:rPr>
              <w:t>se</w:t>
            </w:r>
            <w:r w:rsidRPr="007C57D2">
              <w:rPr>
                <w:rFonts w:ascii="Times New Roman" w:hAnsi="Times New Roman"/>
                <w:i/>
                <w:spacing w:val="-7"/>
                <w:w w:val="105"/>
                <w:sz w:val="28"/>
              </w:rPr>
              <w:t xml:space="preserve"> </w:t>
            </w:r>
            <w:r w:rsidRPr="007C57D2">
              <w:rPr>
                <w:rFonts w:ascii="Times New Roman" w:hAnsi="Times New Roman"/>
                <w:i/>
                <w:spacing w:val="-2"/>
                <w:w w:val="105"/>
                <w:sz w:val="28"/>
              </w:rPr>
              <w:t>dictan</w:t>
            </w:r>
            <w:r w:rsidRPr="007C57D2">
              <w:rPr>
                <w:rFonts w:ascii="Times New Roman" w:hAnsi="Times New Roman"/>
                <w:i/>
                <w:spacing w:val="-7"/>
                <w:w w:val="105"/>
                <w:sz w:val="28"/>
              </w:rPr>
              <w:t xml:space="preserve"> </w:t>
            </w:r>
            <w:r w:rsidRPr="007C57D2">
              <w:rPr>
                <w:rFonts w:ascii="Times New Roman" w:hAnsi="Times New Roman"/>
                <w:i/>
                <w:spacing w:val="-2"/>
                <w:w w:val="105"/>
                <w:sz w:val="28"/>
              </w:rPr>
              <w:t>otras</w:t>
            </w:r>
            <w:r w:rsidRPr="007C57D2">
              <w:rPr>
                <w:rFonts w:ascii="Times New Roman" w:hAnsi="Times New Roman"/>
                <w:i/>
                <w:spacing w:val="40"/>
                <w:w w:val="105"/>
                <w:sz w:val="28"/>
              </w:rPr>
              <w:t xml:space="preserve"> </w:t>
            </w:r>
            <w:r w:rsidRPr="007C57D2">
              <w:rPr>
                <w:rFonts w:ascii="Times New Roman" w:hAnsi="Times New Roman"/>
                <w:i/>
                <w:spacing w:val="-2"/>
                <w:w w:val="105"/>
                <w:sz w:val="28"/>
              </w:rPr>
              <w:t>disposiciones</w:t>
            </w:r>
          </w:p>
        </w:tc>
        <w:tc>
          <w:tcPr>
            <w:tcW w:w="3657" w:type="dxa"/>
            <w:shd w:val="clear" w:color="auto" w:fill="auto"/>
          </w:tcPr>
          <w:p w:rsidR="0030167B" w:rsidRPr="007C57D2" w:rsidRDefault="007C57D2" w:rsidP="007C57D2">
            <w:pPr>
              <w:pStyle w:val="TableParagraph"/>
              <w:tabs>
                <w:tab w:val="left" w:pos="590"/>
                <w:tab w:val="left" w:pos="1326"/>
              </w:tabs>
              <w:jc w:val="center"/>
              <w:rPr>
                <w:rFonts w:ascii="Times New Roman" w:hAnsi="Times New Roman" w:cs="Times New Roman"/>
                <w:i/>
                <w:sz w:val="28"/>
              </w:rPr>
            </w:pPr>
            <w:r w:rsidRPr="007C57D2">
              <w:rPr>
                <w:rFonts w:ascii="Times New Roman" w:hAnsi="Times New Roman" w:cs="Times New Roman"/>
                <w:i/>
                <w:spacing w:val="-2"/>
                <w:w w:val="105"/>
                <w:sz w:val="28"/>
              </w:rPr>
              <w:t>Por</w:t>
            </w:r>
            <w:r w:rsidRPr="007C57D2">
              <w:rPr>
                <w:rFonts w:ascii="Times New Roman" w:hAnsi="Times New Roman" w:cs="Times New Roman"/>
                <w:i/>
                <w:spacing w:val="-7"/>
                <w:w w:val="105"/>
                <w:sz w:val="28"/>
              </w:rPr>
              <w:t xml:space="preserve"> </w:t>
            </w:r>
            <w:r w:rsidRPr="007C57D2">
              <w:rPr>
                <w:rFonts w:ascii="Times New Roman" w:hAnsi="Times New Roman" w:cs="Times New Roman"/>
                <w:i/>
                <w:spacing w:val="-2"/>
                <w:w w:val="105"/>
                <w:sz w:val="28"/>
              </w:rPr>
              <w:t>medio</w:t>
            </w:r>
            <w:r w:rsidRPr="007C57D2">
              <w:rPr>
                <w:rFonts w:ascii="Times New Roman" w:hAnsi="Times New Roman" w:cs="Times New Roman"/>
                <w:i/>
                <w:spacing w:val="-7"/>
                <w:w w:val="105"/>
                <w:sz w:val="28"/>
              </w:rPr>
              <w:t xml:space="preserve"> </w:t>
            </w:r>
            <w:r w:rsidRPr="007C57D2">
              <w:rPr>
                <w:rFonts w:ascii="Times New Roman" w:hAnsi="Times New Roman" w:cs="Times New Roman"/>
                <w:i/>
                <w:spacing w:val="-2"/>
                <w:w w:val="105"/>
                <w:sz w:val="28"/>
              </w:rPr>
              <w:t>de</w:t>
            </w:r>
            <w:r w:rsidRPr="007C57D2">
              <w:rPr>
                <w:rFonts w:ascii="Times New Roman" w:hAnsi="Times New Roman" w:cs="Times New Roman"/>
                <w:i/>
                <w:spacing w:val="-7"/>
                <w:w w:val="105"/>
                <w:sz w:val="28"/>
              </w:rPr>
              <w:t xml:space="preserve"> </w:t>
            </w:r>
            <w:r w:rsidRPr="007C57D2">
              <w:rPr>
                <w:rFonts w:ascii="Times New Roman" w:hAnsi="Times New Roman" w:cs="Times New Roman"/>
                <w:i/>
                <w:spacing w:val="-2"/>
                <w:w w:val="105"/>
                <w:sz w:val="28"/>
              </w:rPr>
              <w:t>la</w:t>
            </w:r>
            <w:r w:rsidRPr="007C57D2">
              <w:rPr>
                <w:rFonts w:ascii="Times New Roman" w:hAnsi="Times New Roman" w:cs="Times New Roman"/>
                <w:i/>
                <w:spacing w:val="-6"/>
                <w:w w:val="105"/>
                <w:sz w:val="28"/>
              </w:rPr>
              <w:t xml:space="preserve"> </w:t>
            </w:r>
            <w:r w:rsidRPr="007C57D2">
              <w:rPr>
                <w:rFonts w:ascii="Times New Roman" w:hAnsi="Times New Roman" w:cs="Times New Roman"/>
                <w:i/>
                <w:spacing w:val="-2"/>
                <w:w w:val="105"/>
                <w:sz w:val="28"/>
              </w:rPr>
              <w:t>cual</w:t>
            </w:r>
            <w:r w:rsidRPr="007C57D2">
              <w:rPr>
                <w:rFonts w:ascii="Times New Roman" w:hAnsi="Times New Roman" w:cs="Times New Roman"/>
                <w:i/>
                <w:spacing w:val="-7"/>
                <w:w w:val="105"/>
                <w:sz w:val="28"/>
              </w:rPr>
              <w:t xml:space="preserve"> </w:t>
            </w:r>
            <w:r w:rsidRPr="007C57D2">
              <w:rPr>
                <w:rFonts w:ascii="Times New Roman" w:hAnsi="Times New Roman" w:cs="Times New Roman"/>
                <w:i/>
                <w:spacing w:val="-2"/>
                <w:w w:val="105"/>
                <w:sz w:val="28"/>
              </w:rPr>
              <w:t>se</w:t>
            </w:r>
            <w:r w:rsidRPr="007C57D2">
              <w:rPr>
                <w:rFonts w:ascii="Times New Roman" w:hAnsi="Times New Roman" w:cs="Times New Roman"/>
                <w:i/>
                <w:spacing w:val="-7"/>
                <w:w w:val="105"/>
                <w:sz w:val="28"/>
              </w:rPr>
              <w:t xml:space="preserve"> </w:t>
            </w:r>
            <w:r w:rsidRPr="007C57D2">
              <w:rPr>
                <w:rFonts w:ascii="Times New Roman" w:hAnsi="Times New Roman" w:cs="Times New Roman"/>
                <w:i/>
                <w:spacing w:val="-2"/>
                <w:w w:val="105"/>
                <w:sz w:val="28"/>
              </w:rPr>
              <w:t>crea</w:t>
            </w:r>
            <w:r w:rsidRPr="007C57D2">
              <w:rPr>
                <w:rFonts w:ascii="Times New Roman" w:hAnsi="Times New Roman" w:cs="Times New Roman"/>
                <w:i/>
                <w:spacing w:val="40"/>
                <w:w w:val="105"/>
                <w:sz w:val="28"/>
              </w:rPr>
              <w:t xml:space="preserve"> </w:t>
            </w:r>
            <w:r w:rsidRPr="007C57D2">
              <w:rPr>
                <w:rFonts w:ascii="Times New Roman" w:hAnsi="Times New Roman" w:cs="Times New Roman"/>
                <w:i/>
                <w:w w:val="105"/>
                <w:sz w:val="28"/>
              </w:rPr>
              <w:t>y se reglamenta Alerta</w:t>
            </w:r>
            <w:r w:rsidRPr="007C57D2">
              <w:rPr>
                <w:rFonts w:ascii="Times New Roman" w:hAnsi="Times New Roman" w:cs="Times New Roman"/>
                <w:i/>
                <w:spacing w:val="40"/>
                <w:w w:val="105"/>
                <w:sz w:val="28"/>
              </w:rPr>
              <w:t xml:space="preserve"> </w:t>
            </w:r>
            <w:r w:rsidRPr="007C57D2">
              <w:rPr>
                <w:rFonts w:ascii="Times New Roman" w:hAnsi="Times New Roman" w:cs="Times New Roman"/>
                <w:i/>
                <w:w w:val="105"/>
                <w:sz w:val="28"/>
              </w:rPr>
              <w:t>Colombia ley Sara Sofía y</w:t>
            </w:r>
            <w:r w:rsidRPr="007C57D2">
              <w:rPr>
                <w:rFonts w:ascii="Times New Roman" w:hAnsi="Times New Roman" w:cs="Times New Roman"/>
                <w:i/>
                <w:spacing w:val="40"/>
                <w:w w:val="105"/>
                <w:sz w:val="28"/>
              </w:rPr>
              <w:t xml:space="preserve"> </w:t>
            </w:r>
            <w:r w:rsidRPr="007C57D2">
              <w:rPr>
                <w:rFonts w:ascii="Times New Roman" w:hAnsi="Times New Roman" w:cs="Times New Roman"/>
                <w:i/>
                <w:spacing w:val="-5"/>
                <w:w w:val="105"/>
                <w:sz w:val="28"/>
              </w:rPr>
              <w:t>se</w:t>
            </w:r>
            <w:r w:rsidRPr="007C57D2">
              <w:rPr>
                <w:rFonts w:ascii="Times New Roman" w:hAnsi="Times New Roman" w:cs="Times New Roman"/>
                <w:i/>
                <w:sz w:val="28"/>
              </w:rPr>
              <w:tab/>
            </w:r>
            <w:r w:rsidRPr="007C57D2">
              <w:rPr>
                <w:rFonts w:ascii="Times New Roman" w:hAnsi="Times New Roman" w:cs="Times New Roman"/>
                <w:i/>
                <w:sz w:val="28"/>
              </w:rPr>
              <w:t xml:space="preserve"> </w:t>
            </w:r>
            <w:r w:rsidRPr="007C57D2">
              <w:rPr>
                <w:rFonts w:ascii="Times New Roman" w:hAnsi="Times New Roman" w:cs="Times New Roman"/>
                <w:i/>
                <w:spacing w:val="-2"/>
                <w:w w:val="105"/>
                <w:sz w:val="28"/>
              </w:rPr>
              <w:t>dictan</w:t>
            </w:r>
            <w:r w:rsidRPr="007C57D2">
              <w:rPr>
                <w:rFonts w:ascii="Times New Roman" w:hAnsi="Times New Roman" w:cs="Times New Roman"/>
                <w:i/>
                <w:sz w:val="28"/>
              </w:rPr>
              <w:tab/>
            </w:r>
            <w:r w:rsidRPr="007C57D2">
              <w:rPr>
                <w:rFonts w:ascii="Times New Roman" w:hAnsi="Times New Roman" w:cs="Times New Roman"/>
                <w:i/>
                <w:spacing w:val="-4"/>
                <w:w w:val="105"/>
                <w:sz w:val="28"/>
              </w:rPr>
              <w:t>otras</w:t>
            </w:r>
          </w:p>
          <w:p w:rsidR="0030167B"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i/>
                <w:spacing w:val="-2"/>
                <w:w w:val="105"/>
                <w:sz w:val="28"/>
              </w:rPr>
              <w:t>disposiciones</w:t>
            </w:r>
          </w:p>
        </w:tc>
        <w:tc>
          <w:tcPr>
            <w:tcW w:w="2185" w:type="dxa"/>
            <w:shd w:val="clear" w:color="auto" w:fill="auto"/>
            <w:vAlign w:val="center"/>
          </w:tcPr>
          <w:p w:rsidR="0030167B"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spacing w:val="-4"/>
                <w:w w:val="105"/>
                <w:sz w:val="28"/>
              </w:rPr>
              <w:t>Sin</w:t>
            </w:r>
            <w:r w:rsidRPr="007C57D2">
              <w:rPr>
                <w:rFonts w:ascii="Times New Roman" w:hAnsi="Times New Roman"/>
                <w:b/>
                <w:spacing w:val="40"/>
                <w:w w:val="105"/>
                <w:sz w:val="28"/>
              </w:rPr>
              <w:t xml:space="preserve"> </w:t>
            </w:r>
            <w:r w:rsidRPr="007C57D2">
              <w:rPr>
                <w:rFonts w:ascii="Times New Roman" w:hAnsi="Times New Roman"/>
                <w:b/>
                <w:spacing w:val="-2"/>
                <w:sz w:val="28"/>
              </w:rPr>
              <w:t>discrepancias</w:t>
            </w:r>
          </w:p>
        </w:tc>
      </w:tr>
      <w:tr w:rsidR="00685F32" w:rsidRPr="007C57D2" w:rsidTr="007C57D2">
        <w:tc>
          <w:tcPr>
            <w:tcW w:w="2947" w:type="dxa"/>
            <w:shd w:val="clear" w:color="auto" w:fill="auto"/>
          </w:tcPr>
          <w:p w:rsidR="0030167B" w:rsidRPr="007C57D2" w:rsidRDefault="007C57D2" w:rsidP="007C57D2">
            <w:pPr>
              <w:pStyle w:val="TableParagraph"/>
              <w:jc w:val="both"/>
              <w:rPr>
                <w:rFonts w:ascii="Times New Roman" w:hAnsi="Times New Roman" w:cs="Times New Roman"/>
                <w:sz w:val="28"/>
                <w:lang w:eastAsia="es-ES"/>
              </w:rPr>
            </w:pPr>
            <w:r w:rsidRPr="007C57D2">
              <w:rPr>
                <w:rFonts w:ascii="Times New Roman" w:hAnsi="Times New Roman" w:cs="Times New Roman"/>
                <w:b/>
                <w:w w:val="105"/>
                <w:sz w:val="28"/>
              </w:rPr>
              <w:t xml:space="preserve">Artículo 1. Objeto.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presente</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ley</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tiene</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como</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objeto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crear y </w:t>
            </w:r>
            <w:r w:rsidRPr="007C57D2">
              <w:rPr>
                <w:rFonts w:ascii="Times New Roman" w:hAnsi="Times New Roman" w:cs="Times New Roman"/>
                <w:w w:val="105"/>
                <w:sz w:val="28"/>
              </w:rPr>
              <w:t>reglamentar la Alerta</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Colombia</w:t>
            </w:r>
            <w:r w:rsidRPr="007C57D2">
              <w:rPr>
                <w:rFonts w:ascii="Times New Roman" w:hAnsi="Times New Roman" w:cs="Times New Roman"/>
                <w:spacing w:val="-9"/>
                <w:w w:val="105"/>
                <w:sz w:val="28"/>
              </w:rPr>
              <w:t xml:space="preserve"> </w:t>
            </w:r>
            <w:r w:rsidRPr="007C57D2">
              <w:rPr>
                <w:rFonts w:ascii="Times New Roman" w:hAnsi="Times New Roman" w:cs="Times New Roman"/>
                <w:spacing w:val="-2"/>
                <w:w w:val="105"/>
                <w:sz w:val="28"/>
              </w:rPr>
              <w:t>como</w:t>
            </w:r>
            <w:r w:rsidRPr="007C57D2">
              <w:rPr>
                <w:rFonts w:ascii="Times New Roman" w:hAnsi="Times New Roman" w:cs="Times New Roman"/>
                <w:spacing w:val="-7"/>
                <w:w w:val="105"/>
                <w:sz w:val="28"/>
              </w:rPr>
              <w:t xml:space="preserve"> </w:t>
            </w:r>
            <w:r w:rsidRPr="007C57D2">
              <w:rPr>
                <w:rFonts w:ascii="Times New Roman" w:hAnsi="Times New Roman" w:cs="Times New Roman"/>
                <w:spacing w:val="-2"/>
                <w:w w:val="105"/>
                <w:sz w:val="28"/>
              </w:rPr>
              <w:t>un</w:t>
            </w:r>
            <w:r w:rsidRPr="007C57D2">
              <w:rPr>
                <w:rFonts w:ascii="Times New Roman" w:hAnsi="Times New Roman" w:cs="Times New Roman"/>
                <w:spacing w:val="-7"/>
                <w:w w:val="105"/>
                <w:sz w:val="28"/>
              </w:rPr>
              <w:t xml:space="preserve"> </w:t>
            </w:r>
            <w:r w:rsidRPr="007C57D2">
              <w:rPr>
                <w:rFonts w:ascii="Times New Roman" w:hAnsi="Times New Roman" w:cs="Times New Roman"/>
                <w:spacing w:val="-2"/>
                <w:w w:val="105"/>
                <w:sz w:val="28"/>
              </w:rPr>
              <w:t>sistema</w:t>
            </w:r>
            <w:r w:rsidRPr="007C57D2">
              <w:rPr>
                <w:rFonts w:ascii="Times New Roman" w:hAnsi="Times New Roman" w:cs="Times New Roman"/>
                <w:spacing w:val="-6"/>
                <w:w w:val="105"/>
                <w:sz w:val="28"/>
              </w:rPr>
              <w:t xml:space="preserve"> </w:t>
            </w:r>
            <w:r w:rsidRPr="007C57D2">
              <w:rPr>
                <w:rFonts w:ascii="Times New Roman" w:hAnsi="Times New Roman" w:cs="Times New Roman"/>
                <w:spacing w:val="-2"/>
                <w:w w:val="105"/>
                <w:sz w:val="28"/>
              </w:rPr>
              <w:t>que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incorpora</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una</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herramienta</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ágil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 difusión de información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niños y niñas que se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encuentren</w:t>
            </w:r>
            <w:r w:rsidRPr="007C57D2">
              <w:rPr>
                <w:rFonts w:ascii="Times New Roman" w:hAnsi="Times New Roman" w:cs="Times New Roman"/>
                <w:spacing w:val="30"/>
                <w:w w:val="105"/>
                <w:sz w:val="28"/>
              </w:rPr>
              <w:t xml:space="preserve"> </w:t>
            </w:r>
            <w:r w:rsidRPr="007C57D2">
              <w:rPr>
                <w:rFonts w:ascii="Times New Roman" w:hAnsi="Times New Roman" w:cs="Times New Roman"/>
                <w:w w:val="105"/>
                <w:sz w:val="28"/>
              </w:rPr>
              <w:t>extraviados</w:t>
            </w:r>
            <w:r w:rsidRPr="007C57D2">
              <w:rPr>
                <w:rFonts w:ascii="Times New Roman" w:hAnsi="Times New Roman" w:cs="Times New Roman"/>
                <w:spacing w:val="30"/>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30"/>
                <w:w w:val="105"/>
                <w:sz w:val="28"/>
              </w:rPr>
              <w:t xml:space="preserve"> </w:t>
            </w:r>
            <w:r w:rsidRPr="007C57D2">
              <w:rPr>
                <w:rFonts w:ascii="Times New Roman" w:hAnsi="Times New Roman" w:cs="Times New Roman"/>
                <w:spacing w:val="-5"/>
                <w:w w:val="105"/>
                <w:sz w:val="28"/>
              </w:rPr>
              <w:t xml:space="preserve">el </w:t>
            </w:r>
            <w:r w:rsidRPr="007C57D2">
              <w:rPr>
                <w:rFonts w:ascii="Times New Roman" w:hAnsi="Times New Roman" w:cs="Times New Roman"/>
                <w:w w:val="105"/>
                <w:sz w:val="28"/>
              </w:rPr>
              <w:t>territorio</w:t>
            </w:r>
            <w:r w:rsidRPr="007C57D2">
              <w:rPr>
                <w:rFonts w:ascii="Times New Roman" w:hAnsi="Times New Roman" w:cs="Times New Roman"/>
                <w:spacing w:val="53"/>
                <w:w w:val="105"/>
                <w:sz w:val="28"/>
              </w:rPr>
              <w:t xml:space="preserve"> </w:t>
            </w:r>
            <w:r w:rsidRPr="007C57D2">
              <w:rPr>
                <w:rFonts w:ascii="Times New Roman" w:hAnsi="Times New Roman" w:cs="Times New Roman"/>
                <w:w w:val="105"/>
                <w:sz w:val="28"/>
              </w:rPr>
              <w:t>colombiano,</w:t>
            </w:r>
            <w:r w:rsidRPr="007C57D2">
              <w:rPr>
                <w:rFonts w:ascii="Times New Roman" w:hAnsi="Times New Roman" w:cs="Times New Roman"/>
                <w:spacing w:val="52"/>
                <w:w w:val="105"/>
                <w:sz w:val="28"/>
              </w:rPr>
              <w:t xml:space="preserve"> </w:t>
            </w:r>
            <w:r w:rsidRPr="007C57D2">
              <w:rPr>
                <w:rFonts w:ascii="Times New Roman" w:hAnsi="Times New Roman" w:cs="Times New Roman"/>
                <w:w w:val="105"/>
                <w:sz w:val="28"/>
              </w:rPr>
              <w:t>con</w:t>
            </w:r>
            <w:r w:rsidRPr="007C57D2">
              <w:rPr>
                <w:rFonts w:ascii="Times New Roman" w:hAnsi="Times New Roman" w:cs="Times New Roman"/>
                <w:spacing w:val="52"/>
                <w:w w:val="105"/>
                <w:sz w:val="28"/>
              </w:rPr>
              <w:t xml:space="preserve"> </w:t>
            </w:r>
            <w:r w:rsidRPr="007C57D2">
              <w:rPr>
                <w:rFonts w:ascii="Times New Roman" w:hAnsi="Times New Roman" w:cs="Times New Roman"/>
                <w:spacing w:val="-5"/>
                <w:w w:val="105"/>
                <w:sz w:val="28"/>
              </w:rPr>
              <w:t>el o</w:t>
            </w:r>
            <w:r w:rsidRPr="007C57D2">
              <w:rPr>
                <w:rFonts w:ascii="Times New Roman" w:hAnsi="Times New Roman" w:cs="Times New Roman"/>
                <w:w w:val="105"/>
                <w:sz w:val="28"/>
              </w:rPr>
              <w:t>bjetivo de lograr la búsqueda,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localización y recuperación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inmediata de estos.</w:t>
            </w:r>
          </w:p>
        </w:tc>
        <w:tc>
          <w:tcPr>
            <w:tcW w:w="3657" w:type="dxa"/>
            <w:shd w:val="clear" w:color="auto" w:fill="auto"/>
          </w:tcPr>
          <w:p w:rsidR="0030167B" w:rsidRPr="007C57D2" w:rsidRDefault="007C57D2" w:rsidP="007C57D2">
            <w:pPr>
              <w:pStyle w:val="TableParagraph"/>
              <w:jc w:val="both"/>
              <w:rPr>
                <w:rFonts w:ascii="Times New Roman" w:hAnsi="Times New Roman" w:cs="Times New Roman"/>
                <w:sz w:val="28"/>
                <w:lang w:eastAsia="es-ES"/>
              </w:rPr>
            </w:pPr>
            <w:r w:rsidRPr="007C57D2">
              <w:rPr>
                <w:rFonts w:ascii="Times New Roman" w:hAnsi="Times New Roman" w:cs="Times New Roman"/>
                <w:b/>
                <w:w w:val="105"/>
                <w:sz w:val="28"/>
              </w:rPr>
              <w:t xml:space="preserve">Artículo 1. Objeto.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presente ley tiene como</w:t>
            </w:r>
            <w:r w:rsidRPr="007C57D2">
              <w:rPr>
                <w:rFonts w:ascii="Times New Roman" w:hAnsi="Times New Roman" w:cs="Times New Roman"/>
                <w:spacing w:val="40"/>
                <w:w w:val="105"/>
                <w:sz w:val="28"/>
              </w:rPr>
              <w:t xml:space="preserve"> </w:t>
            </w:r>
            <w:r w:rsidRPr="007C57D2">
              <w:rPr>
                <w:rFonts w:ascii="Times New Roman" w:hAnsi="Times New Roman" w:cs="Times New Roman"/>
                <w:sz w:val="28"/>
              </w:rPr>
              <w:t>objeto</w:t>
            </w:r>
            <w:r w:rsidRPr="007C57D2">
              <w:rPr>
                <w:rFonts w:ascii="Times New Roman" w:hAnsi="Times New Roman" w:cs="Times New Roman"/>
                <w:spacing w:val="-4"/>
                <w:sz w:val="28"/>
              </w:rPr>
              <w:t xml:space="preserve"> </w:t>
            </w:r>
            <w:r w:rsidRPr="007C57D2">
              <w:rPr>
                <w:rFonts w:ascii="Times New Roman" w:hAnsi="Times New Roman" w:cs="Times New Roman"/>
                <w:sz w:val="28"/>
              </w:rPr>
              <w:t>crear</w:t>
            </w:r>
            <w:r w:rsidRPr="007C57D2">
              <w:rPr>
                <w:rFonts w:ascii="Times New Roman" w:hAnsi="Times New Roman" w:cs="Times New Roman"/>
                <w:spacing w:val="-5"/>
                <w:sz w:val="28"/>
              </w:rPr>
              <w:t xml:space="preserve"> </w:t>
            </w:r>
            <w:r w:rsidRPr="007C57D2">
              <w:rPr>
                <w:rFonts w:ascii="Times New Roman" w:hAnsi="Times New Roman" w:cs="Times New Roman"/>
                <w:sz w:val="28"/>
              </w:rPr>
              <w:t>y</w:t>
            </w:r>
            <w:r w:rsidRPr="007C57D2">
              <w:rPr>
                <w:rFonts w:ascii="Times New Roman" w:hAnsi="Times New Roman" w:cs="Times New Roman"/>
                <w:spacing w:val="-4"/>
                <w:sz w:val="28"/>
              </w:rPr>
              <w:t xml:space="preserve"> </w:t>
            </w:r>
            <w:r w:rsidRPr="007C57D2">
              <w:rPr>
                <w:rFonts w:ascii="Times New Roman" w:hAnsi="Times New Roman" w:cs="Times New Roman"/>
                <w:sz w:val="28"/>
              </w:rPr>
              <w:t>reglamentar</w:t>
            </w:r>
            <w:r w:rsidRPr="007C57D2">
              <w:rPr>
                <w:rFonts w:ascii="Times New Roman" w:hAnsi="Times New Roman" w:cs="Times New Roman"/>
                <w:spacing w:val="-5"/>
                <w:sz w:val="28"/>
              </w:rPr>
              <w:t xml:space="preserve"> </w:t>
            </w:r>
            <w:r w:rsidRPr="007C57D2">
              <w:rPr>
                <w:rFonts w:ascii="Times New Roman" w:hAnsi="Times New Roman" w:cs="Times New Roman"/>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 Colombia como un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sistema que incorpora una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herramienta</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ágil</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difusión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 información de niños 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niñas</w:t>
            </w:r>
            <w:r w:rsidRPr="007C57D2">
              <w:rPr>
                <w:rFonts w:ascii="Times New Roman" w:hAnsi="Times New Roman" w:cs="Times New Roman"/>
                <w:spacing w:val="56"/>
                <w:w w:val="105"/>
                <w:sz w:val="28"/>
              </w:rPr>
              <w:t xml:space="preserve"> </w:t>
            </w:r>
            <w:r w:rsidRPr="007C57D2">
              <w:rPr>
                <w:rFonts w:ascii="Times New Roman" w:hAnsi="Times New Roman" w:cs="Times New Roman"/>
                <w:w w:val="105"/>
                <w:sz w:val="28"/>
              </w:rPr>
              <w:t>que</w:t>
            </w:r>
            <w:r w:rsidRPr="007C57D2">
              <w:rPr>
                <w:rFonts w:ascii="Times New Roman" w:hAnsi="Times New Roman" w:cs="Times New Roman"/>
                <w:spacing w:val="57"/>
                <w:w w:val="105"/>
                <w:sz w:val="28"/>
              </w:rPr>
              <w:t xml:space="preserve"> </w:t>
            </w:r>
            <w:r w:rsidRPr="007C57D2">
              <w:rPr>
                <w:rFonts w:ascii="Times New Roman" w:hAnsi="Times New Roman" w:cs="Times New Roman"/>
                <w:w w:val="105"/>
                <w:sz w:val="28"/>
              </w:rPr>
              <w:t>se</w:t>
            </w:r>
            <w:r w:rsidRPr="007C57D2">
              <w:rPr>
                <w:rFonts w:ascii="Times New Roman" w:hAnsi="Times New Roman" w:cs="Times New Roman"/>
                <w:spacing w:val="54"/>
                <w:w w:val="105"/>
                <w:sz w:val="28"/>
              </w:rPr>
              <w:t xml:space="preserve"> </w:t>
            </w:r>
            <w:r w:rsidRPr="007C57D2">
              <w:rPr>
                <w:rFonts w:ascii="Times New Roman" w:hAnsi="Times New Roman" w:cs="Times New Roman"/>
                <w:spacing w:val="-2"/>
                <w:w w:val="105"/>
                <w:sz w:val="28"/>
              </w:rPr>
              <w:t xml:space="preserve">encuentren </w:t>
            </w:r>
            <w:r w:rsidRPr="007C57D2">
              <w:rPr>
                <w:rFonts w:ascii="Times New Roman" w:hAnsi="Times New Roman" w:cs="Times New Roman"/>
                <w:w w:val="105"/>
                <w:sz w:val="28"/>
              </w:rPr>
              <w:t>extraviados</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32"/>
                <w:w w:val="105"/>
                <w:sz w:val="28"/>
              </w:rPr>
              <w:t xml:space="preserve"> </w:t>
            </w:r>
            <w:r w:rsidRPr="007C57D2">
              <w:rPr>
                <w:rFonts w:ascii="Times New Roman" w:hAnsi="Times New Roman" w:cs="Times New Roman"/>
                <w:spacing w:val="-2"/>
                <w:w w:val="105"/>
                <w:sz w:val="28"/>
              </w:rPr>
              <w:t>territorio</w:t>
            </w:r>
            <w:r w:rsidRPr="007C57D2">
              <w:rPr>
                <w:rFonts w:ascii="Times New Roman" w:hAnsi="Times New Roman" w:cs="Times New Roman"/>
                <w:w w:val="105"/>
                <w:sz w:val="28"/>
              </w:rPr>
              <w:t xml:space="preserve"> colombiano, con el objetivo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 lograr la búsqueda,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localización y recuperación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inmediata de estos.</w:t>
            </w:r>
          </w:p>
        </w:tc>
        <w:tc>
          <w:tcPr>
            <w:tcW w:w="2185" w:type="dxa"/>
            <w:shd w:val="clear" w:color="auto" w:fill="auto"/>
            <w:vAlign w:val="center"/>
          </w:tcPr>
          <w:p w:rsidR="0030167B"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spacing w:val="-4"/>
                <w:w w:val="105"/>
                <w:sz w:val="28"/>
              </w:rPr>
              <w:t>Sin</w:t>
            </w:r>
            <w:r w:rsidRPr="007C57D2">
              <w:rPr>
                <w:rFonts w:ascii="Times New Roman" w:hAnsi="Times New Roman"/>
                <w:b/>
                <w:spacing w:val="40"/>
                <w:w w:val="105"/>
                <w:sz w:val="28"/>
              </w:rPr>
              <w:t xml:space="preserve"> </w:t>
            </w:r>
            <w:r w:rsidRPr="007C57D2">
              <w:rPr>
                <w:rFonts w:ascii="Times New Roman" w:hAnsi="Times New Roman"/>
                <w:b/>
                <w:spacing w:val="-2"/>
                <w:sz w:val="28"/>
              </w:rPr>
              <w:t>discrepancias</w:t>
            </w:r>
          </w:p>
        </w:tc>
      </w:tr>
      <w:tr w:rsidR="00685F32" w:rsidRPr="007C57D2" w:rsidTr="007C57D2">
        <w:tc>
          <w:tcPr>
            <w:tcW w:w="2947" w:type="dxa"/>
            <w:shd w:val="clear" w:color="auto" w:fill="auto"/>
          </w:tcPr>
          <w:p w:rsidR="0030167B" w:rsidRPr="007C57D2" w:rsidRDefault="007C57D2" w:rsidP="007C57D2">
            <w:pPr>
              <w:tabs>
                <w:tab w:val="left" w:pos="567"/>
              </w:tabs>
              <w:spacing w:after="0" w:line="240" w:lineRule="auto"/>
              <w:jc w:val="both"/>
              <w:rPr>
                <w:rFonts w:ascii="Times New Roman" w:hAnsi="Times New Roman"/>
                <w:w w:val="105"/>
                <w:sz w:val="28"/>
              </w:rPr>
            </w:pPr>
            <w:r w:rsidRPr="007C57D2">
              <w:rPr>
                <w:rFonts w:ascii="Times New Roman" w:hAnsi="Times New Roman"/>
                <w:b/>
                <w:w w:val="105"/>
                <w:sz w:val="28"/>
              </w:rPr>
              <w:t>Artículo 2. Definiciones.</w:t>
            </w:r>
            <w:r w:rsidRPr="007C57D2">
              <w:rPr>
                <w:rFonts w:ascii="Times New Roman" w:hAnsi="Times New Roman"/>
                <w:b/>
                <w:spacing w:val="40"/>
                <w:w w:val="105"/>
                <w:sz w:val="28"/>
              </w:rPr>
              <w:t xml:space="preserve"> </w:t>
            </w:r>
            <w:r w:rsidRPr="007C57D2">
              <w:rPr>
                <w:rFonts w:ascii="Times New Roman" w:hAnsi="Times New Roman"/>
                <w:w w:val="105"/>
                <w:sz w:val="28"/>
              </w:rPr>
              <w:t>Para</w:t>
            </w:r>
            <w:r w:rsidRPr="007C57D2">
              <w:rPr>
                <w:rFonts w:ascii="Times New Roman" w:hAnsi="Times New Roman"/>
                <w:spacing w:val="-1"/>
                <w:w w:val="105"/>
                <w:sz w:val="28"/>
              </w:rPr>
              <w:t xml:space="preserve"> </w:t>
            </w:r>
            <w:r w:rsidRPr="007C57D2">
              <w:rPr>
                <w:rFonts w:ascii="Times New Roman" w:hAnsi="Times New Roman"/>
                <w:w w:val="105"/>
                <w:sz w:val="28"/>
              </w:rPr>
              <w:t>los</w:t>
            </w:r>
            <w:r w:rsidRPr="007C57D2">
              <w:rPr>
                <w:rFonts w:ascii="Times New Roman" w:hAnsi="Times New Roman"/>
                <w:spacing w:val="-1"/>
                <w:w w:val="105"/>
                <w:sz w:val="28"/>
              </w:rPr>
              <w:t xml:space="preserve"> </w:t>
            </w:r>
            <w:r w:rsidRPr="007C57D2">
              <w:rPr>
                <w:rFonts w:ascii="Times New Roman" w:hAnsi="Times New Roman"/>
                <w:w w:val="105"/>
                <w:sz w:val="28"/>
              </w:rPr>
              <w:t>efectos</w:t>
            </w:r>
            <w:r w:rsidRPr="007C57D2">
              <w:rPr>
                <w:rFonts w:ascii="Times New Roman" w:hAnsi="Times New Roman"/>
                <w:spacing w:val="-3"/>
                <w:w w:val="105"/>
                <w:sz w:val="28"/>
              </w:rPr>
              <w:t xml:space="preserve"> </w:t>
            </w:r>
            <w:r w:rsidRPr="007C57D2">
              <w:rPr>
                <w:rFonts w:ascii="Times New Roman" w:hAnsi="Times New Roman"/>
                <w:w w:val="105"/>
                <w:sz w:val="28"/>
              </w:rPr>
              <w:t>de</w:t>
            </w:r>
            <w:r w:rsidRPr="007C57D2">
              <w:rPr>
                <w:rFonts w:ascii="Times New Roman" w:hAnsi="Times New Roman"/>
                <w:spacing w:val="-2"/>
                <w:w w:val="105"/>
                <w:sz w:val="28"/>
              </w:rPr>
              <w:t xml:space="preserve"> </w:t>
            </w:r>
            <w:r w:rsidRPr="007C57D2">
              <w:rPr>
                <w:rFonts w:ascii="Times New Roman" w:hAnsi="Times New Roman"/>
                <w:w w:val="105"/>
                <w:sz w:val="28"/>
              </w:rPr>
              <w:t>la</w:t>
            </w:r>
            <w:r w:rsidRPr="007C57D2">
              <w:rPr>
                <w:rFonts w:ascii="Times New Roman" w:hAnsi="Times New Roman"/>
                <w:spacing w:val="-3"/>
                <w:w w:val="105"/>
                <w:sz w:val="28"/>
              </w:rPr>
              <w:t xml:space="preserve"> </w:t>
            </w:r>
            <w:r w:rsidRPr="007C57D2">
              <w:rPr>
                <w:rFonts w:ascii="Times New Roman" w:hAnsi="Times New Roman"/>
                <w:w w:val="105"/>
                <w:sz w:val="28"/>
              </w:rPr>
              <w:t>presente</w:t>
            </w:r>
            <w:r w:rsidRPr="007C57D2">
              <w:rPr>
                <w:rFonts w:ascii="Times New Roman" w:hAnsi="Times New Roman"/>
                <w:spacing w:val="40"/>
                <w:w w:val="105"/>
                <w:sz w:val="28"/>
              </w:rPr>
              <w:t xml:space="preserve"> </w:t>
            </w:r>
            <w:r w:rsidRPr="007C57D2">
              <w:rPr>
                <w:rFonts w:ascii="Times New Roman" w:hAnsi="Times New Roman"/>
                <w:w w:val="105"/>
                <w:sz w:val="28"/>
              </w:rPr>
              <w:t>ley, entiéndase por:</w:t>
            </w:r>
          </w:p>
          <w:p w:rsidR="0030167B" w:rsidRPr="007C57D2" w:rsidRDefault="007C57D2" w:rsidP="007C57D2">
            <w:pPr>
              <w:tabs>
                <w:tab w:val="left" w:pos="567"/>
              </w:tabs>
              <w:spacing w:after="0" w:line="240" w:lineRule="auto"/>
              <w:jc w:val="both"/>
              <w:rPr>
                <w:rFonts w:ascii="Times New Roman" w:hAnsi="Times New Roman"/>
                <w:w w:val="105"/>
                <w:sz w:val="28"/>
              </w:rPr>
            </w:pPr>
            <w:r w:rsidRPr="007C57D2">
              <w:rPr>
                <w:rFonts w:ascii="Times New Roman" w:hAnsi="Times New Roman"/>
                <w:b/>
                <w:w w:val="105"/>
                <w:sz w:val="28"/>
              </w:rPr>
              <w:t>a) Niños, niñas extraviadas.</w:t>
            </w:r>
            <w:r w:rsidRPr="007C57D2">
              <w:rPr>
                <w:rFonts w:ascii="Times New Roman" w:hAnsi="Times New Roman"/>
                <w:b/>
                <w:spacing w:val="40"/>
                <w:w w:val="105"/>
                <w:sz w:val="28"/>
              </w:rPr>
              <w:t xml:space="preserve"> </w:t>
            </w:r>
            <w:r w:rsidRPr="007C57D2">
              <w:rPr>
                <w:rFonts w:ascii="Times New Roman" w:hAnsi="Times New Roman"/>
                <w:w w:val="105"/>
                <w:sz w:val="28"/>
              </w:rPr>
              <w:t>Son todas las personas entre</w:t>
            </w:r>
            <w:r w:rsidRPr="007C57D2">
              <w:rPr>
                <w:rFonts w:ascii="Times New Roman" w:hAnsi="Times New Roman"/>
                <w:spacing w:val="40"/>
                <w:w w:val="105"/>
                <w:sz w:val="28"/>
              </w:rPr>
              <w:t xml:space="preserve"> </w:t>
            </w:r>
            <w:r w:rsidRPr="007C57D2">
              <w:rPr>
                <w:rFonts w:ascii="Times New Roman" w:hAnsi="Times New Roman"/>
                <w:w w:val="105"/>
                <w:sz w:val="28"/>
              </w:rPr>
              <w:t>los</w:t>
            </w:r>
            <w:r w:rsidRPr="007C57D2">
              <w:rPr>
                <w:rFonts w:ascii="Times New Roman" w:hAnsi="Times New Roman"/>
                <w:spacing w:val="-4"/>
                <w:w w:val="105"/>
                <w:sz w:val="28"/>
              </w:rPr>
              <w:t xml:space="preserve"> </w:t>
            </w:r>
            <w:r w:rsidRPr="007C57D2">
              <w:rPr>
                <w:rFonts w:ascii="Times New Roman" w:hAnsi="Times New Roman"/>
                <w:w w:val="105"/>
                <w:sz w:val="28"/>
              </w:rPr>
              <w:t>0</w:t>
            </w:r>
            <w:r w:rsidRPr="007C57D2">
              <w:rPr>
                <w:rFonts w:ascii="Times New Roman" w:hAnsi="Times New Roman"/>
                <w:spacing w:val="-6"/>
                <w:w w:val="105"/>
                <w:sz w:val="28"/>
              </w:rPr>
              <w:t xml:space="preserve"> </w:t>
            </w:r>
            <w:r w:rsidRPr="007C57D2">
              <w:rPr>
                <w:rFonts w:ascii="Times New Roman" w:hAnsi="Times New Roman"/>
                <w:w w:val="105"/>
                <w:sz w:val="28"/>
              </w:rPr>
              <w:t>y</w:t>
            </w:r>
            <w:r w:rsidRPr="007C57D2">
              <w:rPr>
                <w:rFonts w:ascii="Times New Roman" w:hAnsi="Times New Roman"/>
                <w:spacing w:val="-6"/>
                <w:w w:val="105"/>
                <w:sz w:val="28"/>
              </w:rPr>
              <w:t xml:space="preserve"> </w:t>
            </w:r>
            <w:r w:rsidRPr="007C57D2">
              <w:rPr>
                <w:rFonts w:ascii="Times New Roman" w:hAnsi="Times New Roman"/>
                <w:w w:val="105"/>
                <w:sz w:val="28"/>
              </w:rPr>
              <w:t>12</w:t>
            </w:r>
            <w:r w:rsidRPr="007C57D2">
              <w:rPr>
                <w:rFonts w:ascii="Times New Roman" w:hAnsi="Times New Roman"/>
                <w:spacing w:val="-6"/>
                <w:w w:val="105"/>
                <w:sz w:val="28"/>
              </w:rPr>
              <w:t xml:space="preserve"> </w:t>
            </w:r>
            <w:r w:rsidRPr="007C57D2">
              <w:rPr>
                <w:rFonts w:ascii="Times New Roman" w:hAnsi="Times New Roman"/>
                <w:w w:val="105"/>
                <w:sz w:val="28"/>
              </w:rPr>
              <w:t>años</w:t>
            </w:r>
            <w:r w:rsidRPr="007C57D2">
              <w:rPr>
                <w:rFonts w:ascii="Times New Roman" w:hAnsi="Times New Roman"/>
                <w:spacing w:val="-6"/>
                <w:w w:val="105"/>
                <w:sz w:val="28"/>
              </w:rPr>
              <w:t xml:space="preserve"> </w:t>
            </w:r>
            <w:r w:rsidRPr="007C57D2">
              <w:rPr>
                <w:rFonts w:ascii="Times New Roman" w:hAnsi="Times New Roman"/>
                <w:w w:val="105"/>
                <w:sz w:val="28"/>
              </w:rPr>
              <w:t>que</w:t>
            </w:r>
            <w:r w:rsidRPr="007C57D2">
              <w:rPr>
                <w:rFonts w:ascii="Times New Roman" w:hAnsi="Times New Roman"/>
                <w:spacing w:val="-6"/>
                <w:w w:val="105"/>
                <w:sz w:val="28"/>
              </w:rPr>
              <w:t xml:space="preserve"> </w:t>
            </w:r>
            <w:r w:rsidRPr="007C57D2">
              <w:rPr>
                <w:rFonts w:ascii="Times New Roman" w:hAnsi="Times New Roman"/>
                <w:w w:val="105"/>
                <w:sz w:val="28"/>
              </w:rPr>
              <w:t>salen</w:t>
            </w:r>
            <w:r w:rsidRPr="007C57D2">
              <w:rPr>
                <w:rFonts w:ascii="Times New Roman" w:hAnsi="Times New Roman"/>
                <w:spacing w:val="-6"/>
                <w:w w:val="105"/>
                <w:sz w:val="28"/>
              </w:rPr>
              <w:t xml:space="preserve"> </w:t>
            </w:r>
            <w:r w:rsidRPr="007C57D2">
              <w:rPr>
                <w:rFonts w:ascii="Times New Roman" w:hAnsi="Times New Roman"/>
                <w:w w:val="105"/>
                <w:sz w:val="28"/>
              </w:rPr>
              <w:t>de</w:t>
            </w:r>
            <w:r w:rsidRPr="007C57D2">
              <w:rPr>
                <w:rFonts w:ascii="Times New Roman" w:hAnsi="Times New Roman"/>
                <w:spacing w:val="-6"/>
                <w:w w:val="105"/>
                <w:sz w:val="28"/>
              </w:rPr>
              <w:t xml:space="preserve"> </w:t>
            </w:r>
            <w:r w:rsidRPr="007C57D2">
              <w:rPr>
                <w:rFonts w:ascii="Times New Roman" w:hAnsi="Times New Roman"/>
                <w:w w:val="105"/>
                <w:sz w:val="28"/>
              </w:rPr>
              <w:t>su</w:t>
            </w:r>
            <w:r w:rsidRPr="007C57D2">
              <w:rPr>
                <w:rFonts w:ascii="Times New Roman" w:hAnsi="Times New Roman"/>
                <w:spacing w:val="40"/>
                <w:w w:val="105"/>
                <w:sz w:val="28"/>
              </w:rPr>
              <w:t xml:space="preserve"> </w:t>
            </w:r>
            <w:r w:rsidRPr="007C57D2">
              <w:rPr>
                <w:rFonts w:ascii="Times New Roman" w:hAnsi="Times New Roman"/>
                <w:spacing w:val="-2"/>
                <w:w w:val="105"/>
                <w:sz w:val="28"/>
              </w:rPr>
              <w:t>domicilio, residencia,</w:t>
            </w:r>
            <w:r w:rsidRPr="007C57D2">
              <w:rPr>
                <w:rFonts w:ascii="Times New Roman" w:hAnsi="Times New Roman"/>
                <w:spacing w:val="40"/>
                <w:w w:val="105"/>
                <w:sz w:val="28"/>
              </w:rPr>
              <w:t xml:space="preserve"> </w:t>
            </w:r>
            <w:r w:rsidRPr="007C57D2">
              <w:rPr>
                <w:rFonts w:ascii="Times New Roman" w:hAnsi="Times New Roman"/>
                <w:w w:val="105"/>
                <w:sz w:val="28"/>
              </w:rPr>
              <w:t>establecimiento educativo u</w:t>
            </w:r>
            <w:r w:rsidRPr="007C57D2">
              <w:rPr>
                <w:rFonts w:ascii="Times New Roman" w:hAnsi="Times New Roman"/>
                <w:spacing w:val="40"/>
                <w:w w:val="105"/>
                <w:sz w:val="28"/>
              </w:rPr>
              <w:t xml:space="preserve"> </w:t>
            </w:r>
            <w:r w:rsidRPr="007C57D2">
              <w:rPr>
                <w:rFonts w:ascii="Times New Roman" w:hAnsi="Times New Roman"/>
                <w:w w:val="105"/>
                <w:sz w:val="28"/>
              </w:rPr>
              <w:t>otro</w:t>
            </w:r>
            <w:r w:rsidRPr="007C57D2">
              <w:rPr>
                <w:rFonts w:ascii="Times New Roman" w:hAnsi="Times New Roman"/>
                <w:spacing w:val="-1"/>
                <w:w w:val="105"/>
                <w:sz w:val="28"/>
              </w:rPr>
              <w:t xml:space="preserve"> </w:t>
            </w:r>
            <w:r w:rsidRPr="007C57D2">
              <w:rPr>
                <w:rFonts w:ascii="Times New Roman" w:hAnsi="Times New Roman"/>
                <w:w w:val="105"/>
                <w:sz w:val="28"/>
              </w:rPr>
              <w:t>lugar</w:t>
            </w:r>
            <w:r w:rsidRPr="007C57D2">
              <w:rPr>
                <w:rFonts w:ascii="Times New Roman" w:hAnsi="Times New Roman"/>
                <w:spacing w:val="-3"/>
                <w:w w:val="105"/>
                <w:sz w:val="28"/>
              </w:rPr>
              <w:t xml:space="preserve"> </w:t>
            </w:r>
            <w:r w:rsidRPr="007C57D2">
              <w:rPr>
                <w:rFonts w:ascii="Times New Roman" w:hAnsi="Times New Roman"/>
                <w:w w:val="105"/>
                <w:sz w:val="28"/>
              </w:rPr>
              <w:t>y</w:t>
            </w:r>
            <w:r w:rsidRPr="007C57D2">
              <w:rPr>
                <w:rFonts w:ascii="Times New Roman" w:hAnsi="Times New Roman"/>
                <w:spacing w:val="-3"/>
                <w:w w:val="105"/>
                <w:sz w:val="28"/>
              </w:rPr>
              <w:t xml:space="preserve"> </w:t>
            </w:r>
            <w:r w:rsidRPr="007C57D2">
              <w:rPr>
                <w:rFonts w:ascii="Times New Roman" w:hAnsi="Times New Roman"/>
                <w:w w:val="105"/>
                <w:sz w:val="28"/>
              </w:rPr>
              <w:t>no</w:t>
            </w:r>
            <w:r w:rsidRPr="007C57D2">
              <w:rPr>
                <w:rFonts w:ascii="Times New Roman" w:hAnsi="Times New Roman"/>
                <w:spacing w:val="-2"/>
                <w:w w:val="105"/>
                <w:sz w:val="28"/>
              </w:rPr>
              <w:t xml:space="preserve"> </w:t>
            </w:r>
            <w:r w:rsidRPr="007C57D2">
              <w:rPr>
                <w:rFonts w:ascii="Times New Roman" w:hAnsi="Times New Roman"/>
                <w:w w:val="105"/>
                <w:sz w:val="28"/>
              </w:rPr>
              <w:t>pueden</w:t>
            </w:r>
            <w:r w:rsidRPr="007C57D2">
              <w:rPr>
                <w:rFonts w:ascii="Times New Roman" w:hAnsi="Times New Roman"/>
                <w:spacing w:val="-2"/>
                <w:w w:val="105"/>
                <w:sz w:val="28"/>
              </w:rPr>
              <w:t xml:space="preserve"> </w:t>
            </w:r>
            <w:r w:rsidRPr="007C57D2">
              <w:rPr>
                <w:rFonts w:ascii="Times New Roman" w:hAnsi="Times New Roman"/>
                <w:w w:val="105"/>
                <w:sz w:val="28"/>
              </w:rPr>
              <w:t>retornar</w:t>
            </w:r>
            <w:r w:rsidRPr="007C57D2">
              <w:rPr>
                <w:rFonts w:ascii="Times New Roman" w:hAnsi="Times New Roman"/>
                <w:spacing w:val="40"/>
                <w:w w:val="105"/>
                <w:sz w:val="28"/>
              </w:rPr>
              <w:t xml:space="preserve"> </w:t>
            </w:r>
            <w:r w:rsidRPr="007C57D2">
              <w:rPr>
                <w:rFonts w:ascii="Times New Roman" w:hAnsi="Times New Roman"/>
                <w:w w:val="105"/>
                <w:sz w:val="28"/>
              </w:rPr>
              <w:t>al</w:t>
            </w:r>
            <w:r w:rsidRPr="007C57D2">
              <w:rPr>
                <w:rFonts w:ascii="Times New Roman" w:hAnsi="Times New Roman"/>
                <w:spacing w:val="-5"/>
                <w:w w:val="105"/>
                <w:sz w:val="28"/>
              </w:rPr>
              <w:t xml:space="preserve"> </w:t>
            </w:r>
            <w:r w:rsidRPr="007C57D2">
              <w:rPr>
                <w:rFonts w:ascii="Times New Roman" w:hAnsi="Times New Roman"/>
                <w:w w:val="105"/>
                <w:sz w:val="28"/>
              </w:rPr>
              <w:t>mismo.</w:t>
            </w:r>
          </w:p>
          <w:p w:rsidR="0030167B" w:rsidRPr="007C57D2" w:rsidRDefault="007C57D2" w:rsidP="007C57D2">
            <w:pPr>
              <w:pStyle w:val="TableParagraph"/>
              <w:jc w:val="both"/>
              <w:rPr>
                <w:rFonts w:ascii="Times New Roman" w:hAnsi="Times New Roman" w:cs="Times New Roman"/>
                <w:b/>
                <w:w w:val="105"/>
                <w:sz w:val="28"/>
              </w:rPr>
            </w:pPr>
          </w:p>
          <w:p w:rsidR="0030167B" w:rsidRPr="007C57D2" w:rsidRDefault="007C57D2" w:rsidP="007C57D2">
            <w:pPr>
              <w:pStyle w:val="TableParagraph"/>
              <w:jc w:val="both"/>
              <w:rPr>
                <w:rFonts w:ascii="Times New Roman" w:hAnsi="Times New Roman" w:cs="Times New Roman"/>
                <w:b/>
                <w:w w:val="105"/>
                <w:sz w:val="28"/>
              </w:rPr>
            </w:pPr>
          </w:p>
          <w:p w:rsidR="0030167B" w:rsidRPr="007C57D2" w:rsidRDefault="007C57D2" w:rsidP="007C57D2">
            <w:pPr>
              <w:pStyle w:val="TableParagraph"/>
              <w:jc w:val="both"/>
              <w:rPr>
                <w:rFonts w:ascii="Times New Roman" w:hAnsi="Times New Roman" w:cs="Times New Roman"/>
                <w:spacing w:val="-2"/>
                <w:sz w:val="28"/>
              </w:rPr>
            </w:pPr>
            <w:r w:rsidRPr="007C57D2">
              <w:rPr>
                <w:rFonts w:ascii="Times New Roman" w:hAnsi="Times New Roman" w:cs="Times New Roman"/>
                <w:b/>
                <w:w w:val="105"/>
                <w:sz w:val="28"/>
              </w:rPr>
              <w:t>b) Personas llamadas a</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 xml:space="preserve">reportar. </w:t>
            </w:r>
            <w:r w:rsidRPr="007C57D2">
              <w:rPr>
                <w:rFonts w:ascii="Times New Roman" w:hAnsi="Times New Roman" w:cs="Times New Roman"/>
                <w:w w:val="105"/>
                <w:sz w:val="28"/>
              </w:rPr>
              <w:t>Los padres, tutores,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familiares con o sin patria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potestad hasta en segundo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grado de </w:t>
            </w:r>
            <w:r w:rsidRPr="007C57D2">
              <w:rPr>
                <w:rFonts w:ascii="Times New Roman" w:hAnsi="Times New Roman" w:cs="Times New Roman"/>
                <w:w w:val="105"/>
                <w:sz w:val="28"/>
              </w:rPr>
              <w:t>consanguinidad,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el/los representante(s) legal,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Instituto Colombiano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Bienestar Familiar, o quien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tenga conocimiento sobre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extravío de un niño o niña, con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motivos fundados, debe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realizar el debido reporte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forma inmediata a través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cualquiera de</w:t>
            </w:r>
            <w:r w:rsidRPr="007C57D2">
              <w:rPr>
                <w:rFonts w:ascii="Times New Roman" w:hAnsi="Times New Roman" w:cs="Times New Roman"/>
                <w:w w:val="105"/>
                <w:sz w:val="28"/>
              </w:rPr>
              <w:t xml:space="preserve"> los medios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disponibles de las autoridades</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competentes,</w:t>
            </w:r>
            <w:r w:rsidRPr="007C57D2">
              <w:rPr>
                <w:rFonts w:ascii="Times New Roman" w:hAnsi="Times New Roman" w:cs="Times New Roman"/>
                <w:spacing w:val="4"/>
                <w:w w:val="105"/>
                <w:sz w:val="28"/>
              </w:rPr>
              <w:t xml:space="preserve"> </w:t>
            </w:r>
            <w:r w:rsidRPr="007C57D2">
              <w:rPr>
                <w:rFonts w:ascii="Times New Roman" w:hAnsi="Times New Roman" w:cs="Times New Roman"/>
                <w:spacing w:val="-2"/>
                <w:w w:val="105"/>
                <w:sz w:val="28"/>
              </w:rPr>
              <w:t>las</w:t>
            </w:r>
            <w:r w:rsidRPr="007C57D2">
              <w:rPr>
                <w:rFonts w:ascii="Times New Roman" w:hAnsi="Times New Roman" w:cs="Times New Roman"/>
                <w:spacing w:val="6"/>
                <w:w w:val="105"/>
                <w:sz w:val="28"/>
              </w:rPr>
              <w:t xml:space="preserve"> </w:t>
            </w:r>
            <w:r w:rsidRPr="007C57D2">
              <w:rPr>
                <w:rFonts w:ascii="Times New Roman" w:hAnsi="Times New Roman" w:cs="Times New Roman"/>
                <w:spacing w:val="-2"/>
                <w:w w:val="105"/>
                <w:sz w:val="28"/>
              </w:rPr>
              <w:t>comisarías</w:t>
            </w:r>
            <w:r w:rsidRPr="007C57D2">
              <w:rPr>
                <w:rFonts w:ascii="Times New Roman" w:hAnsi="Times New Roman" w:cs="Times New Roman"/>
                <w:spacing w:val="6"/>
                <w:w w:val="105"/>
                <w:sz w:val="28"/>
              </w:rPr>
              <w:t xml:space="preserve"> </w:t>
            </w:r>
            <w:r w:rsidRPr="007C57D2">
              <w:rPr>
                <w:rFonts w:ascii="Times New Roman" w:hAnsi="Times New Roman" w:cs="Times New Roman"/>
                <w:spacing w:val="-5"/>
                <w:w w:val="105"/>
                <w:sz w:val="28"/>
              </w:rPr>
              <w:t xml:space="preserve">de </w:t>
            </w:r>
            <w:r w:rsidRPr="007C57D2">
              <w:rPr>
                <w:rFonts w:ascii="Times New Roman" w:hAnsi="Times New Roman" w:cs="Times New Roman"/>
                <w:sz w:val="28"/>
              </w:rPr>
              <w:t>familia o en la dependencia</w:t>
            </w:r>
            <w:r w:rsidRPr="007C57D2">
              <w:rPr>
                <w:rFonts w:ascii="Times New Roman" w:hAnsi="Times New Roman" w:cs="Times New Roman"/>
                <w:spacing w:val="40"/>
                <w:sz w:val="28"/>
              </w:rPr>
              <w:t xml:space="preserve"> </w:t>
            </w:r>
            <w:r w:rsidRPr="007C57D2">
              <w:rPr>
                <w:rFonts w:ascii="Times New Roman" w:hAnsi="Times New Roman" w:cs="Times New Roman"/>
                <w:sz w:val="28"/>
              </w:rPr>
              <w:t>principal</w:t>
            </w:r>
            <w:r w:rsidRPr="007C57D2">
              <w:rPr>
                <w:rFonts w:ascii="Times New Roman" w:hAnsi="Times New Roman" w:cs="Times New Roman"/>
                <w:spacing w:val="-10"/>
                <w:sz w:val="28"/>
              </w:rPr>
              <w:t xml:space="preserve"> </w:t>
            </w:r>
            <w:r w:rsidRPr="007C57D2">
              <w:rPr>
                <w:rFonts w:ascii="Times New Roman" w:hAnsi="Times New Roman" w:cs="Times New Roman"/>
                <w:sz w:val="28"/>
              </w:rPr>
              <w:t>del</w:t>
            </w:r>
            <w:r w:rsidRPr="007C57D2">
              <w:rPr>
                <w:rFonts w:ascii="Times New Roman" w:hAnsi="Times New Roman" w:cs="Times New Roman"/>
                <w:spacing w:val="-9"/>
                <w:sz w:val="28"/>
              </w:rPr>
              <w:t xml:space="preserve"> </w:t>
            </w:r>
            <w:r w:rsidRPr="007C57D2">
              <w:rPr>
                <w:rFonts w:ascii="Times New Roman" w:hAnsi="Times New Roman" w:cs="Times New Roman"/>
                <w:sz w:val="28"/>
              </w:rPr>
              <w:t>municipio,</w:t>
            </w:r>
            <w:r w:rsidRPr="007C57D2">
              <w:rPr>
                <w:rFonts w:ascii="Times New Roman" w:hAnsi="Times New Roman" w:cs="Times New Roman"/>
                <w:spacing w:val="-9"/>
                <w:sz w:val="28"/>
              </w:rPr>
              <w:t xml:space="preserve"> </w:t>
            </w:r>
            <w:r w:rsidRPr="007C57D2">
              <w:rPr>
                <w:rFonts w:ascii="Times New Roman" w:hAnsi="Times New Roman" w:cs="Times New Roman"/>
                <w:sz w:val="28"/>
              </w:rPr>
              <w:t>cuando</w:t>
            </w:r>
            <w:r w:rsidRPr="007C57D2">
              <w:rPr>
                <w:rFonts w:ascii="Times New Roman" w:hAnsi="Times New Roman" w:cs="Times New Roman"/>
                <w:spacing w:val="40"/>
                <w:sz w:val="28"/>
              </w:rPr>
              <w:t xml:space="preserve"> </w:t>
            </w:r>
            <w:r w:rsidRPr="007C57D2">
              <w:rPr>
                <w:rFonts w:ascii="Times New Roman" w:hAnsi="Times New Roman" w:cs="Times New Roman"/>
                <w:sz w:val="28"/>
              </w:rPr>
              <w:t>no</w:t>
            </w:r>
            <w:r w:rsidRPr="007C57D2">
              <w:rPr>
                <w:rFonts w:ascii="Times New Roman" w:hAnsi="Times New Roman" w:cs="Times New Roman"/>
                <w:spacing w:val="-7"/>
                <w:sz w:val="28"/>
              </w:rPr>
              <w:t xml:space="preserve"> </w:t>
            </w:r>
            <w:r w:rsidRPr="007C57D2">
              <w:rPr>
                <w:rFonts w:ascii="Times New Roman" w:hAnsi="Times New Roman" w:cs="Times New Roman"/>
                <w:sz w:val="28"/>
              </w:rPr>
              <w:t>se</w:t>
            </w:r>
            <w:r w:rsidRPr="007C57D2">
              <w:rPr>
                <w:rFonts w:ascii="Times New Roman" w:hAnsi="Times New Roman" w:cs="Times New Roman"/>
                <w:spacing w:val="-7"/>
                <w:sz w:val="28"/>
              </w:rPr>
              <w:t xml:space="preserve"> </w:t>
            </w:r>
            <w:r w:rsidRPr="007C57D2">
              <w:rPr>
                <w:rFonts w:ascii="Times New Roman" w:hAnsi="Times New Roman" w:cs="Times New Roman"/>
                <w:sz w:val="28"/>
              </w:rPr>
              <w:t>tenga</w:t>
            </w:r>
            <w:r w:rsidRPr="007C57D2">
              <w:rPr>
                <w:rFonts w:ascii="Times New Roman" w:hAnsi="Times New Roman" w:cs="Times New Roman"/>
                <w:spacing w:val="-7"/>
                <w:sz w:val="28"/>
              </w:rPr>
              <w:t xml:space="preserve"> </w:t>
            </w:r>
            <w:r w:rsidRPr="007C57D2">
              <w:rPr>
                <w:rFonts w:ascii="Times New Roman" w:hAnsi="Times New Roman" w:cs="Times New Roman"/>
                <w:sz w:val="28"/>
              </w:rPr>
              <w:t>acceso</w:t>
            </w:r>
            <w:r w:rsidRPr="007C57D2">
              <w:rPr>
                <w:rFonts w:ascii="Times New Roman" w:hAnsi="Times New Roman" w:cs="Times New Roman"/>
                <w:spacing w:val="-9"/>
                <w:sz w:val="28"/>
              </w:rPr>
              <w:t xml:space="preserve"> </w:t>
            </w:r>
            <w:r w:rsidRPr="007C57D2">
              <w:rPr>
                <w:rFonts w:ascii="Times New Roman" w:hAnsi="Times New Roman" w:cs="Times New Roman"/>
                <w:sz w:val="28"/>
              </w:rPr>
              <w:t>a</w:t>
            </w:r>
            <w:r w:rsidRPr="007C57D2">
              <w:rPr>
                <w:rFonts w:ascii="Times New Roman" w:hAnsi="Times New Roman" w:cs="Times New Roman"/>
                <w:spacing w:val="-9"/>
                <w:sz w:val="28"/>
              </w:rPr>
              <w:t xml:space="preserve"> </w:t>
            </w:r>
            <w:r w:rsidRPr="007C57D2">
              <w:rPr>
                <w:rFonts w:ascii="Times New Roman" w:hAnsi="Times New Roman" w:cs="Times New Roman"/>
                <w:sz w:val="28"/>
              </w:rPr>
              <w:t>servicios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tecnológicos.</w:t>
            </w:r>
          </w:p>
          <w:p w:rsidR="0030167B" w:rsidRPr="007C57D2" w:rsidRDefault="007C57D2" w:rsidP="007C57D2">
            <w:pPr>
              <w:pStyle w:val="TableParagraph"/>
              <w:jc w:val="both"/>
              <w:rPr>
                <w:rFonts w:ascii="Times New Roman" w:hAnsi="Times New Roman" w:cs="Times New Roman"/>
                <w:spacing w:val="-2"/>
                <w:sz w:val="28"/>
              </w:rPr>
            </w:pPr>
          </w:p>
          <w:p w:rsidR="0030167B" w:rsidRPr="007C57D2" w:rsidRDefault="007C57D2" w:rsidP="007C57D2">
            <w:pPr>
              <w:pStyle w:val="TableParagraph"/>
              <w:tabs>
                <w:tab w:val="left" w:pos="290"/>
              </w:tabs>
              <w:jc w:val="both"/>
              <w:rPr>
                <w:rFonts w:ascii="Times New Roman" w:hAnsi="Times New Roman" w:cs="Times New Roman"/>
                <w:sz w:val="28"/>
              </w:rPr>
            </w:pPr>
            <w:r w:rsidRPr="007C57D2">
              <w:rPr>
                <w:rFonts w:ascii="Times New Roman" w:hAnsi="Times New Roman" w:cs="Times New Roman"/>
                <w:b/>
                <w:sz w:val="28"/>
              </w:rPr>
              <w:t xml:space="preserve">c) Sistema Amber. </w:t>
            </w:r>
            <w:r w:rsidRPr="007C57D2">
              <w:rPr>
                <w:rFonts w:ascii="Times New Roman" w:hAnsi="Times New Roman" w:cs="Times New Roman"/>
                <w:sz w:val="28"/>
              </w:rPr>
              <w:t>Es el</w:t>
            </w:r>
            <w:r w:rsidRPr="007C57D2">
              <w:rPr>
                <w:rFonts w:ascii="Times New Roman" w:hAnsi="Times New Roman" w:cs="Times New Roman"/>
                <w:spacing w:val="40"/>
                <w:sz w:val="28"/>
              </w:rPr>
              <w:t xml:space="preserve"> </w:t>
            </w:r>
            <w:r w:rsidRPr="007C57D2">
              <w:rPr>
                <w:rFonts w:ascii="Times New Roman" w:hAnsi="Times New Roman" w:cs="Times New Roman"/>
                <w:sz w:val="28"/>
              </w:rPr>
              <w:t>conjunto de actividades</w:t>
            </w:r>
            <w:r w:rsidRPr="007C57D2">
              <w:rPr>
                <w:rFonts w:ascii="Times New Roman" w:hAnsi="Times New Roman" w:cs="Times New Roman"/>
                <w:spacing w:val="40"/>
                <w:sz w:val="28"/>
              </w:rPr>
              <w:t xml:space="preserve"> </w:t>
            </w:r>
            <w:r w:rsidRPr="007C57D2">
              <w:rPr>
                <w:rFonts w:ascii="Times New Roman" w:hAnsi="Times New Roman" w:cs="Times New Roman"/>
                <w:sz w:val="28"/>
              </w:rPr>
              <w:t>concatenadas entre las</w:t>
            </w:r>
            <w:r w:rsidRPr="007C57D2">
              <w:rPr>
                <w:rFonts w:ascii="Times New Roman" w:hAnsi="Times New Roman" w:cs="Times New Roman"/>
                <w:spacing w:val="40"/>
                <w:sz w:val="28"/>
              </w:rPr>
              <w:t xml:space="preserve"> </w:t>
            </w:r>
            <w:r w:rsidRPr="007C57D2">
              <w:rPr>
                <w:rFonts w:ascii="Times New Roman" w:hAnsi="Times New Roman" w:cs="Times New Roman"/>
                <w:sz w:val="28"/>
              </w:rPr>
              <w:t>autoridades públicas y los</w:t>
            </w:r>
            <w:r w:rsidRPr="007C57D2">
              <w:rPr>
                <w:rFonts w:ascii="Times New Roman" w:hAnsi="Times New Roman" w:cs="Times New Roman"/>
                <w:spacing w:val="40"/>
                <w:sz w:val="28"/>
              </w:rPr>
              <w:t xml:space="preserve"> </w:t>
            </w:r>
            <w:r w:rsidRPr="007C57D2">
              <w:rPr>
                <w:rFonts w:ascii="Times New Roman" w:hAnsi="Times New Roman" w:cs="Times New Roman"/>
                <w:sz w:val="28"/>
              </w:rPr>
              <w:t>ciudadanos fundamentado en</w:t>
            </w:r>
            <w:r w:rsidRPr="007C57D2">
              <w:rPr>
                <w:rFonts w:ascii="Times New Roman" w:hAnsi="Times New Roman" w:cs="Times New Roman"/>
                <w:spacing w:val="40"/>
                <w:sz w:val="28"/>
              </w:rPr>
              <w:t xml:space="preserve"> </w:t>
            </w:r>
            <w:r w:rsidRPr="007C57D2">
              <w:rPr>
                <w:rFonts w:ascii="Times New Roman" w:hAnsi="Times New Roman" w:cs="Times New Roman"/>
                <w:sz w:val="28"/>
              </w:rPr>
              <w:t>el principio constitucional de</w:t>
            </w:r>
            <w:r w:rsidRPr="007C57D2">
              <w:rPr>
                <w:rFonts w:ascii="Times New Roman" w:hAnsi="Times New Roman" w:cs="Times New Roman"/>
                <w:spacing w:val="40"/>
                <w:sz w:val="28"/>
              </w:rPr>
              <w:t xml:space="preserve"> </w:t>
            </w:r>
            <w:r w:rsidRPr="007C57D2">
              <w:rPr>
                <w:rFonts w:ascii="Times New Roman" w:hAnsi="Times New Roman" w:cs="Times New Roman"/>
                <w:sz w:val="28"/>
              </w:rPr>
              <w:t>solidaridad y protección al</w:t>
            </w:r>
            <w:r w:rsidRPr="007C57D2">
              <w:rPr>
                <w:rFonts w:ascii="Times New Roman" w:hAnsi="Times New Roman" w:cs="Times New Roman"/>
                <w:spacing w:val="40"/>
                <w:sz w:val="28"/>
              </w:rPr>
              <w:t xml:space="preserve"> </w:t>
            </w:r>
            <w:r w:rsidRPr="007C57D2">
              <w:rPr>
                <w:rFonts w:ascii="Times New Roman" w:hAnsi="Times New Roman" w:cs="Times New Roman"/>
                <w:sz w:val="28"/>
              </w:rPr>
              <w:t>menor de edad con el fin de</w:t>
            </w:r>
            <w:r w:rsidRPr="007C57D2">
              <w:rPr>
                <w:rFonts w:ascii="Times New Roman" w:hAnsi="Times New Roman" w:cs="Times New Roman"/>
                <w:spacing w:val="40"/>
                <w:sz w:val="28"/>
              </w:rPr>
              <w:t xml:space="preserve"> </w:t>
            </w:r>
            <w:r w:rsidRPr="007C57D2">
              <w:rPr>
                <w:rFonts w:ascii="Times New Roman" w:hAnsi="Times New Roman" w:cs="Times New Roman"/>
                <w:sz w:val="28"/>
              </w:rPr>
              <w:t>buscar, localizar y recuperar</w:t>
            </w:r>
            <w:r w:rsidRPr="007C57D2">
              <w:rPr>
                <w:rFonts w:ascii="Times New Roman" w:hAnsi="Times New Roman" w:cs="Times New Roman"/>
                <w:spacing w:val="-1"/>
                <w:sz w:val="28"/>
              </w:rPr>
              <w:t xml:space="preserve"> </w:t>
            </w:r>
            <w:r w:rsidRPr="007C57D2">
              <w:rPr>
                <w:rFonts w:ascii="Times New Roman" w:hAnsi="Times New Roman" w:cs="Times New Roman"/>
                <w:sz w:val="28"/>
              </w:rPr>
              <w:t>a</w:t>
            </w:r>
            <w:r w:rsidRPr="007C57D2">
              <w:rPr>
                <w:rFonts w:ascii="Times New Roman" w:hAnsi="Times New Roman" w:cs="Times New Roman"/>
                <w:spacing w:val="40"/>
                <w:sz w:val="28"/>
              </w:rPr>
              <w:t xml:space="preserve"> </w:t>
            </w:r>
            <w:r w:rsidRPr="007C57D2">
              <w:rPr>
                <w:rFonts w:ascii="Times New Roman" w:hAnsi="Times New Roman" w:cs="Times New Roman"/>
                <w:sz w:val="28"/>
              </w:rPr>
              <w:t>los niños y niñas extraviados.</w:t>
            </w:r>
          </w:p>
          <w:p w:rsidR="0030167B" w:rsidRPr="007C57D2" w:rsidRDefault="007C57D2" w:rsidP="007C57D2">
            <w:pPr>
              <w:pStyle w:val="TableParagraph"/>
              <w:tabs>
                <w:tab w:val="left" w:pos="290"/>
              </w:tabs>
              <w:jc w:val="both"/>
              <w:rPr>
                <w:rFonts w:ascii="Times New Roman" w:hAnsi="Times New Roman" w:cs="Times New Roman"/>
                <w:sz w:val="28"/>
              </w:rPr>
            </w:pPr>
          </w:p>
          <w:p w:rsidR="00C47993" w:rsidRPr="007C57D2" w:rsidRDefault="007C57D2" w:rsidP="007C57D2">
            <w:pPr>
              <w:pStyle w:val="TableParagraph"/>
              <w:tabs>
                <w:tab w:val="left" w:pos="290"/>
              </w:tabs>
              <w:jc w:val="both"/>
              <w:rPr>
                <w:rFonts w:ascii="Times New Roman" w:hAnsi="Times New Roman" w:cs="Times New Roman"/>
                <w:sz w:val="28"/>
              </w:rPr>
            </w:pPr>
          </w:p>
          <w:p w:rsidR="00C47993" w:rsidRPr="007C57D2" w:rsidRDefault="007C57D2" w:rsidP="007C57D2">
            <w:pPr>
              <w:pStyle w:val="TableParagraph"/>
              <w:tabs>
                <w:tab w:val="left" w:pos="290"/>
              </w:tabs>
              <w:jc w:val="both"/>
              <w:rPr>
                <w:rFonts w:ascii="Times New Roman" w:hAnsi="Times New Roman" w:cs="Times New Roman"/>
                <w:sz w:val="28"/>
              </w:rPr>
            </w:pPr>
          </w:p>
          <w:p w:rsidR="00C47993" w:rsidRPr="007C57D2" w:rsidRDefault="007C57D2" w:rsidP="007C57D2">
            <w:pPr>
              <w:pStyle w:val="TableParagraph"/>
              <w:tabs>
                <w:tab w:val="left" w:pos="290"/>
              </w:tabs>
              <w:jc w:val="both"/>
              <w:rPr>
                <w:rFonts w:ascii="Times New Roman" w:hAnsi="Times New Roman" w:cs="Times New Roman"/>
                <w:sz w:val="28"/>
              </w:rPr>
            </w:pPr>
          </w:p>
          <w:p w:rsidR="00C47993" w:rsidRPr="007C57D2" w:rsidRDefault="007C57D2" w:rsidP="007C57D2">
            <w:pPr>
              <w:pStyle w:val="TableParagraph"/>
              <w:tabs>
                <w:tab w:val="left" w:pos="290"/>
              </w:tabs>
              <w:jc w:val="both"/>
              <w:rPr>
                <w:rFonts w:ascii="Times New Roman" w:hAnsi="Times New Roman" w:cs="Times New Roman"/>
                <w:sz w:val="28"/>
              </w:rPr>
            </w:pPr>
          </w:p>
          <w:p w:rsidR="0030167B" w:rsidRPr="007C57D2" w:rsidRDefault="007C57D2" w:rsidP="007C57D2">
            <w:pPr>
              <w:pStyle w:val="TableParagraph"/>
              <w:tabs>
                <w:tab w:val="left" w:pos="514"/>
                <w:tab w:val="left" w:pos="1694"/>
              </w:tabs>
              <w:jc w:val="both"/>
              <w:rPr>
                <w:rFonts w:ascii="Times New Roman" w:hAnsi="Times New Roman" w:cs="Times New Roman"/>
                <w:sz w:val="28"/>
              </w:rPr>
            </w:pPr>
            <w:r w:rsidRPr="007C57D2">
              <w:rPr>
                <w:rFonts w:ascii="Times New Roman" w:hAnsi="Times New Roman" w:cs="Times New Roman"/>
                <w:b/>
                <w:sz w:val="28"/>
              </w:rPr>
              <w:t>d) Alerta Colombia.</w:t>
            </w:r>
            <w:r w:rsidRPr="007C57D2">
              <w:rPr>
                <w:rFonts w:ascii="Times New Roman" w:hAnsi="Times New Roman" w:cs="Times New Roman"/>
                <w:b/>
                <w:spacing w:val="40"/>
                <w:sz w:val="28"/>
              </w:rPr>
              <w:t xml:space="preserve"> </w:t>
            </w:r>
            <w:r w:rsidRPr="007C57D2">
              <w:rPr>
                <w:rFonts w:ascii="Times New Roman" w:hAnsi="Times New Roman" w:cs="Times New Roman"/>
                <w:sz w:val="28"/>
              </w:rPr>
              <w:t>Herramienta de difusión de</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información de los datos de</w:t>
            </w:r>
            <w:r w:rsidRPr="007C57D2">
              <w:rPr>
                <w:rFonts w:ascii="Times New Roman" w:hAnsi="Times New Roman" w:cs="Times New Roman"/>
                <w:spacing w:val="40"/>
                <w:sz w:val="28"/>
              </w:rPr>
              <w:t xml:space="preserve"> </w:t>
            </w:r>
            <w:r w:rsidRPr="007C57D2">
              <w:rPr>
                <w:rFonts w:ascii="Times New Roman" w:hAnsi="Times New Roman" w:cs="Times New Roman"/>
                <w:sz w:val="28"/>
              </w:rPr>
              <w:t>niños</w:t>
            </w:r>
            <w:r w:rsidRPr="007C57D2">
              <w:rPr>
                <w:rFonts w:ascii="Times New Roman" w:hAnsi="Times New Roman" w:cs="Times New Roman"/>
                <w:spacing w:val="-3"/>
                <w:sz w:val="28"/>
              </w:rPr>
              <w:t xml:space="preserve"> </w:t>
            </w:r>
            <w:r w:rsidRPr="007C57D2">
              <w:rPr>
                <w:rFonts w:ascii="Times New Roman" w:hAnsi="Times New Roman" w:cs="Times New Roman"/>
                <w:sz w:val="28"/>
              </w:rPr>
              <w:t>y</w:t>
            </w:r>
            <w:r w:rsidRPr="007C57D2">
              <w:rPr>
                <w:rFonts w:ascii="Times New Roman" w:hAnsi="Times New Roman" w:cs="Times New Roman"/>
                <w:spacing w:val="-4"/>
                <w:sz w:val="28"/>
              </w:rPr>
              <w:t xml:space="preserve"> </w:t>
            </w:r>
            <w:r w:rsidRPr="007C57D2">
              <w:rPr>
                <w:rFonts w:ascii="Times New Roman" w:hAnsi="Times New Roman" w:cs="Times New Roman"/>
                <w:sz w:val="28"/>
              </w:rPr>
              <w:t>niñas</w:t>
            </w:r>
            <w:r w:rsidRPr="007C57D2">
              <w:rPr>
                <w:rFonts w:ascii="Times New Roman" w:hAnsi="Times New Roman" w:cs="Times New Roman"/>
                <w:spacing w:val="-4"/>
                <w:sz w:val="28"/>
              </w:rPr>
              <w:t xml:space="preserve"> </w:t>
            </w:r>
            <w:r w:rsidRPr="007C57D2">
              <w:rPr>
                <w:rFonts w:ascii="Times New Roman" w:hAnsi="Times New Roman" w:cs="Times New Roman"/>
                <w:sz w:val="28"/>
              </w:rPr>
              <w:t>extraviados</w:t>
            </w:r>
            <w:r w:rsidRPr="007C57D2">
              <w:rPr>
                <w:rFonts w:ascii="Times New Roman" w:hAnsi="Times New Roman" w:cs="Times New Roman"/>
                <w:spacing w:val="-3"/>
                <w:sz w:val="28"/>
              </w:rPr>
              <w:t xml:space="preserve"> </w:t>
            </w:r>
            <w:r w:rsidRPr="007C57D2">
              <w:rPr>
                <w:rFonts w:ascii="Times New Roman" w:hAnsi="Times New Roman" w:cs="Times New Roman"/>
                <w:sz w:val="28"/>
              </w:rPr>
              <w:t>para</w:t>
            </w:r>
            <w:r w:rsidRPr="007C57D2">
              <w:rPr>
                <w:rFonts w:ascii="Times New Roman" w:hAnsi="Times New Roman" w:cs="Times New Roman"/>
                <w:spacing w:val="40"/>
                <w:sz w:val="28"/>
              </w:rPr>
              <w:t xml:space="preserve"> </w:t>
            </w:r>
            <w:r w:rsidRPr="007C57D2">
              <w:rPr>
                <w:rFonts w:ascii="Times New Roman" w:hAnsi="Times New Roman" w:cs="Times New Roman"/>
                <w:sz w:val="28"/>
              </w:rPr>
              <w:t>alertar, a través de los</w:t>
            </w:r>
            <w:r w:rsidRPr="007C57D2">
              <w:rPr>
                <w:rFonts w:ascii="Times New Roman" w:hAnsi="Times New Roman" w:cs="Times New Roman"/>
                <w:spacing w:val="40"/>
                <w:sz w:val="28"/>
              </w:rPr>
              <w:t xml:space="preserve"> </w:t>
            </w:r>
            <w:r w:rsidRPr="007C57D2">
              <w:rPr>
                <w:rFonts w:ascii="Times New Roman" w:hAnsi="Times New Roman" w:cs="Times New Roman"/>
                <w:sz w:val="28"/>
              </w:rPr>
              <w:t>proveedores de redes y</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servicios </w:t>
            </w:r>
            <w:r w:rsidRPr="007C57D2">
              <w:rPr>
                <w:rFonts w:ascii="Times New Roman" w:hAnsi="Times New Roman" w:cs="Times New Roman"/>
                <w:spacing w:val="-5"/>
                <w:sz w:val="28"/>
              </w:rPr>
              <w:t>de</w:t>
            </w:r>
          </w:p>
          <w:p w:rsidR="0030167B" w:rsidRPr="007C57D2" w:rsidRDefault="007C57D2" w:rsidP="007C57D2">
            <w:pPr>
              <w:pStyle w:val="TableParagraph"/>
              <w:tabs>
                <w:tab w:val="left" w:pos="290"/>
              </w:tabs>
              <w:jc w:val="both"/>
              <w:rPr>
                <w:rFonts w:ascii="Times New Roman" w:hAnsi="Times New Roman" w:cs="Times New Roman"/>
                <w:sz w:val="28"/>
              </w:rPr>
            </w:pPr>
            <w:r w:rsidRPr="007C57D2">
              <w:rPr>
                <w:rFonts w:ascii="Times New Roman" w:hAnsi="Times New Roman" w:cs="Times New Roman"/>
                <w:spacing w:val="-2"/>
                <w:sz w:val="28"/>
              </w:rPr>
              <w:t>telecomunicaciones móviles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forma</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gratuita</w:t>
            </w:r>
            <w:r w:rsidRPr="007C57D2">
              <w:rPr>
                <w:rFonts w:ascii="Times New Roman" w:hAnsi="Times New Roman" w:cs="Times New Roman"/>
                <w:spacing w:val="-3"/>
                <w:sz w:val="28"/>
              </w:rPr>
              <w:t xml:space="preserve"> </w:t>
            </w:r>
            <w:r w:rsidRPr="007C57D2">
              <w:rPr>
                <w:rFonts w:ascii="Times New Roman" w:hAnsi="Times New Roman" w:cs="Times New Roman"/>
                <w:spacing w:val="-2"/>
                <w:sz w:val="28"/>
              </w:rPr>
              <w:t>y</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cualquier</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canal</w:t>
            </w:r>
            <w:r w:rsidRPr="007C57D2">
              <w:rPr>
                <w:rFonts w:ascii="Times New Roman" w:hAnsi="Times New Roman" w:cs="Times New Roman"/>
                <w:spacing w:val="40"/>
                <w:sz w:val="28"/>
              </w:rPr>
              <w:t xml:space="preserve"> </w:t>
            </w:r>
            <w:r w:rsidRPr="007C57D2">
              <w:rPr>
                <w:rFonts w:ascii="Times New Roman" w:hAnsi="Times New Roman" w:cs="Times New Roman"/>
                <w:sz w:val="28"/>
              </w:rPr>
              <w:t>o medio tecnológico que sirva</w:t>
            </w:r>
            <w:r w:rsidRPr="007C57D2">
              <w:rPr>
                <w:rFonts w:ascii="Times New Roman" w:hAnsi="Times New Roman" w:cs="Times New Roman"/>
                <w:spacing w:val="40"/>
                <w:sz w:val="28"/>
              </w:rPr>
              <w:t xml:space="preserve"> </w:t>
            </w:r>
            <w:r w:rsidRPr="007C57D2">
              <w:rPr>
                <w:rFonts w:ascii="Times New Roman" w:hAnsi="Times New Roman" w:cs="Times New Roman"/>
                <w:sz w:val="28"/>
              </w:rPr>
              <w:t>para la difusión masiva a las</w:t>
            </w:r>
            <w:r w:rsidRPr="007C57D2">
              <w:rPr>
                <w:rFonts w:ascii="Times New Roman" w:hAnsi="Times New Roman" w:cs="Times New Roman"/>
                <w:spacing w:val="40"/>
                <w:sz w:val="28"/>
              </w:rPr>
              <w:t xml:space="preserve"> </w:t>
            </w:r>
            <w:r w:rsidRPr="007C57D2">
              <w:rPr>
                <w:rFonts w:ascii="Times New Roman" w:hAnsi="Times New Roman" w:cs="Times New Roman"/>
                <w:sz w:val="28"/>
              </w:rPr>
              <w:t>autoridades y</w:t>
            </w:r>
            <w:r w:rsidRPr="007C57D2">
              <w:rPr>
                <w:rFonts w:ascii="Times New Roman" w:hAnsi="Times New Roman" w:cs="Times New Roman"/>
                <w:sz w:val="28"/>
              </w:rPr>
              <w:t xml:space="preserve"> a la ciudadanía</w:t>
            </w:r>
            <w:r w:rsidRPr="007C57D2">
              <w:rPr>
                <w:rFonts w:ascii="Times New Roman" w:hAnsi="Times New Roman" w:cs="Times New Roman"/>
                <w:spacing w:val="40"/>
                <w:sz w:val="28"/>
              </w:rPr>
              <w:t xml:space="preserve"> </w:t>
            </w:r>
            <w:r w:rsidRPr="007C57D2">
              <w:rPr>
                <w:rFonts w:ascii="Times New Roman" w:hAnsi="Times New Roman" w:cs="Times New Roman"/>
                <w:sz w:val="28"/>
              </w:rPr>
              <w:t>sobre el extravío de niños y</w:t>
            </w:r>
            <w:r w:rsidRPr="007C57D2">
              <w:rPr>
                <w:rFonts w:ascii="Times New Roman" w:hAnsi="Times New Roman" w:cs="Times New Roman"/>
                <w:spacing w:val="40"/>
                <w:sz w:val="28"/>
              </w:rPr>
              <w:t xml:space="preserve"> </w:t>
            </w:r>
            <w:r w:rsidRPr="007C57D2">
              <w:rPr>
                <w:rFonts w:ascii="Times New Roman" w:hAnsi="Times New Roman" w:cs="Times New Roman"/>
                <w:sz w:val="28"/>
              </w:rPr>
              <w:t>niñas, con el fin de activar</w:t>
            </w:r>
            <w:r w:rsidRPr="007C57D2">
              <w:rPr>
                <w:rFonts w:ascii="Times New Roman" w:hAnsi="Times New Roman" w:cs="Times New Roman"/>
                <w:spacing w:val="40"/>
                <w:sz w:val="28"/>
              </w:rPr>
              <w:t xml:space="preserve"> </w:t>
            </w:r>
            <w:r w:rsidRPr="007C57D2">
              <w:rPr>
                <w:rFonts w:ascii="Times New Roman" w:hAnsi="Times New Roman" w:cs="Times New Roman"/>
                <w:sz w:val="28"/>
              </w:rPr>
              <w:t>mecanismos de búsqueda,</w:t>
            </w:r>
            <w:r w:rsidRPr="007C57D2">
              <w:rPr>
                <w:rFonts w:ascii="Times New Roman" w:hAnsi="Times New Roman" w:cs="Times New Roman"/>
                <w:spacing w:val="40"/>
                <w:sz w:val="28"/>
              </w:rPr>
              <w:t xml:space="preserve"> </w:t>
            </w:r>
            <w:r w:rsidRPr="007C57D2">
              <w:rPr>
                <w:rFonts w:ascii="Times New Roman" w:hAnsi="Times New Roman" w:cs="Times New Roman"/>
                <w:sz w:val="28"/>
              </w:rPr>
              <w:t>localización y recuperación de</w:t>
            </w:r>
            <w:r w:rsidRPr="007C57D2">
              <w:rPr>
                <w:rFonts w:ascii="Times New Roman" w:hAnsi="Times New Roman" w:cs="Times New Roman"/>
                <w:spacing w:val="40"/>
                <w:sz w:val="28"/>
              </w:rPr>
              <w:t xml:space="preserve"> </w:t>
            </w:r>
            <w:r w:rsidRPr="007C57D2">
              <w:rPr>
                <w:rFonts w:ascii="Times New Roman" w:hAnsi="Times New Roman" w:cs="Times New Roman"/>
                <w:sz w:val="28"/>
              </w:rPr>
              <w:t>éstos de forma inmediata.</w:t>
            </w:r>
          </w:p>
          <w:p w:rsidR="0030167B" w:rsidRPr="007C57D2" w:rsidRDefault="007C57D2" w:rsidP="007C57D2">
            <w:pPr>
              <w:pStyle w:val="TableParagraph"/>
              <w:tabs>
                <w:tab w:val="left" w:pos="290"/>
              </w:tabs>
              <w:jc w:val="both"/>
              <w:rPr>
                <w:rFonts w:ascii="Times New Roman" w:hAnsi="Times New Roman" w:cs="Times New Roman"/>
                <w:sz w:val="28"/>
              </w:rPr>
            </w:pPr>
          </w:p>
          <w:p w:rsidR="0030167B" w:rsidRPr="007C57D2" w:rsidRDefault="007C57D2" w:rsidP="007C57D2">
            <w:pPr>
              <w:pStyle w:val="TableParagraph"/>
              <w:tabs>
                <w:tab w:val="left" w:pos="290"/>
              </w:tabs>
              <w:jc w:val="both"/>
              <w:rPr>
                <w:rFonts w:ascii="Times New Roman" w:hAnsi="Times New Roman" w:cs="Times New Roman"/>
                <w:sz w:val="28"/>
                <w:lang w:eastAsia="es-ES"/>
              </w:rPr>
            </w:pPr>
            <w:r w:rsidRPr="007C57D2">
              <w:rPr>
                <w:rFonts w:ascii="Times New Roman" w:hAnsi="Times New Roman" w:cs="Times New Roman"/>
                <w:b/>
                <w:sz w:val="28"/>
                <w:lang w:val="es-CO"/>
              </w:rPr>
              <w:t xml:space="preserve">e) Datos biométricos. </w:t>
            </w:r>
            <w:r w:rsidRPr="007C57D2">
              <w:rPr>
                <w:rFonts w:ascii="Times New Roman" w:hAnsi="Times New Roman" w:cs="Times New Roman"/>
                <w:sz w:val="28"/>
                <w:lang w:val="es-CO"/>
              </w:rPr>
              <w:t>Son aquellos datos sensibles que permiten identificar a una persona natural a</w:t>
            </w:r>
            <w:r w:rsidRPr="007C57D2">
              <w:rPr>
                <w:rFonts w:ascii="Times New Roman" w:hAnsi="Times New Roman" w:cs="Times New Roman"/>
                <w:sz w:val="28"/>
                <w:lang w:val="es-CO"/>
              </w:rPr>
              <w:t xml:space="preserve"> través del reconocimiento de una característica física intransferible que la distingue de otra persona como lo son el reconocimiento facial a través de fotografías, entre otros.</w:t>
            </w: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f) Autorización y divulgación del tratamiento de datos biométricos y persona</w:t>
            </w:r>
            <w:r w:rsidRPr="007C57D2">
              <w:rPr>
                <w:rFonts w:ascii="Times New Roman" w:hAnsi="Times New Roman"/>
                <w:b/>
                <w:sz w:val="28"/>
                <w:lang w:val="es-ES" w:eastAsia="es-ES"/>
              </w:rPr>
              <w:t xml:space="preserve">les de niños y niñas. </w:t>
            </w:r>
            <w:r w:rsidRPr="007C57D2">
              <w:rPr>
                <w:rFonts w:ascii="Times New Roman" w:hAnsi="Times New Roman"/>
                <w:sz w:val="28"/>
                <w:lang w:val="es-ES" w:eastAsia="es-ES"/>
              </w:rPr>
              <w:t>Es aquel documento escrito que debe ser radicado en físico o cargado a la plataforma virtual dispuesta por la Policía Nacional, la Fiscalía General de la Nación, el Instituto Colombiano de Bienestar Familiar y la Unidad Administrativa</w:t>
            </w:r>
            <w:r w:rsidRPr="007C57D2">
              <w:rPr>
                <w:rFonts w:ascii="Times New Roman" w:hAnsi="Times New Roman"/>
                <w:sz w:val="28"/>
                <w:lang w:val="es-ES" w:eastAsia="es-ES"/>
              </w:rPr>
              <w:t xml:space="preserve"> Especial Migración Colombia, donde el/los representante(s) legal(es), o de oficio con motivos fundados, los familiares hasta en segundo grado de consanguinidad o el Instituto Colombiano de Bienestar Familiar, o cualquiera de las personas llamadas a report</w:t>
            </w:r>
            <w:r w:rsidRPr="007C57D2">
              <w:rPr>
                <w:rFonts w:ascii="Times New Roman" w:hAnsi="Times New Roman"/>
                <w:sz w:val="28"/>
                <w:lang w:val="es-ES" w:eastAsia="es-ES"/>
              </w:rPr>
              <w:t>ar, autoricen y consientan la divulgación y el tratamiento de los datos biométricos y personales de los niños y niñas, en aras de activar la Alerta Colombia.</w:t>
            </w: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sz w:val="28"/>
                <w:lang w:val="es-ES" w:eastAsia="es-ES"/>
              </w:rPr>
              <w:t>Los padres, familiares con patria potestad, el representante legal o el Instituto Colombiano de B</w:t>
            </w:r>
            <w:r w:rsidRPr="007C57D2">
              <w:rPr>
                <w:rFonts w:ascii="Times New Roman" w:hAnsi="Times New Roman"/>
                <w:sz w:val="28"/>
                <w:lang w:val="es-ES" w:eastAsia="es-ES"/>
              </w:rPr>
              <w:t>ienestar Familiar, autorizarán y consentirán la divulgación y el tratamiento de los datos biométricos y personales de los niños y las niñas, en aras de activar la Alerta Colombia.</w:t>
            </w: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g) Consentimiento informado. </w:t>
            </w:r>
            <w:r w:rsidRPr="007C57D2">
              <w:rPr>
                <w:rFonts w:ascii="Times New Roman" w:hAnsi="Times New Roman"/>
                <w:sz w:val="28"/>
                <w:lang w:val="es-ES" w:eastAsia="es-ES"/>
              </w:rPr>
              <w:t>Documento por el cual se establece el consenti</w:t>
            </w:r>
            <w:r w:rsidRPr="007C57D2">
              <w:rPr>
                <w:rFonts w:ascii="Times New Roman" w:hAnsi="Times New Roman"/>
                <w:sz w:val="28"/>
                <w:lang w:val="es-ES" w:eastAsia="es-ES"/>
              </w:rPr>
              <w:t>miento informado de los padres, representantes legales o tutores, debidamente asesorados, para el tratamiento de los datos biométricos y personales de los niños y niñas, garantizando así su protección y el respeto a sus derechos fundamentales.</w:t>
            </w:r>
          </w:p>
        </w:tc>
        <w:tc>
          <w:tcPr>
            <w:tcW w:w="3657" w:type="dxa"/>
            <w:shd w:val="clear" w:color="auto" w:fill="auto"/>
          </w:tcPr>
          <w:p w:rsidR="0030167B" w:rsidRPr="007C57D2" w:rsidRDefault="007C57D2" w:rsidP="007C57D2">
            <w:pPr>
              <w:tabs>
                <w:tab w:val="left" w:pos="567"/>
              </w:tabs>
              <w:spacing w:after="0" w:line="240" w:lineRule="auto"/>
              <w:jc w:val="both"/>
              <w:rPr>
                <w:rFonts w:ascii="Times New Roman" w:hAnsi="Times New Roman"/>
                <w:spacing w:val="-4"/>
                <w:w w:val="105"/>
                <w:sz w:val="28"/>
              </w:rPr>
            </w:pPr>
            <w:r w:rsidRPr="007C57D2">
              <w:rPr>
                <w:rFonts w:ascii="Times New Roman" w:hAnsi="Times New Roman"/>
                <w:b/>
                <w:w w:val="105"/>
                <w:sz w:val="28"/>
              </w:rPr>
              <w:t xml:space="preserve">Artículo 2. </w:t>
            </w:r>
            <w:r w:rsidRPr="007C57D2">
              <w:rPr>
                <w:rFonts w:ascii="Times New Roman" w:hAnsi="Times New Roman"/>
                <w:b/>
                <w:w w:val="105"/>
                <w:sz w:val="28"/>
              </w:rPr>
              <w:t>Definiciones.</w:t>
            </w:r>
            <w:r w:rsidRPr="007C57D2">
              <w:rPr>
                <w:rFonts w:ascii="Times New Roman" w:hAnsi="Times New Roman"/>
                <w:b/>
                <w:spacing w:val="40"/>
                <w:w w:val="105"/>
                <w:sz w:val="28"/>
              </w:rPr>
              <w:t xml:space="preserve"> </w:t>
            </w:r>
            <w:r w:rsidRPr="007C57D2">
              <w:rPr>
                <w:rFonts w:ascii="Times New Roman" w:hAnsi="Times New Roman"/>
                <w:w w:val="105"/>
                <w:sz w:val="28"/>
              </w:rPr>
              <w:t>Para los efectos de la</w:t>
            </w:r>
            <w:r w:rsidRPr="007C57D2">
              <w:rPr>
                <w:rFonts w:ascii="Times New Roman" w:hAnsi="Times New Roman"/>
                <w:spacing w:val="40"/>
                <w:w w:val="105"/>
                <w:sz w:val="28"/>
              </w:rPr>
              <w:t xml:space="preserve"> </w:t>
            </w:r>
            <w:r w:rsidRPr="007C57D2">
              <w:rPr>
                <w:rFonts w:ascii="Times New Roman" w:hAnsi="Times New Roman"/>
                <w:w w:val="105"/>
                <w:sz w:val="28"/>
              </w:rPr>
              <w:t>presente ley, entiéndase</w:t>
            </w:r>
            <w:r w:rsidRPr="007C57D2">
              <w:rPr>
                <w:rFonts w:ascii="Times New Roman" w:hAnsi="Times New Roman"/>
                <w:spacing w:val="40"/>
                <w:w w:val="105"/>
                <w:sz w:val="28"/>
              </w:rPr>
              <w:t xml:space="preserve"> </w:t>
            </w:r>
            <w:r w:rsidRPr="007C57D2">
              <w:rPr>
                <w:rFonts w:ascii="Times New Roman" w:hAnsi="Times New Roman"/>
                <w:spacing w:val="-4"/>
                <w:w w:val="105"/>
                <w:sz w:val="28"/>
              </w:rPr>
              <w:t>por:</w:t>
            </w:r>
          </w:p>
          <w:p w:rsidR="0030167B" w:rsidRPr="007C57D2" w:rsidRDefault="007C57D2" w:rsidP="007C57D2">
            <w:pPr>
              <w:tabs>
                <w:tab w:val="left" w:pos="567"/>
              </w:tabs>
              <w:spacing w:after="0" w:line="240" w:lineRule="auto"/>
              <w:jc w:val="both"/>
              <w:rPr>
                <w:rFonts w:ascii="Times New Roman" w:hAnsi="Times New Roman"/>
                <w:spacing w:val="-2"/>
                <w:w w:val="105"/>
                <w:sz w:val="28"/>
              </w:rPr>
            </w:pPr>
            <w:r w:rsidRPr="007C57D2">
              <w:rPr>
                <w:rFonts w:ascii="Times New Roman" w:hAnsi="Times New Roman"/>
                <w:b/>
                <w:w w:val="105"/>
                <w:sz w:val="28"/>
              </w:rPr>
              <w:t>a. Niños y niñas</w:t>
            </w:r>
            <w:r w:rsidRPr="007C57D2">
              <w:rPr>
                <w:rFonts w:ascii="Times New Roman" w:hAnsi="Times New Roman"/>
                <w:b/>
                <w:spacing w:val="40"/>
                <w:w w:val="105"/>
                <w:sz w:val="28"/>
              </w:rPr>
              <w:t xml:space="preserve"> </w:t>
            </w:r>
            <w:r w:rsidRPr="007C57D2">
              <w:rPr>
                <w:rFonts w:ascii="Times New Roman" w:hAnsi="Times New Roman"/>
                <w:b/>
                <w:w w:val="105"/>
                <w:sz w:val="28"/>
              </w:rPr>
              <w:t xml:space="preserve">extraviadas: </w:t>
            </w:r>
            <w:r w:rsidRPr="007C57D2">
              <w:rPr>
                <w:rFonts w:ascii="Times New Roman" w:hAnsi="Times New Roman"/>
                <w:w w:val="105"/>
                <w:sz w:val="28"/>
              </w:rPr>
              <w:t>Son todas las</w:t>
            </w:r>
            <w:r w:rsidRPr="007C57D2">
              <w:rPr>
                <w:rFonts w:ascii="Times New Roman" w:hAnsi="Times New Roman"/>
                <w:spacing w:val="40"/>
                <w:w w:val="105"/>
                <w:sz w:val="28"/>
              </w:rPr>
              <w:t xml:space="preserve"> </w:t>
            </w:r>
            <w:r w:rsidRPr="007C57D2">
              <w:rPr>
                <w:rFonts w:ascii="Times New Roman" w:hAnsi="Times New Roman"/>
                <w:w w:val="105"/>
                <w:sz w:val="28"/>
              </w:rPr>
              <w:t>personas entre los 0 y 12</w:t>
            </w:r>
            <w:r w:rsidRPr="007C57D2">
              <w:rPr>
                <w:rFonts w:ascii="Times New Roman" w:hAnsi="Times New Roman"/>
                <w:spacing w:val="40"/>
                <w:w w:val="105"/>
                <w:sz w:val="28"/>
              </w:rPr>
              <w:t xml:space="preserve"> </w:t>
            </w:r>
            <w:r w:rsidRPr="007C57D2">
              <w:rPr>
                <w:rFonts w:ascii="Times New Roman" w:hAnsi="Times New Roman"/>
                <w:w w:val="105"/>
                <w:sz w:val="28"/>
              </w:rPr>
              <w:t>años que salen o son</w:t>
            </w:r>
            <w:r w:rsidRPr="007C57D2">
              <w:rPr>
                <w:rFonts w:ascii="Times New Roman" w:hAnsi="Times New Roman"/>
                <w:spacing w:val="40"/>
                <w:w w:val="105"/>
                <w:sz w:val="28"/>
              </w:rPr>
              <w:t xml:space="preserve"> </w:t>
            </w:r>
            <w:r w:rsidRPr="007C57D2">
              <w:rPr>
                <w:rFonts w:ascii="Times New Roman" w:hAnsi="Times New Roman"/>
                <w:w w:val="105"/>
                <w:sz w:val="28"/>
              </w:rPr>
              <w:t>extraídas de su domicilio,</w:t>
            </w:r>
            <w:r w:rsidRPr="007C57D2">
              <w:rPr>
                <w:rFonts w:ascii="Times New Roman" w:hAnsi="Times New Roman"/>
                <w:spacing w:val="40"/>
                <w:w w:val="105"/>
                <w:sz w:val="28"/>
              </w:rPr>
              <w:t xml:space="preserve"> </w:t>
            </w:r>
            <w:r w:rsidRPr="007C57D2">
              <w:rPr>
                <w:rFonts w:ascii="Times New Roman" w:hAnsi="Times New Roman"/>
                <w:w w:val="105"/>
                <w:sz w:val="28"/>
              </w:rPr>
              <w:t>residencia, establecimiento</w:t>
            </w:r>
            <w:r w:rsidRPr="007C57D2">
              <w:rPr>
                <w:rFonts w:ascii="Times New Roman" w:hAnsi="Times New Roman"/>
                <w:spacing w:val="40"/>
                <w:w w:val="105"/>
                <w:sz w:val="28"/>
              </w:rPr>
              <w:t xml:space="preserve"> </w:t>
            </w:r>
            <w:r w:rsidRPr="007C57D2">
              <w:rPr>
                <w:rFonts w:ascii="Times New Roman" w:hAnsi="Times New Roman"/>
                <w:w w:val="105"/>
                <w:sz w:val="28"/>
              </w:rPr>
              <w:t>educativo u otro lugar y no</w:t>
            </w:r>
            <w:r w:rsidRPr="007C57D2">
              <w:rPr>
                <w:rFonts w:ascii="Times New Roman" w:hAnsi="Times New Roman"/>
                <w:spacing w:val="40"/>
                <w:w w:val="105"/>
                <w:sz w:val="28"/>
              </w:rPr>
              <w:t xml:space="preserve"> </w:t>
            </w:r>
            <w:r w:rsidRPr="007C57D2">
              <w:rPr>
                <w:rFonts w:ascii="Times New Roman" w:hAnsi="Times New Roman"/>
                <w:w w:val="105"/>
                <w:sz w:val="28"/>
              </w:rPr>
              <w:t>pueden retornar</w:t>
            </w:r>
            <w:r w:rsidRPr="007C57D2">
              <w:rPr>
                <w:rFonts w:ascii="Times New Roman" w:hAnsi="Times New Roman"/>
                <w:w w:val="105"/>
                <w:sz w:val="28"/>
              </w:rPr>
              <w:t xml:space="preserve"> al mismo o</w:t>
            </w:r>
            <w:r w:rsidRPr="007C57D2">
              <w:rPr>
                <w:rFonts w:ascii="Times New Roman" w:hAnsi="Times New Roman"/>
                <w:spacing w:val="40"/>
                <w:w w:val="105"/>
                <w:sz w:val="28"/>
              </w:rPr>
              <w:t xml:space="preserve"> </w:t>
            </w:r>
            <w:r w:rsidRPr="007C57D2">
              <w:rPr>
                <w:rFonts w:ascii="Times New Roman" w:hAnsi="Times New Roman"/>
                <w:w w:val="105"/>
                <w:sz w:val="28"/>
              </w:rPr>
              <w:t>a su hogar, y su familia o</w:t>
            </w:r>
            <w:r w:rsidRPr="007C57D2">
              <w:rPr>
                <w:rFonts w:ascii="Times New Roman" w:hAnsi="Times New Roman"/>
                <w:spacing w:val="40"/>
                <w:w w:val="105"/>
                <w:sz w:val="28"/>
              </w:rPr>
              <w:t xml:space="preserve"> </w:t>
            </w:r>
            <w:r w:rsidRPr="007C57D2">
              <w:rPr>
                <w:rFonts w:ascii="Times New Roman" w:hAnsi="Times New Roman"/>
                <w:w w:val="105"/>
                <w:sz w:val="28"/>
              </w:rPr>
              <w:t>núcleo cercano no puede</w:t>
            </w:r>
            <w:r w:rsidRPr="007C57D2">
              <w:rPr>
                <w:rFonts w:ascii="Times New Roman" w:hAnsi="Times New Roman"/>
                <w:spacing w:val="40"/>
                <w:w w:val="105"/>
                <w:sz w:val="28"/>
              </w:rPr>
              <w:t xml:space="preserve"> </w:t>
            </w:r>
            <w:r w:rsidRPr="007C57D2">
              <w:rPr>
                <w:rFonts w:ascii="Times New Roman" w:hAnsi="Times New Roman"/>
                <w:spacing w:val="-2"/>
                <w:w w:val="105"/>
                <w:sz w:val="28"/>
              </w:rPr>
              <w:t>ubicarlas.</w:t>
            </w:r>
          </w:p>
          <w:p w:rsidR="00C47993" w:rsidRPr="007C57D2" w:rsidRDefault="007C57D2" w:rsidP="007C57D2">
            <w:pPr>
              <w:tabs>
                <w:tab w:val="left" w:pos="567"/>
              </w:tabs>
              <w:spacing w:after="0" w:line="240" w:lineRule="auto"/>
              <w:jc w:val="both"/>
              <w:rPr>
                <w:rFonts w:ascii="Times New Roman" w:hAnsi="Times New Roman"/>
                <w:spacing w:val="-2"/>
                <w:w w:val="105"/>
                <w:sz w:val="28"/>
              </w:rPr>
            </w:pPr>
          </w:p>
          <w:p w:rsidR="0030167B" w:rsidRPr="007C57D2" w:rsidRDefault="007C57D2" w:rsidP="007C57D2">
            <w:pPr>
              <w:tabs>
                <w:tab w:val="left" w:pos="567"/>
              </w:tabs>
              <w:spacing w:after="0" w:line="240" w:lineRule="auto"/>
              <w:jc w:val="both"/>
              <w:rPr>
                <w:rFonts w:ascii="Times New Roman" w:hAnsi="Times New Roman"/>
                <w:w w:val="105"/>
                <w:sz w:val="28"/>
              </w:rPr>
            </w:pPr>
            <w:r w:rsidRPr="007C57D2">
              <w:rPr>
                <w:rFonts w:ascii="Times New Roman" w:hAnsi="Times New Roman"/>
                <w:b/>
                <w:w w:val="105"/>
                <w:sz w:val="28"/>
              </w:rPr>
              <w:t>b. Personas llamadas a</w:t>
            </w:r>
            <w:r w:rsidRPr="007C57D2">
              <w:rPr>
                <w:rFonts w:ascii="Times New Roman" w:hAnsi="Times New Roman"/>
                <w:b/>
                <w:spacing w:val="40"/>
                <w:w w:val="105"/>
                <w:sz w:val="28"/>
              </w:rPr>
              <w:t xml:space="preserve"> </w:t>
            </w:r>
            <w:r w:rsidRPr="007C57D2">
              <w:rPr>
                <w:rFonts w:ascii="Times New Roman" w:hAnsi="Times New Roman"/>
                <w:b/>
                <w:w w:val="105"/>
                <w:sz w:val="28"/>
              </w:rPr>
              <w:t xml:space="preserve">reportar: </w:t>
            </w:r>
            <w:r w:rsidRPr="007C57D2">
              <w:rPr>
                <w:rFonts w:ascii="Times New Roman" w:hAnsi="Times New Roman"/>
                <w:w w:val="105"/>
                <w:sz w:val="28"/>
              </w:rPr>
              <w:t>Los padres,</w:t>
            </w:r>
            <w:r w:rsidRPr="007C57D2">
              <w:rPr>
                <w:rFonts w:ascii="Times New Roman" w:hAnsi="Times New Roman"/>
                <w:spacing w:val="40"/>
                <w:w w:val="105"/>
                <w:sz w:val="28"/>
              </w:rPr>
              <w:t xml:space="preserve"> </w:t>
            </w:r>
            <w:r w:rsidRPr="007C57D2">
              <w:rPr>
                <w:rFonts w:ascii="Times New Roman" w:hAnsi="Times New Roman"/>
                <w:w w:val="105"/>
                <w:sz w:val="28"/>
              </w:rPr>
              <w:t>representantes legales,</w:t>
            </w:r>
            <w:r w:rsidRPr="007C57D2">
              <w:rPr>
                <w:rFonts w:ascii="Times New Roman" w:hAnsi="Times New Roman"/>
                <w:spacing w:val="40"/>
                <w:w w:val="105"/>
                <w:sz w:val="28"/>
              </w:rPr>
              <w:t xml:space="preserve"> </w:t>
            </w:r>
            <w:r w:rsidRPr="007C57D2">
              <w:rPr>
                <w:rFonts w:ascii="Times New Roman" w:hAnsi="Times New Roman"/>
                <w:w w:val="105"/>
                <w:sz w:val="28"/>
              </w:rPr>
              <w:t>quien ostente la custodia o</w:t>
            </w:r>
            <w:r w:rsidRPr="007C57D2">
              <w:rPr>
                <w:rFonts w:ascii="Times New Roman" w:hAnsi="Times New Roman"/>
                <w:spacing w:val="40"/>
                <w:w w:val="105"/>
                <w:sz w:val="28"/>
              </w:rPr>
              <w:t xml:space="preserve"> </w:t>
            </w:r>
            <w:r w:rsidRPr="007C57D2">
              <w:rPr>
                <w:rFonts w:ascii="Times New Roman" w:hAnsi="Times New Roman"/>
                <w:w w:val="105"/>
                <w:sz w:val="28"/>
              </w:rPr>
              <w:t>cuidadores, familiares del</w:t>
            </w:r>
            <w:r w:rsidRPr="007C57D2">
              <w:rPr>
                <w:rFonts w:ascii="Times New Roman" w:hAnsi="Times New Roman"/>
                <w:spacing w:val="40"/>
                <w:w w:val="105"/>
                <w:sz w:val="28"/>
              </w:rPr>
              <w:t xml:space="preserve"> </w:t>
            </w:r>
            <w:r w:rsidRPr="007C57D2">
              <w:rPr>
                <w:rFonts w:ascii="Times New Roman" w:hAnsi="Times New Roman"/>
                <w:w w:val="105"/>
                <w:sz w:val="28"/>
              </w:rPr>
              <w:t>niño o niña representantes</w:t>
            </w:r>
            <w:r w:rsidRPr="007C57D2">
              <w:rPr>
                <w:rFonts w:ascii="Times New Roman" w:hAnsi="Times New Roman"/>
                <w:spacing w:val="40"/>
                <w:w w:val="105"/>
                <w:sz w:val="28"/>
              </w:rPr>
              <w:t xml:space="preserve"> </w:t>
            </w:r>
            <w:r w:rsidRPr="007C57D2">
              <w:rPr>
                <w:rFonts w:ascii="Times New Roman" w:hAnsi="Times New Roman"/>
                <w:w w:val="105"/>
                <w:sz w:val="28"/>
              </w:rPr>
              <w:t>legales o el Instituto</w:t>
            </w:r>
            <w:r w:rsidRPr="007C57D2">
              <w:rPr>
                <w:rFonts w:ascii="Times New Roman" w:hAnsi="Times New Roman"/>
                <w:spacing w:val="40"/>
                <w:w w:val="105"/>
                <w:sz w:val="28"/>
              </w:rPr>
              <w:t xml:space="preserve"> </w:t>
            </w:r>
            <w:r w:rsidRPr="007C57D2">
              <w:rPr>
                <w:rFonts w:ascii="Times New Roman" w:hAnsi="Times New Roman"/>
                <w:w w:val="105"/>
                <w:sz w:val="28"/>
              </w:rPr>
              <w:t>Colombiano de Bienestar</w:t>
            </w:r>
            <w:r w:rsidRPr="007C57D2">
              <w:rPr>
                <w:rFonts w:ascii="Times New Roman" w:hAnsi="Times New Roman"/>
                <w:spacing w:val="40"/>
                <w:w w:val="105"/>
                <w:sz w:val="28"/>
              </w:rPr>
              <w:t xml:space="preserve"> </w:t>
            </w:r>
            <w:r w:rsidRPr="007C57D2">
              <w:rPr>
                <w:rFonts w:ascii="Times New Roman" w:hAnsi="Times New Roman"/>
                <w:w w:val="105"/>
                <w:sz w:val="28"/>
              </w:rPr>
              <w:t>Familiar deberán realizar el</w:t>
            </w:r>
            <w:r w:rsidRPr="007C57D2">
              <w:rPr>
                <w:rFonts w:ascii="Times New Roman" w:hAnsi="Times New Roman"/>
                <w:spacing w:val="40"/>
                <w:w w:val="105"/>
                <w:sz w:val="28"/>
              </w:rPr>
              <w:t xml:space="preserve"> </w:t>
            </w:r>
            <w:r w:rsidRPr="007C57D2">
              <w:rPr>
                <w:rFonts w:ascii="Times New Roman" w:hAnsi="Times New Roman"/>
                <w:w w:val="105"/>
                <w:sz w:val="28"/>
              </w:rPr>
              <w:t>debido reporte de forma</w:t>
            </w:r>
            <w:r w:rsidRPr="007C57D2">
              <w:rPr>
                <w:rFonts w:ascii="Times New Roman" w:hAnsi="Times New Roman"/>
                <w:spacing w:val="40"/>
                <w:w w:val="105"/>
                <w:sz w:val="28"/>
              </w:rPr>
              <w:t xml:space="preserve"> </w:t>
            </w:r>
            <w:r w:rsidRPr="007C57D2">
              <w:rPr>
                <w:rFonts w:ascii="Times New Roman" w:hAnsi="Times New Roman"/>
                <w:w w:val="105"/>
                <w:sz w:val="28"/>
              </w:rPr>
              <w:t>inmediata a través de</w:t>
            </w:r>
            <w:r w:rsidRPr="007C57D2">
              <w:rPr>
                <w:rFonts w:ascii="Times New Roman" w:hAnsi="Times New Roman"/>
                <w:spacing w:val="40"/>
                <w:w w:val="105"/>
                <w:sz w:val="28"/>
              </w:rPr>
              <w:t xml:space="preserve"> </w:t>
            </w:r>
            <w:r w:rsidRPr="007C57D2">
              <w:rPr>
                <w:rFonts w:ascii="Times New Roman" w:hAnsi="Times New Roman"/>
                <w:w w:val="105"/>
                <w:sz w:val="28"/>
              </w:rPr>
              <w:t>cualquiera de los medios</w:t>
            </w:r>
            <w:r w:rsidRPr="007C57D2">
              <w:rPr>
                <w:rFonts w:ascii="Times New Roman" w:hAnsi="Times New Roman"/>
                <w:spacing w:val="40"/>
                <w:w w:val="105"/>
                <w:sz w:val="28"/>
              </w:rPr>
              <w:t xml:space="preserve"> </w:t>
            </w:r>
            <w:r w:rsidRPr="007C57D2">
              <w:rPr>
                <w:rFonts w:ascii="Times New Roman" w:hAnsi="Times New Roman"/>
                <w:w w:val="105"/>
                <w:sz w:val="28"/>
              </w:rPr>
              <w:t>digitales disponibles, o de</w:t>
            </w:r>
            <w:r w:rsidRPr="007C57D2">
              <w:rPr>
                <w:rFonts w:ascii="Times New Roman" w:hAnsi="Times New Roman"/>
                <w:spacing w:val="40"/>
                <w:w w:val="105"/>
                <w:sz w:val="28"/>
              </w:rPr>
              <w:t xml:space="preserve"> </w:t>
            </w:r>
            <w:r w:rsidRPr="007C57D2">
              <w:rPr>
                <w:rFonts w:ascii="Times New Roman" w:hAnsi="Times New Roman"/>
                <w:w w:val="105"/>
                <w:sz w:val="28"/>
              </w:rPr>
              <w:t>manera presencial cuando</w:t>
            </w:r>
            <w:r w:rsidRPr="007C57D2">
              <w:rPr>
                <w:rFonts w:ascii="Times New Roman" w:hAnsi="Times New Roman"/>
                <w:spacing w:val="40"/>
                <w:w w:val="105"/>
                <w:sz w:val="28"/>
              </w:rPr>
              <w:t xml:space="preserve"> </w:t>
            </w:r>
            <w:r w:rsidRPr="007C57D2">
              <w:rPr>
                <w:rFonts w:ascii="Times New Roman" w:hAnsi="Times New Roman"/>
                <w:w w:val="105"/>
                <w:sz w:val="28"/>
              </w:rPr>
              <w:t>no se tenga acceso a</w:t>
            </w:r>
            <w:r w:rsidRPr="007C57D2">
              <w:rPr>
                <w:rFonts w:ascii="Times New Roman" w:hAnsi="Times New Roman"/>
                <w:spacing w:val="40"/>
                <w:w w:val="105"/>
                <w:sz w:val="28"/>
              </w:rPr>
              <w:t xml:space="preserve"> </w:t>
            </w:r>
            <w:r w:rsidRPr="007C57D2">
              <w:rPr>
                <w:rFonts w:ascii="Times New Roman" w:hAnsi="Times New Roman"/>
                <w:w w:val="105"/>
                <w:sz w:val="28"/>
              </w:rPr>
              <w:t>servicios</w:t>
            </w:r>
            <w:r w:rsidRPr="007C57D2">
              <w:rPr>
                <w:rFonts w:ascii="Times New Roman" w:hAnsi="Times New Roman"/>
                <w:spacing w:val="-5"/>
                <w:w w:val="105"/>
                <w:sz w:val="28"/>
              </w:rPr>
              <w:t xml:space="preserve"> </w:t>
            </w:r>
            <w:r w:rsidRPr="007C57D2">
              <w:rPr>
                <w:rFonts w:ascii="Times New Roman" w:hAnsi="Times New Roman"/>
                <w:w w:val="105"/>
                <w:sz w:val="28"/>
              </w:rPr>
              <w:t>tecnológicos.</w:t>
            </w: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tabs>
                <w:tab w:val="left" w:pos="567"/>
              </w:tabs>
              <w:spacing w:after="0" w:line="240" w:lineRule="auto"/>
              <w:jc w:val="both"/>
              <w:rPr>
                <w:rFonts w:ascii="Times New Roman" w:hAnsi="Times New Roman"/>
                <w:w w:val="105"/>
                <w:sz w:val="28"/>
                <w:lang w:eastAsia="es-ES"/>
              </w:rPr>
            </w:pPr>
          </w:p>
          <w:p w:rsidR="0030167B" w:rsidRPr="007C57D2" w:rsidRDefault="007C57D2" w:rsidP="007C57D2">
            <w:pPr>
              <w:pStyle w:val="TableParagraph"/>
              <w:tabs>
                <w:tab w:val="left" w:pos="1512"/>
              </w:tabs>
              <w:ind w:right="49"/>
              <w:jc w:val="both"/>
              <w:rPr>
                <w:rFonts w:ascii="Times New Roman" w:hAnsi="Times New Roman" w:cs="Times New Roman"/>
                <w:sz w:val="28"/>
              </w:rPr>
            </w:pPr>
            <w:r w:rsidRPr="007C57D2">
              <w:rPr>
                <w:rFonts w:ascii="Times New Roman" w:hAnsi="Times New Roman" w:cs="Times New Roman"/>
                <w:b/>
                <w:sz w:val="28"/>
              </w:rPr>
              <w:t>c. Alerta Colombia:</w:t>
            </w:r>
            <w:r w:rsidRPr="007C57D2">
              <w:rPr>
                <w:rFonts w:ascii="Times New Roman" w:hAnsi="Times New Roman" w:cs="Times New Roman"/>
                <w:b/>
                <w:spacing w:val="40"/>
                <w:sz w:val="28"/>
              </w:rPr>
              <w:t xml:space="preserve"> </w:t>
            </w:r>
            <w:r w:rsidRPr="007C57D2">
              <w:rPr>
                <w:rFonts w:ascii="Times New Roman" w:hAnsi="Times New Roman" w:cs="Times New Roman"/>
                <w:sz w:val="28"/>
              </w:rPr>
              <w:t>Herramienta de difusión de</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información</w:t>
            </w:r>
            <w:r w:rsidRPr="007C57D2">
              <w:rPr>
                <w:rFonts w:ascii="Times New Roman" w:hAnsi="Times New Roman" w:cs="Times New Roman"/>
                <w:spacing w:val="-8"/>
                <w:sz w:val="28"/>
              </w:rPr>
              <w:t xml:space="preserve"> </w:t>
            </w:r>
            <w:r w:rsidRPr="007C57D2">
              <w:rPr>
                <w:rFonts w:ascii="Times New Roman" w:hAnsi="Times New Roman" w:cs="Times New Roman"/>
                <w:sz w:val="28"/>
              </w:rPr>
              <w:t>de</w:t>
            </w:r>
            <w:r w:rsidRPr="007C57D2">
              <w:rPr>
                <w:rFonts w:ascii="Times New Roman" w:hAnsi="Times New Roman" w:cs="Times New Roman"/>
                <w:spacing w:val="-8"/>
                <w:sz w:val="28"/>
              </w:rPr>
              <w:t xml:space="preserve"> </w:t>
            </w:r>
            <w:r w:rsidRPr="007C57D2">
              <w:rPr>
                <w:rFonts w:ascii="Times New Roman" w:hAnsi="Times New Roman" w:cs="Times New Roman"/>
                <w:sz w:val="28"/>
              </w:rPr>
              <w:t>los</w:t>
            </w:r>
            <w:r w:rsidRPr="007C57D2">
              <w:rPr>
                <w:rFonts w:ascii="Times New Roman" w:hAnsi="Times New Roman" w:cs="Times New Roman"/>
                <w:spacing w:val="-8"/>
                <w:sz w:val="28"/>
              </w:rPr>
              <w:t xml:space="preserve"> </w:t>
            </w:r>
            <w:r w:rsidRPr="007C57D2">
              <w:rPr>
                <w:rFonts w:ascii="Times New Roman" w:hAnsi="Times New Roman" w:cs="Times New Roman"/>
                <w:sz w:val="28"/>
              </w:rPr>
              <w:t>datos</w:t>
            </w:r>
            <w:r w:rsidRPr="007C57D2">
              <w:rPr>
                <w:rFonts w:ascii="Times New Roman" w:hAnsi="Times New Roman" w:cs="Times New Roman"/>
                <w:spacing w:val="-7"/>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niños y niñas extraviados</w:t>
            </w:r>
            <w:r w:rsidRPr="007C57D2">
              <w:rPr>
                <w:rFonts w:ascii="Times New Roman" w:hAnsi="Times New Roman" w:cs="Times New Roman"/>
                <w:spacing w:val="40"/>
                <w:sz w:val="28"/>
              </w:rPr>
              <w:t xml:space="preserve"> </w:t>
            </w:r>
            <w:r w:rsidRPr="007C57D2">
              <w:rPr>
                <w:rFonts w:ascii="Times New Roman" w:hAnsi="Times New Roman" w:cs="Times New Roman"/>
                <w:sz w:val="28"/>
              </w:rPr>
              <w:t>para</w:t>
            </w:r>
            <w:r w:rsidRPr="007C57D2">
              <w:rPr>
                <w:rFonts w:ascii="Times New Roman" w:hAnsi="Times New Roman" w:cs="Times New Roman"/>
                <w:spacing w:val="-4"/>
                <w:sz w:val="28"/>
              </w:rPr>
              <w:t xml:space="preserve"> </w:t>
            </w:r>
            <w:r w:rsidRPr="007C57D2">
              <w:rPr>
                <w:rFonts w:ascii="Times New Roman" w:hAnsi="Times New Roman" w:cs="Times New Roman"/>
                <w:sz w:val="28"/>
              </w:rPr>
              <w:t>alertar,</w:t>
            </w:r>
            <w:r w:rsidRPr="007C57D2">
              <w:rPr>
                <w:rFonts w:ascii="Times New Roman" w:hAnsi="Times New Roman" w:cs="Times New Roman"/>
                <w:spacing w:val="-4"/>
                <w:sz w:val="28"/>
              </w:rPr>
              <w:t xml:space="preserve"> </w:t>
            </w:r>
            <w:r w:rsidRPr="007C57D2">
              <w:rPr>
                <w:rFonts w:ascii="Times New Roman" w:hAnsi="Times New Roman" w:cs="Times New Roman"/>
                <w:sz w:val="28"/>
              </w:rPr>
              <w:t>a</w:t>
            </w:r>
            <w:r w:rsidRPr="007C57D2">
              <w:rPr>
                <w:rFonts w:ascii="Times New Roman" w:hAnsi="Times New Roman" w:cs="Times New Roman"/>
                <w:spacing w:val="-4"/>
                <w:sz w:val="28"/>
              </w:rPr>
              <w:t xml:space="preserve"> </w:t>
            </w:r>
            <w:r w:rsidRPr="007C57D2">
              <w:rPr>
                <w:rFonts w:ascii="Times New Roman" w:hAnsi="Times New Roman" w:cs="Times New Roman"/>
                <w:sz w:val="28"/>
              </w:rPr>
              <w:t>través</w:t>
            </w:r>
            <w:r w:rsidRPr="007C57D2">
              <w:rPr>
                <w:rFonts w:ascii="Times New Roman" w:hAnsi="Times New Roman" w:cs="Times New Roman"/>
                <w:spacing w:val="-6"/>
                <w:sz w:val="28"/>
              </w:rPr>
              <w:t xml:space="preserve"> </w:t>
            </w:r>
            <w:r w:rsidRPr="007C57D2">
              <w:rPr>
                <w:rFonts w:ascii="Times New Roman" w:hAnsi="Times New Roman" w:cs="Times New Roman"/>
                <w:sz w:val="28"/>
              </w:rPr>
              <w:t>de</w:t>
            </w:r>
            <w:r w:rsidRPr="007C57D2">
              <w:rPr>
                <w:rFonts w:ascii="Times New Roman" w:hAnsi="Times New Roman" w:cs="Times New Roman"/>
                <w:spacing w:val="-4"/>
                <w:sz w:val="28"/>
              </w:rPr>
              <w:t xml:space="preserve"> </w:t>
            </w:r>
            <w:r w:rsidRPr="007C57D2">
              <w:rPr>
                <w:rFonts w:ascii="Times New Roman" w:hAnsi="Times New Roman" w:cs="Times New Roman"/>
                <w:sz w:val="28"/>
              </w:rPr>
              <w:t>los</w:t>
            </w:r>
            <w:r w:rsidRPr="007C57D2">
              <w:rPr>
                <w:rFonts w:ascii="Times New Roman" w:hAnsi="Times New Roman" w:cs="Times New Roman"/>
                <w:spacing w:val="40"/>
                <w:sz w:val="28"/>
              </w:rPr>
              <w:t xml:space="preserve"> </w:t>
            </w:r>
            <w:r w:rsidRPr="007C57D2">
              <w:rPr>
                <w:rFonts w:ascii="Times New Roman" w:hAnsi="Times New Roman" w:cs="Times New Roman"/>
                <w:sz w:val="28"/>
              </w:rPr>
              <w:t>proveedores de redes y</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servicios </w:t>
            </w:r>
            <w:r w:rsidRPr="007C57D2">
              <w:rPr>
                <w:rFonts w:ascii="Times New Roman" w:hAnsi="Times New Roman" w:cs="Times New Roman"/>
                <w:spacing w:val="-5"/>
                <w:sz w:val="28"/>
              </w:rPr>
              <w:t>de</w:t>
            </w:r>
          </w:p>
          <w:p w:rsidR="0030167B" w:rsidRPr="007C57D2" w:rsidRDefault="007C57D2" w:rsidP="007C57D2">
            <w:pPr>
              <w:tabs>
                <w:tab w:val="left" w:pos="567"/>
              </w:tabs>
              <w:spacing w:after="0" w:line="240" w:lineRule="auto"/>
              <w:jc w:val="both"/>
              <w:rPr>
                <w:rFonts w:ascii="Times New Roman" w:hAnsi="Times New Roman"/>
                <w:spacing w:val="-2"/>
                <w:sz w:val="28"/>
              </w:rPr>
            </w:pPr>
            <w:r w:rsidRPr="007C57D2">
              <w:rPr>
                <w:rFonts w:ascii="Times New Roman" w:hAnsi="Times New Roman"/>
                <w:spacing w:val="-2"/>
                <w:sz w:val="28"/>
              </w:rPr>
              <w:t>telecomunicaciones</w:t>
            </w:r>
            <w:r w:rsidRPr="007C57D2">
              <w:rPr>
                <w:rFonts w:ascii="Times New Roman" w:hAnsi="Times New Roman"/>
                <w:spacing w:val="-8"/>
                <w:sz w:val="28"/>
              </w:rPr>
              <w:t xml:space="preserve"> </w:t>
            </w:r>
            <w:r w:rsidRPr="007C57D2">
              <w:rPr>
                <w:rFonts w:ascii="Times New Roman" w:hAnsi="Times New Roman"/>
                <w:spacing w:val="-2"/>
                <w:sz w:val="28"/>
              </w:rPr>
              <w:t>móviles</w:t>
            </w:r>
            <w:r w:rsidRPr="007C57D2">
              <w:rPr>
                <w:rFonts w:ascii="Times New Roman" w:hAnsi="Times New Roman"/>
                <w:spacing w:val="40"/>
                <w:sz w:val="28"/>
              </w:rPr>
              <w:t xml:space="preserve"> </w:t>
            </w:r>
            <w:r w:rsidRPr="007C57D2">
              <w:rPr>
                <w:rFonts w:ascii="Times New Roman" w:hAnsi="Times New Roman"/>
                <w:spacing w:val="-2"/>
                <w:sz w:val="28"/>
              </w:rPr>
              <w:t>de</w:t>
            </w:r>
            <w:r w:rsidRPr="007C57D2">
              <w:rPr>
                <w:rFonts w:ascii="Times New Roman" w:hAnsi="Times New Roman"/>
                <w:spacing w:val="-8"/>
                <w:sz w:val="28"/>
              </w:rPr>
              <w:t xml:space="preserve"> </w:t>
            </w:r>
            <w:r w:rsidRPr="007C57D2">
              <w:rPr>
                <w:rFonts w:ascii="Times New Roman" w:hAnsi="Times New Roman"/>
                <w:spacing w:val="-2"/>
                <w:sz w:val="28"/>
              </w:rPr>
              <w:t>forma</w:t>
            </w:r>
            <w:r w:rsidRPr="007C57D2">
              <w:rPr>
                <w:rFonts w:ascii="Times New Roman" w:hAnsi="Times New Roman"/>
                <w:spacing w:val="-7"/>
                <w:sz w:val="28"/>
              </w:rPr>
              <w:t xml:space="preserve"> </w:t>
            </w:r>
            <w:r w:rsidRPr="007C57D2">
              <w:rPr>
                <w:rFonts w:ascii="Times New Roman" w:hAnsi="Times New Roman"/>
                <w:spacing w:val="-2"/>
                <w:sz w:val="28"/>
              </w:rPr>
              <w:t>gratuita</w:t>
            </w:r>
            <w:r w:rsidRPr="007C57D2">
              <w:rPr>
                <w:rFonts w:ascii="Times New Roman" w:hAnsi="Times New Roman"/>
                <w:spacing w:val="-7"/>
                <w:sz w:val="28"/>
              </w:rPr>
              <w:t xml:space="preserve"> </w:t>
            </w:r>
            <w:r w:rsidRPr="007C57D2">
              <w:rPr>
                <w:rFonts w:ascii="Times New Roman" w:hAnsi="Times New Roman"/>
                <w:spacing w:val="-2"/>
                <w:sz w:val="28"/>
              </w:rPr>
              <w:t>y</w:t>
            </w:r>
            <w:r w:rsidRPr="007C57D2">
              <w:rPr>
                <w:rFonts w:ascii="Times New Roman" w:hAnsi="Times New Roman"/>
                <w:spacing w:val="-7"/>
                <w:sz w:val="28"/>
              </w:rPr>
              <w:t xml:space="preserve"> </w:t>
            </w:r>
            <w:r w:rsidRPr="007C57D2">
              <w:rPr>
                <w:rFonts w:ascii="Times New Roman" w:hAnsi="Times New Roman"/>
                <w:spacing w:val="-2"/>
                <w:sz w:val="28"/>
              </w:rPr>
              <w:t>cualquier</w:t>
            </w:r>
            <w:r w:rsidRPr="007C57D2">
              <w:rPr>
                <w:rFonts w:ascii="Times New Roman" w:hAnsi="Times New Roman"/>
                <w:spacing w:val="40"/>
                <w:sz w:val="28"/>
              </w:rPr>
              <w:t xml:space="preserve"> </w:t>
            </w:r>
            <w:r w:rsidRPr="007C57D2">
              <w:rPr>
                <w:rFonts w:ascii="Times New Roman" w:hAnsi="Times New Roman"/>
                <w:sz w:val="28"/>
              </w:rPr>
              <w:t>canal o medio tecnológico</w:t>
            </w:r>
            <w:r w:rsidRPr="007C57D2">
              <w:rPr>
                <w:rFonts w:ascii="Times New Roman" w:hAnsi="Times New Roman"/>
                <w:spacing w:val="40"/>
                <w:sz w:val="28"/>
              </w:rPr>
              <w:t xml:space="preserve"> </w:t>
            </w:r>
            <w:r w:rsidRPr="007C57D2">
              <w:rPr>
                <w:rFonts w:ascii="Times New Roman" w:hAnsi="Times New Roman"/>
                <w:sz w:val="28"/>
              </w:rPr>
              <w:t>que sirva para la difusión</w:t>
            </w:r>
            <w:r w:rsidRPr="007C57D2">
              <w:rPr>
                <w:rFonts w:ascii="Times New Roman" w:hAnsi="Times New Roman"/>
                <w:spacing w:val="40"/>
                <w:sz w:val="28"/>
              </w:rPr>
              <w:t xml:space="preserve"> </w:t>
            </w:r>
            <w:r w:rsidRPr="007C57D2">
              <w:rPr>
                <w:rFonts w:ascii="Times New Roman" w:hAnsi="Times New Roman"/>
                <w:spacing w:val="-2"/>
                <w:sz w:val="28"/>
              </w:rPr>
              <w:t>masiva</w:t>
            </w:r>
            <w:r w:rsidRPr="007C57D2">
              <w:rPr>
                <w:rFonts w:ascii="Times New Roman" w:hAnsi="Times New Roman"/>
                <w:spacing w:val="-8"/>
                <w:sz w:val="28"/>
              </w:rPr>
              <w:t xml:space="preserve"> </w:t>
            </w:r>
            <w:r w:rsidRPr="007C57D2">
              <w:rPr>
                <w:rFonts w:ascii="Times New Roman" w:hAnsi="Times New Roman"/>
                <w:spacing w:val="-2"/>
                <w:sz w:val="28"/>
              </w:rPr>
              <w:t>a</w:t>
            </w:r>
            <w:r w:rsidRPr="007C57D2">
              <w:rPr>
                <w:rFonts w:ascii="Times New Roman" w:hAnsi="Times New Roman"/>
                <w:spacing w:val="-7"/>
                <w:sz w:val="28"/>
              </w:rPr>
              <w:t xml:space="preserve"> </w:t>
            </w:r>
            <w:r w:rsidRPr="007C57D2">
              <w:rPr>
                <w:rFonts w:ascii="Times New Roman" w:hAnsi="Times New Roman"/>
                <w:spacing w:val="-2"/>
                <w:sz w:val="28"/>
              </w:rPr>
              <w:t>las</w:t>
            </w:r>
            <w:r w:rsidRPr="007C57D2">
              <w:rPr>
                <w:rFonts w:ascii="Times New Roman" w:hAnsi="Times New Roman"/>
                <w:spacing w:val="-7"/>
                <w:sz w:val="28"/>
              </w:rPr>
              <w:t xml:space="preserve"> </w:t>
            </w:r>
            <w:r w:rsidRPr="007C57D2">
              <w:rPr>
                <w:rFonts w:ascii="Times New Roman" w:hAnsi="Times New Roman"/>
                <w:spacing w:val="-2"/>
                <w:sz w:val="28"/>
              </w:rPr>
              <w:t>autoridades</w:t>
            </w:r>
            <w:r w:rsidRPr="007C57D2">
              <w:rPr>
                <w:rFonts w:ascii="Times New Roman" w:hAnsi="Times New Roman"/>
                <w:spacing w:val="-7"/>
                <w:sz w:val="28"/>
              </w:rPr>
              <w:t xml:space="preserve"> </w:t>
            </w:r>
            <w:r w:rsidRPr="007C57D2">
              <w:rPr>
                <w:rFonts w:ascii="Times New Roman" w:hAnsi="Times New Roman"/>
                <w:spacing w:val="-2"/>
                <w:sz w:val="28"/>
              </w:rPr>
              <w:t>y</w:t>
            </w:r>
            <w:r w:rsidRPr="007C57D2">
              <w:rPr>
                <w:rFonts w:ascii="Times New Roman" w:hAnsi="Times New Roman"/>
                <w:spacing w:val="-7"/>
                <w:sz w:val="28"/>
              </w:rPr>
              <w:t xml:space="preserve"> </w:t>
            </w:r>
            <w:r w:rsidRPr="007C57D2">
              <w:rPr>
                <w:rFonts w:ascii="Times New Roman" w:hAnsi="Times New Roman"/>
                <w:spacing w:val="-2"/>
                <w:sz w:val="28"/>
              </w:rPr>
              <w:t>a</w:t>
            </w:r>
            <w:r w:rsidRPr="007C57D2">
              <w:rPr>
                <w:rFonts w:ascii="Times New Roman" w:hAnsi="Times New Roman"/>
                <w:spacing w:val="40"/>
                <w:sz w:val="28"/>
              </w:rPr>
              <w:t xml:space="preserve"> </w:t>
            </w:r>
            <w:r w:rsidRPr="007C57D2">
              <w:rPr>
                <w:rFonts w:ascii="Times New Roman" w:hAnsi="Times New Roman"/>
                <w:sz w:val="28"/>
              </w:rPr>
              <w:t>la ciudadanía sobre los</w:t>
            </w:r>
            <w:r w:rsidRPr="007C57D2">
              <w:rPr>
                <w:rFonts w:ascii="Times New Roman" w:hAnsi="Times New Roman"/>
                <w:spacing w:val="40"/>
                <w:sz w:val="28"/>
              </w:rPr>
              <w:t xml:space="preserve"> </w:t>
            </w:r>
            <w:r w:rsidRPr="007C57D2">
              <w:rPr>
                <w:rFonts w:ascii="Times New Roman" w:hAnsi="Times New Roman"/>
                <w:sz w:val="28"/>
              </w:rPr>
              <w:t>niños y niñas extraviados,</w:t>
            </w:r>
            <w:r w:rsidRPr="007C57D2">
              <w:rPr>
                <w:rFonts w:ascii="Times New Roman" w:hAnsi="Times New Roman"/>
                <w:spacing w:val="40"/>
                <w:sz w:val="28"/>
              </w:rPr>
              <w:t xml:space="preserve"> </w:t>
            </w:r>
            <w:r w:rsidRPr="007C57D2">
              <w:rPr>
                <w:rFonts w:ascii="Times New Roman" w:hAnsi="Times New Roman"/>
                <w:sz w:val="28"/>
              </w:rPr>
              <w:t>con el fin de activar</w:t>
            </w:r>
            <w:r w:rsidRPr="007C57D2">
              <w:rPr>
                <w:rFonts w:ascii="Times New Roman" w:hAnsi="Times New Roman"/>
                <w:spacing w:val="40"/>
                <w:sz w:val="28"/>
              </w:rPr>
              <w:t xml:space="preserve"> </w:t>
            </w:r>
            <w:r w:rsidRPr="007C57D2">
              <w:rPr>
                <w:rFonts w:ascii="Times New Roman" w:hAnsi="Times New Roman"/>
                <w:sz w:val="28"/>
              </w:rPr>
              <w:t>mecanismos de búsqueda,</w:t>
            </w:r>
            <w:r w:rsidRPr="007C57D2">
              <w:rPr>
                <w:rFonts w:ascii="Times New Roman" w:hAnsi="Times New Roman"/>
                <w:spacing w:val="40"/>
                <w:sz w:val="28"/>
              </w:rPr>
              <w:t xml:space="preserve"> </w:t>
            </w:r>
            <w:r w:rsidRPr="007C57D2">
              <w:rPr>
                <w:rFonts w:ascii="Times New Roman" w:hAnsi="Times New Roman"/>
                <w:sz w:val="28"/>
              </w:rPr>
              <w:t>localización</w:t>
            </w:r>
            <w:r w:rsidRPr="007C57D2">
              <w:rPr>
                <w:rFonts w:ascii="Times New Roman" w:hAnsi="Times New Roman"/>
                <w:spacing w:val="-1"/>
                <w:sz w:val="28"/>
              </w:rPr>
              <w:t xml:space="preserve"> </w:t>
            </w:r>
            <w:r w:rsidRPr="007C57D2">
              <w:rPr>
                <w:rFonts w:ascii="Times New Roman" w:hAnsi="Times New Roman"/>
                <w:sz w:val="28"/>
              </w:rPr>
              <w:t>y</w:t>
            </w:r>
            <w:r w:rsidRPr="007C57D2">
              <w:rPr>
                <w:rFonts w:ascii="Times New Roman" w:hAnsi="Times New Roman"/>
                <w:spacing w:val="-1"/>
                <w:sz w:val="28"/>
              </w:rPr>
              <w:t xml:space="preserve"> </w:t>
            </w:r>
            <w:r w:rsidRPr="007C57D2">
              <w:rPr>
                <w:rFonts w:ascii="Times New Roman" w:hAnsi="Times New Roman"/>
                <w:sz w:val="28"/>
              </w:rPr>
              <w:t>recuperación</w:t>
            </w:r>
            <w:r w:rsidRPr="007C57D2">
              <w:rPr>
                <w:rFonts w:ascii="Times New Roman" w:hAnsi="Times New Roman"/>
                <w:spacing w:val="40"/>
                <w:sz w:val="28"/>
              </w:rPr>
              <w:t xml:space="preserve"> </w:t>
            </w:r>
            <w:r w:rsidRPr="007C57D2">
              <w:rPr>
                <w:rFonts w:ascii="Times New Roman" w:hAnsi="Times New Roman"/>
                <w:sz w:val="28"/>
              </w:rPr>
              <w:t>de éstos de forma</w:t>
            </w:r>
            <w:r w:rsidRPr="007C57D2">
              <w:rPr>
                <w:rFonts w:ascii="Times New Roman" w:hAnsi="Times New Roman"/>
                <w:spacing w:val="40"/>
                <w:sz w:val="28"/>
              </w:rPr>
              <w:t xml:space="preserve"> </w:t>
            </w:r>
            <w:r w:rsidRPr="007C57D2">
              <w:rPr>
                <w:rFonts w:ascii="Times New Roman" w:hAnsi="Times New Roman"/>
                <w:spacing w:val="-2"/>
                <w:sz w:val="28"/>
              </w:rPr>
              <w:t>inmediata.</w:t>
            </w:r>
          </w:p>
          <w:p w:rsidR="0030167B" w:rsidRPr="007C57D2" w:rsidRDefault="007C57D2" w:rsidP="007C57D2">
            <w:pPr>
              <w:tabs>
                <w:tab w:val="left" w:pos="567"/>
              </w:tabs>
              <w:spacing w:after="0" w:line="240" w:lineRule="auto"/>
              <w:jc w:val="both"/>
              <w:rPr>
                <w:rFonts w:ascii="Times New Roman" w:hAnsi="Times New Roman"/>
                <w:spacing w:val="-2"/>
                <w:sz w:val="28"/>
                <w:lang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d. Datos biométricos: </w:t>
            </w:r>
            <w:r w:rsidRPr="007C57D2">
              <w:rPr>
                <w:rFonts w:ascii="Times New Roman" w:hAnsi="Times New Roman"/>
                <w:sz w:val="28"/>
                <w:lang w:val="es-ES" w:eastAsia="es-ES"/>
              </w:rPr>
              <w:t xml:space="preserve">Son aquellos datos sensibles que permiten </w:t>
            </w:r>
            <w:r w:rsidRPr="007C57D2">
              <w:rPr>
                <w:rFonts w:ascii="Times New Roman" w:hAnsi="Times New Roman"/>
                <w:sz w:val="28"/>
                <w:lang w:val="es-ES" w:eastAsia="es-ES"/>
              </w:rPr>
              <w:t>individualizar a una persona natural a través del reconocimiento de una característica física intransferible que la distingue de otra persona como lo son el reconocimiento facial a través de fotografías, entre otros.</w:t>
            </w: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e. Datos personales: </w:t>
            </w:r>
            <w:r w:rsidRPr="007C57D2">
              <w:rPr>
                <w:rFonts w:ascii="Times New Roman" w:hAnsi="Times New Roman"/>
                <w:sz w:val="28"/>
                <w:lang w:val="es-ES" w:eastAsia="es-ES"/>
              </w:rPr>
              <w:t>Cualquie</w:t>
            </w:r>
            <w:r w:rsidRPr="007C57D2">
              <w:rPr>
                <w:rFonts w:ascii="Times New Roman" w:hAnsi="Times New Roman"/>
                <w:sz w:val="28"/>
                <w:lang w:val="es-ES" w:eastAsia="es-ES"/>
              </w:rPr>
              <w:t>r información vinculada o que pueda asociarse a una o varias personas naturales determinadas o determinables.</w:t>
            </w:r>
          </w:p>
          <w:p w:rsidR="0030167B" w:rsidRPr="007C57D2" w:rsidRDefault="007C57D2" w:rsidP="007C57D2">
            <w:pPr>
              <w:tabs>
                <w:tab w:val="left" w:pos="567"/>
              </w:tabs>
              <w:spacing w:after="0" w:line="240" w:lineRule="auto"/>
              <w:jc w:val="both"/>
              <w:rPr>
                <w:rFonts w:ascii="Times New Roman" w:hAnsi="Times New Roman"/>
                <w:sz w:val="28"/>
                <w:lang w:eastAsia="es-ES"/>
              </w:rPr>
            </w:pPr>
          </w:p>
          <w:p w:rsidR="00C47993" w:rsidRPr="007C57D2" w:rsidRDefault="007C57D2" w:rsidP="007C57D2">
            <w:pPr>
              <w:tabs>
                <w:tab w:val="left" w:pos="567"/>
              </w:tabs>
              <w:spacing w:after="0" w:line="240" w:lineRule="auto"/>
              <w:jc w:val="both"/>
              <w:rPr>
                <w:rFonts w:ascii="Times New Roman" w:hAnsi="Times New Roman"/>
                <w:sz w:val="28"/>
                <w:lang w:eastAsia="es-ES"/>
              </w:rPr>
            </w:pPr>
          </w:p>
          <w:p w:rsidR="00C47993" w:rsidRPr="007C57D2" w:rsidRDefault="007C57D2" w:rsidP="007C57D2">
            <w:pPr>
              <w:tabs>
                <w:tab w:val="left" w:pos="567"/>
              </w:tabs>
              <w:spacing w:after="0" w:line="240" w:lineRule="auto"/>
              <w:jc w:val="both"/>
              <w:rPr>
                <w:rFonts w:ascii="Times New Roman" w:hAnsi="Times New Roman"/>
                <w:sz w:val="28"/>
                <w:lang w:eastAsia="es-ES"/>
              </w:rPr>
            </w:pPr>
          </w:p>
          <w:p w:rsidR="00C47993" w:rsidRPr="007C57D2" w:rsidRDefault="007C57D2" w:rsidP="007C57D2">
            <w:pPr>
              <w:tabs>
                <w:tab w:val="left" w:pos="567"/>
              </w:tabs>
              <w:spacing w:after="0" w:line="240" w:lineRule="auto"/>
              <w:jc w:val="both"/>
              <w:rPr>
                <w:rFonts w:ascii="Times New Roman" w:hAnsi="Times New Roman"/>
                <w:sz w:val="28"/>
                <w:lang w:eastAsia="es-ES"/>
              </w:rPr>
            </w:pPr>
          </w:p>
          <w:p w:rsidR="00C47993" w:rsidRPr="007C57D2" w:rsidRDefault="007C57D2" w:rsidP="007C57D2">
            <w:pPr>
              <w:tabs>
                <w:tab w:val="left" w:pos="567"/>
              </w:tabs>
              <w:spacing w:after="0" w:line="240" w:lineRule="auto"/>
              <w:jc w:val="both"/>
              <w:rPr>
                <w:rFonts w:ascii="Times New Roman" w:hAnsi="Times New Roman"/>
                <w:sz w:val="28"/>
                <w:lang w:eastAsia="es-ES"/>
              </w:rPr>
            </w:pPr>
          </w:p>
          <w:p w:rsidR="008F3DAB" w:rsidRPr="007C57D2" w:rsidRDefault="007C57D2" w:rsidP="007C57D2">
            <w:pPr>
              <w:tabs>
                <w:tab w:val="left" w:pos="567"/>
              </w:tabs>
              <w:spacing w:after="0" w:line="240" w:lineRule="auto"/>
              <w:jc w:val="both"/>
              <w:rPr>
                <w:rFonts w:ascii="Times New Roman" w:hAnsi="Times New Roman"/>
                <w:b/>
                <w:sz w:val="28"/>
                <w:lang w:val="es-ES" w:eastAsia="es-ES"/>
              </w:rPr>
            </w:pPr>
          </w:p>
          <w:p w:rsidR="008F3DAB" w:rsidRPr="007C57D2" w:rsidRDefault="007C57D2" w:rsidP="007C57D2">
            <w:pPr>
              <w:tabs>
                <w:tab w:val="left" w:pos="567"/>
              </w:tabs>
              <w:spacing w:after="0" w:line="240" w:lineRule="auto"/>
              <w:jc w:val="both"/>
              <w:rPr>
                <w:rFonts w:ascii="Times New Roman" w:hAnsi="Times New Roman"/>
                <w:b/>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f. Autorización y divulgación del tratamiento de datos biométricos y personales de niños y niñas</w:t>
            </w:r>
            <w:r w:rsidRPr="007C57D2">
              <w:rPr>
                <w:rFonts w:ascii="Times New Roman" w:hAnsi="Times New Roman"/>
                <w:sz w:val="28"/>
                <w:lang w:val="es-ES" w:eastAsia="es-ES"/>
              </w:rPr>
              <w:t xml:space="preserve">: Es aquel documento escrito que debe ser </w:t>
            </w:r>
            <w:r w:rsidRPr="007C57D2">
              <w:rPr>
                <w:rFonts w:ascii="Times New Roman" w:hAnsi="Times New Roman"/>
                <w:sz w:val="28"/>
                <w:lang w:val="es-ES" w:eastAsia="es-ES"/>
              </w:rPr>
              <w:t>radicado en físico o cargado a la plataforma virtual dispuesta por el Instituto Colombiano de Bienestar Familiar y de manera física a la Policía Nacional, donde cualquiera de los</w:t>
            </w:r>
            <w:r w:rsidRPr="007C57D2">
              <w:rPr>
                <w:rFonts w:ascii="Times New Roman" w:hAnsi="Times New Roman"/>
                <w:sz w:val="28"/>
                <w:lang w:val="es-ES" w:eastAsia="es-ES"/>
              </w:rPr>
              <w:tab/>
              <w:t xml:space="preserve"> padres, representantes legales, quien ostente la custodia o cuidadores autor</w:t>
            </w:r>
            <w:r w:rsidRPr="007C57D2">
              <w:rPr>
                <w:rFonts w:ascii="Times New Roman" w:hAnsi="Times New Roman"/>
                <w:sz w:val="28"/>
                <w:lang w:val="es-ES" w:eastAsia="es-ES"/>
              </w:rPr>
              <w:t>icen y consientan la divulgación y el tratamiento de los datos biométricos y personales de los niños y niñas, en aras de activar la Alerta Colombia.</w:t>
            </w: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14794A"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sz w:val="28"/>
                <w:lang w:val="es-ES" w:eastAsia="es-ES"/>
              </w:rPr>
            </w:pPr>
          </w:p>
          <w:p w:rsidR="0030167B" w:rsidRPr="007C57D2" w:rsidRDefault="007C57D2" w:rsidP="007C57D2">
            <w:pPr>
              <w:tabs>
                <w:tab w:val="left" w:pos="567"/>
              </w:tabs>
              <w:spacing w:after="0" w:line="240" w:lineRule="auto"/>
              <w:jc w:val="both"/>
              <w:rPr>
                <w:rFonts w:ascii="Times New Roman" w:hAnsi="Times New Roman"/>
                <w:b/>
                <w:sz w:val="28"/>
                <w:lang w:val="es-ES" w:eastAsia="es-ES"/>
              </w:rPr>
            </w:pPr>
            <w:r w:rsidRPr="007C57D2">
              <w:rPr>
                <w:rFonts w:ascii="Times New Roman" w:hAnsi="Times New Roman"/>
                <w:b/>
                <w:sz w:val="28"/>
                <w:lang w:val="es-ES" w:eastAsia="es-ES"/>
              </w:rPr>
              <w:t>g. Consentimiento informado:</w:t>
            </w:r>
            <w:r w:rsidRPr="007C57D2">
              <w:rPr>
                <w:rFonts w:ascii="Times New Roman" w:hAnsi="Times New Roman"/>
                <w:bCs/>
                <w:sz w:val="28"/>
                <w:lang w:val="es-ES" w:eastAsia="es-ES"/>
              </w:rPr>
              <w:t xml:space="preserve"> Documento por el cual se establece el consentimiento informado de los padres, tutores o representantes legales, Instituto Colombiano de Bienestar Familiar, para el tratamiento de los datos biométricos y personales de los niños y niñas, garantizando así su</w:t>
            </w:r>
            <w:r w:rsidRPr="007C57D2">
              <w:rPr>
                <w:rFonts w:ascii="Times New Roman" w:hAnsi="Times New Roman"/>
                <w:bCs/>
                <w:sz w:val="28"/>
                <w:lang w:val="es-ES" w:eastAsia="es-ES"/>
              </w:rPr>
              <w:t xml:space="preserve"> protección y el respeto a sus</w:t>
            </w:r>
            <w:r w:rsidRPr="007C57D2">
              <w:rPr>
                <w:rFonts w:ascii="Times New Roman" w:hAnsi="Times New Roman"/>
                <w:bCs/>
                <w:sz w:val="28"/>
                <w:lang w:val="es-ES" w:eastAsia="es-ES"/>
              </w:rPr>
              <w:t xml:space="preserve"> derechos fundamentales. </w:t>
            </w:r>
          </w:p>
        </w:tc>
        <w:tc>
          <w:tcPr>
            <w:tcW w:w="2185" w:type="dxa"/>
            <w:shd w:val="clear" w:color="auto" w:fill="auto"/>
            <w:vAlign w:val="center"/>
          </w:tcPr>
          <w:p w:rsidR="0030167B"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w w:val="105"/>
                <w:sz w:val="28"/>
              </w:rPr>
              <w:t>Se</w:t>
            </w:r>
            <w:r w:rsidRPr="007C57D2">
              <w:rPr>
                <w:rFonts w:ascii="Times New Roman" w:hAnsi="Times New Roman"/>
                <w:b/>
                <w:spacing w:val="16"/>
                <w:w w:val="105"/>
                <w:sz w:val="28"/>
              </w:rPr>
              <w:t xml:space="preserve"> </w:t>
            </w:r>
            <w:r w:rsidRPr="007C57D2">
              <w:rPr>
                <w:rFonts w:ascii="Times New Roman" w:hAnsi="Times New Roman"/>
                <w:b/>
                <w:w w:val="105"/>
                <w:sz w:val="28"/>
              </w:rPr>
              <w:t>acoge</w:t>
            </w:r>
            <w:r w:rsidRPr="007C57D2">
              <w:rPr>
                <w:rFonts w:ascii="Times New Roman" w:hAnsi="Times New Roman"/>
                <w:b/>
                <w:spacing w:val="16"/>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Artículo 3. Autorización. </w:t>
            </w:r>
            <w:r w:rsidRPr="007C57D2">
              <w:rPr>
                <w:rFonts w:ascii="Times New Roman" w:hAnsi="Times New Roman"/>
                <w:sz w:val="28"/>
                <w:lang w:val="es-ES" w:eastAsia="es-ES"/>
              </w:rPr>
              <w:t xml:space="preserve">Para activar la Alerta Colombia de manera expedita, ante situaciones de riesgo inminente, los padres, tutores, familiares con patria potestad y/o </w:t>
            </w:r>
            <w:r w:rsidRPr="007C57D2">
              <w:rPr>
                <w:rFonts w:ascii="Times New Roman" w:hAnsi="Times New Roman"/>
                <w:sz w:val="28"/>
                <w:lang w:val="es-ES" w:eastAsia="es-ES"/>
              </w:rPr>
              <w:t>custodia, el/los representante(s) legal(es), o de oficio, familiares hasta en segundo grado</w:t>
            </w:r>
            <w:r w:rsidRPr="007C57D2">
              <w:rPr>
                <w:rFonts w:ascii="Times New Roman" w:hAnsi="Times New Roman"/>
                <w:sz w:val="28"/>
                <w:lang w:val="es-ES" w:eastAsia="es-ES"/>
              </w:rPr>
              <w:tab/>
              <w:t xml:space="preserve"> de consanguinidad, con motivos fundados, o el Instituto Colombiano de Bienestar Familiar al momento de su extravío, deberán diligenciar y firmar un documento que a</w:t>
            </w:r>
            <w:r w:rsidRPr="007C57D2">
              <w:rPr>
                <w:rFonts w:ascii="Times New Roman" w:hAnsi="Times New Roman"/>
                <w:sz w:val="28"/>
                <w:lang w:val="es-ES" w:eastAsia="es-ES"/>
              </w:rPr>
              <w:t xml:space="preserve">utorice hacer uso de los datos biométricos y personales de los niños y niñas extraviados o desaparecidos en el territorio colombiano a la Policía Nacional, la Fiscalía General de la Nación y la Unidad Administrativa Especial Migración Colombia. En caso de </w:t>
            </w:r>
            <w:r w:rsidRPr="007C57D2">
              <w:rPr>
                <w:rFonts w:ascii="Times New Roman" w:hAnsi="Times New Roman"/>
                <w:sz w:val="28"/>
                <w:lang w:val="es-ES" w:eastAsia="es-ES"/>
              </w:rPr>
              <w:t>no tener autorización escrita, el Instituto Colombiano de Bienestar Familiar podrá, con motivos fundados, solicitar a la Policía Nacional la activación de la Alerta.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p>
          <w:p w:rsidR="00EA1AC9" w:rsidRPr="007C57D2" w:rsidRDefault="007C57D2" w:rsidP="007C57D2">
            <w:pPr>
              <w:tabs>
                <w:tab w:val="left" w:pos="567"/>
              </w:tabs>
              <w:spacing w:after="0" w:line="240" w:lineRule="auto"/>
              <w:jc w:val="both"/>
              <w:rPr>
                <w:rFonts w:ascii="Times New Roman" w:hAnsi="Times New Roman"/>
                <w:sz w:val="28"/>
                <w:lang w:eastAsia="es-ES"/>
              </w:rPr>
            </w:pPr>
            <w:r w:rsidRPr="007C57D2">
              <w:rPr>
                <w:rFonts w:ascii="Times New Roman" w:hAnsi="Times New Roman"/>
                <w:b/>
                <w:sz w:val="28"/>
                <w:lang w:val="es-ES" w:eastAsia="es-ES"/>
              </w:rPr>
              <w:t>Parágrafo</w:t>
            </w:r>
            <w:r w:rsidRPr="007C57D2">
              <w:rPr>
                <w:rFonts w:ascii="Times New Roman" w:hAnsi="Times New Roman"/>
                <w:sz w:val="28"/>
                <w:lang w:val="es-ES" w:eastAsia="es-ES"/>
              </w:rPr>
              <w:t>. El formulario que deberá</w:t>
            </w:r>
            <w:r w:rsidRPr="007C57D2">
              <w:rPr>
                <w:rFonts w:ascii="Times New Roman" w:hAnsi="Times New Roman"/>
                <w:sz w:val="28"/>
                <w:lang w:val="es-ES" w:eastAsia="es-ES"/>
              </w:rPr>
              <w:t xml:space="preserve"> </w:t>
            </w:r>
            <w:r w:rsidRPr="007C57D2">
              <w:rPr>
                <w:rFonts w:ascii="Times New Roman" w:hAnsi="Times New Roman"/>
                <w:sz w:val="28"/>
                <w:lang w:val="es-ES" w:eastAsia="es-ES"/>
              </w:rPr>
              <w:t>ser</w:t>
            </w:r>
            <w:r w:rsidRPr="007C57D2">
              <w:rPr>
                <w:rFonts w:ascii="Times New Roman" w:hAnsi="Times New Roman"/>
                <w:sz w:val="28"/>
                <w:lang w:val="es-ES" w:eastAsia="es-ES"/>
              </w:rPr>
              <w:t xml:space="preserve"> </w:t>
            </w:r>
            <w:r w:rsidRPr="007C57D2">
              <w:rPr>
                <w:rFonts w:ascii="Times New Roman" w:hAnsi="Times New Roman"/>
                <w:sz w:val="28"/>
                <w:lang w:val="es-ES" w:eastAsia="es-ES"/>
              </w:rPr>
              <w:t>diligenciado</w:t>
            </w:r>
            <w:r w:rsidRPr="007C57D2">
              <w:rPr>
                <w:rFonts w:ascii="Times New Roman" w:hAnsi="Times New Roman"/>
                <w:sz w:val="28"/>
                <w:lang w:val="es-ES" w:eastAsia="es-ES"/>
              </w:rPr>
              <w:t xml:space="preserve"> </w:t>
            </w:r>
            <w:r w:rsidRPr="007C57D2">
              <w:rPr>
                <w:rFonts w:ascii="Times New Roman" w:hAnsi="Times New Roman"/>
                <w:sz w:val="28"/>
                <w:lang w:val="es-ES" w:eastAsia="es-ES"/>
              </w:rPr>
              <w:t>contendrá</w:t>
            </w:r>
            <w:r w:rsidRPr="007C57D2">
              <w:rPr>
                <w:rFonts w:ascii="Times New Roman" w:hAnsi="Times New Roman"/>
                <w:sz w:val="28"/>
                <w:lang w:val="es-ES" w:eastAsia="es-ES"/>
              </w:rPr>
              <w:t xml:space="preserve"> </w:t>
            </w:r>
            <w:r w:rsidRPr="007C57D2">
              <w:rPr>
                <w:rFonts w:ascii="Times New Roman" w:hAnsi="Times New Roman"/>
                <w:sz w:val="28"/>
                <w:lang w:val="es-ES" w:eastAsia="es-ES"/>
              </w:rPr>
              <w:t>una nota que</w:t>
            </w:r>
            <w:r w:rsidRPr="007C57D2">
              <w:rPr>
                <w:rFonts w:ascii="Times New Roman" w:eastAsia="Arial MT" w:hAnsi="Times New Roman"/>
                <w:w w:val="105"/>
                <w:sz w:val="28"/>
                <w:lang w:val="es-ES"/>
              </w:rPr>
              <w:t xml:space="preserve"> </w:t>
            </w:r>
            <w:r w:rsidRPr="007C57D2">
              <w:rPr>
                <w:rFonts w:ascii="Times New Roman" w:hAnsi="Times New Roman"/>
                <w:sz w:val="28"/>
                <w:lang w:val="es-ES" w:eastAsia="es-ES"/>
              </w:rPr>
              <w:t xml:space="preserve">especifique </w:t>
            </w:r>
            <w:r w:rsidRPr="007C57D2">
              <w:rPr>
                <w:rFonts w:ascii="Times New Roman" w:hAnsi="Times New Roman"/>
                <w:sz w:val="28"/>
                <w:lang w:val="es-ES" w:eastAsia="es-ES"/>
              </w:rPr>
              <w:t>que la autorización para el uso de estos datos sólo tendrá efecto en el caso en que se decida activar la Alerta</w:t>
            </w:r>
            <w:r w:rsidRPr="007C57D2">
              <w:rPr>
                <w:rFonts w:ascii="Times New Roman" w:hAnsi="Times New Roman"/>
                <w:sz w:val="28"/>
                <w:lang w:val="es-ES" w:eastAsia="es-ES"/>
              </w:rPr>
              <w:t xml:space="preserve"> </w:t>
            </w:r>
            <w:r w:rsidRPr="007C57D2">
              <w:rPr>
                <w:rFonts w:ascii="Times New Roman" w:hAnsi="Times New Roman"/>
                <w:sz w:val="28"/>
                <w:lang w:val="es-ES" w:eastAsia="es-ES"/>
              </w:rPr>
              <w:t>Colombia.</w:t>
            </w:r>
          </w:p>
        </w:tc>
        <w:tc>
          <w:tcPr>
            <w:tcW w:w="3657" w:type="dxa"/>
            <w:shd w:val="clear" w:color="auto" w:fill="auto"/>
          </w:tcPr>
          <w:p w:rsidR="0030167B"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Artículo 3. Autorización. </w:t>
            </w:r>
            <w:r w:rsidRPr="007C57D2">
              <w:rPr>
                <w:rFonts w:ascii="Times New Roman" w:hAnsi="Times New Roman"/>
                <w:sz w:val="28"/>
                <w:lang w:val="es-ES" w:eastAsia="es-ES"/>
              </w:rPr>
              <w:t xml:space="preserve">Para activar la Alerta Colombia de manera expedita, ante situaciones de riesgo inminente, cualquiera de los </w:t>
            </w:r>
            <w:r w:rsidRPr="007C57D2">
              <w:rPr>
                <w:rFonts w:ascii="Times New Roman" w:hAnsi="Times New Roman"/>
                <w:sz w:val="28"/>
                <w:lang w:val="es-ES" w:eastAsia="es-ES"/>
              </w:rPr>
              <w:t>padres quienes son los que ostentan la patria potestad, representantes legales, quien tenga la custodia, cuidadores, familiares, o el Instituto Colombiano de Bienestar Familiar al momento del reporte de su extravío, deberán diligenciar y firmar de manera á</w:t>
            </w:r>
            <w:r w:rsidRPr="007C57D2">
              <w:rPr>
                <w:rFonts w:ascii="Times New Roman" w:hAnsi="Times New Roman"/>
                <w:sz w:val="28"/>
                <w:lang w:val="es-ES" w:eastAsia="es-ES"/>
              </w:rPr>
              <w:t xml:space="preserve">gil el consentimiento informado que autorice hacer uso de los datos personales y biométricos de los niños y niñas extraviados en el territorio colombiano a la Policía Nacional. En caso de no tener autorización escrita, el Instituto Colombiano de Bienestar </w:t>
            </w:r>
            <w:r w:rsidRPr="007C57D2">
              <w:rPr>
                <w:rFonts w:ascii="Times New Roman" w:hAnsi="Times New Roman"/>
                <w:sz w:val="28"/>
                <w:lang w:val="es-ES" w:eastAsia="es-ES"/>
              </w:rPr>
              <w:t>Familiar o quien haga sus veces en el territorio con motivos fundados, solicitará a la Policía Nacional la activación de la Alerta.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p>
          <w:p w:rsidR="0047024A" w:rsidRPr="007C57D2" w:rsidRDefault="007C57D2" w:rsidP="007C57D2">
            <w:pPr>
              <w:tabs>
                <w:tab w:val="left" w:pos="567"/>
              </w:tabs>
              <w:spacing w:after="0" w:line="240" w:lineRule="auto"/>
              <w:jc w:val="both"/>
              <w:rPr>
                <w:rFonts w:ascii="Times New Roman" w:hAnsi="Times New Roman"/>
                <w:sz w:val="28"/>
                <w:lang w:val="es-ES" w:eastAsia="es-ES"/>
              </w:rPr>
            </w:pPr>
          </w:p>
          <w:p w:rsidR="0047024A"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C47993" w:rsidRPr="007C57D2" w:rsidRDefault="007C57D2" w:rsidP="007C57D2">
            <w:pPr>
              <w:tabs>
                <w:tab w:val="left" w:pos="567"/>
              </w:tabs>
              <w:spacing w:after="0" w:line="240" w:lineRule="auto"/>
              <w:jc w:val="both"/>
              <w:rPr>
                <w:rFonts w:ascii="Times New Roman" w:hAnsi="Times New Roman"/>
                <w:sz w:val="28"/>
                <w:lang w:val="es-ES" w:eastAsia="es-ES"/>
              </w:rPr>
            </w:pPr>
          </w:p>
          <w:p w:rsidR="00EA1AC9" w:rsidRPr="007C57D2" w:rsidRDefault="007C57D2" w:rsidP="007C57D2">
            <w:pPr>
              <w:tabs>
                <w:tab w:val="left" w:pos="567"/>
              </w:tabs>
              <w:spacing w:after="0" w:line="240" w:lineRule="auto"/>
              <w:jc w:val="both"/>
              <w:rPr>
                <w:rFonts w:ascii="Times New Roman" w:hAnsi="Times New Roman"/>
                <w:sz w:val="28"/>
              </w:rPr>
            </w:pPr>
            <w:r w:rsidRPr="007C57D2">
              <w:rPr>
                <w:rFonts w:ascii="Times New Roman" w:hAnsi="Times New Roman"/>
                <w:b/>
                <w:sz w:val="28"/>
                <w:lang w:val="es-ES" w:eastAsia="es-ES"/>
              </w:rPr>
              <w:t>Parágrafo.</w:t>
            </w:r>
            <w:r w:rsidRPr="007C57D2">
              <w:rPr>
                <w:rFonts w:ascii="Times New Roman" w:hAnsi="Times New Roman"/>
                <w:b/>
                <w:sz w:val="28"/>
                <w:lang w:val="es-ES" w:eastAsia="es-ES"/>
              </w:rPr>
              <w:t xml:space="preserve"> </w:t>
            </w:r>
            <w:r w:rsidRPr="007C57D2">
              <w:rPr>
                <w:rFonts w:ascii="Times New Roman" w:hAnsi="Times New Roman"/>
                <w:sz w:val="28"/>
                <w:lang w:val="es-ES" w:eastAsia="es-ES"/>
              </w:rPr>
              <w:t>El</w:t>
            </w:r>
            <w:r w:rsidRPr="007C57D2">
              <w:rPr>
                <w:rFonts w:ascii="Times New Roman" w:hAnsi="Times New Roman"/>
                <w:sz w:val="28"/>
                <w:lang w:val="es-ES" w:eastAsia="es-ES"/>
              </w:rPr>
              <w:t xml:space="preserve"> </w:t>
            </w:r>
            <w:r w:rsidRPr="007C57D2">
              <w:rPr>
                <w:rFonts w:ascii="Times New Roman" w:hAnsi="Times New Roman"/>
                <w:sz w:val="28"/>
                <w:lang w:val="es-ES" w:eastAsia="es-ES"/>
              </w:rPr>
              <w:t xml:space="preserve">consentimiento informado contendrá una nota que </w:t>
            </w:r>
            <w:r w:rsidRPr="007C57D2">
              <w:rPr>
                <w:rFonts w:ascii="Times New Roman" w:hAnsi="Times New Roman"/>
                <w:w w:val="105"/>
                <w:sz w:val="28"/>
              </w:rPr>
              <w:t>especifique que esta</w:t>
            </w:r>
            <w:r w:rsidRPr="007C57D2">
              <w:rPr>
                <w:rFonts w:ascii="Times New Roman" w:hAnsi="Times New Roman"/>
                <w:spacing w:val="40"/>
                <w:w w:val="105"/>
                <w:sz w:val="28"/>
              </w:rPr>
              <w:t xml:space="preserve"> </w:t>
            </w:r>
            <w:r w:rsidRPr="007C57D2">
              <w:rPr>
                <w:rFonts w:ascii="Times New Roman" w:hAnsi="Times New Roman"/>
                <w:w w:val="105"/>
                <w:sz w:val="28"/>
              </w:rPr>
              <w:t>autorización para el uso y</w:t>
            </w:r>
            <w:r w:rsidRPr="007C57D2">
              <w:rPr>
                <w:rFonts w:ascii="Times New Roman" w:hAnsi="Times New Roman"/>
                <w:spacing w:val="40"/>
                <w:w w:val="105"/>
                <w:sz w:val="28"/>
              </w:rPr>
              <w:t xml:space="preserve"> </w:t>
            </w:r>
            <w:r w:rsidRPr="007C57D2">
              <w:rPr>
                <w:rFonts w:ascii="Times New Roman" w:hAnsi="Times New Roman"/>
                <w:w w:val="105"/>
                <w:sz w:val="28"/>
              </w:rPr>
              <w:t>tratamiento de datos sólo</w:t>
            </w:r>
            <w:r w:rsidRPr="007C57D2">
              <w:rPr>
                <w:rFonts w:ascii="Times New Roman" w:hAnsi="Times New Roman"/>
                <w:spacing w:val="40"/>
                <w:w w:val="105"/>
                <w:sz w:val="28"/>
              </w:rPr>
              <w:t xml:space="preserve"> </w:t>
            </w:r>
            <w:r w:rsidRPr="007C57D2">
              <w:rPr>
                <w:rFonts w:ascii="Times New Roman" w:hAnsi="Times New Roman"/>
                <w:w w:val="105"/>
                <w:sz w:val="28"/>
              </w:rPr>
              <w:t>tendrá</w:t>
            </w:r>
            <w:r w:rsidRPr="007C57D2">
              <w:rPr>
                <w:rFonts w:ascii="Times New Roman" w:hAnsi="Times New Roman"/>
                <w:spacing w:val="10"/>
                <w:w w:val="105"/>
                <w:sz w:val="28"/>
              </w:rPr>
              <w:t xml:space="preserve"> </w:t>
            </w:r>
            <w:r w:rsidRPr="007C57D2">
              <w:rPr>
                <w:rFonts w:ascii="Times New Roman" w:hAnsi="Times New Roman"/>
                <w:w w:val="105"/>
                <w:sz w:val="28"/>
              </w:rPr>
              <w:t>efecto</w:t>
            </w:r>
            <w:r w:rsidRPr="007C57D2">
              <w:rPr>
                <w:rFonts w:ascii="Times New Roman" w:hAnsi="Times New Roman"/>
                <w:spacing w:val="11"/>
                <w:w w:val="105"/>
                <w:sz w:val="28"/>
              </w:rPr>
              <w:t xml:space="preserve"> </w:t>
            </w:r>
            <w:r w:rsidRPr="007C57D2">
              <w:rPr>
                <w:rFonts w:ascii="Times New Roman" w:hAnsi="Times New Roman"/>
                <w:w w:val="105"/>
                <w:sz w:val="28"/>
              </w:rPr>
              <w:t>en</w:t>
            </w:r>
            <w:r w:rsidRPr="007C57D2">
              <w:rPr>
                <w:rFonts w:ascii="Times New Roman" w:hAnsi="Times New Roman"/>
                <w:spacing w:val="10"/>
                <w:w w:val="105"/>
                <w:sz w:val="28"/>
              </w:rPr>
              <w:t xml:space="preserve"> </w:t>
            </w:r>
            <w:r w:rsidRPr="007C57D2">
              <w:rPr>
                <w:rFonts w:ascii="Times New Roman" w:hAnsi="Times New Roman"/>
                <w:w w:val="105"/>
                <w:sz w:val="28"/>
              </w:rPr>
              <w:t>el</w:t>
            </w:r>
            <w:r w:rsidRPr="007C57D2">
              <w:rPr>
                <w:rFonts w:ascii="Times New Roman" w:hAnsi="Times New Roman"/>
                <w:spacing w:val="12"/>
                <w:w w:val="105"/>
                <w:sz w:val="28"/>
              </w:rPr>
              <w:t xml:space="preserve"> </w:t>
            </w:r>
            <w:r w:rsidRPr="007C57D2">
              <w:rPr>
                <w:rFonts w:ascii="Times New Roman" w:hAnsi="Times New Roman"/>
                <w:w w:val="105"/>
                <w:sz w:val="28"/>
              </w:rPr>
              <w:t>caso</w:t>
            </w:r>
            <w:r w:rsidRPr="007C57D2">
              <w:rPr>
                <w:rFonts w:ascii="Times New Roman" w:hAnsi="Times New Roman"/>
                <w:spacing w:val="12"/>
                <w:w w:val="105"/>
                <w:sz w:val="28"/>
              </w:rPr>
              <w:t xml:space="preserve"> </w:t>
            </w:r>
            <w:r w:rsidRPr="007C57D2">
              <w:rPr>
                <w:rFonts w:ascii="Times New Roman" w:hAnsi="Times New Roman"/>
                <w:spacing w:val="-5"/>
                <w:w w:val="105"/>
                <w:sz w:val="28"/>
              </w:rPr>
              <w:t>de</w:t>
            </w:r>
          </w:p>
          <w:p w:rsidR="00EA1AC9" w:rsidRPr="007C57D2" w:rsidRDefault="007C57D2" w:rsidP="007C57D2">
            <w:pPr>
              <w:tabs>
                <w:tab w:val="left" w:pos="567"/>
              </w:tabs>
              <w:spacing w:after="0" w:line="240" w:lineRule="auto"/>
              <w:jc w:val="both"/>
              <w:rPr>
                <w:rFonts w:ascii="Times New Roman" w:hAnsi="Times New Roman"/>
                <w:sz w:val="28"/>
                <w:lang w:eastAsia="es-ES"/>
              </w:rPr>
            </w:pPr>
            <w:r w:rsidRPr="007C57D2">
              <w:rPr>
                <w:rFonts w:ascii="Times New Roman" w:hAnsi="Times New Roman"/>
                <w:w w:val="105"/>
                <w:sz w:val="28"/>
              </w:rPr>
              <w:t xml:space="preserve">activar la Alerta </w:t>
            </w:r>
            <w:r w:rsidRPr="007C57D2">
              <w:rPr>
                <w:rFonts w:ascii="Times New Roman" w:hAnsi="Times New Roman"/>
                <w:spacing w:val="-2"/>
                <w:w w:val="105"/>
                <w:sz w:val="28"/>
              </w:rPr>
              <w:t>Colombia.</w:t>
            </w:r>
          </w:p>
        </w:tc>
        <w:tc>
          <w:tcPr>
            <w:tcW w:w="2185" w:type="dxa"/>
            <w:shd w:val="clear" w:color="auto" w:fill="auto"/>
            <w:vAlign w:val="center"/>
          </w:tcPr>
          <w:p w:rsidR="0030167B"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sz w:val="28"/>
                <w:lang w:val="es-ES" w:eastAsia="es-ES"/>
              </w:rPr>
              <w:t>Se acoge texto de Senado</w:t>
            </w:r>
          </w:p>
        </w:tc>
      </w:tr>
      <w:tr w:rsidR="00685F32" w:rsidRPr="007C57D2" w:rsidTr="007C57D2">
        <w:tc>
          <w:tcPr>
            <w:tcW w:w="2947" w:type="dxa"/>
            <w:shd w:val="clear" w:color="auto" w:fill="auto"/>
          </w:tcPr>
          <w:p w:rsidR="0047024A" w:rsidRPr="007C57D2" w:rsidRDefault="007C57D2" w:rsidP="007C57D2">
            <w:pPr>
              <w:tabs>
                <w:tab w:val="left" w:pos="567"/>
              </w:tabs>
              <w:spacing w:after="0" w:line="240" w:lineRule="auto"/>
              <w:jc w:val="both"/>
              <w:rPr>
                <w:rFonts w:ascii="Times New Roman" w:hAnsi="Times New Roman"/>
                <w:spacing w:val="-2"/>
                <w:w w:val="105"/>
                <w:sz w:val="28"/>
              </w:rPr>
            </w:pPr>
            <w:r w:rsidRPr="007C57D2">
              <w:rPr>
                <w:rFonts w:ascii="Times New Roman" w:hAnsi="Times New Roman"/>
                <w:b/>
                <w:spacing w:val="-2"/>
                <w:w w:val="105"/>
                <w:sz w:val="28"/>
              </w:rPr>
              <w:t xml:space="preserve">Artículo </w:t>
            </w:r>
            <w:r w:rsidRPr="007C57D2">
              <w:rPr>
                <w:rFonts w:ascii="Times New Roman" w:hAnsi="Times New Roman"/>
                <w:b/>
                <w:spacing w:val="-4"/>
                <w:w w:val="105"/>
                <w:sz w:val="28"/>
              </w:rPr>
              <w:t xml:space="preserve">4. </w:t>
            </w:r>
            <w:r w:rsidRPr="007C57D2">
              <w:rPr>
                <w:rFonts w:ascii="Times New Roman" w:hAnsi="Times New Roman"/>
                <w:b/>
                <w:spacing w:val="-2"/>
                <w:w w:val="105"/>
                <w:sz w:val="28"/>
              </w:rPr>
              <w:t>Datos</w:t>
            </w:r>
            <w:r w:rsidRPr="007C57D2">
              <w:rPr>
                <w:rFonts w:ascii="Times New Roman" w:hAnsi="Times New Roman"/>
                <w:b/>
                <w:spacing w:val="40"/>
                <w:w w:val="105"/>
                <w:sz w:val="28"/>
              </w:rPr>
              <w:t xml:space="preserve"> </w:t>
            </w:r>
            <w:r w:rsidRPr="007C57D2">
              <w:rPr>
                <w:rFonts w:ascii="Times New Roman" w:hAnsi="Times New Roman"/>
                <w:b/>
                <w:w w:val="105"/>
                <w:sz w:val="28"/>
              </w:rPr>
              <w:t>biométricos y personales.</w:t>
            </w:r>
            <w:r w:rsidRPr="007C57D2">
              <w:rPr>
                <w:rFonts w:ascii="Times New Roman" w:hAnsi="Times New Roman"/>
                <w:b/>
                <w:spacing w:val="40"/>
                <w:w w:val="105"/>
                <w:sz w:val="28"/>
              </w:rPr>
              <w:t xml:space="preserve"> </w:t>
            </w:r>
            <w:r w:rsidRPr="007C57D2">
              <w:rPr>
                <w:rFonts w:ascii="Times New Roman" w:hAnsi="Times New Roman"/>
                <w:w w:val="105"/>
                <w:sz w:val="28"/>
              </w:rPr>
              <w:t>Los datos biométricos y</w:t>
            </w:r>
            <w:r w:rsidRPr="007C57D2">
              <w:rPr>
                <w:rFonts w:ascii="Times New Roman" w:hAnsi="Times New Roman"/>
                <w:spacing w:val="40"/>
                <w:w w:val="105"/>
                <w:sz w:val="28"/>
              </w:rPr>
              <w:t xml:space="preserve"> </w:t>
            </w:r>
            <w:r w:rsidRPr="007C57D2">
              <w:rPr>
                <w:rFonts w:ascii="Times New Roman" w:hAnsi="Times New Roman"/>
                <w:w w:val="105"/>
                <w:sz w:val="28"/>
              </w:rPr>
              <w:t>personales</w:t>
            </w:r>
            <w:r w:rsidRPr="007C57D2">
              <w:rPr>
                <w:rFonts w:ascii="Times New Roman" w:hAnsi="Times New Roman"/>
                <w:spacing w:val="-9"/>
                <w:w w:val="105"/>
                <w:sz w:val="28"/>
              </w:rPr>
              <w:t xml:space="preserve"> </w:t>
            </w:r>
            <w:r w:rsidRPr="007C57D2">
              <w:rPr>
                <w:rFonts w:ascii="Times New Roman" w:hAnsi="Times New Roman"/>
                <w:w w:val="105"/>
                <w:sz w:val="28"/>
              </w:rPr>
              <w:t>mínimos</w:t>
            </w:r>
            <w:r w:rsidRPr="007C57D2">
              <w:rPr>
                <w:rFonts w:ascii="Times New Roman" w:hAnsi="Times New Roman"/>
                <w:spacing w:val="-9"/>
                <w:w w:val="105"/>
                <w:sz w:val="28"/>
              </w:rPr>
              <w:t xml:space="preserve"> </w:t>
            </w:r>
            <w:r w:rsidRPr="007C57D2">
              <w:rPr>
                <w:rFonts w:ascii="Times New Roman" w:hAnsi="Times New Roman"/>
                <w:w w:val="105"/>
                <w:sz w:val="28"/>
              </w:rPr>
              <w:t>requeridos</w:t>
            </w:r>
            <w:r w:rsidRPr="007C57D2">
              <w:rPr>
                <w:rFonts w:ascii="Times New Roman" w:hAnsi="Times New Roman"/>
                <w:spacing w:val="40"/>
                <w:w w:val="105"/>
                <w:sz w:val="28"/>
              </w:rPr>
              <w:t xml:space="preserve"> </w:t>
            </w:r>
            <w:r w:rsidRPr="007C57D2">
              <w:rPr>
                <w:rFonts w:ascii="Times New Roman" w:hAnsi="Times New Roman"/>
                <w:w w:val="105"/>
                <w:sz w:val="28"/>
              </w:rPr>
              <w:t>que se deben utilizar en la</w:t>
            </w:r>
            <w:r w:rsidRPr="007C57D2">
              <w:rPr>
                <w:rFonts w:ascii="Times New Roman" w:hAnsi="Times New Roman"/>
                <w:spacing w:val="40"/>
                <w:w w:val="105"/>
                <w:sz w:val="28"/>
              </w:rPr>
              <w:t xml:space="preserve"> </w:t>
            </w:r>
            <w:r w:rsidRPr="007C57D2">
              <w:rPr>
                <w:rFonts w:ascii="Times New Roman" w:hAnsi="Times New Roman"/>
                <w:w w:val="105"/>
                <w:sz w:val="28"/>
              </w:rPr>
              <w:t xml:space="preserve">Alerta Colombia son </w:t>
            </w:r>
            <w:r w:rsidRPr="007C57D2">
              <w:rPr>
                <w:rFonts w:ascii="Times New Roman" w:hAnsi="Times New Roman"/>
                <w:w w:val="105"/>
                <w:sz w:val="28"/>
              </w:rPr>
              <w:t>los</w:t>
            </w:r>
            <w:r w:rsidRPr="007C57D2">
              <w:rPr>
                <w:rFonts w:ascii="Times New Roman" w:hAnsi="Times New Roman"/>
                <w:spacing w:val="40"/>
                <w:w w:val="105"/>
                <w:sz w:val="28"/>
              </w:rPr>
              <w:t xml:space="preserve"> </w:t>
            </w:r>
            <w:r w:rsidRPr="007C57D2">
              <w:rPr>
                <w:rFonts w:ascii="Times New Roman" w:hAnsi="Times New Roman"/>
                <w:spacing w:val="-2"/>
                <w:w w:val="105"/>
                <w:sz w:val="28"/>
              </w:rPr>
              <w:t>siguientes:</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a) </w:t>
            </w:r>
            <w:r w:rsidRPr="007C57D2">
              <w:rPr>
                <w:rFonts w:ascii="Times New Roman" w:hAnsi="Times New Roman"/>
                <w:sz w:val="28"/>
                <w:lang w:val="es-ES" w:eastAsia="es-ES"/>
              </w:rPr>
              <w:t>Nombres y apellidos del niño o niña.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b) </w:t>
            </w:r>
            <w:r w:rsidRPr="007C57D2">
              <w:rPr>
                <w:rFonts w:ascii="Times New Roman" w:hAnsi="Times New Roman"/>
                <w:sz w:val="28"/>
                <w:lang w:val="es-ES" w:eastAsia="es-ES"/>
              </w:rPr>
              <w:t>Número de identificación.</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c) </w:t>
            </w:r>
            <w:r w:rsidRPr="007C57D2">
              <w:rPr>
                <w:rFonts w:ascii="Times New Roman" w:hAnsi="Times New Roman"/>
                <w:sz w:val="28"/>
                <w:lang w:val="es-ES" w:eastAsia="es-ES"/>
              </w:rPr>
              <w:t>Sexo y edad.</w:t>
            </w: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bCs/>
                <w:sz w:val="28"/>
                <w:lang w:eastAsia="es-ES"/>
              </w:rPr>
              <w:t>d)</w:t>
            </w:r>
            <w:r w:rsidRPr="007C57D2">
              <w:rPr>
                <w:rFonts w:ascii="Times New Roman" w:hAnsi="Times New Roman"/>
                <w:sz w:val="28"/>
                <w:lang w:eastAsia="es-ES"/>
              </w:rPr>
              <w:t xml:space="preserve"> </w:t>
            </w:r>
            <w:r w:rsidRPr="007C57D2">
              <w:rPr>
                <w:rFonts w:ascii="Times New Roman" w:hAnsi="Times New Roman"/>
                <w:sz w:val="28"/>
                <w:lang w:val="es-ES" w:eastAsia="es-ES"/>
              </w:rPr>
              <w:t>Descripción física.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e) </w:t>
            </w:r>
            <w:r w:rsidRPr="007C57D2">
              <w:rPr>
                <w:rFonts w:ascii="Times New Roman" w:hAnsi="Times New Roman"/>
                <w:sz w:val="28"/>
                <w:lang w:val="es-ES" w:eastAsia="es-ES"/>
              </w:rPr>
              <w:t>Última fotografía que garantice identificación.</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f) </w:t>
            </w:r>
            <w:r w:rsidRPr="007C57D2">
              <w:rPr>
                <w:rFonts w:ascii="Times New Roman" w:hAnsi="Times New Roman"/>
                <w:sz w:val="28"/>
                <w:lang w:val="es-ES" w:eastAsia="es-ES"/>
              </w:rPr>
              <w:t>Descripción de la última vestimenta con la que fue visto.</w:t>
            </w: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g) </w:t>
            </w:r>
            <w:r w:rsidRPr="007C57D2">
              <w:rPr>
                <w:rFonts w:ascii="Times New Roman" w:hAnsi="Times New Roman"/>
                <w:sz w:val="28"/>
                <w:lang w:val="es-ES" w:eastAsia="es-ES"/>
              </w:rPr>
              <w:t xml:space="preserve">Fecha, hora y </w:t>
            </w:r>
            <w:r w:rsidRPr="007C57D2">
              <w:rPr>
                <w:rFonts w:ascii="Times New Roman" w:hAnsi="Times New Roman"/>
                <w:sz w:val="28"/>
                <w:lang w:val="es-ES" w:eastAsia="es-ES"/>
              </w:rPr>
              <w:t>lugar en la que se reporta la desaparición del niño o niña, si se llegase a contar con dicha información.</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h) </w:t>
            </w:r>
            <w:r w:rsidRPr="007C57D2">
              <w:rPr>
                <w:rFonts w:ascii="Times New Roman" w:hAnsi="Times New Roman"/>
                <w:sz w:val="28"/>
                <w:lang w:val="es-ES" w:eastAsia="es-ES"/>
              </w:rPr>
              <w:t>Información de contacto de los padres, familiares o tutores legales del niño o niña, incluyendo números de teléfono y direcciones de correo electró</w:t>
            </w:r>
            <w:r w:rsidRPr="007C57D2">
              <w:rPr>
                <w:rFonts w:ascii="Times New Roman" w:hAnsi="Times New Roman"/>
                <w:sz w:val="28"/>
                <w:lang w:val="es-ES" w:eastAsia="es-ES"/>
              </w:rPr>
              <w:t>nico.</w:t>
            </w: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Parágrafo 1. </w:t>
            </w:r>
            <w:r w:rsidRPr="007C57D2">
              <w:rPr>
                <w:rFonts w:ascii="Times New Roman" w:hAnsi="Times New Roman"/>
                <w:sz w:val="28"/>
                <w:lang w:val="es-ES" w:eastAsia="es-ES"/>
              </w:rPr>
              <w:t xml:space="preserve">La Policía Nacional, la Fiscalía General de la Nación, la Unidad Administrativa Especial Migración Colombia o la Registraduría Nacional del Estado Civil, en coordinación con el Instituto Colombiano de Bienestar Familiar, deberá </w:t>
            </w:r>
            <w:r w:rsidRPr="007C57D2">
              <w:rPr>
                <w:rFonts w:ascii="Times New Roman" w:hAnsi="Times New Roman"/>
                <w:sz w:val="28"/>
                <w:lang w:val="es-ES" w:eastAsia="es-ES"/>
              </w:rPr>
              <w:t>recolectar estos datos para que, junto con los números a los cuales pueden comunicarse los ciudadanos en caso de tener alguna información, sean entregados de manera inmediata a los proveedores de redes y servicios de telecomunicaciones móviles que operan e</w:t>
            </w:r>
            <w:r w:rsidRPr="007C57D2">
              <w:rPr>
                <w:rFonts w:ascii="Times New Roman" w:hAnsi="Times New Roman"/>
                <w:sz w:val="28"/>
                <w:lang w:val="es-ES" w:eastAsia="es-ES"/>
              </w:rPr>
              <w:t>n territorio colombiano, a quienes se les informará que solo podrán realizar el tratamiento de la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sz w:val="28"/>
                <w:lang w:val="es-ES" w:eastAsia="es-ES"/>
              </w:rPr>
              <w:t>información para las finalidades establecidas en la presente Ley.</w:t>
            </w:r>
          </w:p>
          <w:p w:rsidR="0047024A" w:rsidRPr="007C57D2" w:rsidRDefault="007C57D2" w:rsidP="007C57D2">
            <w:pPr>
              <w:tabs>
                <w:tab w:val="left" w:pos="567"/>
              </w:tabs>
              <w:spacing w:after="0" w:line="240" w:lineRule="auto"/>
              <w:jc w:val="both"/>
              <w:rPr>
                <w:rFonts w:ascii="Times New Roman" w:hAnsi="Times New Roman"/>
                <w:b/>
                <w:sz w:val="28"/>
                <w:lang w:val="es-ES" w:eastAsia="es-ES"/>
              </w:rPr>
            </w:pPr>
          </w:p>
          <w:p w:rsidR="0047024A" w:rsidRPr="007C57D2" w:rsidRDefault="007C57D2" w:rsidP="007C57D2">
            <w:pPr>
              <w:tabs>
                <w:tab w:val="left" w:pos="567"/>
              </w:tabs>
              <w:spacing w:after="0" w:line="240" w:lineRule="auto"/>
              <w:jc w:val="both"/>
              <w:rPr>
                <w:rFonts w:ascii="Times New Roman" w:hAnsi="Times New Roman"/>
                <w:sz w:val="28"/>
                <w:lang w:eastAsia="es-ES"/>
              </w:rPr>
            </w:pPr>
            <w:r w:rsidRPr="007C57D2">
              <w:rPr>
                <w:rFonts w:ascii="Times New Roman" w:hAnsi="Times New Roman"/>
                <w:b/>
                <w:sz w:val="28"/>
                <w:lang w:val="es-ES" w:eastAsia="es-ES"/>
              </w:rPr>
              <w:t xml:space="preserve">Parágrafo 2. </w:t>
            </w:r>
            <w:r w:rsidRPr="007C57D2">
              <w:rPr>
                <w:rFonts w:ascii="Times New Roman" w:hAnsi="Times New Roman"/>
                <w:sz w:val="28"/>
                <w:lang w:val="es-ES" w:eastAsia="es-ES"/>
              </w:rPr>
              <w:t>La Policía Nacional recolectará información genética del niño o niña con el fi</w:t>
            </w:r>
            <w:r w:rsidRPr="007C57D2">
              <w:rPr>
                <w:rFonts w:ascii="Times New Roman" w:hAnsi="Times New Roman"/>
                <w:sz w:val="28"/>
                <w:lang w:val="es-ES" w:eastAsia="es-ES"/>
              </w:rPr>
              <w:t>n de brindar su identificación y facilitar la comparación de las muestras que puedan encontrarse.</w:t>
            </w:r>
          </w:p>
        </w:tc>
        <w:tc>
          <w:tcPr>
            <w:tcW w:w="3657" w:type="dxa"/>
            <w:shd w:val="clear" w:color="auto" w:fill="auto"/>
          </w:tcPr>
          <w:p w:rsidR="0047024A" w:rsidRPr="007C57D2" w:rsidRDefault="007C57D2" w:rsidP="007C57D2">
            <w:pPr>
              <w:tabs>
                <w:tab w:val="left" w:pos="567"/>
              </w:tabs>
              <w:spacing w:after="0" w:line="240" w:lineRule="auto"/>
              <w:jc w:val="both"/>
              <w:rPr>
                <w:rFonts w:ascii="Times New Roman" w:hAnsi="Times New Roman"/>
                <w:w w:val="105"/>
                <w:sz w:val="28"/>
              </w:rPr>
            </w:pPr>
            <w:r w:rsidRPr="007C57D2">
              <w:rPr>
                <w:rFonts w:ascii="Times New Roman" w:hAnsi="Times New Roman"/>
                <w:b/>
                <w:w w:val="105"/>
                <w:sz w:val="28"/>
              </w:rPr>
              <w:t>Artículo 4. Datos</w:t>
            </w:r>
            <w:r w:rsidRPr="007C57D2">
              <w:rPr>
                <w:rFonts w:ascii="Times New Roman" w:hAnsi="Times New Roman"/>
                <w:b/>
                <w:spacing w:val="40"/>
                <w:w w:val="105"/>
                <w:sz w:val="28"/>
              </w:rPr>
              <w:t xml:space="preserve"> </w:t>
            </w:r>
            <w:r w:rsidRPr="007C57D2">
              <w:rPr>
                <w:rFonts w:ascii="Times New Roman" w:hAnsi="Times New Roman"/>
                <w:b/>
                <w:w w:val="105"/>
                <w:sz w:val="28"/>
              </w:rPr>
              <w:t>biométricos</w:t>
            </w:r>
            <w:r w:rsidRPr="007C57D2">
              <w:rPr>
                <w:rFonts w:ascii="Times New Roman" w:hAnsi="Times New Roman"/>
                <w:b/>
                <w:spacing w:val="-1"/>
                <w:w w:val="105"/>
                <w:sz w:val="28"/>
              </w:rPr>
              <w:t xml:space="preserve"> </w:t>
            </w:r>
            <w:r w:rsidRPr="007C57D2">
              <w:rPr>
                <w:rFonts w:ascii="Times New Roman" w:hAnsi="Times New Roman"/>
                <w:b/>
                <w:w w:val="105"/>
                <w:sz w:val="28"/>
              </w:rPr>
              <w:t>y personales.</w:t>
            </w:r>
            <w:r w:rsidRPr="007C57D2">
              <w:rPr>
                <w:rFonts w:ascii="Times New Roman" w:hAnsi="Times New Roman"/>
                <w:b/>
                <w:spacing w:val="40"/>
                <w:w w:val="105"/>
                <w:sz w:val="28"/>
              </w:rPr>
              <w:t xml:space="preserve"> </w:t>
            </w:r>
            <w:r w:rsidRPr="007C57D2">
              <w:rPr>
                <w:rFonts w:ascii="Times New Roman" w:hAnsi="Times New Roman"/>
                <w:w w:val="105"/>
                <w:sz w:val="28"/>
              </w:rPr>
              <w:t>Los datos biométricos y</w:t>
            </w:r>
            <w:r w:rsidRPr="007C57D2">
              <w:rPr>
                <w:rFonts w:ascii="Times New Roman" w:hAnsi="Times New Roman"/>
                <w:spacing w:val="40"/>
                <w:w w:val="105"/>
                <w:sz w:val="28"/>
              </w:rPr>
              <w:t xml:space="preserve"> </w:t>
            </w:r>
            <w:r w:rsidRPr="007C57D2">
              <w:rPr>
                <w:rFonts w:ascii="Times New Roman" w:hAnsi="Times New Roman"/>
                <w:spacing w:val="-2"/>
                <w:w w:val="105"/>
                <w:sz w:val="28"/>
              </w:rPr>
              <w:t>personales mínimos</w:t>
            </w:r>
            <w:r w:rsidRPr="007C57D2">
              <w:rPr>
                <w:rFonts w:ascii="Times New Roman" w:hAnsi="Times New Roman"/>
                <w:spacing w:val="40"/>
                <w:w w:val="105"/>
                <w:sz w:val="28"/>
              </w:rPr>
              <w:t xml:space="preserve"> </w:t>
            </w:r>
            <w:r w:rsidRPr="007C57D2">
              <w:rPr>
                <w:rFonts w:ascii="Times New Roman" w:hAnsi="Times New Roman"/>
                <w:w w:val="105"/>
                <w:sz w:val="28"/>
              </w:rPr>
              <w:t>requeridos que se deben</w:t>
            </w:r>
            <w:r w:rsidRPr="007C57D2">
              <w:rPr>
                <w:rFonts w:ascii="Times New Roman" w:hAnsi="Times New Roman"/>
                <w:spacing w:val="40"/>
                <w:w w:val="105"/>
                <w:sz w:val="28"/>
              </w:rPr>
              <w:t xml:space="preserve"> </w:t>
            </w:r>
            <w:r w:rsidRPr="007C57D2">
              <w:rPr>
                <w:rFonts w:ascii="Times New Roman" w:hAnsi="Times New Roman"/>
                <w:w w:val="105"/>
                <w:sz w:val="28"/>
              </w:rPr>
              <w:t>utilizar</w:t>
            </w:r>
            <w:r w:rsidRPr="007C57D2">
              <w:rPr>
                <w:rFonts w:ascii="Times New Roman" w:hAnsi="Times New Roman"/>
                <w:spacing w:val="-11"/>
                <w:w w:val="105"/>
                <w:sz w:val="28"/>
              </w:rPr>
              <w:t xml:space="preserve"> </w:t>
            </w:r>
            <w:r w:rsidRPr="007C57D2">
              <w:rPr>
                <w:rFonts w:ascii="Times New Roman" w:hAnsi="Times New Roman"/>
                <w:w w:val="105"/>
                <w:sz w:val="28"/>
              </w:rPr>
              <w:t>en</w:t>
            </w:r>
            <w:r w:rsidRPr="007C57D2">
              <w:rPr>
                <w:rFonts w:ascii="Times New Roman" w:hAnsi="Times New Roman"/>
                <w:spacing w:val="-9"/>
                <w:w w:val="105"/>
                <w:sz w:val="28"/>
              </w:rPr>
              <w:t xml:space="preserve"> </w:t>
            </w:r>
            <w:r w:rsidRPr="007C57D2">
              <w:rPr>
                <w:rFonts w:ascii="Times New Roman" w:hAnsi="Times New Roman"/>
                <w:w w:val="105"/>
                <w:sz w:val="28"/>
              </w:rPr>
              <w:t>la</w:t>
            </w:r>
            <w:r w:rsidRPr="007C57D2">
              <w:rPr>
                <w:rFonts w:ascii="Times New Roman" w:hAnsi="Times New Roman"/>
                <w:spacing w:val="-9"/>
                <w:w w:val="105"/>
                <w:sz w:val="28"/>
              </w:rPr>
              <w:t xml:space="preserve"> </w:t>
            </w:r>
            <w:r w:rsidRPr="007C57D2">
              <w:rPr>
                <w:rFonts w:ascii="Times New Roman" w:hAnsi="Times New Roman"/>
                <w:w w:val="105"/>
                <w:sz w:val="28"/>
              </w:rPr>
              <w:t>Alerta</w:t>
            </w:r>
            <w:r w:rsidRPr="007C57D2">
              <w:rPr>
                <w:rFonts w:ascii="Times New Roman" w:hAnsi="Times New Roman"/>
                <w:spacing w:val="-8"/>
                <w:w w:val="105"/>
                <w:sz w:val="28"/>
              </w:rPr>
              <w:t xml:space="preserve"> </w:t>
            </w:r>
            <w:r w:rsidRPr="007C57D2">
              <w:rPr>
                <w:rFonts w:ascii="Times New Roman" w:hAnsi="Times New Roman"/>
                <w:w w:val="105"/>
                <w:sz w:val="28"/>
              </w:rPr>
              <w:t>Colombia</w:t>
            </w:r>
            <w:r w:rsidRPr="007C57D2">
              <w:rPr>
                <w:rFonts w:ascii="Times New Roman" w:hAnsi="Times New Roman"/>
                <w:spacing w:val="40"/>
                <w:w w:val="105"/>
                <w:sz w:val="28"/>
              </w:rPr>
              <w:t xml:space="preserve"> </w:t>
            </w:r>
            <w:r w:rsidRPr="007C57D2">
              <w:rPr>
                <w:rFonts w:ascii="Times New Roman" w:hAnsi="Times New Roman"/>
                <w:w w:val="105"/>
                <w:sz w:val="28"/>
              </w:rPr>
              <w:t xml:space="preserve">son los </w:t>
            </w:r>
            <w:r w:rsidRPr="007C57D2">
              <w:rPr>
                <w:rFonts w:ascii="Times New Roman" w:hAnsi="Times New Roman"/>
                <w:w w:val="105"/>
                <w:sz w:val="28"/>
              </w:rPr>
              <w:t>siguientes:</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a. </w:t>
            </w:r>
            <w:r w:rsidRPr="007C57D2">
              <w:rPr>
                <w:rFonts w:ascii="Times New Roman" w:hAnsi="Times New Roman"/>
                <w:sz w:val="28"/>
                <w:lang w:val="es-ES" w:eastAsia="es-ES"/>
              </w:rPr>
              <w:t>Nombres y apellidos del niño o niña.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b. </w:t>
            </w:r>
            <w:r w:rsidRPr="007C57D2">
              <w:rPr>
                <w:rFonts w:ascii="Times New Roman" w:hAnsi="Times New Roman"/>
                <w:sz w:val="28"/>
                <w:lang w:val="es-ES" w:eastAsia="es-ES"/>
              </w:rPr>
              <w:t>Número de identificación.</w:t>
            </w:r>
          </w:p>
          <w:p w:rsidR="0047024A" w:rsidRPr="007C57D2" w:rsidRDefault="007C57D2" w:rsidP="007C57D2">
            <w:pPr>
              <w:tabs>
                <w:tab w:val="left" w:pos="567"/>
              </w:tabs>
              <w:spacing w:after="0" w:line="240" w:lineRule="auto"/>
              <w:jc w:val="both"/>
              <w:rPr>
                <w:rFonts w:ascii="Times New Roman" w:hAnsi="Times New Roman"/>
                <w:sz w:val="28"/>
                <w:lang w:eastAsia="es-ES"/>
              </w:rPr>
            </w:pPr>
            <w:r w:rsidRPr="007C57D2">
              <w:rPr>
                <w:rFonts w:ascii="Times New Roman" w:hAnsi="Times New Roman"/>
                <w:b/>
                <w:bCs/>
                <w:sz w:val="28"/>
                <w:lang w:eastAsia="es-ES"/>
              </w:rPr>
              <w:t xml:space="preserve">c. </w:t>
            </w:r>
            <w:r w:rsidRPr="007C57D2">
              <w:rPr>
                <w:rFonts w:ascii="Times New Roman" w:hAnsi="Times New Roman"/>
                <w:sz w:val="28"/>
                <w:lang w:eastAsia="es-ES"/>
              </w:rPr>
              <w:t>Sexo</w:t>
            </w:r>
          </w:p>
          <w:p w:rsidR="0047024A" w:rsidRPr="007C57D2" w:rsidRDefault="007C57D2" w:rsidP="007C57D2">
            <w:pPr>
              <w:tabs>
                <w:tab w:val="left" w:pos="567"/>
              </w:tabs>
              <w:spacing w:after="0" w:line="240" w:lineRule="auto"/>
              <w:jc w:val="both"/>
              <w:rPr>
                <w:rFonts w:ascii="Times New Roman" w:hAnsi="Times New Roman"/>
                <w:sz w:val="28"/>
                <w:lang w:eastAsia="es-ES"/>
              </w:rPr>
            </w:pPr>
            <w:r w:rsidRPr="007C57D2">
              <w:rPr>
                <w:rFonts w:ascii="Times New Roman" w:hAnsi="Times New Roman"/>
                <w:b/>
                <w:bCs/>
                <w:sz w:val="28"/>
                <w:lang w:eastAsia="es-ES"/>
              </w:rPr>
              <w:t>d.</w:t>
            </w:r>
            <w:r w:rsidRPr="007C57D2">
              <w:rPr>
                <w:rFonts w:ascii="Times New Roman" w:hAnsi="Times New Roman"/>
                <w:sz w:val="28"/>
                <w:lang w:eastAsia="es-ES"/>
              </w:rPr>
              <w:t xml:space="preserve"> Edad aproximada.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e. </w:t>
            </w:r>
            <w:r w:rsidRPr="007C57D2">
              <w:rPr>
                <w:rFonts w:ascii="Times New Roman" w:hAnsi="Times New Roman"/>
                <w:sz w:val="28"/>
                <w:lang w:val="es-ES" w:eastAsia="es-ES"/>
              </w:rPr>
              <w:t>Descripción física.</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f. </w:t>
            </w:r>
            <w:r w:rsidRPr="007C57D2">
              <w:rPr>
                <w:rFonts w:ascii="Times New Roman" w:hAnsi="Times New Roman"/>
                <w:sz w:val="28"/>
                <w:lang w:val="es-ES" w:eastAsia="es-ES"/>
              </w:rPr>
              <w:t>Última fotografía que garantice su</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sz w:val="28"/>
                <w:lang w:val="es-ES" w:eastAsia="es-ES"/>
              </w:rPr>
              <w:t>individualización.</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g. </w:t>
            </w:r>
            <w:r w:rsidRPr="007C57D2">
              <w:rPr>
                <w:rFonts w:ascii="Times New Roman" w:hAnsi="Times New Roman"/>
                <w:sz w:val="28"/>
                <w:lang w:val="es-ES" w:eastAsia="es-ES"/>
              </w:rPr>
              <w:t xml:space="preserve">Descripción de la última vestimenta con la que fue visto, si se </w:t>
            </w:r>
            <w:r w:rsidRPr="007C57D2">
              <w:rPr>
                <w:rFonts w:ascii="Times New Roman" w:hAnsi="Times New Roman"/>
                <w:sz w:val="28"/>
                <w:lang w:val="es-ES" w:eastAsia="es-ES"/>
              </w:rPr>
              <w:t>llegase a contar con dicha información.</w:t>
            </w:r>
          </w:p>
          <w:p w:rsidR="0014794A" w:rsidRPr="007C57D2" w:rsidRDefault="007C57D2" w:rsidP="007C57D2">
            <w:pPr>
              <w:tabs>
                <w:tab w:val="left" w:pos="567"/>
              </w:tabs>
              <w:spacing w:after="0" w:line="240" w:lineRule="auto"/>
              <w:jc w:val="both"/>
              <w:rPr>
                <w:rFonts w:ascii="Times New Roman" w:hAnsi="Times New Roman"/>
                <w:sz w:val="28"/>
                <w:lang w:val="es-ES" w:eastAsia="es-ES"/>
              </w:rPr>
            </w:pP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h. </w:t>
            </w:r>
            <w:r w:rsidRPr="007C57D2">
              <w:rPr>
                <w:rFonts w:ascii="Times New Roman" w:hAnsi="Times New Roman"/>
                <w:sz w:val="28"/>
                <w:lang w:val="es-ES" w:eastAsia="es-ES"/>
              </w:rPr>
              <w:t>Fecha, hora y lugar en la que se reporta la desaparición del niño o niña, si se llegase a contar con dicha información.</w:t>
            </w:r>
          </w:p>
          <w:p w:rsidR="0047024A" w:rsidRPr="007C57D2" w:rsidRDefault="007C57D2" w:rsidP="007C57D2">
            <w:pPr>
              <w:tabs>
                <w:tab w:val="left" w:pos="567"/>
              </w:tabs>
              <w:spacing w:after="0" w:line="240" w:lineRule="auto"/>
              <w:jc w:val="both"/>
              <w:rPr>
                <w:rFonts w:ascii="Times New Roman" w:hAnsi="Times New Roman"/>
                <w:sz w:val="28"/>
                <w:lang w:val="es-ES" w:eastAsia="es-ES"/>
              </w:rPr>
            </w:pPr>
            <w:r w:rsidRPr="007C57D2">
              <w:rPr>
                <w:rFonts w:ascii="Times New Roman" w:hAnsi="Times New Roman"/>
                <w:b/>
                <w:sz w:val="28"/>
                <w:lang w:val="es-ES" w:eastAsia="es-ES"/>
              </w:rPr>
              <w:t xml:space="preserve">i. </w:t>
            </w:r>
            <w:r w:rsidRPr="007C57D2">
              <w:rPr>
                <w:rFonts w:ascii="Times New Roman" w:hAnsi="Times New Roman"/>
                <w:sz w:val="28"/>
                <w:lang w:val="es-ES" w:eastAsia="es-ES"/>
              </w:rPr>
              <w:t>Información de contacto de</w:t>
            </w:r>
            <w:r w:rsidRPr="007C57D2">
              <w:rPr>
                <w:rFonts w:ascii="Times New Roman" w:hAnsi="Times New Roman"/>
                <w:sz w:val="28"/>
                <w:lang w:val="es-ES" w:eastAsia="es-ES"/>
              </w:rPr>
              <w:t xml:space="preserve"> </w:t>
            </w:r>
            <w:r w:rsidRPr="007C57D2">
              <w:rPr>
                <w:rFonts w:ascii="Times New Roman" w:hAnsi="Times New Roman"/>
                <w:sz w:val="28"/>
                <w:lang w:val="es-ES" w:eastAsia="es-ES"/>
              </w:rPr>
              <w:t xml:space="preserve">los padres, representantes legales, quien ostente la custodia </w:t>
            </w:r>
            <w:r w:rsidRPr="007C57D2">
              <w:rPr>
                <w:rFonts w:ascii="Times New Roman" w:hAnsi="Times New Roman"/>
                <w:sz w:val="28"/>
                <w:lang w:val="es-ES" w:eastAsia="es-ES"/>
              </w:rPr>
              <w:t>o cuidadores, familiares del niño o niña, incluyendo números de teléfono y direcciones de correo electrónico, si se llegase a contar con dicha información.</w:t>
            </w:r>
          </w:p>
          <w:p w:rsidR="0047024A" w:rsidRPr="007C57D2" w:rsidRDefault="007C57D2" w:rsidP="007C57D2">
            <w:pPr>
              <w:tabs>
                <w:tab w:val="left" w:pos="567"/>
              </w:tabs>
              <w:spacing w:after="0" w:line="240" w:lineRule="auto"/>
              <w:jc w:val="both"/>
              <w:rPr>
                <w:rFonts w:ascii="Times New Roman" w:hAnsi="Times New Roman"/>
                <w:sz w:val="28"/>
                <w:lang w:eastAsia="es-ES"/>
              </w:rPr>
            </w:pPr>
          </w:p>
          <w:p w:rsidR="0014794A" w:rsidRPr="007C57D2" w:rsidRDefault="007C57D2" w:rsidP="007C57D2">
            <w:pPr>
              <w:tabs>
                <w:tab w:val="left" w:pos="567"/>
              </w:tabs>
              <w:spacing w:after="0" w:line="240" w:lineRule="auto"/>
              <w:jc w:val="both"/>
              <w:rPr>
                <w:rFonts w:ascii="Times New Roman" w:hAnsi="Times New Roman"/>
                <w:sz w:val="28"/>
                <w:lang w:eastAsia="es-ES"/>
              </w:rPr>
            </w:pPr>
          </w:p>
          <w:p w:rsidR="0047024A" w:rsidRPr="007C57D2" w:rsidRDefault="007C57D2" w:rsidP="007C57D2">
            <w:pPr>
              <w:tabs>
                <w:tab w:val="left" w:pos="567"/>
              </w:tabs>
              <w:spacing w:after="0" w:line="240" w:lineRule="auto"/>
              <w:jc w:val="both"/>
              <w:rPr>
                <w:rFonts w:ascii="Times New Roman" w:hAnsi="Times New Roman"/>
                <w:sz w:val="28"/>
                <w:lang w:eastAsia="es-ES"/>
              </w:rPr>
            </w:pPr>
            <w:r w:rsidRPr="007C57D2">
              <w:rPr>
                <w:rFonts w:ascii="Times New Roman" w:hAnsi="Times New Roman"/>
                <w:b/>
                <w:sz w:val="28"/>
                <w:lang w:val="es-ES" w:eastAsia="es-ES"/>
              </w:rPr>
              <w:t xml:space="preserve">Parágrafo 1. </w:t>
            </w:r>
            <w:r w:rsidRPr="007C57D2">
              <w:rPr>
                <w:rFonts w:ascii="Times New Roman" w:hAnsi="Times New Roman"/>
                <w:sz w:val="28"/>
                <w:lang w:val="es-ES" w:eastAsia="es-ES"/>
              </w:rPr>
              <w:t>La Policía Nacional, en coordinación con el Instituto Colombiano de Bienestar Familiar, deberá recolectar estos datos para que, junto con los números a los cuales pueden comunicarse los ciudadanos en caso de tener alguna información, sean entregados de man</w:t>
            </w:r>
            <w:r w:rsidRPr="007C57D2">
              <w:rPr>
                <w:rFonts w:ascii="Times New Roman" w:hAnsi="Times New Roman"/>
                <w:sz w:val="28"/>
                <w:lang w:val="es-ES" w:eastAsia="es-ES"/>
              </w:rPr>
              <w:t>era inmediata a los proveedores de redes y servicios de telecomunicaciones móviles que operan en territorio colombiano, a quienes se les informará que solo podrán realizar el tratamiento</w:t>
            </w:r>
            <w:r w:rsidRPr="007C57D2">
              <w:rPr>
                <w:rFonts w:ascii="Times New Roman" w:hAnsi="Times New Roman"/>
                <w:sz w:val="28"/>
                <w:lang w:val="es-ES" w:eastAsia="es-ES"/>
              </w:rPr>
              <w:tab/>
              <w:t xml:space="preserve"> de la información para las finalidades establecidas en la presente l</w:t>
            </w:r>
            <w:r w:rsidRPr="007C57D2">
              <w:rPr>
                <w:rFonts w:ascii="Times New Roman" w:hAnsi="Times New Roman"/>
                <w:sz w:val="28"/>
                <w:lang w:val="es-ES" w:eastAsia="es-ES"/>
              </w:rPr>
              <w:t>ey.</w:t>
            </w:r>
          </w:p>
        </w:tc>
        <w:tc>
          <w:tcPr>
            <w:tcW w:w="2185" w:type="dxa"/>
            <w:shd w:val="clear" w:color="auto" w:fill="auto"/>
            <w:vAlign w:val="center"/>
          </w:tcPr>
          <w:p w:rsidR="0047024A"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w w:val="105"/>
                <w:sz w:val="28"/>
              </w:rPr>
              <w:t>Se</w:t>
            </w:r>
            <w:r w:rsidRPr="007C57D2">
              <w:rPr>
                <w:rFonts w:ascii="Times New Roman" w:hAnsi="Times New Roman"/>
                <w:b/>
                <w:spacing w:val="-9"/>
                <w:w w:val="105"/>
                <w:sz w:val="28"/>
              </w:rPr>
              <w:t xml:space="preserve"> </w:t>
            </w:r>
            <w:r w:rsidRPr="007C57D2">
              <w:rPr>
                <w:rFonts w:ascii="Times New Roman" w:hAnsi="Times New Roman"/>
                <w:b/>
                <w:w w:val="105"/>
                <w:sz w:val="28"/>
              </w:rPr>
              <w:t>acoge</w:t>
            </w:r>
            <w:r w:rsidRPr="007C57D2">
              <w:rPr>
                <w:rFonts w:ascii="Times New Roman" w:hAnsi="Times New Roman"/>
                <w:b/>
                <w:spacing w:val="-9"/>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47024A" w:rsidRPr="007C57D2" w:rsidRDefault="007C57D2" w:rsidP="007C57D2">
            <w:pPr>
              <w:pStyle w:val="TableParagraph"/>
              <w:tabs>
                <w:tab w:val="left" w:pos="1345"/>
              </w:tabs>
              <w:jc w:val="both"/>
              <w:rPr>
                <w:rFonts w:ascii="Times New Roman" w:hAnsi="Times New Roman" w:cs="Times New Roman"/>
                <w:w w:val="105"/>
                <w:sz w:val="28"/>
              </w:rPr>
            </w:pPr>
            <w:r w:rsidRPr="007C57D2">
              <w:rPr>
                <w:rFonts w:ascii="Times New Roman" w:hAnsi="Times New Roman" w:cs="Times New Roman"/>
                <w:b/>
                <w:w w:val="105"/>
                <w:sz w:val="28"/>
              </w:rPr>
              <w:t>Artículo</w:t>
            </w:r>
            <w:r w:rsidRPr="007C57D2">
              <w:rPr>
                <w:rFonts w:ascii="Times New Roman" w:hAnsi="Times New Roman" w:cs="Times New Roman"/>
                <w:b/>
                <w:spacing w:val="-3"/>
                <w:w w:val="105"/>
                <w:sz w:val="28"/>
              </w:rPr>
              <w:t xml:space="preserve"> </w:t>
            </w:r>
            <w:r w:rsidRPr="007C57D2">
              <w:rPr>
                <w:rFonts w:ascii="Times New Roman" w:hAnsi="Times New Roman" w:cs="Times New Roman"/>
                <w:b/>
                <w:w w:val="105"/>
                <w:sz w:val="28"/>
              </w:rPr>
              <w:t>5.</w:t>
            </w:r>
            <w:r w:rsidRPr="007C57D2">
              <w:rPr>
                <w:rFonts w:ascii="Times New Roman" w:hAnsi="Times New Roman" w:cs="Times New Roman"/>
                <w:b/>
                <w:spacing w:val="-4"/>
                <w:w w:val="105"/>
                <w:sz w:val="28"/>
              </w:rPr>
              <w:t xml:space="preserve"> </w:t>
            </w:r>
            <w:r w:rsidRPr="007C57D2">
              <w:rPr>
                <w:rFonts w:ascii="Times New Roman" w:hAnsi="Times New Roman" w:cs="Times New Roman"/>
                <w:b/>
                <w:w w:val="105"/>
                <w:sz w:val="28"/>
              </w:rPr>
              <w:t>Sistema</w:t>
            </w:r>
            <w:r w:rsidRPr="007C57D2">
              <w:rPr>
                <w:rFonts w:ascii="Times New Roman" w:hAnsi="Times New Roman" w:cs="Times New Roman"/>
                <w:b/>
                <w:spacing w:val="-4"/>
                <w:w w:val="105"/>
                <w:sz w:val="28"/>
              </w:rPr>
              <w:t xml:space="preserve"> </w:t>
            </w:r>
            <w:r w:rsidRPr="007C57D2">
              <w:rPr>
                <w:rFonts w:ascii="Times New Roman" w:hAnsi="Times New Roman" w:cs="Times New Roman"/>
                <w:b/>
                <w:w w:val="105"/>
                <w:sz w:val="28"/>
              </w:rPr>
              <w:t>Nacional</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 xml:space="preserve">de Denuncia Virtual.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Policía Nacional, la Fiscalía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General de la Nación,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Instituto Colombiano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Bienestar Familiar y la Unidad</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Administrativa Especial Migración Colombia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dispondrán de una </w:t>
            </w:r>
            <w:r w:rsidRPr="007C57D2">
              <w:rPr>
                <w:rFonts w:ascii="Times New Roman" w:hAnsi="Times New Roman" w:cs="Times New Roman"/>
                <w:w w:val="105"/>
                <w:sz w:val="28"/>
              </w:rPr>
              <w:t>ventana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especial de alerta en la página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para que las personas puedan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realizar el respectivo reporte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del</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extravío del</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menor</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de edad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incluyendo</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autorización</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para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 tratamiento de los datos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biométricos y personales.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ventana virtual tendrá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instructivo para poder realizar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 reporte y brindar toda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información necesaria para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activar la alerta en caso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riesgo</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inminente.</w:t>
            </w: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val="es-CO" w:eastAsia="es-ES"/>
              </w:rPr>
            </w:pPr>
            <w:r w:rsidRPr="007C57D2">
              <w:rPr>
                <w:rFonts w:ascii="Times New Roman" w:hAnsi="Times New Roman" w:cs="Times New Roman"/>
                <w:w w:val="105"/>
                <w:sz w:val="28"/>
                <w:lang w:eastAsia="es-ES"/>
              </w:rPr>
              <w:t xml:space="preserve">Cuando se haga uso de la plataforma virtual deberá indicarse expresamente el nombre e identificación de la </w:t>
            </w:r>
            <w:r w:rsidRPr="007C57D2">
              <w:rPr>
                <w:rFonts w:ascii="Times New Roman" w:hAnsi="Times New Roman" w:cs="Times New Roman"/>
                <w:w w:val="105"/>
                <w:sz w:val="28"/>
                <w:lang w:val="es-CO" w:eastAsia="es-ES"/>
              </w:rPr>
              <w:t>persona</w:t>
            </w:r>
            <w:r w:rsidRPr="007C57D2">
              <w:rPr>
                <w:rFonts w:ascii="Times New Roman" w:hAnsi="Times New Roman" w:cs="Times New Roman"/>
                <w:w w:val="105"/>
                <w:sz w:val="28"/>
                <w:lang w:val="es-CO" w:eastAsia="es-ES"/>
              </w:rPr>
              <w:t xml:space="preserve"> que realiza el reporte.</w:t>
            </w: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val="es-CO" w:eastAsia="es-ES"/>
              </w:rPr>
            </w:pPr>
            <w:r w:rsidRPr="007C57D2">
              <w:rPr>
                <w:rFonts w:ascii="Times New Roman" w:hAnsi="Times New Roman" w:cs="Times New Roman"/>
                <w:w w:val="105"/>
                <w:sz w:val="28"/>
                <w:lang w:val="es-CO" w:eastAsia="es-ES"/>
              </w:rPr>
              <w:t>Lo anterior no impedirá que el reporte del extravío de un niño o niña se pueda realizar de manera presencial ante el CAI, estación de policía o unidad policial, defensoría de familia, comisaria de familia o inspección de policía m</w:t>
            </w:r>
            <w:r w:rsidRPr="007C57D2">
              <w:rPr>
                <w:rFonts w:ascii="Times New Roman" w:hAnsi="Times New Roman" w:cs="Times New Roman"/>
                <w:w w:val="105"/>
                <w:sz w:val="28"/>
                <w:lang w:val="es-CO" w:eastAsia="es-ES"/>
              </w:rPr>
              <w:t>ás cercano al lugar de la pérdida del menor, donde se dispondrá de los medios necesarios que realice el trámite relacionado con la autorización para el tratamiento de datos biométricos y personales.</w:t>
            </w: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r w:rsidRPr="007C57D2">
              <w:rPr>
                <w:rFonts w:ascii="Times New Roman" w:hAnsi="Times New Roman" w:cs="Times New Roman"/>
                <w:w w:val="105"/>
                <w:sz w:val="28"/>
                <w:lang w:eastAsia="es-ES"/>
              </w:rPr>
              <w:t xml:space="preserve">Al siguiente día (24) horas de realizar el reporte </w:t>
            </w:r>
            <w:r w:rsidRPr="007C57D2">
              <w:rPr>
                <w:rFonts w:ascii="Times New Roman" w:hAnsi="Times New Roman" w:cs="Times New Roman"/>
                <w:w w:val="105"/>
                <w:sz w:val="28"/>
                <w:lang w:eastAsia="es-ES"/>
              </w:rPr>
              <w:t>en la plataforma virtual o de manera personal ante el CAI o estación de policía o unidad policial, defensoría de familia, comisaria de familia o inspección de policía, y de no encontrarse el niño o niña extraviado, la Policía Nacional, por medio de oficio,</w:t>
            </w:r>
            <w:r w:rsidRPr="007C57D2">
              <w:rPr>
                <w:rFonts w:ascii="Times New Roman" w:hAnsi="Times New Roman" w:cs="Times New Roman"/>
                <w:w w:val="105"/>
                <w:sz w:val="28"/>
                <w:lang w:eastAsia="es-ES"/>
              </w:rPr>
              <w:t xml:space="preserve"> deberá realizar la denuncia ante la Fiscalía General de la Nación, quien deberá actuar de manera prioritaria para el inicio de las investigaciones pertinentes.</w:t>
            </w:r>
          </w:p>
          <w:p w:rsidR="007630E9" w:rsidRPr="007C57D2" w:rsidRDefault="007C57D2" w:rsidP="007C57D2">
            <w:pPr>
              <w:pStyle w:val="TableParagraph"/>
              <w:tabs>
                <w:tab w:val="left" w:pos="1345"/>
              </w:tabs>
              <w:jc w:val="both"/>
              <w:rPr>
                <w:rFonts w:ascii="Times New Roman" w:hAnsi="Times New Roman" w:cs="Times New Roman"/>
                <w:w w:val="105"/>
                <w:sz w:val="28"/>
                <w:lang w:eastAsia="es-ES"/>
              </w:rPr>
            </w:pPr>
          </w:p>
          <w:p w:rsidR="007630E9" w:rsidRPr="007C57D2" w:rsidRDefault="007C57D2" w:rsidP="007C57D2">
            <w:pPr>
              <w:pStyle w:val="TableParagraph"/>
              <w:tabs>
                <w:tab w:val="left" w:pos="1345"/>
              </w:tabs>
              <w:jc w:val="both"/>
              <w:rPr>
                <w:rFonts w:ascii="Times New Roman" w:hAnsi="Times New Roman" w:cs="Times New Roman"/>
                <w:sz w:val="28"/>
                <w:lang w:eastAsia="es-ES"/>
              </w:rPr>
            </w:pPr>
            <w:r w:rsidRPr="007C57D2">
              <w:rPr>
                <w:rFonts w:ascii="Times New Roman" w:hAnsi="Times New Roman" w:cs="Times New Roman"/>
                <w:b/>
                <w:bCs/>
                <w:w w:val="105"/>
                <w:sz w:val="28"/>
                <w:lang w:eastAsia="es-ES"/>
              </w:rPr>
              <w:t>Parágrafo.</w:t>
            </w:r>
            <w:r w:rsidRPr="007C57D2">
              <w:rPr>
                <w:rFonts w:ascii="Times New Roman" w:hAnsi="Times New Roman" w:cs="Times New Roman"/>
                <w:w w:val="105"/>
                <w:sz w:val="28"/>
                <w:lang w:eastAsia="es-ES"/>
              </w:rPr>
              <w:t xml:space="preserve"> En aquellos territorios donde no se cuente con los medios tecnológicos para interpo</w:t>
            </w:r>
            <w:r w:rsidRPr="007C57D2">
              <w:rPr>
                <w:rFonts w:ascii="Times New Roman" w:hAnsi="Times New Roman" w:cs="Times New Roman"/>
                <w:w w:val="105"/>
                <w:sz w:val="28"/>
                <w:lang w:eastAsia="es-ES"/>
              </w:rPr>
              <w:t>ner el reporte por medio de la página web de la Policía Nacional, el reporte deberá presentarse ante la Policía Nacional, la defensoría de familia, comisaria de familiar o inspección de policía o dependencia principal del municipio, quienes serán los respo</w:t>
            </w:r>
            <w:r w:rsidRPr="007C57D2">
              <w:rPr>
                <w:rFonts w:ascii="Times New Roman" w:hAnsi="Times New Roman" w:cs="Times New Roman"/>
                <w:w w:val="105"/>
                <w:sz w:val="28"/>
                <w:lang w:eastAsia="es-ES"/>
              </w:rPr>
              <w:t>nsables de cargar la información a la plataforma virtual dispuesta para la recepción de denuncias.</w:t>
            </w:r>
          </w:p>
        </w:tc>
        <w:tc>
          <w:tcPr>
            <w:tcW w:w="3657" w:type="dxa"/>
            <w:shd w:val="clear" w:color="auto" w:fill="auto"/>
          </w:tcPr>
          <w:p w:rsidR="0047024A" w:rsidRPr="007C57D2" w:rsidRDefault="007C57D2" w:rsidP="007C57D2">
            <w:pPr>
              <w:tabs>
                <w:tab w:val="left" w:pos="567"/>
              </w:tabs>
              <w:spacing w:after="0" w:line="240" w:lineRule="auto"/>
              <w:jc w:val="both"/>
              <w:rPr>
                <w:rFonts w:ascii="Times New Roman" w:hAnsi="Times New Roman"/>
                <w:w w:val="105"/>
                <w:sz w:val="28"/>
              </w:rPr>
            </w:pPr>
            <w:r w:rsidRPr="007C57D2">
              <w:rPr>
                <w:rFonts w:ascii="Times New Roman" w:hAnsi="Times New Roman"/>
                <w:b/>
                <w:w w:val="105"/>
                <w:sz w:val="28"/>
              </w:rPr>
              <w:t>Artículo 5. Sistema</w:t>
            </w:r>
            <w:r w:rsidRPr="007C57D2">
              <w:rPr>
                <w:rFonts w:ascii="Times New Roman" w:hAnsi="Times New Roman"/>
                <w:b/>
                <w:spacing w:val="40"/>
                <w:w w:val="105"/>
                <w:sz w:val="28"/>
              </w:rPr>
              <w:t xml:space="preserve"> </w:t>
            </w:r>
            <w:r w:rsidRPr="007C57D2">
              <w:rPr>
                <w:rFonts w:ascii="Times New Roman" w:hAnsi="Times New Roman"/>
                <w:b/>
                <w:w w:val="105"/>
                <w:sz w:val="28"/>
              </w:rPr>
              <w:t>Nacional de Reporte</w:t>
            </w:r>
            <w:r w:rsidRPr="007C57D2">
              <w:rPr>
                <w:rFonts w:ascii="Times New Roman" w:hAnsi="Times New Roman"/>
                <w:b/>
                <w:spacing w:val="40"/>
                <w:w w:val="105"/>
                <w:sz w:val="28"/>
              </w:rPr>
              <w:t xml:space="preserve"> </w:t>
            </w:r>
            <w:r w:rsidRPr="007C57D2">
              <w:rPr>
                <w:rFonts w:ascii="Times New Roman" w:hAnsi="Times New Roman"/>
                <w:b/>
                <w:w w:val="105"/>
                <w:sz w:val="28"/>
              </w:rPr>
              <w:t xml:space="preserve">Virtual. </w:t>
            </w:r>
            <w:r w:rsidRPr="007C57D2">
              <w:rPr>
                <w:rFonts w:ascii="Times New Roman" w:hAnsi="Times New Roman"/>
                <w:w w:val="105"/>
                <w:sz w:val="28"/>
              </w:rPr>
              <w:t>El Instituto</w:t>
            </w:r>
            <w:r w:rsidRPr="007C57D2">
              <w:rPr>
                <w:rFonts w:ascii="Times New Roman" w:hAnsi="Times New Roman"/>
                <w:spacing w:val="40"/>
                <w:w w:val="105"/>
                <w:sz w:val="28"/>
              </w:rPr>
              <w:t xml:space="preserve"> </w:t>
            </w:r>
            <w:r w:rsidRPr="007C57D2">
              <w:rPr>
                <w:rFonts w:ascii="Times New Roman" w:hAnsi="Times New Roman"/>
                <w:w w:val="105"/>
                <w:sz w:val="28"/>
              </w:rPr>
              <w:t>Colombiano de bienestar</w:t>
            </w:r>
            <w:r w:rsidRPr="007C57D2">
              <w:rPr>
                <w:rFonts w:ascii="Times New Roman" w:hAnsi="Times New Roman"/>
                <w:spacing w:val="40"/>
                <w:w w:val="105"/>
                <w:sz w:val="28"/>
              </w:rPr>
              <w:t xml:space="preserve"> </w:t>
            </w:r>
            <w:r w:rsidRPr="007C57D2">
              <w:rPr>
                <w:rFonts w:ascii="Times New Roman" w:hAnsi="Times New Roman"/>
                <w:w w:val="105"/>
                <w:sz w:val="28"/>
              </w:rPr>
              <w:t>Familiar dispondrá de una</w:t>
            </w:r>
            <w:r w:rsidRPr="007C57D2">
              <w:rPr>
                <w:rFonts w:ascii="Times New Roman" w:hAnsi="Times New Roman"/>
                <w:spacing w:val="40"/>
                <w:w w:val="105"/>
                <w:sz w:val="28"/>
              </w:rPr>
              <w:t xml:space="preserve"> </w:t>
            </w:r>
            <w:r w:rsidRPr="007C57D2">
              <w:rPr>
                <w:rFonts w:ascii="Times New Roman" w:hAnsi="Times New Roman"/>
                <w:w w:val="105"/>
                <w:sz w:val="28"/>
              </w:rPr>
              <w:t>ventana especial de alerta</w:t>
            </w:r>
            <w:r w:rsidRPr="007C57D2">
              <w:rPr>
                <w:rFonts w:ascii="Times New Roman" w:hAnsi="Times New Roman"/>
                <w:spacing w:val="40"/>
                <w:w w:val="105"/>
                <w:sz w:val="28"/>
              </w:rPr>
              <w:t xml:space="preserve"> </w:t>
            </w:r>
            <w:r w:rsidRPr="007C57D2">
              <w:rPr>
                <w:rFonts w:ascii="Times New Roman" w:hAnsi="Times New Roman"/>
                <w:w w:val="105"/>
                <w:sz w:val="28"/>
              </w:rPr>
              <w:t xml:space="preserve">en su página web </w:t>
            </w:r>
            <w:r w:rsidRPr="007C57D2">
              <w:rPr>
                <w:rFonts w:ascii="Times New Roman" w:hAnsi="Times New Roman"/>
                <w:w w:val="105"/>
                <w:sz w:val="28"/>
              </w:rPr>
              <w:t>oficial</w:t>
            </w:r>
            <w:r w:rsidRPr="007C57D2">
              <w:rPr>
                <w:rFonts w:ascii="Times New Roman" w:hAnsi="Times New Roman"/>
                <w:spacing w:val="40"/>
                <w:w w:val="105"/>
                <w:sz w:val="28"/>
              </w:rPr>
              <w:t xml:space="preserve"> </w:t>
            </w:r>
            <w:r w:rsidRPr="007C57D2">
              <w:rPr>
                <w:rFonts w:ascii="Times New Roman" w:hAnsi="Times New Roman"/>
                <w:w w:val="105"/>
                <w:sz w:val="28"/>
              </w:rPr>
              <w:t>para que las personas</w:t>
            </w:r>
            <w:r w:rsidRPr="007C57D2">
              <w:rPr>
                <w:rFonts w:ascii="Times New Roman" w:hAnsi="Times New Roman"/>
                <w:spacing w:val="40"/>
                <w:w w:val="105"/>
                <w:sz w:val="28"/>
              </w:rPr>
              <w:t xml:space="preserve"> </w:t>
            </w:r>
            <w:r w:rsidRPr="007C57D2">
              <w:rPr>
                <w:rFonts w:ascii="Times New Roman" w:hAnsi="Times New Roman"/>
                <w:w w:val="105"/>
                <w:sz w:val="28"/>
              </w:rPr>
              <w:t>puedan realizar de manera</w:t>
            </w:r>
            <w:r w:rsidRPr="007C57D2">
              <w:rPr>
                <w:rFonts w:ascii="Times New Roman" w:hAnsi="Times New Roman"/>
                <w:spacing w:val="40"/>
                <w:w w:val="105"/>
                <w:sz w:val="28"/>
              </w:rPr>
              <w:t xml:space="preserve"> </w:t>
            </w:r>
            <w:r w:rsidRPr="007C57D2">
              <w:rPr>
                <w:rFonts w:ascii="Times New Roman" w:hAnsi="Times New Roman"/>
                <w:w w:val="105"/>
                <w:sz w:val="28"/>
              </w:rPr>
              <w:t>sencilla el respectivo</w:t>
            </w:r>
            <w:r w:rsidRPr="007C57D2">
              <w:rPr>
                <w:rFonts w:ascii="Times New Roman" w:hAnsi="Times New Roman"/>
                <w:spacing w:val="40"/>
                <w:w w:val="105"/>
                <w:sz w:val="28"/>
              </w:rPr>
              <w:t xml:space="preserve"> </w:t>
            </w:r>
            <w:r w:rsidRPr="007C57D2">
              <w:rPr>
                <w:rFonts w:ascii="Times New Roman" w:hAnsi="Times New Roman"/>
                <w:w w:val="105"/>
                <w:sz w:val="28"/>
              </w:rPr>
              <w:t>reporte del niño o niña</w:t>
            </w:r>
            <w:r w:rsidRPr="007C57D2">
              <w:rPr>
                <w:rFonts w:ascii="Times New Roman" w:hAnsi="Times New Roman"/>
                <w:spacing w:val="40"/>
                <w:w w:val="105"/>
                <w:sz w:val="28"/>
              </w:rPr>
              <w:t xml:space="preserve"> </w:t>
            </w:r>
            <w:r w:rsidRPr="007C57D2">
              <w:rPr>
                <w:rFonts w:ascii="Times New Roman" w:hAnsi="Times New Roman"/>
                <w:w w:val="105"/>
                <w:sz w:val="28"/>
              </w:rPr>
              <w:t>extraviado, incluyendo el</w:t>
            </w:r>
            <w:r w:rsidRPr="007C57D2">
              <w:rPr>
                <w:rFonts w:ascii="Times New Roman" w:hAnsi="Times New Roman"/>
                <w:spacing w:val="40"/>
                <w:w w:val="105"/>
                <w:sz w:val="28"/>
              </w:rPr>
              <w:t xml:space="preserve"> </w:t>
            </w:r>
            <w:r w:rsidRPr="007C57D2">
              <w:rPr>
                <w:rFonts w:ascii="Times New Roman" w:hAnsi="Times New Roman"/>
                <w:w w:val="105"/>
                <w:sz w:val="28"/>
              </w:rPr>
              <w:t>consentimiento informado</w:t>
            </w:r>
            <w:r w:rsidRPr="007C57D2">
              <w:rPr>
                <w:rFonts w:ascii="Times New Roman" w:hAnsi="Times New Roman"/>
                <w:spacing w:val="40"/>
                <w:w w:val="105"/>
                <w:sz w:val="28"/>
              </w:rPr>
              <w:t xml:space="preserve"> </w:t>
            </w:r>
            <w:r w:rsidRPr="007C57D2">
              <w:rPr>
                <w:rFonts w:ascii="Times New Roman" w:hAnsi="Times New Roman"/>
                <w:w w:val="105"/>
                <w:sz w:val="28"/>
              </w:rPr>
              <w:t>para el tratamiento de los</w:t>
            </w:r>
            <w:r w:rsidRPr="007C57D2">
              <w:rPr>
                <w:rFonts w:ascii="Times New Roman" w:hAnsi="Times New Roman"/>
                <w:spacing w:val="40"/>
                <w:w w:val="105"/>
                <w:sz w:val="28"/>
              </w:rPr>
              <w:t xml:space="preserve"> </w:t>
            </w:r>
            <w:r w:rsidRPr="007C57D2">
              <w:rPr>
                <w:rFonts w:ascii="Times New Roman" w:hAnsi="Times New Roman"/>
                <w:w w:val="105"/>
                <w:sz w:val="28"/>
              </w:rPr>
              <w:t>datos biométricos y</w:t>
            </w:r>
            <w:r w:rsidRPr="007C57D2">
              <w:rPr>
                <w:rFonts w:ascii="Times New Roman" w:hAnsi="Times New Roman"/>
                <w:spacing w:val="40"/>
                <w:w w:val="105"/>
                <w:sz w:val="28"/>
              </w:rPr>
              <w:t xml:space="preserve"> </w:t>
            </w:r>
            <w:r w:rsidRPr="007C57D2">
              <w:rPr>
                <w:rFonts w:ascii="Times New Roman" w:hAnsi="Times New Roman"/>
                <w:w w:val="105"/>
                <w:sz w:val="28"/>
              </w:rPr>
              <w:t>personales. La ventana</w:t>
            </w:r>
            <w:r w:rsidRPr="007C57D2">
              <w:rPr>
                <w:rFonts w:ascii="Times New Roman" w:hAnsi="Times New Roman"/>
                <w:spacing w:val="40"/>
                <w:w w:val="105"/>
                <w:sz w:val="28"/>
              </w:rPr>
              <w:t xml:space="preserve"> </w:t>
            </w:r>
            <w:r w:rsidRPr="007C57D2">
              <w:rPr>
                <w:rFonts w:ascii="Times New Roman" w:hAnsi="Times New Roman"/>
                <w:w w:val="105"/>
                <w:sz w:val="28"/>
              </w:rPr>
              <w:t>virtual tendrá el instructivo</w:t>
            </w:r>
            <w:r w:rsidRPr="007C57D2">
              <w:rPr>
                <w:rFonts w:ascii="Times New Roman" w:hAnsi="Times New Roman"/>
                <w:spacing w:val="40"/>
                <w:w w:val="105"/>
                <w:sz w:val="28"/>
              </w:rPr>
              <w:t xml:space="preserve"> </w:t>
            </w:r>
            <w:r w:rsidRPr="007C57D2">
              <w:rPr>
                <w:rFonts w:ascii="Times New Roman" w:hAnsi="Times New Roman"/>
                <w:w w:val="105"/>
                <w:sz w:val="28"/>
              </w:rPr>
              <w:t>pa</w:t>
            </w:r>
            <w:r w:rsidRPr="007C57D2">
              <w:rPr>
                <w:rFonts w:ascii="Times New Roman" w:hAnsi="Times New Roman"/>
                <w:w w:val="105"/>
                <w:sz w:val="28"/>
              </w:rPr>
              <w:t>ra poder realizar el</w:t>
            </w:r>
            <w:r w:rsidRPr="007C57D2">
              <w:rPr>
                <w:rFonts w:ascii="Times New Roman" w:hAnsi="Times New Roman"/>
                <w:spacing w:val="40"/>
                <w:w w:val="105"/>
                <w:sz w:val="28"/>
              </w:rPr>
              <w:t xml:space="preserve"> </w:t>
            </w:r>
            <w:r w:rsidRPr="007C57D2">
              <w:rPr>
                <w:rFonts w:ascii="Times New Roman" w:hAnsi="Times New Roman"/>
                <w:w w:val="105"/>
                <w:sz w:val="28"/>
              </w:rPr>
              <w:t>reporte y brindar toda la</w:t>
            </w:r>
            <w:r w:rsidRPr="007C57D2">
              <w:rPr>
                <w:rFonts w:ascii="Times New Roman" w:hAnsi="Times New Roman"/>
                <w:spacing w:val="40"/>
                <w:w w:val="105"/>
                <w:sz w:val="28"/>
              </w:rPr>
              <w:t xml:space="preserve"> </w:t>
            </w:r>
            <w:r w:rsidRPr="007C57D2">
              <w:rPr>
                <w:rFonts w:ascii="Times New Roman" w:hAnsi="Times New Roman"/>
                <w:w w:val="105"/>
                <w:sz w:val="28"/>
              </w:rPr>
              <w:t>información necesaria para</w:t>
            </w:r>
            <w:r w:rsidRPr="007C57D2">
              <w:rPr>
                <w:rFonts w:ascii="Times New Roman" w:hAnsi="Times New Roman"/>
                <w:spacing w:val="40"/>
                <w:w w:val="105"/>
                <w:sz w:val="28"/>
              </w:rPr>
              <w:t xml:space="preserve"> </w:t>
            </w:r>
            <w:r w:rsidRPr="007C57D2">
              <w:rPr>
                <w:rFonts w:ascii="Times New Roman" w:hAnsi="Times New Roman"/>
                <w:w w:val="105"/>
                <w:sz w:val="28"/>
              </w:rPr>
              <w:t>activar la alerta en caso de</w:t>
            </w:r>
            <w:r w:rsidRPr="007C57D2">
              <w:rPr>
                <w:rFonts w:ascii="Times New Roman" w:hAnsi="Times New Roman"/>
                <w:spacing w:val="40"/>
                <w:w w:val="105"/>
                <w:sz w:val="28"/>
              </w:rPr>
              <w:t xml:space="preserve"> </w:t>
            </w:r>
            <w:r w:rsidRPr="007C57D2">
              <w:rPr>
                <w:rFonts w:ascii="Times New Roman" w:hAnsi="Times New Roman"/>
                <w:w w:val="105"/>
                <w:sz w:val="28"/>
              </w:rPr>
              <w:t>riesgo</w:t>
            </w:r>
            <w:r w:rsidRPr="007C57D2">
              <w:rPr>
                <w:rFonts w:ascii="Times New Roman" w:hAnsi="Times New Roman"/>
                <w:spacing w:val="-5"/>
                <w:w w:val="105"/>
                <w:sz w:val="28"/>
              </w:rPr>
              <w:t xml:space="preserve"> </w:t>
            </w:r>
            <w:r w:rsidRPr="007C57D2">
              <w:rPr>
                <w:rFonts w:ascii="Times New Roman" w:hAnsi="Times New Roman"/>
                <w:w w:val="105"/>
                <w:sz w:val="28"/>
              </w:rPr>
              <w:t>inminente.</w:t>
            </w:r>
          </w:p>
          <w:p w:rsidR="007630E9" w:rsidRPr="007C57D2" w:rsidRDefault="007C57D2" w:rsidP="007C57D2">
            <w:pPr>
              <w:tabs>
                <w:tab w:val="left" w:pos="567"/>
              </w:tabs>
              <w:spacing w:after="0" w:line="240" w:lineRule="auto"/>
              <w:jc w:val="both"/>
              <w:rPr>
                <w:rFonts w:ascii="Times New Roman" w:hAnsi="Times New Roman"/>
                <w:w w:val="105"/>
                <w:sz w:val="28"/>
              </w:rPr>
            </w:pPr>
          </w:p>
          <w:p w:rsidR="007630E9" w:rsidRPr="007C57D2" w:rsidRDefault="007C57D2" w:rsidP="007C57D2">
            <w:pPr>
              <w:tabs>
                <w:tab w:val="left" w:pos="567"/>
              </w:tabs>
              <w:spacing w:after="0" w:line="240" w:lineRule="auto"/>
              <w:jc w:val="both"/>
              <w:rPr>
                <w:rFonts w:ascii="Times New Roman" w:hAnsi="Times New Roman"/>
                <w:w w:val="105"/>
                <w:sz w:val="28"/>
              </w:rPr>
            </w:pPr>
          </w:p>
          <w:p w:rsidR="007630E9" w:rsidRPr="007C57D2" w:rsidRDefault="007C57D2" w:rsidP="007C57D2">
            <w:pPr>
              <w:tabs>
                <w:tab w:val="left" w:pos="567"/>
              </w:tabs>
              <w:spacing w:after="0" w:line="240" w:lineRule="auto"/>
              <w:jc w:val="both"/>
              <w:rPr>
                <w:rFonts w:ascii="Times New Roman" w:hAnsi="Times New Roman"/>
                <w:w w:val="105"/>
                <w:sz w:val="28"/>
              </w:rPr>
            </w:pPr>
          </w:p>
          <w:p w:rsidR="007630E9" w:rsidRPr="007C57D2" w:rsidRDefault="007C57D2" w:rsidP="007C57D2">
            <w:pPr>
              <w:pStyle w:val="TableParagraph"/>
              <w:tabs>
                <w:tab w:val="left" w:pos="1192"/>
              </w:tabs>
              <w:jc w:val="both"/>
              <w:rPr>
                <w:rFonts w:ascii="Times New Roman" w:hAnsi="Times New Roman" w:cs="Times New Roman"/>
                <w:sz w:val="28"/>
              </w:rPr>
            </w:pPr>
            <w:r w:rsidRPr="007C57D2">
              <w:rPr>
                <w:rFonts w:ascii="Times New Roman" w:hAnsi="Times New Roman" w:cs="Times New Roman"/>
                <w:w w:val="105"/>
                <w:sz w:val="28"/>
              </w:rPr>
              <w:t>El Instituto Colombiano 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Bienestar Familiar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garantizará</w:t>
            </w:r>
            <w:r w:rsidRPr="007C57D2">
              <w:rPr>
                <w:rFonts w:ascii="Times New Roman" w:hAnsi="Times New Roman" w:cs="Times New Roman"/>
                <w:spacing w:val="65"/>
                <w:w w:val="150"/>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65"/>
                <w:w w:val="150"/>
                <w:sz w:val="28"/>
              </w:rPr>
              <w:t xml:space="preserve"> </w:t>
            </w:r>
            <w:r w:rsidRPr="007C57D2">
              <w:rPr>
                <w:rFonts w:ascii="Times New Roman" w:hAnsi="Times New Roman" w:cs="Times New Roman"/>
                <w:w w:val="105"/>
                <w:sz w:val="28"/>
              </w:rPr>
              <w:t>acceso</w:t>
            </w:r>
            <w:r w:rsidRPr="007C57D2">
              <w:rPr>
                <w:rFonts w:ascii="Times New Roman" w:hAnsi="Times New Roman" w:cs="Times New Roman"/>
                <w:spacing w:val="67"/>
                <w:w w:val="150"/>
                <w:sz w:val="28"/>
              </w:rPr>
              <w:t xml:space="preserve"> </w:t>
            </w:r>
            <w:r w:rsidRPr="007C57D2">
              <w:rPr>
                <w:rFonts w:ascii="Times New Roman" w:hAnsi="Times New Roman" w:cs="Times New Roman"/>
                <w:spacing w:val="-5"/>
                <w:w w:val="105"/>
                <w:sz w:val="28"/>
              </w:rPr>
              <w:t xml:space="preserve">al </w:t>
            </w:r>
            <w:r w:rsidRPr="007C57D2">
              <w:rPr>
                <w:rFonts w:ascii="Times New Roman" w:hAnsi="Times New Roman" w:cs="Times New Roman"/>
                <w:w w:val="105"/>
                <w:sz w:val="28"/>
              </w:rPr>
              <w:t>Sistema</w:t>
            </w:r>
            <w:r w:rsidRPr="007C57D2">
              <w:rPr>
                <w:rFonts w:ascii="Times New Roman" w:hAnsi="Times New Roman" w:cs="Times New Roman"/>
                <w:spacing w:val="73"/>
                <w:w w:val="150"/>
                <w:sz w:val="28"/>
              </w:rPr>
              <w:t xml:space="preserve"> </w:t>
            </w:r>
            <w:r w:rsidRPr="007C57D2">
              <w:rPr>
                <w:rFonts w:ascii="Times New Roman" w:hAnsi="Times New Roman" w:cs="Times New Roman"/>
                <w:w w:val="105"/>
                <w:sz w:val="28"/>
              </w:rPr>
              <w:t>Nacional</w:t>
            </w:r>
            <w:r w:rsidRPr="007C57D2">
              <w:rPr>
                <w:rFonts w:ascii="Times New Roman" w:hAnsi="Times New Roman" w:cs="Times New Roman"/>
                <w:spacing w:val="73"/>
                <w:w w:val="150"/>
                <w:sz w:val="28"/>
              </w:rPr>
              <w:t xml:space="preserve"> </w:t>
            </w:r>
            <w:r w:rsidRPr="007C57D2">
              <w:rPr>
                <w:rFonts w:ascii="Times New Roman" w:hAnsi="Times New Roman" w:cs="Times New Roman"/>
                <w:spacing w:val="-5"/>
                <w:w w:val="105"/>
                <w:sz w:val="28"/>
              </w:rPr>
              <w:t xml:space="preserve">de </w:t>
            </w:r>
            <w:r w:rsidRPr="007C57D2">
              <w:rPr>
                <w:rFonts w:ascii="Times New Roman" w:hAnsi="Times New Roman" w:cs="Times New Roman"/>
                <w:sz w:val="28"/>
              </w:rPr>
              <w:t>Reporte Virtual a la Policía</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Nacional, </w:t>
            </w:r>
            <w:r w:rsidRPr="007C57D2">
              <w:rPr>
                <w:rFonts w:ascii="Times New Roman" w:hAnsi="Times New Roman" w:cs="Times New Roman"/>
                <w:sz w:val="28"/>
              </w:rPr>
              <w:t>con el fin de</w:t>
            </w:r>
            <w:r w:rsidRPr="007C57D2">
              <w:rPr>
                <w:rFonts w:ascii="Times New Roman" w:hAnsi="Times New Roman" w:cs="Times New Roman"/>
                <w:spacing w:val="40"/>
                <w:sz w:val="28"/>
              </w:rPr>
              <w:t xml:space="preserve"> </w:t>
            </w:r>
            <w:r w:rsidRPr="007C57D2">
              <w:rPr>
                <w:rFonts w:ascii="Times New Roman" w:hAnsi="Times New Roman" w:cs="Times New Roman"/>
                <w:sz w:val="28"/>
              </w:rPr>
              <w:t>consultar el reporte y</w:t>
            </w:r>
            <w:r w:rsidRPr="007C57D2">
              <w:rPr>
                <w:rFonts w:ascii="Times New Roman" w:hAnsi="Times New Roman" w:cs="Times New Roman"/>
                <w:spacing w:val="40"/>
                <w:sz w:val="28"/>
              </w:rPr>
              <w:t xml:space="preserve"> </w:t>
            </w:r>
            <w:r w:rsidRPr="007C57D2">
              <w:rPr>
                <w:rFonts w:ascii="Times New Roman" w:hAnsi="Times New Roman" w:cs="Times New Roman"/>
                <w:sz w:val="28"/>
              </w:rPr>
              <w:t>generar la alerta.</w:t>
            </w:r>
          </w:p>
          <w:p w:rsidR="007630E9" w:rsidRPr="007C57D2" w:rsidRDefault="007C57D2" w:rsidP="007C57D2">
            <w:pPr>
              <w:pStyle w:val="TableParagraph"/>
              <w:tabs>
                <w:tab w:val="left" w:pos="1192"/>
              </w:tabs>
              <w:jc w:val="both"/>
              <w:rPr>
                <w:rFonts w:ascii="Times New Roman" w:hAnsi="Times New Roman" w:cs="Times New Roman"/>
                <w:sz w:val="28"/>
              </w:rPr>
            </w:pPr>
          </w:p>
          <w:p w:rsidR="007630E9" w:rsidRPr="007C57D2" w:rsidRDefault="007C57D2" w:rsidP="007C57D2">
            <w:pPr>
              <w:pStyle w:val="TableParagraph"/>
              <w:tabs>
                <w:tab w:val="left" w:pos="1192"/>
              </w:tabs>
              <w:jc w:val="both"/>
              <w:rPr>
                <w:rFonts w:ascii="Times New Roman" w:hAnsi="Times New Roman" w:cs="Times New Roman"/>
                <w:sz w:val="28"/>
                <w:lang w:val="es-CO" w:eastAsia="es-ES"/>
              </w:rPr>
            </w:pPr>
            <w:r w:rsidRPr="007C57D2">
              <w:rPr>
                <w:rFonts w:ascii="Times New Roman" w:hAnsi="Times New Roman" w:cs="Times New Roman"/>
                <w:sz w:val="28"/>
                <w:lang w:val="es-CO" w:eastAsia="es-ES"/>
              </w:rPr>
              <w:t>Cuando se haga uso de la plataforma virtual deberá indicarse expresamente el nombre e identificación de la persona que realiza el reporte.</w:t>
            </w:r>
          </w:p>
          <w:p w:rsidR="007630E9" w:rsidRPr="007C57D2" w:rsidRDefault="007C57D2" w:rsidP="007C57D2">
            <w:pPr>
              <w:pStyle w:val="TableParagraph"/>
              <w:tabs>
                <w:tab w:val="left" w:pos="1192"/>
              </w:tabs>
              <w:jc w:val="both"/>
              <w:rPr>
                <w:rFonts w:ascii="Times New Roman" w:hAnsi="Times New Roman" w:cs="Times New Roman"/>
                <w:sz w:val="28"/>
                <w:lang w:eastAsia="es-ES"/>
              </w:rPr>
            </w:pPr>
          </w:p>
          <w:p w:rsidR="007630E9" w:rsidRPr="007C57D2" w:rsidRDefault="007C57D2" w:rsidP="007C57D2">
            <w:pPr>
              <w:pStyle w:val="TableParagraph"/>
              <w:tabs>
                <w:tab w:val="left" w:pos="1192"/>
              </w:tabs>
              <w:jc w:val="both"/>
              <w:rPr>
                <w:rFonts w:ascii="Times New Roman" w:hAnsi="Times New Roman" w:cs="Times New Roman"/>
                <w:sz w:val="28"/>
                <w:lang w:eastAsia="es-ES"/>
              </w:rPr>
            </w:pPr>
          </w:p>
          <w:p w:rsidR="007630E9" w:rsidRPr="007C57D2" w:rsidRDefault="007C57D2" w:rsidP="007C57D2">
            <w:pPr>
              <w:pStyle w:val="TableParagraph"/>
              <w:tabs>
                <w:tab w:val="left" w:pos="1192"/>
              </w:tabs>
              <w:jc w:val="both"/>
              <w:rPr>
                <w:rFonts w:ascii="Times New Roman" w:hAnsi="Times New Roman" w:cs="Times New Roman"/>
                <w:sz w:val="28"/>
                <w:lang w:eastAsia="es-ES"/>
              </w:rPr>
            </w:pPr>
            <w:r w:rsidRPr="007C57D2">
              <w:rPr>
                <w:rFonts w:ascii="Times New Roman" w:hAnsi="Times New Roman" w:cs="Times New Roman"/>
                <w:sz w:val="28"/>
                <w:lang w:eastAsia="es-ES"/>
              </w:rPr>
              <w:t>Lo anterior no impedirá que, en aquellos casos en que no se cuente con los medios tecnológicos disponibles para interponer el reporte por medio de la página web oficial, el reporte del un niño o niña extraviado se pueda realizar de manera presencial ante l</w:t>
            </w:r>
            <w:r w:rsidRPr="007C57D2">
              <w:rPr>
                <w:rFonts w:ascii="Times New Roman" w:hAnsi="Times New Roman" w:cs="Times New Roman"/>
                <w:sz w:val="28"/>
                <w:lang w:eastAsia="es-ES"/>
              </w:rPr>
              <w:t>a defensoría de familia, comisaría de familia o inspección de policía más cercano al lugar de la pérdida del niño o niña o la Policía Nacional en cualquiera de sus instalaciones, donde se dispondrán de los medios necesarios para que se realice el trámite r</w:t>
            </w:r>
            <w:r w:rsidRPr="007C57D2">
              <w:rPr>
                <w:rFonts w:ascii="Times New Roman" w:hAnsi="Times New Roman" w:cs="Times New Roman"/>
                <w:sz w:val="28"/>
                <w:lang w:eastAsia="es-ES"/>
              </w:rPr>
              <w:t>elacionado con la autorización para el tratamiento de datos biométricos y personales.</w:t>
            </w:r>
          </w:p>
          <w:p w:rsidR="0014794A" w:rsidRPr="007C57D2" w:rsidRDefault="007C57D2" w:rsidP="007C57D2">
            <w:pPr>
              <w:pStyle w:val="TableParagraph"/>
              <w:tabs>
                <w:tab w:val="left" w:pos="1192"/>
              </w:tabs>
              <w:jc w:val="both"/>
              <w:rPr>
                <w:rFonts w:ascii="Times New Roman" w:hAnsi="Times New Roman" w:cs="Times New Roman"/>
                <w:sz w:val="28"/>
                <w:lang w:eastAsia="es-ES"/>
              </w:rPr>
            </w:pPr>
          </w:p>
          <w:p w:rsidR="007630E9" w:rsidRPr="007C57D2" w:rsidRDefault="007C57D2" w:rsidP="007C57D2">
            <w:pPr>
              <w:pStyle w:val="TableParagraph"/>
              <w:tabs>
                <w:tab w:val="left" w:pos="1192"/>
              </w:tabs>
              <w:jc w:val="both"/>
              <w:rPr>
                <w:rFonts w:ascii="Times New Roman" w:hAnsi="Times New Roman" w:cs="Times New Roman"/>
                <w:sz w:val="28"/>
                <w:lang w:eastAsia="es-ES"/>
              </w:rPr>
            </w:pPr>
            <w:r w:rsidRPr="007C57D2">
              <w:rPr>
                <w:rFonts w:ascii="Times New Roman" w:hAnsi="Times New Roman" w:cs="Times New Roman"/>
                <w:sz w:val="28"/>
                <w:lang w:val="es-CO" w:eastAsia="es-ES"/>
              </w:rPr>
              <w:t>Transcurridas (24) horas de realizar el reporte en la plataforma virtual o de manera personal y de no encontrarse el niño o niña extraviado, el Instituto Colombiano de B</w:t>
            </w:r>
            <w:r w:rsidRPr="007C57D2">
              <w:rPr>
                <w:rFonts w:ascii="Times New Roman" w:hAnsi="Times New Roman" w:cs="Times New Roman"/>
                <w:sz w:val="28"/>
                <w:lang w:val="es-CO" w:eastAsia="es-ES"/>
              </w:rPr>
              <w:t>ienestar Familiar deberá presentar la denuncia ante la Fiscalía General de la Nación, quien deberá actuar en el marco de sus competencias.</w:t>
            </w:r>
          </w:p>
        </w:tc>
        <w:tc>
          <w:tcPr>
            <w:tcW w:w="2185" w:type="dxa"/>
            <w:shd w:val="clear" w:color="auto" w:fill="auto"/>
            <w:vAlign w:val="center"/>
          </w:tcPr>
          <w:p w:rsidR="0047024A" w:rsidRPr="007C57D2" w:rsidRDefault="007C57D2" w:rsidP="007C57D2">
            <w:pPr>
              <w:tabs>
                <w:tab w:val="left" w:pos="567"/>
              </w:tabs>
              <w:spacing w:after="0" w:line="240" w:lineRule="auto"/>
              <w:jc w:val="center"/>
              <w:rPr>
                <w:rFonts w:ascii="Times New Roman" w:hAnsi="Times New Roman"/>
                <w:sz w:val="28"/>
                <w:lang w:eastAsia="es-ES"/>
              </w:rPr>
            </w:pPr>
            <w:r w:rsidRPr="007C57D2">
              <w:rPr>
                <w:rFonts w:ascii="Times New Roman" w:hAnsi="Times New Roman"/>
                <w:b/>
                <w:w w:val="105"/>
                <w:sz w:val="28"/>
              </w:rPr>
              <w:t>Se</w:t>
            </w:r>
            <w:r w:rsidRPr="007C57D2">
              <w:rPr>
                <w:rFonts w:ascii="Times New Roman" w:hAnsi="Times New Roman"/>
                <w:b/>
                <w:spacing w:val="-9"/>
                <w:w w:val="105"/>
                <w:sz w:val="28"/>
              </w:rPr>
              <w:t xml:space="preserve"> </w:t>
            </w:r>
            <w:r w:rsidRPr="007C57D2">
              <w:rPr>
                <w:rFonts w:ascii="Times New Roman" w:hAnsi="Times New Roman"/>
                <w:b/>
                <w:w w:val="105"/>
                <w:sz w:val="28"/>
              </w:rPr>
              <w:t>acoge</w:t>
            </w:r>
            <w:r w:rsidRPr="007C57D2">
              <w:rPr>
                <w:rFonts w:ascii="Times New Roman" w:hAnsi="Times New Roman"/>
                <w:b/>
                <w:spacing w:val="-9"/>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7630E9" w:rsidRPr="007C57D2" w:rsidRDefault="007C57D2" w:rsidP="007C57D2">
            <w:pPr>
              <w:pStyle w:val="TableParagraph"/>
              <w:tabs>
                <w:tab w:val="left" w:pos="1687"/>
              </w:tabs>
              <w:jc w:val="both"/>
              <w:rPr>
                <w:rFonts w:ascii="Times New Roman" w:hAnsi="Times New Roman" w:cs="Times New Roman"/>
                <w:w w:val="105"/>
                <w:sz w:val="28"/>
              </w:rPr>
            </w:pPr>
            <w:r w:rsidRPr="007C57D2">
              <w:rPr>
                <w:rFonts w:ascii="Times New Roman" w:hAnsi="Times New Roman" w:cs="Times New Roman"/>
                <w:b/>
                <w:w w:val="105"/>
                <w:sz w:val="28"/>
              </w:rPr>
              <w:t>Artículo 6. Divulgación</w:t>
            </w:r>
            <w:r w:rsidRPr="007C57D2">
              <w:rPr>
                <w:rFonts w:ascii="Times New Roman" w:hAnsi="Times New Roman" w:cs="Times New Roman"/>
                <w:w w:val="105"/>
                <w:sz w:val="28"/>
              </w:rPr>
              <w:t>.</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Fundamentado en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principios constitucionales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solidaridad, </w:t>
            </w:r>
            <w:r w:rsidRPr="007C57D2">
              <w:rPr>
                <w:rFonts w:ascii="Times New Roman" w:hAnsi="Times New Roman" w:cs="Times New Roman"/>
                <w:w w:val="105"/>
                <w:sz w:val="28"/>
              </w:rPr>
              <w:t>responsabilidad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social y empresarial,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proveedores de redes y</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 xml:space="preserve">servicios </w:t>
            </w:r>
            <w:r w:rsidRPr="007C57D2">
              <w:rPr>
                <w:rFonts w:ascii="Times New Roman" w:hAnsi="Times New Roman" w:cs="Times New Roman"/>
                <w:spacing w:val="-7"/>
                <w:w w:val="105"/>
                <w:sz w:val="28"/>
              </w:rPr>
              <w:t xml:space="preserve">de </w:t>
            </w:r>
            <w:r w:rsidRPr="007C57D2">
              <w:rPr>
                <w:rFonts w:ascii="Times New Roman" w:hAnsi="Times New Roman" w:cs="Times New Roman"/>
                <w:w w:val="105"/>
                <w:sz w:val="28"/>
              </w:rPr>
              <w:t>telecomunicaciones móviles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deberán garantizar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divulgación,</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forma</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gratuita</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inmediata al activarse la Alerta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Colombia,</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información</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niños o niñas extraviados a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ciudadanos a través de una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 qué debe ser enviada 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todos</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los</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teléfonos</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móviles</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que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se encuentren en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departamentos circundantes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donde se extravió el niño 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Esta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alerta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debe</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contener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los datos señalados en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artículo cuarto y los siguientes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 caso de tenerlos:</w:t>
            </w:r>
          </w:p>
          <w:p w:rsidR="007630E9" w:rsidRPr="007C57D2" w:rsidRDefault="007C57D2" w:rsidP="007C57D2">
            <w:pPr>
              <w:pStyle w:val="TableParagraph"/>
              <w:tabs>
                <w:tab w:val="left" w:pos="1687"/>
              </w:tabs>
              <w:jc w:val="both"/>
              <w:rPr>
                <w:rFonts w:ascii="Times New Roman" w:hAnsi="Times New Roman" w:cs="Times New Roman"/>
                <w:w w:val="105"/>
                <w:sz w:val="28"/>
              </w:rPr>
            </w:pPr>
          </w:p>
          <w:p w:rsidR="007630E9" w:rsidRPr="007C57D2" w:rsidRDefault="007C57D2" w:rsidP="007C57D2">
            <w:pPr>
              <w:pStyle w:val="TableParagraph"/>
              <w:tabs>
                <w:tab w:val="left" w:pos="1687"/>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a) </w:t>
            </w:r>
            <w:r w:rsidRPr="007C57D2">
              <w:rPr>
                <w:rFonts w:ascii="Times New Roman" w:hAnsi="Times New Roman" w:cs="Times New Roman"/>
                <w:bCs/>
                <w:w w:val="105"/>
                <w:sz w:val="28"/>
                <w:lang w:val="es-CO"/>
              </w:rPr>
              <w:t>Fecha exacta en la que se extravió el niño o niña.</w:t>
            </w:r>
          </w:p>
          <w:p w:rsidR="007630E9" w:rsidRPr="007C57D2" w:rsidRDefault="007C57D2" w:rsidP="007C57D2">
            <w:pPr>
              <w:pStyle w:val="TableParagraph"/>
              <w:tabs>
                <w:tab w:val="left" w:pos="1687"/>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b) </w:t>
            </w:r>
            <w:r w:rsidRPr="007C57D2">
              <w:rPr>
                <w:rFonts w:ascii="Times New Roman" w:hAnsi="Times New Roman" w:cs="Times New Roman"/>
                <w:bCs/>
                <w:w w:val="105"/>
                <w:sz w:val="28"/>
                <w:lang w:val="es-CO"/>
              </w:rPr>
              <w:t>Número telefónico dispuesto por las autoridades.</w:t>
            </w:r>
          </w:p>
          <w:p w:rsidR="007630E9" w:rsidRPr="007C57D2" w:rsidRDefault="007C57D2" w:rsidP="007C57D2">
            <w:pPr>
              <w:pStyle w:val="TableParagraph"/>
              <w:tabs>
                <w:tab w:val="left" w:pos="1687"/>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c) </w:t>
            </w:r>
            <w:r w:rsidRPr="007C57D2">
              <w:rPr>
                <w:rFonts w:ascii="Times New Roman" w:hAnsi="Times New Roman" w:cs="Times New Roman"/>
                <w:bCs/>
                <w:w w:val="105"/>
                <w:sz w:val="28"/>
                <w:lang w:val="es-CO"/>
              </w:rPr>
              <w:t>Número telefónico de los familiares.</w:t>
            </w:r>
          </w:p>
          <w:p w:rsidR="0014794A" w:rsidRPr="007C57D2" w:rsidRDefault="007C57D2" w:rsidP="007C57D2">
            <w:pPr>
              <w:pStyle w:val="TableParagraph"/>
              <w:tabs>
                <w:tab w:val="left" w:pos="1687"/>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d) </w:t>
            </w:r>
            <w:r w:rsidRPr="007C57D2">
              <w:rPr>
                <w:rFonts w:ascii="Times New Roman" w:hAnsi="Times New Roman" w:cs="Times New Roman"/>
                <w:bCs/>
                <w:w w:val="105"/>
                <w:sz w:val="28"/>
                <w:lang w:val="es-CO"/>
              </w:rPr>
              <w:t>Ciudad o municipio, localidad, departamento o distrito.</w:t>
            </w:r>
          </w:p>
          <w:p w:rsidR="0014794A" w:rsidRPr="007C57D2" w:rsidRDefault="007C57D2" w:rsidP="007C57D2">
            <w:pPr>
              <w:pStyle w:val="TableParagraph"/>
              <w:tabs>
                <w:tab w:val="left" w:pos="1687"/>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e) </w:t>
            </w:r>
            <w:r w:rsidRPr="007C57D2">
              <w:rPr>
                <w:rFonts w:ascii="Times New Roman" w:hAnsi="Times New Roman" w:cs="Times New Roman"/>
                <w:bCs/>
                <w:w w:val="105"/>
                <w:sz w:val="28"/>
                <w:lang w:val="es-CO"/>
              </w:rPr>
              <w:t xml:space="preserve">Barrio donde se extravió </w:t>
            </w:r>
            <w:r w:rsidRPr="007C57D2">
              <w:rPr>
                <w:rFonts w:ascii="Times New Roman" w:hAnsi="Times New Roman" w:cs="Times New Roman"/>
                <w:bCs/>
                <w:w w:val="105"/>
                <w:sz w:val="28"/>
                <w:lang w:val="es-CO"/>
              </w:rPr>
              <w:t>el niño o niña.</w:t>
            </w:r>
          </w:p>
          <w:p w:rsidR="0014794A" w:rsidRPr="007C57D2" w:rsidRDefault="007C57D2" w:rsidP="007C57D2">
            <w:pPr>
              <w:pStyle w:val="TableParagraph"/>
              <w:tabs>
                <w:tab w:val="left" w:pos="1687"/>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f) </w:t>
            </w:r>
            <w:r w:rsidRPr="007C57D2">
              <w:rPr>
                <w:rFonts w:ascii="Times New Roman" w:hAnsi="Times New Roman" w:cs="Times New Roman"/>
                <w:bCs/>
                <w:w w:val="105"/>
                <w:sz w:val="28"/>
                <w:lang w:val="es-CO"/>
              </w:rPr>
              <w:t>Vestimenta del niño o niña extraviado.</w:t>
            </w:r>
          </w:p>
          <w:p w:rsidR="0014794A" w:rsidRPr="007C57D2" w:rsidRDefault="007C57D2" w:rsidP="007C57D2">
            <w:pPr>
              <w:pStyle w:val="TableParagraph"/>
              <w:tabs>
                <w:tab w:val="left" w:pos="1761"/>
              </w:tabs>
              <w:jc w:val="both"/>
              <w:rPr>
                <w:rFonts w:ascii="Times New Roman" w:hAnsi="Times New Roman" w:cs="Times New Roman"/>
                <w:spacing w:val="-2"/>
                <w:sz w:val="28"/>
              </w:rPr>
            </w:pPr>
            <w:r w:rsidRPr="007C57D2">
              <w:rPr>
                <w:rFonts w:ascii="Times New Roman" w:hAnsi="Times New Roman" w:cs="Times New Roman"/>
                <w:b/>
                <w:sz w:val="28"/>
              </w:rPr>
              <w:t xml:space="preserve">g) </w:t>
            </w:r>
            <w:r w:rsidRPr="007C57D2">
              <w:rPr>
                <w:rFonts w:ascii="Times New Roman" w:hAnsi="Times New Roman" w:cs="Times New Roman"/>
                <w:sz w:val="28"/>
              </w:rPr>
              <w:t>Fotografía actualizada del</w:t>
            </w:r>
            <w:r w:rsidRPr="007C57D2">
              <w:rPr>
                <w:rFonts w:ascii="Times New Roman" w:hAnsi="Times New Roman" w:cs="Times New Roman"/>
                <w:spacing w:val="40"/>
                <w:sz w:val="28"/>
              </w:rPr>
              <w:t xml:space="preserve"> </w:t>
            </w:r>
            <w:r w:rsidRPr="007C57D2">
              <w:rPr>
                <w:rFonts w:ascii="Times New Roman" w:hAnsi="Times New Roman" w:cs="Times New Roman"/>
                <w:sz w:val="28"/>
              </w:rPr>
              <w:t>menor que garantice su</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identificación </w:t>
            </w:r>
            <w:r w:rsidRPr="007C57D2">
              <w:rPr>
                <w:rFonts w:ascii="Times New Roman" w:hAnsi="Times New Roman" w:cs="Times New Roman"/>
                <w:spacing w:val="-10"/>
                <w:sz w:val="28"/>
              </w:rPr>
              <w:t xml:space="preserve">e </w:t>
            </w:r>
            <w:r w:rsidRPr="007C57D2">
              <w:rPr>
                <w:rFonts w:ascii="Times New Roman" w:hAnsi="Times New Roman" w:cs="Times New Roman"/>
                <w:spacing w:val="-2"/>
                <w:sz w:val="28"/>
              </w:rPr>
              <w:t>individualización.</w:t>
            </w:r>
          </w:p>
          <w:p w:rsidR="0014794A" w:rsidRPr="007C57D2" w:rsidRDefault="007C57D2" w:rsidP="007C57D2">
            <w:pPr>
              <w:pStyle w:val="TableParagraph"/>
              <w:tabs>
                <w:tab w:val="left" w:pos="1687"/>
              </w:tabs>
              <w:jc w:val="both"/>
              <w:rPr>
                <w:rFonts w:ascii="Times New Roman" w:hAnsi="Times New Roman" w:cs="Times New Roman"/>
                <w:spacing w:val="-2"/>
                <w:sz w:val="28"/>
              </w:rPr>
            </w:pPr>
            <w:r w:rsidRPr="007C57D2">
              <w:rPr>
                <w:rFonts w:ascii="Times New Roman" w:hAnsi="Times New Roman" w:cs="Times New Roman"/>
                <w:b/>
                <w:sz w:val="28"/>
              </w:rPr>
              <w:t xml:space="preserve">h) </w:t>
            </w:r>
            <w:r w:rsidRPr="007C57D2">
              <w:rPr>
                <w:rFonts w:ascii="Times New Roman" w:hAnsi="Times New Roman" w:cs="Times New Roman"/>
                <w:sz w:val="28"/>
              </w:rPr>
              <w:t>Cualquier otra información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que sirva para identificar y</w:t>
            </w:r>
            <w:r w:rsidRPr="007C57D2">
              <w:rPr>
                <w:rFonts w:ascii="Times New Roman" w:hAnsi="Times New Roman" w:cs="Times New Roman"/>
                <w:spacing w:val="40"/>
                <w:sz w:val="28"/>
              </w:rPr>
              <w:t xml:space="preserve"> </w:t>
            </w:r>
            <w:r w:rsidRPr="007C57D2">
              <w:rPr>
                <w:rFonts w:ascii="Times New Roman" w:hAnsi="Times New Roman" w:cs="Times New Roman"/>
                <w:sz w:val="28"/>
              </w:rPr>
              <w:t>localizar al niño o niña</w:t>
            </w:r>
            <w:r w:rsidRPr="007C57D2">
              <w:rPr>
                <w:rFonts w:ascii="Times New Roman" w:hAnsi="Times New Roman" w:cs="Times New Roman"/>
                <w:spacing w:val="40"/>
                <w:sz w:val="28"/>
              </w:rPr>
              <w:t xml:space="preserve"> </w:t>
            </w:r>
            <w:r w:rsidRPr="007C57D2">
              <w:rPr>
                <w:rFonts w:ascii="Times New Roman" w:hAnsi="Times New Roman" w:cs="Times New Roman"/>
                <w:sz w:val="28"/>
              </w:rPr>
              <w:t>extraviado,</w:t>
            </w:r>
            <w:r w:rsidRPr="007C57D2">
              <w:rPr>
                <w:rFonts w:ascii="Times New Roman" w:hAnsi="Times New Roman" w:cs="Times New Roman"/>
                <w:spacing w:val="-2"/>
                <w:sz w:val="28"/>
              </w:rPr>
              <w:t xml:space="preserve"> </w:t>
            </w:r>
            <w:r w:rsidRPr="007C57D2">
              <w:rPr>
                <w:rFonts w:ascii="Times New Roman" w:hAnsi="Times New Roman" w:cs="Times New Roman"/>
                <w:sz w:val="28"/>
              </w:rPr>
              <w:t>o</w:t>
            </w:r>
            <w:r w:rsidRPr="007C57D2">
              <w:rPr>
                <w:rFonts w:ascii="Times New Roman" w:hAnsi="Times New Roman" w:cs="Times New Roman"/>
                <w:spacing w:val="-2"/>
                <w:sz w:val="28"/>
              </w:rPr>
              <w:t xml:space="preserve"> </w:t>
            </w:r>
            <w:r w:rsidRPr="007C57D2">
              <w:rPr>
                <w:rFonts w:ascii="Times New Roman" w:hAnsi="Times New Roman" w:cs="Times New Roman"/>
                <w:sz w:val="28"/>
              </w:rPr>
              <w:t>a</w:t>
            </w:r>
            <w:r w:rsidRPr="007C57D2">
              <w:rPr>
                <w:rFonts w:ascii="Times New Roman" w:hAnsi="Times New Roman" w:cs="Times New Roman"/>
                <w:spacing w:val="-2"/>
                <w:sz w:val="28"/>
              </w:rPr>
              <w:t xml:space="preserve"> </w:t>
            </w:r>
            <w:r w:rsidRPr="007C57D2">
              <w:rPr>
                <w:rFonts w:ascii="Times New Roman" w:hAnsi="Times New Roman" w:cs="Times New Roman"/>
                <w:sz w:val="28"/>
              </w:rPr>
              <w:t>la</w:t>
            </w:r>
            <w:r w:rsidRPr="007C57D2">
              <w:rPr>
                <w:rFonts w:ascii="Times New Roman" w:hAnsi="Times New Roman" w:cs="Times New Roman"/>
                <w:spacing w:val="-2"/>
                <w:sz w:val="28"/>
              </w:rPr>
              <w:t xml:space="preserve"> </w:t>
            </w:r>
            <w:r w:rsidRPr="007C57D2">
              <w:rPr>
                <w:rFonts w:ascii="Times New Roman" w:hAnsi="Times New Roman" w:cs="Times New Roman"/>
                <w:sz w:val="28"/>
              </w:rPr>
              <w:t>persona</w:t>
            </w:r>
            <w:r w:rsidRPr="007C57D2">
              <w:rPr>
                <w:rFonts w:ascii="Times New Roman" w:hAnsi="Times New Roman" w:cs="Times New Roman"/>
                <w:spacing w:val="-2"/>
                <w:sz w:val="28"/>
              </w:rPr>
              <w:t xml:space="preserve"> </w:t>
            </w:r>
            <w:r w:rsidRPr="007C57D2">
              <w:rPr>
                <w:rFonts w:ascii="Times New Roman" w:hAnsi="Times New Roman" w:cs="Times New Roman"/>
                <w:sz w:val="28"/>
              </w:rPr>
              <w:t>que</w:t>
            </w:r>
            <w:r w:rsidRPr="007C57D2">
              <w:rPr>
                <w:rFonts w:ascii="Times New Roman" w:hAnsi="Times New Roman" w:cs="Times New Roman"/>
                <w:spacing w:val="40"/>
                <w:sz w:val="28"/>
              </w:rPr>
              <w:t xml:space="preserve"> </w:t>
            </w:r>
            <w:r w:rsidRPr="007C57D2">
              <w:rPr>
                <w:rFonts w:ascii="Times New Roman" w:hAnsi="Times New Roman" w:cs="Times New Roman"/>
                <w:sz w:val="28"/>
              </w:rPr>
              <w:t>lo</w:t>
            </w:r>
            <w:r w:rsidRPr="007C57D2">
              <w:rPr>
                <w:rFonts w:ascii="Times New Roman" w:hAnsi="Times New Roman" w:cs="Times New Roman"/>
                <w:spacing w:val="-9"/>
                <w:sz w:val="28"/>
              </w:rPr>
              <w:t xml:space="preserve"> </w:t>
            </w:r>
            <w:r w:rsidRPr="007C57D2">
              <w:rPr>
                <w:rFonts w:ascii="Times New Roman" w:hAnsi="Times New Roman" w:cs="Times New Roman"/>
                <w:sz w:val="28"/>
              </w:rPr>
              <w:t>secuestró</w:t>
            </w:r>
            <w:r w:rsidRPr="007C57D2">
              <w:rPr>
                <w:rFonts w:ascii="Times New Roman" w:hAnsi="Times New Roman" w:cs="Times New Roman"/>
                <w:spacing w:val="-9"/>
                <w:sz w:val="28"/>
              </w:rPr>
              <w:t xml:space="preserve"> </w:t>
            </w:r>
            <w:r w:rsidRPr="007C57D2">
              <w:rPr>
                <w:rFonts w:ascii="Times New Roman" w:hAnsi="Times New Roman" w:cs="Times New Roman"/>
                <w:sz w:val="28"/>
              </w:rPr>
              <w:t>si</w:t>
            </w:r>
            <w:r w:rsidRPr="007C57D2">
              <w:rPr>
                <w:rFonts w:ascii="Times New Roman" w:hAnsi="Times New Roman" w:cs="Times New Roman"/>
                <w:spacing w:val="-9"/>
                <w:sz w:val="28"/>
              </w:rPr>
              <w:t xml:space="preserve"> </w:t>
            </w:r>
            <w:r w:rsidRPr="007C57D2">
              <w:rPr>
                <w:rFonts w:ascii="Times New Roman" w:hAnsi="Times New Roman" w:cs="Times New Roman"/>
                <w:sz w:val="28"/>
              </w:rPr>
              <w:t>se</w:t>
            </w:r>
            <w:r w:rsidRPr="007C57D2">
              <w:rPr>
                <w:rFonts w:ascii="Times New Roman" w:hAnsi="Times New Roman" w:cs="Times New Roman"/>
                <w:spacing w:val="-9"/>
                <w:sz w:val="28"/>
              </w:rPr>
              <w:t xml:space="preserve"> </w:t>
            </w:r>
            <w:r w:rsidRPr="007C57D2">
              <w:rPr>
                <w:rFonts w:ascii="Times New Roman" w:hAnsi="Times New Roman" w:cs="Times New Roman"/>
                <w:sz w:val="28"/>
              </w:rPr>
              <w:t>tiene</w:t>
            </w:r>
            <w:r w:rsidRPr="007C57D2">
              <w:rPr>
                <w:rFonts w:ascii="Times New Roman" w:hAnsi="Times New Roman" w:cs="Times New Roman"/>
                <w:spacing w:val="-8"/>
                <w:sz w:val="28"/>
              </w:rPr>
              <w:t xml:space="preserve"> </w:t>
            </w:r>
            <w:r w:rsidRPr="007C57D2">
              <w:rPr>
                <w:rFonts w:ascii="Times New Roman" w:hAnsi="Times New Roman" w:cs="Times New Roman"/>
                <w:sz w:val="28"/>
              </w:rPr>
              <w:t>certeza</w:t>
            </w:r>
            <w:r w:rsidRPr="007C57D2">
              <w:rPr>
                <w:rFonts w:ascii="Times New Roman" w:hAnsi="Times New Roman" w:cs="Times New Roman"/>
                <w:spacing w:val="40"/>
                <w:sz w:val="28"/>
              </w:rPr>
              <w:t xml:space="preserve"> </w:t>
            </w:r>
            <w:r w:rsidRPr="007C57D2">
              <w:rPr>
                <w:rFonts w:ascii="Times New Roman" w:hAnsi="Times New Roman" w:cs="Times New Roman"/>
                <w:sz w:val="28"/>
              </w:rPr>
              <w:t>de</w:t>
            </w:r>
            <w:r w:rsidRPr="007C57D2">
              <w:rPr>
                <w:rFonts w:ascii="Times New Roman" w:hAnsi="Times New Roman" w:cs="Times New Roman"/>
                <w:spacing w:val="-6"/>
                <w:sz w:val="28"/>
              </w:rPr>
              <w:t xml:space="preserve"> </w:t>
            </w:r>
            <w:r w:rsidRPr="007C57D2">
              <w:rPr>
                <w:rFonts w:ascii="Times New Roman" w:hAnsi="Times New Roman" w:cs="Times New Roman"/>
                <w:sz w:val="28"/>
              </w:rPr>
              <w:t>su</w:t>
            </w:r>
            <w:r w:rsidRPr="007C57D2">
              <w:rPr>
                <w:rFonts w:ascii="Times New Roman" w:hAnsi="Times New Roman" w:cs="Times New Roman"/>
                <w:spacing w:val="-6"/>
                <w:sz w:val="28"/>
              </w:rPr>
              <w:t xml:space="preserve"> </w:t>
            </w:r>
            <w:r w:rsidRPr="007C57D2">
              <w:rPr>
                <w:rFonts w:ascii="Times New Roman" w:hAnsi="Times New Roman" w:cs="Times New Roman"/>
                <w:sz w:val="28"/>
              </w:rPr>
              <w:t>identidad</w:t>
            </w:r>
            <w:r w:rsidRPr="007C57D2">
              <w:rPr>
                <w:rFonts w:ascii="Times New Roman" w:hAnsi="Times New Roman" w:cs="Times New Roman"/>
                <w:spacing w:val="-8"/>
                <w:sz w:val="28"/>
              </w:rPr>
              <w:t xml:space="preserve"> </w:t>
            </w:r>
            <w:r w:rsidRPr="007C57D2">
              <w:rPr>
                <w:rFonts w:ascii="Times New Roman" w:hAnsi="Times New Roman" w:cs="Times New Roman"/>
                <w:sz w:val="28"/>
              </w:rPr>
              <w:t>o</w:t>
            </w:r>
            <w:r w:rsidRPr="007C57D2">
              <w:rPr>
                <w:rFonts w:ascii="Times New Roman" w:hAnsi="Times New Roman" w:cs="Times New Roman"/>
                <w:spacing w:val="-6"/>
                <w:sz w:val="28"/>
              </w:rPr>
              <w:t xml:space="preserve"> </w:t>
            </w:r>
            <w:r w:rsidRPr="007C57D2">
              <w:rPr>
                <w:rFonts w:ascii="Times New Roman" w:hAnsi="Times New Roman" w:cs="Times New Roman"/>
                <w:sz w:val="28"/>
              </w:rPr>
              <w:t>por</w:t>
            </w:r>
            <w:r w:rsidRPr="007C57D2">
              <w:rPr>
                <w:rFonts w:ascii="Times New Roman" w:hAnsi="Times New Roman" w:cs="Times New Roman"/>
                <w:spacing w:val="-7"/>
                <w:sz w:val="28"/>
              </w:rPr>
              <w:t xml:space="preserve"> </w:t>
            </w:r>
            <w:r w:rsidRPr="007C57D2">
              <w:rPr>
                <w:rFonts w:ascii="Times New Roman" w:hAnsi="Times New Roman" w:cs="Times New Roman"/>
                <w:sz w:val="28"/>
              </w:rPr>
              <w:t>lo</w:t>
            </w:r>
            <w:r w:rsidRPr="007C57D2">
              <w:rPr>
                <w:rFonts w:ascii="Times New Roman" w:hAnsi="Times New Roman" w:cs="Times New Roman"/>
                <w:spacing w:val="-6"/>
                <w:sz w:val="28"/>
              </w:rPr>
              <w:t xml:space="preserve"> </w:t>
            </w:r>
            <w:r w:rsidRPr="007C57D2">
              <w:rPr>
                <w:rFonts w:ascii="Times New Roman" w:hAnsi="Times New Roman" w:cs="Times New Roman"/>
                <w:sz w:val="28"/>
              </w:rPr>
              <w:t>menos</w:t>
            </w:r>
            <w:r w:rsidRPr="007C57D2">
              <w:rPr>
                <w:rFonts w:ascii="Times New Roman" w:hAnsi="Times New Roman" w:cs="Times New Roman"/>
                <w:spacing w:val="40"/>
                <w:sz w:val="28"/>
              </w:rPr>
              <w:t xml:space="preserve"> </w:t>
            </w:r>
            <w:r w:rsidRPr="007C57D2">
              <w:rPr>
                <w:rFonts w:ascii="Times New Roman" w:hAnsi="Times New Roman" w:cs="Times New Roman"/>
                <w:sz w:val="28"/>
              </w:rPr>
              <w:t>la descripción física, so pena</w:t>
            </w:r>
            <w:r w:rsidRPr="007C57D2">
              <w:rPr>
                <w:rFonts w:ascii="Times New Roman" w:hAnsi="Times New Roman" w:cs="Times New Roman"/>
                <w:spacing w:val="40"/>
                <w:sz w:val="28"/>
              </w:rPr>
              <w:t xml:space="preserve"> </w:t>
            </w:r>
            <w:r w:rsidRPr="007C57D2">
              <w:rPr>
                <w:rFonts w:ascii="Times New Roman" w:hAnsi="Times New Roman" w:cs="Times New Roman"/>
                <w:sz w:val="28"/>
              </w:rPr>
              <w:t>de los delitos cometidos si</w:t>
            </w:r>
            <w:r w:rsidRPr="007C57D2">
              <w:rPr>
                <w:rFonts w:ascii="Times New Roman" w:hAnsi="Times New Roman" w:cs="Times New Roman"/>
                <w:spacing w:val="40"/>
                <w:sz w:val="28"/>
              </w:rPr>
              <w:t xml:space="preserve"> </w:t>
            </w:r>
            <w:r w:rsidRPr="007C57D2">
              <w:rPr>
                <w:rFonts w:ascii="Times New Roman" w:hAnsi="Times New Roman" w:cs="Times New Roman"/>
                <w:sz w:val="28"/>
              </w:rPr>
              <w:t>resultara dolosamente falsa la</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información.</w:t>
            </w:r>
          </w:p>
          <w:p w:rsidR="0014794A" w:rsidRPr="007C57D2" w:rsidRDefault="007C57D2" w:rsidP="007C57D2">
            <w:pPr>
              <w:pStyle w:val="TableParagraph"/>
              <w:tabs>
                <w:tab w:val="left" w:pos="1687"/>
              </w:tabs>
              <w:jc w:val="both"/>
              <w:rPr>
                <w:rFonts w:ascii="Times New Roman" w:hAnsi="Times New Roman" w:cs="Times New Roman"/>
                <w:spacing w:val="-2"/>
                <w:sz w:val="28"/>
              </w:rPr>
            </w:pPr>
          </w:p>
          <w:p w:rsidR="0014794A"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sz w:val="28"/>
              </w:rPr>
              <w:t xml:space="preserve">Parágrafo 1. </w:t>
            </w:r>
            <w:r w:rsidRPr="007C57D2">
              <w:rPr>
                <w:rFonts w:ascii="Times New Roman" w:hAnsi="Times New Roman" w:cs="Times New Roman"/>
                <w:sz w:val="28"/>
              </w:rPr>
              <w:t>La alerta que</w:t>
            </w:r>
            <w:r w:rsidRPr="007C57D2">
              <w:rPr>
                <w:rFonts w:ascii="Times New Roman" w:hAnsi="Times New Roman" w:cs="Times New Roman"/>
                <w:spacing w:val="40"/>
                <w:sz w:val="28"/>
              </w:rPr>
              <w:t xml:space="preserve"> </w:t>
            </w:r>
            <w:r w:rsidRPr="007C57D2">
              <w:rPr>
                <w:rFonts w:ascii="Times New Roman" w:hAnsi="Times New Roman" w:cs="Times New Roman"/>
                <w:sz w:val="28"/>
              </w:rPr>
              <w:t>emitan los proveedores de</w:t>
            </w:r>
            <w:r w:rsidRPr="007C57D2">
              <w:rPr>
                <w:rFonts w:ascii="Times New Roman" w:hAnsi="Times New Roman" w:cs="Times New Roman"/>
                <w:spacing w:val="40"/>
                <w:sz w:val="28"/>
              </w:rPr>
              <w:t xml:space="preserve"> </w:t>
            </w:r>
            <w:r w:rsidRPr="007C57D2">
              <w:rPr>
                <w:rFonts w:ascii="Times New Roman" w:hAnsi="Times New Roman" w:cs="Times New Roman"/>
                <w:sz w:val="28"/>
              </w:rPr>
              <w:t>redes y servicios de</w:t>
            </w:r>
            <w:r w:rsidRPr="007C57D2">
              <w:rPr>
                <w:rFonts w:ascii="Times New Roman" w:hAnsi="Times New Roman" w:cs="Times New Roman"/>
                <w:spacing w:val="40"/>
                <w:sz w:val="28"/>
              </w:rPr>
              <w:t xml:space="preserve"> </w:t>
            </w:r>
            <w:r w:rsidRPr="007C57D2">
              <w:rPr>
                <w:rFonts w:ascii="Times New Roman" w:hAnsi="Times New Roman" w:cs="Times New Roman"/>
                <w:sz w:val="28"/>
              </w:rPr>
              <w:t>telecomunicaciones móviles</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w:t>
            </w:r>
            <w:r w:rsidRPr="007C57D2">
              <w:rPr>
                <w:rFonts w:ascii="Times New Roman" w:hAnsi="Times New Roman" w:cs="Times New Roman"/>
                <w:spacing w:val="-10"/>
                <w:sz w:val="28"/>
              </w:rPr>
              <w:t xml:space="preserve"> </w:t>
            </w:r>
            <w:r w:rsidRPr="007C57D2">
              <w:rPr>
                <w:rFonts w:ascii="Times New Roman" w:hAnsi="Times New Roman" w:cs="Times New Roman"/>
                <w:sz w:val="28"/>
              </w:rPr>
              <w:t>ser</w:t>
            </w:r>
            <w:r w:rsidRPr="007C57D2">
              <w:rPr>
                <w:rFonts w:ascii="Times New Roman" w:hAnsi="Times New Roman" w:cs="Times New Roman"/>
                <w:spacing w:val="-9"/>
                <w:sz w:val="28"/>
              </w:rPr>
              <w:t xml:space="preserve"> </w:t>
            </w:r>
            <w:r w:rsidRPr="007C57D2">
              <w:rPr>
                <w:rFonts w:ascii="Times New Roman" w:hAnsi="Times New Roman" w:cs="Times New Roman"/>
                <w:sz w:val="28"/>
              </w:rPr>
              <w:t>gratuita</w:t>
            </w:r>
            <w:r w:rsidRPr="007C57D2">
              <w:rPr>
                <w:rFonts w:ascii="Times New Roman" w:hAnsi="Times New Roman" w:cs="Times New Roman"/>
                <w:spacing w:val="-9"/>
                <w:sz w:val="28"/>
              </w:rPr>
              <w:t xml:space="preserve"> </w:t>
            </w:r>
            <w:r w:rsidRPr="007C57D2">
              <w:rPr>
                <w:rFonts w:ascii="Times New Roman" w:hAnsi="Times New Roman" w:cs="Times New Roman"/>
                <w:sz w:val="28"/>
              </w:rPr>
              <w:t>e</w:t>
            </w:r>
            <w:r w:rsidRPr="007C57D2">
              <w:rPr>
                <w:rFonts w:ascii="Times New Roman" w:hAnsi="Times New Roman" w:cs="Times New Roman"/>
                <w:spacing w:val="-9"/>
                <w:sz w:val="28"/>
              </w:rPr>
              <w:t xml:space="preserve"> </w:t>
            </w:r>
            <w:r w:rsidRPr="007C57D2">
              <w:rPr>
                <w:rFonts w:ascii="Times New Roman" w:hAnsi="Times New Roman" w:cs="Times New Roman"/>
                <w:sz w:val="28"/>
              </w:rPr>
              <w:t>inmediata</w:t>
            </w:r>
            <w:r w:rsidRPr="007C57D2">
              <w:rPr>
                <w:rFonts w:ascii="Times New Roman" w:hAnsi="Times New Roman" w:cs="Times New Roman"/>
                <w:spacing w:val="40"/>
                <w:sz w:val="28"/>
              </w:rPr>
              <w:t xml:space="preserve"> </w:t>
            </w:r>
            <w:r w:rsidRPr="007C57D2">
              <w:rPr>
                <w:rFonts w:ascii="Times New Roman" w:hAnsi="Times New Roman" w:cs="Times New Roman"/>
                <w:sz w:val="28"/>
              </w:rPr>
              <w:t>con</w:t>
            </w:r>
            <w:r w:rsidRPr="007C57D2">
              <w:rPr>
                <w:rFonts w:ascii="Times New Roman" w:hAnsi="Times New Roman" w:cs="Times New Roman"/>
                <w:spacing w:val="-8"/>
                <w:sz w:val="28"/>
              </w:rPr>
              <w:t xml:space="preserve"> </w:t>
            </w:r>
            <w:r w:rsidRPr="007C57D2">
              <w:rPr>
                <w:rFonts w:ascii="Times New Roman" w:hAnsi="Times New Roman" w:cs="Times New Roman"/>
                <w:sz w:val="28"/>
              </w:rPr>
              <w:t>fundamento</w:t>
            </w:r>
            <w:r w:rsidRPr="007C57D2">
              <w:rPr>
                <w:rFonts w:ascii="Times New Roman" w:hAnsi="Times New Roman" w:cs="Times New Roman"/>
                <w:spacing w:val="-8"/>
                <w:sz w:val="28"/>
              </w:rPr>
              <w:t xml:space="preserve"> </w:t>
            </w:r>
            <w:r w:rsidRPr="007C57D2">
              <w:rPr>
                <w:rFonts w:ascii="Times New Roman" w:hAnsi="Times New Roman" w:cs="Times New Roman"/>
                <w:sz w:val="28"/>
              </w:rPr>
              <w:t>en</w:t>
            </w:r>
            <w:r w:rsidRPr="007C57D2">
              <w:rPr>
                <w:rFonts w:ascii="Times New Roman" w:hAnsi="Times New Roman" w:cs="Times New Roman"/>
                <w:spacing w:val="-8"/>
                <w:sz w:val="28"/>
              </w:rPr>
              <w:t xml:space="preserve"> </w:t>
            </w:r>
            <w:r w:rsidRPr="007C57D2">
              <w:rPr>
                <w:rFonts w:ascii="Times New Roman" w:hAnsi="Times New Roman" w:cs="Times New Roman"/>
                <w:sz w:val="28"/>
              </w:rPr>
              <w:t>el</w:t>
            </w:r>
            <w:r w:rsidRPr="007C57D2">
              <w:rPr>
                <w:rFonts w:ascii="Times New Roman" w:hAnsi="Times New Roman" w:cs="Times New Roman"/>
                <w:spacing w:val="-9"/>
                <w:sz w:val="28"/>
              </w:rPr>
              <w:t xml:space="preserve"> </w:t>
            </w:r>
            <w:r w:rsidRPr="007C57D2">
              <w:rPr>
                <w:rFonts w:ascii="Times New Roman" w:hAnsi="Times New Roman" w:cs="Times New Roman"/>
                <w:sz w:val="28"/>
              </w:rPr>
              <w:t>principio</w:t>
            </w:r>
            <w:r w:rsidRPr="007C57D2">
              <w:rPr>
                <w:rFonts w:ascii="Times New Roman" w:hAnsi="Times New Roman" w:cs="Times New Roman"/>
                <w:spacing w:val="40"/>
                <w:sz w:val="28"/>
              </w:rPr>
              <w:t xml:space="preserve"> </w:t>
            </w:r>
            <w:r w:rsidRPr="007C57D2">
              <w:rPr>
                <w:rFonts w:ascii="Times New Roman" w:hAnsi="Times New Roman" w:cs="Times New Roman"/>
                <w:sz w:val="28"/>
              </w:rPr>
              <w:t>constitucional de solidaridad,</w:t>
            </w:r>
            <w:r w:rsidRPr="007C57D2">
              <w:rPr>
                <w:rFonts w:ascii="Times New Roman" w:hAnsi="Times New Roman" w:cs="Times New Roman"/>
                <w:spacing w:val="40"/>
                <w:sz w:val="28"/>
              </w:rPr>
              <w:t xml:space="preserve"> </w:t>
            </w:r>
            <w:r w:rsidRPr="007C57D2">
              <w:rPr>
                <w:rFonts w:ascii="Times New Roman" w:hAnsi="Times New Roman" w:cs="Times New Roman"/>
                <w:sz w:val="28"/>
              </w:rPr>
              <w:t>de responsabilidad social y</w:t>
            </w:r>
            <w:r w:rsidRPr="007C57D2">
              <w:rPr>
                <w:rFonts w:ascii="Times New Roman" w:hAnsi="Times New Roman" w:cs="Times New Roman"/>
                <w:spacing w:val="40"/>
                <w:sz w:val="28"/>
              </w:rPr>
              <w:t xml:space="preserve"> </w:t>
            </w:r>
            <w:r w:rsidRPr="007C57D2">
              <w:rPr>
                <w:rFonts w:ascii="Times New Roman" w:hAnsi="Times New Roman" w:cs="Times New Roman"/>
                <w:sz w:val="28"/>
              </w:rPr>
              <w:t>empresarial. 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deberá llegar a la</w:t>
            </w:r>
            <w:r w:rsidRPr="007C57D2">
              <w:rPr>
                <w:rFonts w:ascii="Times New Roman" w:hAnsi="Times New Roman" w:cs="Times New Roman"/>
                <w:spacing w:val="40"/>
                <w:sz w:val="28"/>
              </w:rPr>
              <w:t xml:space="preserve"> </w:t>
            </w:r>
            <w:r w:rsidRPr="007C57D2">
              <w:rPr>
                <w:rFonts w:ascii="Times New Roman" w:hAnsi="Times New Roman" w:cs="Times New Roman"/>
                <w:sz w:val="28"/>
              </w:rPr>
              <w:t>pantalla principal de los</w:t>
            </w:r>
            <w:r w:rsidRPr="007C57D2">
              <w:rPr>
                <w:rFonts w:ascii="Times New Roman" w:hAnsi="Times New Roman" w:cs="Times New Roman"/>
                <w:spacing w:val="40"/>
                <w:sz w:val="28"/>
              </w:rPr>
              <w:t xml:space="preserve"> </w:t>
            </w:r>
            <w:r w:rsidRPr="007C57D2">
              <w:rPr>
                <w:rFonts w:ascii="Times New Roman" w:hAnsi="Times New Roman" w:cs="Times New Roman"/>
                <w:sz w:val="28"/>
              </w:rPr>
              <w:t>teléfonos</w:t>
            </w:r>
            <w:r w:rsidRPr="007C57D2">
              <w:rPr>
                <w:rFonts w:ascii="Times New Roman" w:hAnsi="Times New Roman" w:cs="Times New Roman"/>
                <w:spacing w:val="31"/>
                <w:sz w:val="28"/>
              </w:rPr>
              <w:t xml:space="preserve"> </w:t>
            </w:r>
            <w:r w:rsidRPr="007C57D2">
              <w:rPr>
                <w:rFonts w:ascii="Times New Roman" w:hAnsi="Times New Roman" w:cs="Times New Roman"/>
                <w:sz w:val="28"/>
              </w:rPr>
              <w:t>móviles</w:t>
            </w:r>
            <w:r w:rsidRPr="007C57D2">
              <w:rPr>
                <w:rFonts w:ascii="Times New Roman" w:hAnsi="Times New Roman" w:cs="Times New Roman"/>
                <w:spacing w:val="33"/>
                <w:sz w:val="28"/>
              </w:rPr>
              <w:t xml:space="preserve"> </w:t>
            </w:r>
            <w:r w:rsidRPr="007C57D2">
              <w:rPr>
                <w:rFonts w:ascii="Times New Roman" w:hAnsi="Times New Roman" w:cs="Times New Roman"/>
                <w:spacing w:val="-2"/>
                <w:sz w:val="28"/>
              </w:rPr>
              <w:t xml:space="preserve">cumpliendo </w:t>
            </w:r>
            <w:r w:rsidRPr="007C57D2">
              <w:rPr>
                <w:rFonts w:ascii="Times New Roman" w:hAnsi="Times New Roman" w:cs="Times New Roman"/>
                <w:sz w:val="28"/>
              </w:rPr>
              <w:t>los</w:t>
            </w:r>
            <w:r w:rsidRPr="007C57D2">
              <w:rPr>
                <w:rFonts w:ascii="Times New Roman" w:hAnsi="Times New Roman" w:cs="Times New Roman"/>
                <w:spacing w:val="70"/>
                <w:w w:val="150"/>
                <w:sz w:val="28"/>
              </w:rPr>
              <w:t xml:space="preserve"> </w:t>
            </w:r>
            <w:r w:rsidRPr="007C57D2">
              <w:rPr>
                <w:rFonts w:ascii="Times New Roman" w:hAnsi="Times New Roman" w:cs="Times New Roman"/>
                <w:sz w:val="28"/>
              </w:rPr>
              <w:t>requisitos</w:t>
            </w:r>
            <w:r w:rsidRPr="007C57D2">
              <w:rPr>
                <w:rFonts w:ascii="Times New Roman" w:hAnsi="Times New Roman" w:cs="Times New Roman"/>
                <w:spacing w:val="70"/>
                <w:w w:val="150"/>
                <w:sz w:val="28"/>
              </w:rPr>
              <w:t xml:space="preserve"> </w:t>
            </w:r>
            <w:r w:rsidRPr="007C57D2">
              <w:rPr>
                <w:rFonts w:ascii="Times New Roman" w:hAnsi="Times New Roman" w:cs="Times New Roman"/>
                <w:sz w:val="28"/>
              </w:rPr>
              <w:t>del</w:t>
            </w:r>
            <w:r w:rsidRPr="007C57D2">
              <w:rPr>
                <w:rFonts w:ascii="Times New Roman" w:hAnsi="Times New Roman" w:cs="Times New Roman"/>
                <w:spacing w:val="69"/>
                <w:w w:val="150"/>
                <w:sz w:val="28"/>
              </w:rPr>
              <w:t xml:space="preserve"> </w:t>
            </w:r>
            <w:r w:rsidRPr="007C57D2">
              <w:rPr>
                <w:rFonts w:ascii="Times New Roman" w:hAnsi="Times New Roman" w:cs="Times New Roman"/>
                <w:spacing w:val="-2"/>
                <w:sz w:val="28"/>
              </w:rPr>
              <w:t xml:space="preserve">presente </w:t>
            </w:r>
            <w:r w:rsidRPr="007C57D2">
              <w:rPr>
                <w:rFonts w:ascii="Times New Roman" w:hAnsi="Times New Roman" w:cs="Times New Roman"/>
                <w:sz w:val="28"/>
              </w:rPr>
              <w:t>artículo.</w:t>
            </w:r>
            <w:r w:rsidRPr="007C57D2">
              <w:rPr>
                <w:rFonts w:ascii="Times New Roman" w:hAnsi="Times New Roman" w:cs="Times New Roman"/>
                <w:spacing w:val="-10"/>
                <w:sz w:val="28"/>
              </w:rPr>
              <w:t xml:space="preserve"> </w:t>
            </w:r>
            <w:r w:rsidRPr="007C57D2">
              <w:rPr>
                <w:rFonts w:ascii="Times New Roman" w:hAnsi="Times New Roman" w:cs="Times New Roman"/>
                <w:sz w:val="28"/>
              </w:rPr>
              <w:t>En</w:t>
            </w:r>
            <w:r w:rsidRPr="007C57D2">
              <w:rPr>
                <w:rFonts w:ascii="Times New Roman" w:hAnsi="Times New Roman" w:cs="Times New Roman"/>
                <w:spacing w:val="-9"/>
                <w:sz w:val="28"/>
              </w:rPr>
              <w:t xml:space="preserve"> </w:t>
            </w:r>
            <w:r w:rsidRPr="007C57D2">
              <w:rPr>
                <w:rFonts w:ascii="Times New Roman" w:hAnsi="Times New Roman" w:cs="Times New Roman"/>
                <w:sz w:val="28"/>
              </w:rPr>
              <w:t>caso</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tratarse</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dispositivos</w:t>
            </w:r>
            <w:r w:rsidRPr="007C57D2">
              <w:rPr>
                <w:rFonts w:ascii="Times New Roman" w:hAnsi="Times New Roman" w:cs="Times New Roman"/>
                <w:spacing w:val="-10"/>
                <w:sz w:val="28"/>
              </w:rPr>
              <w:t xml:space="preserve"> </w:t>
            </w:r>
            <w:r w:rsidRPr="007C57D2">
              <w:rPr>
                <w:rFonts w:ascii="Times New Roman" w:hAnsi="Times New Roman" w:cs="Times New Roman"/>
                <w:sz w:val="28"/>
              </w:rPr>
              <w:t>cuya</w:t>
            </w:r>
            <w:r w:rsidRPr="007C57D2">
              <w:rPr>
                <w:rFonts w:ascii="Times New Roman" w:hAnsi="Times New Roman" w:cs="Times New Roman"/>
                <w:spacing w:val="-9"/>
                <w:sz w:val="28"/>
              </w:rPr>
              <w:t xml:space="preserve"> </w:t>
            </w:r>
            <w:r w:rsidRPr="007C57D2">
              <w:rPr>
                <w:rFonts w:ascii="Times New Roman" w:hAnsi="Times New Roman" w:cs="Times New Roman"/>
                <w:sz w:val="28"/>
              </w:rPr>
              <w:t>reproducción</w:t>
            </w:r>
            <w:r w:rsidRPr="007C57D2">
              <w:rPr>
                <w:rFonts w:ascii="Times New Roman" w:hAnsi="Times New Roman" w:cs="Times New Roman"/>
                <w:spacing w:val="40"/>
                <w:sz w:val="28"/>
              </w:rPr>
              <w:t xml:space="preserve"> </w:t>
            </w:r>
            <w:r w:rsidRPr="007C57D2">
              <w:rPr>
                <w:rFonts w:ascii="Times New Roman" w:hAnsi="Times New Roman" w:cs="Times New Roman"/>
                <w:sz w:val="28"/>
              </w:rPr>
              <w:t>de la alerta en la pantalla</w:t>
            </w:r>
            <w:r w:rsidRPr="007C57D2">
              <w:rPr>
                <w:rFonts w:ascii="Times New Roman" w:hAnsi="Times New Roman" w:cs="Times New Roman"/>
                <w:spacing w:val="40"/>
                <w:sz w:val="28"/>
              </w:rPr>
              <w:t xml:space="preserve"> </w:t>
            </w:r>
            <w:r w:rsidRPr="007C57D2">
              <w:rPr>
                <w:rFonts w:ascii="Times New Roman" w:hAnsi="Times New Roman" w:cs="Times New Roman"/>
                <w:sz w:val="28"/>
              </w:rPr>
              <w:t>principal no sea posible, esta</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 realizarse a través de</w:t>
            </w:r>
            <w:r w:rsidRPr="007C57D2">
              <w:rPr>
                <w:rFonts w:ascii="Times New Roman" w:hAnsi="Times New Roman" w:cs="Times New Roman"/>
                <w:spacing w:val="40"/>
                <w:sz w:val="28"/>
              </w:rPr>
              <w:t xml:space="preserve"> </w:t>
            </w:r>
            <w:r w:rsidRPr="007C57D2">
              <w:rPr>
                <w:rFonts w:ascii="Times New Roman" w:hAnsi="Times New Roman" w:cs="Times New Roman"/>
                <w:sz w:val="28"/>
              </w:rPr>
              <w:t>mensajes de texto de</w:t>
            </w:r>
            <w:r w:rsidRPr="007C57D2">
              <w:rPr>
                <w:rFonts w:ascii="Times New Roman" w:hAnsi="Times New Roman" w:cs="Times New Roman"/>
                <w:spacing w:val="40"/>
                <w:sz w:val="28"/>
              </w:rPr>
              <w:t xml:space="preserve"> </w:t>
            </w:r>
            <w:r w:rsidRPr="007C57D2">
              <w:rPr>
                <w:rFonts w:ascii="Times New Roman" w:hAnsi="Times New Roman" w:cs="Times New Roman"/>
                <w:sz w:val="28"/>
              </w:rPr>
              <w:t>notificación</w:t>
            </w:r>
            <w:r w:rsidRPr="007C57D2">
              <w:rPr>
                <w:rFonts w:ascii="Times New Roman" w:hAnsi="Times New Roman" w:cs="Times New Roman"/>
                <w:spacing w:val="-5"/>
                <w:sz w:val="28"/>
              </w:rPr>
              <w:t xml:space="preserve"> </w:t>
            </w:r>
            <w:r w:rsidRPr="007C57D2">
              <w:rPr>
                <w:rFonts w:ascii="Times New Roman" w:hAnsi="Times New Roman" w:cs="Times New Roman"/>
                <w:sz w:val="28"/>
              </w:rPr>
              <w:t>especial.</w:t>
            </w:r>
          </w:p>
          <w:p w:rsidR="0014794A" w:rsidRPr="007C57D2" w:rsidRDefault="007C57D2" w:rsidP="007C57D2">
            <w:pPr>
              <w:pStyle w:val="TableParagraph"/>
              <w:jc w:val="both"/>
              <w:rPr>
                <w:rFonts w:ascii="Times New Roman" w:hAnsi="Times New Roman" w:cs="Times New Roman"/>
                <w:sz w:val="28"/>
              </w:rPr>
            </w:pPr>
          </w:p>
          <w:p w:rsidR="0014794A" w:rsidRPr="007C57D2" w:rsidRDefault="007C57D2" w:rsidP="007C57D2">
            <w:pPr>
              <w:pStyle w:val="TableParagraph"/>
              <w:jc w:val="both"/>
              <w:rPr>
                <w:rFonts w:ascii="Times New Roman" w:hAnsi="Times New Roman" w:cs="Times New Roman"/>
                <w:sz w:val="28"/>
              </w:rPr>
            </w:pPr>
          </w:p>
          <w:p w:rsidR="0014794A" w:rsidRPr="007C57D2" w:rsidRDefault="007C57D2" w:rsidP="007C57D2">
            <w:pPr>
              <w:pStyle w:val="TableParagraph"/>
              <w:tabs>
                <w:tab w:val="left" w:pos="1687"/>
              </w:tabs>
              <w:jc w:val="both"/>
              <w:rPr>
                <w:rFonts w:ascii="Times New Roman" w:hAnsi="Times New Roman" w:cs="Times New Roman"/>
                <w:spacing w:val="-2"/>
                <w:sz w:val="28"/>
              </w:rPr>
            </w:pPr>
            <w:r w:rsidRPr="007C57D2">
              <w:rPr>
                <w:rFonts w:ascii="Times New Roman" w:hAnsi="Times New Roman" w:cs="Times New Roman"/>
                <w:b/>
                <w:sz w:val="28"/>
              </w:rPr>
              <w:t>Parágrafo</w:t>
            </w:r>
            <w:r w:rsidRPr="007C57D2">
              <w:rPr>
                <w:rFonts w:ascii="Times New Roman" w:hAnsi="Times New Roman" w:cs="Times New Roman"/>
                <w:b/>
                <w:spacing w:val="-10"/>
                <w:sz w:val="28"/>
              </w:rPr>
              <w:t xml:space="preserve"> </w:t>
            </w:r>
            <w:r w:rsidRPr="007C57D2">
              <w:rPr>
                <w:rFonts w:ascii="Times New Roman" w:hAnsi="Times New Roman" w:cs="Times New Roman"/>
                <w:b/>
                <w:sz w:val="28"/>
              </w:rPr>
              <w:t>2.</w:t>
            </w:r>
            <w:r w:rsidRPr="007C57D2">
              <w:rPr>
                <w:rFonts w:ascii="Times New Roman" w:hAnsi="Times New Roman" w:cs="Times New Roman"/>
                <w:b/>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deberá</w:t>
            </w:r>
            <w:r w:rsidRPr="007C57D2">
              <w:rPr>
                <w:rFonts w:ascii="Times New Roman" w:hAnsi="Times New Roman" w:cs="Times New Roman"/>
                <w:spacing w:val="40"/>
                <w:sz w:val="28"/>
              </w:rPr>
              <w:t xml:space="preserve"> </w:t>
            </w:r>
            <w:r w:rsidRPr="007C57D2">
              <w:rPr>
                <w:rFonts w:ascii="Times New Roman" w:hAnsi="Times New Roman" w:cs="Times New Roman"/>
                <w:sz w:val="28"/>
              </w:rPr>
              <w:t>realizarse tres (3)</w:t>
            </w:r>
            <w:r w:rsidRPr="007C57D2">
              <w:rPr>
                <w:rFonts w:ascii="Times New Roman" w:hAnsi="Times New Roman" w:cs="Times New Roman"/>
                <w:spacing w:val="-1"/>
                <w:sz w:val="28"/>
              </w:rPr>
              <w:t xml:space="preserve"> </w:t>
            </w:r>
            <w:r w:rsidRPr="007C57D2">
              <w:rPr>
                <w:rFonts w:ascii="Times New Roman" w:hAnsi="Times New Roman" w:cs="Times New Roman"/>
                <w:sz w:val="28"/>
              </w:rPr>
              <w:t>veces al día</w:t>
            </w:r>
            <w:r w:rsidRPr="007C57D2">
              <w:rPr>
                <w:rFonts w:ascii="Times New Roman" w:hAnsi="Times New Roman" w:cs="Times New Roman"/>
                <w:spacing w:val="40"/>
                <w:sz w:val="28"/>
              </w:rPr>
              <w:t xml:space="preserve"> </w:t>
            </w:r>
            <w:r w:rsidRPr="007C57D2">
              <w:rPr>
                <w:rFonts w:ascii="Times New Roman" w:hAnsi="Times New Roman" w:cs="Times New Roman"/>
                <w:sz w:val="28"/>
              </w:rPr>
              <w:t>desde el reporte de la</w:t>
            </w:r>
            <w:r w:rsidRPr="007C57D2">
              <w:rPr>
                <w:rFonts w:ascii="Times New Roman" w:hAnsi="Times New Roman" w:cs="Times New Roman"/>
                <w:spacing w:val="40"/>
                <w:sz w:val="28"/>
              </w:rPr>
              <w:t xml:space="preserve"> </w:t>
            </w:r>
            <w:r w:rsidRPr="007C57D2">
              <w:rPr>
                <w:rFonts w:ascii="Times New Roman" w:hAnsi="Times New Roman" w:cs="Times New Roman"/>
                <w:sz w:val="28"/>
              </w:rPr>
              <w:t>desaparición</w:t>
            </w:r>
            <w:r w:rsidRPr="007C57D2">
              <w:rPr>
                <w:rFonts w:ascii="Times New Roman" w:hAnsi="Times New Roman" w:cs="Times New Roman"/>
                <w:spacing w:val="-10"/>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mínimo</w:t>
            </w:r>
            <w:r w:rsidRPr="007C57D2">
              <w:rPr>
                <w:rFonts w:ascii="Times New Roman" w:hAnsi="Times New Roman" w:cs="Times New Roman"/>
                <w:spacing w:val="-9"/>
                <w:sz w:val="28"/>
              </w:rPr>
              <w:t xml:space="preserve"> </w:t>
            </w:r>
            <w:r w:rsidRPr="007C57D2">
              <w:rPr>
                <w:rFonts w:ascii="Times New Roman" w:hAnsi="Times New Roman" w:cs="Times New Roman"/>
                <w:sz w:val="28"/>
              </w:rPr>
              <w:t>durante</w:t>
            </w:r>
            <w:r w:rsidRPr="007C57D2">
              <w:rPr>
                <w:rFonts w:ascii="Times New Roman" w:hAnsi="Times New Roman" w:cs="Times New Roman"/>
                <w:spacing w:val="40"/>
                <w:sz w:val="28"/>
              </w:rPr>
              <w:t xml:space="preserve"> </w:t>
            </w:r>
            <w:r w:rsidRPr="007C57D2">
              <w:rPr>
                <w:rFonts w:ascii="Times New Roman" w:hAnsi="Times New Roman" w:cs="Times New Roman"/>
                <w:sz w:val="28"/>
              </w:rPr>
              <w:t>la</w:t>
            </w:r>
            <w:r w:rsidRPr="007C57D2">
              <w:rPr>
                <w:rFonts w:ascii="Times New Roman" w:hAnsi="Times New Roman" w:cs="Times New Roman"/>
                <w:spacing w:val="-5"/>
                <w:sz w:val="28"/>
              </w:rPr>
              <w:t xml:space="preserve"> </w:t>
            </w:r>
            <w:r w:rsidRPr="007C57D2">
              <w:rPr>
                <w:rFonts w:ascii="Times New Roman" w:hAnsi="Times New Roman" w:cs="Times New Roman"/>
                <w:sz w:val="28"/>
              </w:rPr>
              <w:t>semana</w:t>
            </w:r>
            <w:r w:rsidRPr="007C57D2">
              <w:rPr>
                <w:rFonts w:ascii="Times New Roman" w:hAnsi="Times New Roman" w:cs="Times New Roman"/>
                <w:spacing w:val="-5"/>
                <w:sz w:val="28"/>
              </w:rPr>
              <w:t xml:space="preserve"> </w:t>
            </w:r>
            <w:r w:rsidRPr="007C57D2">
              <w:rPr>
                <w:rFonts w:ascii="Times New Roman" w:hAnsi="Times New Roman" w:cs="Times New Roman"/>
                <w:sz w:val="28"/>
              </w:rPr>
              <w:t>siguiente</w:t>
            </w:r>
            <w:r w:rsidRPr="007C57D2">
              <w:rPr>
                <w:rFonts w:ascii="Times New Roman" w:hAnsi="Times New Roman" w:cs="Times New Roman"/>
                <w:spacing w:val="-5"/>
                <w:sz w:val="28"/>
              </w:rPr>
              <w:t xml:space="preserve"> </w:t>
            </w:r>
            <w:r w:rsidRPr="007C57D2">
              <w:rPr>
                <w:rFonts w:ascii="Times New Roman" w:hAnsi="Times New Roman" w:cs="Times New Roman"/>
                <w:sz w:val="28"/>
              </w:rPr>
              <w:t>a</w:t>
            </w:r>
            <w:r w:rsidRPr="007C57D2">
              <w:rPr>
                <w:rFonts w:ascii="Times New Roman" w:hAnsi="Times New Roman" w:cs="Times New Roman"/>
                <w:spacing w:val="-5"/>
                <w:sz w:val="28"/>
              </w:rPr>
              <w:t xml:space="preserve"> </w:t>
            </w:r>
            <w:r w:rsidRPr="007C57D2">
              <w:rPr>
                <w:rFonts w:ascii="Times New Roman" w:hAnsi="Times New Roman" w:cs="Times New Roman"/>
                <w:sz w:val="28"/>
              </w:rPr>
              <w:t>la</w:t>
            </w:r>
            <w:r w:rsidRPr="007C57D2">
              <w:rPr>
                <w:rFonts w:ascii="Times New Roman" w:hAnsi="Times New Roman" w:cs="Times New Roman"/>
                <w:spacing w:val="-5"/>
                <w:sz w:val="28"/>
              </w:rPr>
              <w:t xml:space="preserve"> </w:t>
            </w:r>
            <w:r w:rsidRPr="007C57D2">
              <w:rPr>
                <w:rFonts w:ascii="Times New Roman" w:hAnsi="Times New Roman" w:cs="Times New Roman"/>
                <w:sz w:val="28"/>
              </w:rPr>
              <w:t>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inicial,</w:t>
            </w:r>
            <w:r w:rsidRPr="007C57D2">
              <w:rPr>
                <w:rFonts w:ascii="Times New Roman" w:hAnsi="Times New Roman" w:cs="Times New Roman"/>
                <w:spacing w:val="-6"/>
                <w:sz w:val="28"/>
              </w:rPr>
              <w:t xml:space="preserve"> </w:t>
            </w:r>
            <w:r w:rsidRPr="007C57D2">
              <w:rPr>
                <w:rFonts w:ascii="Times New Roman" w:hAnsi="Times New Roman" w:cs="Times New Roman"/>
                <w:sz w:val="28"/>
              </w:rPr>
              <w:t>salvo</w:t>
            </w:r>
            <w:r w:rsidRPr="007C57D2">
              <w:rPr>
                <w:rFonts w:ascii="Times New Roman" w:hAnsi="Times New Roman" w:cs="Times New Roman"/>
                <w:spacing w:val="-6"/>
                <w:sz w:val="28"/>
              </w:rPr>
              <w:t xml:space="preserve"> </w:t>
            </w:r>
            <w:r w:rsidRPr="007C57D2">
              <w:rPr>
                <w:rFonts w:ascii="Times New Roman" w:hAnsi="Times New Roman" w:cs="Times New Roman"/>
                <w:sz w:val="28"/>
              </w:rPr>
              <w:t>que</w:t>
            </w:r>
            <w:r w:rsidRPr="007C57D2">
              <w:rPr>
                <w:rFonts w:ascii="Times New Roman" w:hAnsi="Times New Roman" w:cs="Times New Roman"/>
                <w:spacing w:val="-6"/>
                <w:sz w:val="28"/>
              </w:rPr>
              <w:t xml:space="preserve"> </w:t>
            </w:r>
            <w:r w:rsidRPr="007C57D2">
              <w:rPr>
                <w:rFonts w:ascii="Times New Roman" w:hAnsi="Times New Roman" w:cs="Times New Roman"/>
                <w:sz w:val="28"/>
              </w:rPr>
              <w:t>antes</w:t>
            </w:r>
            <w:r w:rsidRPr="007C57D2">
              <w:rPr>
                <w:rFonts w:ascii="Times New Roman" w:hAnsi="Times New Roman" w:cs="Times New Roman"/>
                <w:spacing w:val="-7"/>
                <w:sz w:val="28"/>
              </w:rPr>
              <w:t xml:space="preserve"> </w:t>
            </w:r>
            <w:r w:rsidRPr="007C57D2">
              <w:rPr>
                <w:rFonts w:ascii="Times New Roman" w:hAnsi="Times New Roman" w:cs="Times New Roman"/>
                <w:sz w:val="28"/>
              </w:rPr>
              <w:t>de</w:t>
            </w:r>
            <w:r w:rsidRPr="007C57D2">
              <w:rPr>
                <w:rFonts w:ascii="Times New Roman" w:hAnsi="Times New Roman" w:cs="Times New Roman"/>
                <w:spacing w:val="-6"/>
                <w:sz w:val="28"/>
              </w:rPr>
              <w:t xml:space="preserve"> </w:t>
            </w:r>
            <w:r w:rsidRPr="007C57D2">
              <w:rPr>
                <w:rFonts w:ascii="Times New Roman" w:hAnsi="Times New Roman" w:cs="Times New Roman"/>
                <w:sz w:val="28"/>
              </w:rPr>
              <w:t>este</w:t>
            </w:r>
            <w:r w:rsidRPr="007C57D2">
              <w:rPr>
                <w:rFonts w:ascii="Times New Roman" w:hAnsi="Times New Roman" w:cs="Times New Roman"/>
                <w:spacing w:val="40"/>
                <w:sz w:val="28"/>
              </w:rPr>
              <w:t xml:space="preserve"> </w:t>
            </w:r>
            <w:r w:rsidRPr="007C57D2">
              <w:rPr>
                <w:rFonts w:ascii="Times New Roman" w:hAnsi="Times New Roman" w:cs="Times New Roman"/>
                <w:sz w:val="28"/>
              </w:rPr>
              <w:t>término el niño o niña sea</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encontrado.</w:t>
            </w:r>
          </w:p>
          <w:p w:rsidR="0014794A" w:rsidRPr="007C57D2" w:rsidRDefault="007C57D2" w:rsidP="007C57D2">
            <w:pPr>
              <w:pStyle w:val="TableParagraph"/>
              <w:tabs>
                <w:tab w:val="left" w:pos="1687"/>
              </w:tabs>
              <w:jc w:val="both"/>
              <w:rPr>
                <w:rFonts w:ascii="Times New Roman" w:hAnsi="Times New Roman" w:cs="Times New Roman"/>
                <w:spacing w:val="-2"/>
                <w:sz w:val="28"/>
              </w:rPr>
            </w:pPr>
          </w:p>
          <w:p w:rsidR="0014794A" w:rsidRPr="007C57D2" w:rsidRDefault="007C57D2" w:rsidP="007C57D2">
            <w:pPr>
              <w:pStyle w:val="TableParagraph"/>
              <w:tabs>
                <w:tab w:val="left" w:pos="1687"/>
              </w:tabs>
              <w:jc w:val="both"/>
              <w:rPr>
                <w:rFonts w:ascii="Times New Roman" w:hAnsi="Times New Roman" w:cs="Times New Roman"/>
                <w:spacing w:val="-2"/>
                <w:sz w:val="28"/>
              </w:rPr>
            </w:pPr>
          </w:p>
          <w:p w:rsidR="0014794A" w:rsidRPr="007C57D2" w:rsidRDefault="007C57D2" w:rsidP="007C57D2">
            <w:pPr>
              <w:pStyle w:val="TableParagraph"/>
              <w:tabs>
                <w:tab w:val="left" w:pos="1687"/>
              </w:tabs>
              <w:jc w:val="both"/>
              <w:rPr>
                <w:rFonts w:ascii="Times New Roman" w:hAnsi="Times New Roman" w:cs="Times New Roman"/>
                <w:spacing w:val="-2"/>
                <w:sz w:val="28"/>
              </w:rPr>
            </w:pPr>
          </w:p>
          <w:p w:rsidR="0014794A" w:rsidRPr="007C57D2" w:rsidRDefault="007C57D2" w:rsidP="007C57D2">
            <w:pPr>
              <w:pStyle w:val="TableParagraph"/>
              <w:tabs>
                <w:tab w:val="left" w:pos="1687"/>
              </w:tabs>
              <w:jc w:val="both"/>
              <w:rPr>
                <w:rFonts w:ascii="Times New Roman" w:hAnsi="Times New Roman" w:cs="Times New Roman"/>
                <w:spacing w:val="-2"/>
                <w:sz w:val="28"/>
              </w:rPr>
            </w:pPr>
          </w:p>
          <w:p w:rsidR="0014794A"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sz w:val="28"/>
              </w:rPr>
              <w:t xml:space="preserve">Parágrafo 3. </w:t>
            </w:r>
            <w:r w:rsidRPr="007C57D2">
              <w:rPr>
                <w:rFonts w:ascii="Times New Roman" w:hAnsi="Times New Roman" w:cs="Times New Roman"/>
                <w:sz w:val="28"/>
              </w:rPr>
              <w:t>Los diarios y</w:t>
            </w:r>
            <w:r w:rsidRPr="007C57D2">
              <w:rPr>
                <w:rFonts w:ascii="Times New Roman" w:hAnsi="Times New Roman" w:cs="Times New Roman"/>
                <w:spacing w:val="40"/>
                <w:sz w:val="28"/>
              </w:rPr>
              <w:t xml:space="preserve"> </w:t>
            </w:r>
            <w:r w:rsidRPr="007C57D2">
              <w:rPr>
                <w:rFonts w:ascii="Times New Roman" w:hAnsi="Times New Roman" w:cs="Times New Roman"/>
                <w:sz w:val="28"/>
              </w:rPr>
              <w:t>periódicos de amplia difusión</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municipal, distrital,</w:t>
            </w:r>
            <w:r w:rsidRPr="007C57D2">
              <w:rPr>
                <w:rFonts w:ascii="Times New Roman" w:hAnsi="Times New Roman" w:cs="Times New Roman"/>
                <w:spacing w:val="40"/>
                <w:sz w:val="28"/>
              </w:rPr>
              <w:t xml:space="preserve"> </w:t>
            </w:r>
            <w:r w:rsidRPr="007C57D2">
              <w:rPr>
                <w:rFonts w:ascii="Times New Roman" w:hAnsi="Times New Roman" w:cs="Times New Roman"/>
                <w:sz w:val="28"/>
              </w:rPr>
              <w:t>departamental y nacional</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deberán implementar en sus</w:t>
            </w:r>
            <w:r w:rsidRPr="007C57D2">
              <w:rPr>
                <w:rFonts w:ascii="Times New Roman" w:hAnsi="Times New Roman" w:cs="Times New Roman"/>
                <w:spacing w:val="40"/>
                <w:sz w:val="28"/>
              </w:rPr>
              <w:t xml:space="preserve"> </w:t>
            </w:r>
            <w:r w:rsidRPr="007C57D2">
              <w:rPr>
                <w:rFonts w:ascii="Times New Roman" w:hAnsi="Times New Roman" w:cs="Times New Roman"/>
                <w:sz w:val="28"/>
              </w:rPr>
              <w:t>páginas web una sección de</w:t>
            </w:r>
            <w:r w:rsidRPr="007C57D2">
              <w:rPr>
                <w:rFonts w:ascii="Times New Roman" w:hAnsi="Times New Roman" w:cs="Times New Roman"/>
                <w:spacing w:val="40"/>
                <w:sz w:val="28"/>
              </w:rPr>
              <w:t xml:space="preserve"> </w:t>
            </w:r>
            <w:r w:rsidRPr="007C57D2">
              <w:rPr>
                <w:rFonts w:ascii="Times New Roman" w:hAnsi="Times New Roman" w:cs="Times New Roman"/>
                <w:sz w:val="28"/>
              </w:rPr>
              <w:t>Alerta Colombia donde se</w:t>
            </w:r>
            <w:r w:rsidRPr="007C57D2">
              <w:rPr>
                <w:rFonts w:ascii="Times New Roman" w:hAnsi="Times New Roman" w:cs="Times New Roman"/>
                <w:spacing w:val="40"/>
                <w:sz w:val="28"/>
              </w:rPr>
              <w:t xml:space="preserve"> </w:t>
            </w:r>
            <w:r w:rsidRPr="007C57D2">
              <w:rPr>
                <w:rFonts w:ascii="Times New Roman" w:hAnsi="Times New Roman" w:cs="Times New Roman"/>
                <w:sz w:val="28"/>
              </w:rPr>
              <w:t>pueda</w:t>
            </w:r>
            <w:r w:rsidRPr="007C57D2">
              <w:rPr>
                <w:rFonts w:ascii="Times New Roman" w:hAnsi="Times New Roman" w:cs="Times New Roman"/>
                <w:spacing w:val="-3"/>
                <w:sz w:val="28"/>
              </w:rPr>
              <w:t xml:space="preserve"> </w:t>
            </w:r>
            <w:r w:rsidRPr="007C57D2">
              <w:rPr>
                <w:rFonts w:ascii="Times New Roman" w:hAnsi="Times New Roman" w:cs="Times New Roman"/>
                <w:sz w:val="28"/>
              </w:rPr>
              <w:t>conocer</w:t>
            </w:r>
            <w:r w:rsidRPr="007C57D2">
              <w:rPr>
                <w:rFonts w:ascii="Times New Roman" w:hAnsi="Times New Roman" w:cs="Times New Roman"/>
                <w:spacing w:val="-3"/>
                <w:sz w:val="28"/>
              </w:rPr>
              <w:t xml:space="preserve"> </w:t>
            </w:r>
            <w:r w:rsidRPr="007C57D2">
              <w:rPr>
                <w:rFonts w:ascii="Times New Roman" w:hAnsi="Times New Roman" w:cs="Times New Roman"/>
                <w:sz w:val="28"/>
              </w:rPr>
              <w:t>información</w:t>
            </w:r>
            <w:r w:rsidRPr="007C57D2">
              <w:rPr>
                <w:rFonts w:ascii="Times New Roman" w:hAnsi="Times New Roman" w:cs="Times New Roman"/>
                <w:spacing w:val="-3"/>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los niños o niñas extraviados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en</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Colombia,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cual</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deberá</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ser</w:t>
            </w:r>
            <w:r w:rsidRPr="007C57D2">
              <w:rPr>
                <w:rFonts w:ascii="Times New Roman" w:hAnsi="Times New Roman" w:cs="Times New Roman"/>
                <w:spacing w:val="40"/>
                <w:sz w:val="28"/>
              </w:rPr>
              <w:t xml:space="preserve"> </w:t>
            </w:r>
            <w:r w:rsidRPr="007C57D2">
              <w:rPr>
                <w:rFonts w:ascii="Times New Roman" w:hAnsi="Times New Roman" w:cs="Times New Roman"/>
                <w:sz w:val="28"/>
              </w:rPr>
              <w:t>implementada dentro de los 6</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meses </w:t>
            </w:r>
            <w:r w:rsidRPr="007C57D2">
              <w:rPr>
                <w:rFonts w:ascii="Times New Roman" w:hAnsi="Times New Roman" w:cs="Times New Roman"/>
                <w:sz w:val="28"/>
              </w:rPr>
              <w:t>siguientes contados a</w:t>
            </w:r>
            <w:r w:rsidRPr="007C57D2">
              <w:rPr>
                <w:rFonts w:ascii="Times New Roman" w:hAnsi="Times New Roman" w:cs="Times New Roman"/>
                <w:spacing w:val="40"/>
                <w:sz w:val="28"/>
              </w:rPr>
              <w:t xml:space="preserve"> </w:t>
            </w:r>
            <w:r w:rsidRPr="007C57D2">
              <w:rPr>
                <w:rFonts w:ascii="Times New Roman" w:hAnsi="Times New Roman" w:cs="Times New Roman"/>
                <w:sz w:val="28"/>
              </w:rPr>
              <w:t>partir</w:t>
            </w:r>
            <w:r w:rsidRPr="007C57D2">
              <w:rPr>
                <w:rFonts w:ascii="Times New Roman" w:hAnsi="Times New Roman" w:cs="Times New Roman"/>
                <w:spacing w:val="-3"/>
                <w:sz w:val="28"/>
              </w:rPr>
              <w:t xml:space="preserve"> </w:t>
            </w:r>
            <w:r w:rsidRPr="007C57D2">
              <w:rPr>
                <w:rFonts w:ascii="Times New Roman" w:hAnsi="Times New Roman" w:cs="Times New Roman"/>
                <w:sz w:val="28"/>
              </w:rPr>
              <w:t>de</w:t>
            </w:r>
            <w:r w:rsidRPr="007C57D2">
              <w:rPr>
                <w:rFonts w:ascii="Times New Roman" w:hAnsi="Times New Roman" w:cs="Times New Roman"/>
                <w:spacing w:val="-4"/>
                <w:sz w:val="28"/>
              </w:rPr>
              <w:t xml:space="preserve"> </w:t>
            </w:r>
            <w:r w:rsidRPr="007C57D2">
              <w:rPr>
                <w:rFonts w:ascii="Times New Roman" w:hAnsi="Times New Roman" w:cs="Times New Roman"/>
                <w:sz w:val="28"/>
              </w:rPr>
              <w:t>la</w:t>
            </w:r>
            <w:r w:rsidRPr="007C57D2">
              <w:rPr>
                <w:rFonts w:ascii="Times New Roman" w:hAnsi="Times New Roman" w:cs="Times New Roman"/>
                <w:spacing w:val="-4"/>
                <w:sz w:val="28"/>
              </w:rPr>
              <w:t xml:space="preserve"> </w:t>
            </w:r>
            <w:r w:rsidRPr="007C57D2">
              <w:rPr>
                <w:rFonts w:ascii="Times New Roman" w:hAnsi="Times New Roman" w:cs="Times New Roman"/>
                <w:sz w:val="28"/>
              </w:rPr>
              <w:t>entrada</w:t>
            </w:r>
            <w:r w:rsidRPr="007C57D2">
              <w:rPr>
                <w:rFonts w:ascii="Times New Roman" w:hAnsi="Times New Roman" w:cs="Times New Roman"/>
                <w:spacing w:val="-3"/>
                <w:sz w:val="28"/>
              </w:rPr>
              <w:t xml:space="preserve"> </w:t>
            </w:r>
            <w:r w:rsidRPr="007C57D2">
              <w:rPr>
                <w:rFonts w:ascii="Times New Roman" w:hAnsi="Times New Roman" w:cs="Times New Roman"/>
                <w:sz w:val="28"/>
              </w:rPr>
              <w:t>en</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 xml:space="preserve">vigencia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esta</w:t>
            </w:r>
            <w:r w:rsidRPr="007C57D2">
              <w:rPr>
                <w:rFonts w:ascii="Times New Roman" w:hAnsi="Times New Roman" w:cs="Times New Roman"/>
                <w:spacing w:val="-9"/>
                <w:sz w:val="28"/>
              </w:rPr>
              <w:t xml:space="preserve"> </w:t>
            </w:r>
            <w:r w:rsidRPr="007C57D2">
              <w:rPr>
                <w:rFonts w:ascii="Times New Roman" w:hAnsi="Times New Roman" w:cs="Times New Roman"/>
                <w:sz w:val="28"/>
              </w:rPr>
              <w:t>ley.</w:t>
            </w:r>
            <w:r w:rsidRPr="007C57D2">
              <w:rPr>
                <w:rFonts w:ascii="Times New Roman" w:hAnsi="Times New Roman" w:cs="Times New Roman"/>
                <w:spacing w:val="-9"/>
                <w:sz w:val="28"/>
              </w:rPr>
              <w:t xml:space="preserve"> </w:t>
            </w:r>
            <w:r w:rsidRPr="007C57D2">
              <w:rPr>
                <w:rFonts w:ascii="Times New Roman" w:hAnsi="Times New Roman" w:cs="Times New Roman"/>
                <w:sz w:val="28"/>
              </w:rPr>
              <w:t>El</w:t>
            </w:r>
            <w:r w:rsidRPr="007C57D2">
              <w:rPr>
                <w:rFonts w:ascii="Times New Roman" w:hAnsi="Times New Roman" w:cs="Times New Roman"/>
                <w:spacing w:val="-9"/>
                <w:sz w:val="28"/>
              </w:rPr>
              <w:t xml:space="preserve"> </w:t>
            </w:r>
            <w:r w:rsidRPr="007C57D2">
              <w:rPr>
                <w:rFonts w:ascii="Times New Roman" w:hAnsi="Times New Roman" w:cs="Times New Roman"/>
                <w:sz w:val="28"/>
              </w:rPr>
              <w:t>Ministerio</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las</w:t>
            </w:r>
            <w:r w:rsidRPr="007C57D2">
              <w:rPr>
                <w:rFonts w:ascii="Times New Roman" w:hAnsi="Times New Roman" w:cs="Times New Roman"/>
                <w:spacing w:val="40"/>
                <w:sz w:val="28"/>
              </w:rPr>
              <w:t xml:space="preserve"> </w:t>
            </w:r>
            <w:r w:rsidRPr="007C57D2">
              <w:rPr>
                <w:rFonts w:ascii="Times New Roman" w:hAnsi="Times New Roman" w:cs="Times New Roman"/>
                <w:sz w:val="28"/>
              </w:rPr>
              <w:t>Tecnologías</w:t>
            </w:r>
            <w:r w:rsidRPr="007C57D2">
              <w:rPr>
                <w:rFonts w:ascii="Times New Roman" w:hAnsi="Times New Roman" w:cs="Times New Roman"/>
                <w:spacing w:val="-1"/>
                <w:sz w:val="28"/>
              </w:rPr>
              <w:t xml:space="preserve"> </w:t>
            </w:r>
            <w:r w:rsidRPr="007C57D2">
              <w:rPr>
                <w:rFonts w:ascii="Times New Roman" w:hAnsi="Times New Roman" w:cs="Times New Roman"/>
                <w:sz w:val="28"/>
              </w:rPr>
              <w:t>de</w:t>
            </w:r>
            <w:r w:rsidRPr="007C57D2">
              <w:rPr>
                <w:rFonts w:ascii="Times New Roman" w:hAnsi="Times New Roman" w:cs="Times New Roman"/>
                <w:spacing w:val="-1"/>
                <w:sz w:val="28"/>
              </w:rPr>
              <w:t xml:space="preserve"> </w:t>
            </w:r>
            <w:r w:rsidRPr="007C57D2">
              <w:rPr>
                <w:rFonts w:ascii="Times New Roman" w:hAnsi="Times New Roman" w:cs="Times New Roman"/>
                <w:sz w:val="28"/>
              </w:rPr>
              <w:t>la</w:t>
            </w:r>
            <w:r w:rsidRPr="007C57D2">
              <w:rPr>
                <w:rFonts w:ascii="Times New Roman" w:hAnsi="Times New Roman" w:cs="Times New Roman"/>
                <w:spacing w:val="-1"/>
                <w:sz w:val="28"/>
              </w:rPr>
              <w:t xml:space="preserve"> </w:t>
            </w:r>
            <w:r w:rsidRPr="007C57D2">
              <w:rPr>
                <w:rFonts w:ascii="Times New Roman" w:hAnsi="Times New Roman" w:cs="Times New Roman"/>
                <w:sz w:val="28"/>
              </w:rPr>
              <w:t>Información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y las Comunicaciones podrá</w:t>
            </w:r>
            <w:r w:rsidRPr="007C57D2">
              <w:rPr>
                <w:rFonts w:ascii="Times New Roman" w:hAnsi="Times New Roman" w:cs="Times New Roman"/>
                <w:spacing w:val="40"/>
                <w:sz w:val="28"/>
              </w:rPr>
              <w:t xml:space="preserve"> </w:t>
            </w:r>
            <w:r w:rsidRPr="007C57D2">
              <w:rPr>
                <w:rFonts w:ascii="Times New Roman" w:hAnsi="Times New Roman" w:cs="Times New Roman"/>
                <w:sz w:val="28"/>
              </w:rPr>
              <w:t>brindar</w:t>
            </w:r>
            <w:r w:rsidRPr="007C57D2">
              <w:rPr>
                <w:rFonts w:ascii="Times New Roman" w:hAnsi="Times New Roman" w:cs="Times New Roman"/>
                <w:spacing w:val="-8"/>
                <w:sz w:val="28"/>
              </w:rPr>
              <w:t xml:space="preserve"> </w:t>
            </w:r>
            <w:r w:rsidRPr="007C57D2">
              <w:rPr>
                <w:rFonts w:ascii="Times New Roman" w:hAnsi="Times New Roman" w:cs="Times New Roman"/>
                <w:sz w:val="28"/>
              </w:rPr>
              <w:t>asistencia</w:t>
            </w:r>
            <w:r w:rsidRPr="007C57D2">
              <w:rPr>
                <w:rFonts w:ascii="Times New Roman" w:hAnsi="Times New Roman" w:cs="Times New Roman"/>
                <w:spacing w:val="-8"/>
                <w:sz w:val="28"/>
              </w:rPr>
              <w:t xml:space="preserve"> </w:t>
            </w:r>
            <w:r w:rsidRPr="007C57D2">
              <w:rPr>
                <w:rFonts w:ascii="Times New Roman" w:hAnsi="Times New Roman" w:cs="Times New Roman"/>
                <w:sz w:val="28"/>
              </w:rPr>
              <w:t>técnica</w:t>
            </w:r>
            <w:r w:rsidRPr="007C57D2">
              <w:rPr>
                <w:rFonts w:ascii="Times New Roman" w:hAnsi="Times New Roman" w:cs="Times New Roman"/>
                <w:spacing w:val="-8"/>
                <w:sz w:val="28"/>
              </w:rPr>
              <w:t xml:space="preserve"> </w:t>
            </w:r>
            <w:r w:rsidRPr="007C57D2">
              <w:rPr>
                <w:rFonts w:ascii="Times New Roman" w:hAnsi="Times New Roman" w:cs="Times New Roman"/>
                <w:sz w:val="28"/>
              </w:rPr>
              <w:t>para</w:t>
            </w:r>
            <w:r w:rsidRPr="007C57D2">
              <w:rPr>
                <w:rFonts w:ascii="Times New Roman" w:hAnsi="Times New Roman" w:cs="Times New Roman"/>
                <w:spacing w:val="40"/>
                <w:sz w:val="28"/>
              </w:rPr>
              <w:t xml:space="preserve"> </w:t>
            </w:r>
            <w:r w:rsidRPr="007C57D2">
              <w:rPr>
                <w:rFonts w:ascii="Times New Roman" w:hAnsi="Times New Roman" w:cs="Times New Roman"/>
                <w:sz w:val="28"/>
              </w:rPr>
              <w:t>este</w:t>
            </w:r>
            <w:r w:rsidRPr="007C57D2">
              <w:rPr>
                <w:rFonts w:ascii="Times New Roman" w:hAnsi="Times New Roman" w:cs="Times New Roman"/>
                <w:spacing w:val="-9"/>
                <w:sz w:val="28"/>
              </w:rPr>
              <w:t xml:space="preserve"> </w:t>
            </w:r>
            <w:r w:rsidRPr="007C57D2">
              <w:rPr>
                <w:rFonts w:ascii="Times New Roman" w:hAnsi="Times New Roman" w:cs="Times New Roman"/>
                <w:sz w:val="28"/>
              </w:rPr>
              <w:t>efecto.</w:t>
            </w:r>
          </w:p>
          <w:p w:rsidR="0014794A" w:rsidRPr="007C57D2" w:rsidRDefault="007C57D2" w:rsidP="007C57D2">
            <w:pPr>
              <w:pStyle w:val="TableParagraph"/>
              <w:jc w:val="both"/>
              <w:rPr>
                <w:rFonts w:ascii="Times New Roman" w:hAnsi="Times New Roman" w:cs="Times New Roman"/>
                <w:sz w:val="28"/>
              </w:rPr>
            </w:pPr>
          </w:p>
          <w:p w:rsidR="0014794A"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sz w:val="28"/>
              </w:rPr>
              <w:t>El incumplimiento de lo</w:t>
            </w:r>
            <w:r w:rsidRPr="007C57D2">
              <w:rPr>
                <w:rFonts w:ascii="Times New Roman" w:hAnsi="Times New Roman" w:cs="Times New Roman"/>
                <w:spacing w:val="40"/>
                <w:sz w:val="28"/>
              </w:rPr>
              <w:t xml:space="preserve"> </w:t>
            </w:r>
            <w:r w:rsidRPr="007C57D2">
              <w:rPr>
                <w:rFonts w:ascii="Times New Roman" w:hAnsi="Times New Roman" w:cs="Times New Roman"/>
                <w:sz w:val="28"/>
              </w:rPr>
              <w:t>dispuesto en este artículo</w:t>
            </w:r>
            <w:r w:rsidRPr="007C57D2">
              <w:rPr>
                <w:rFonts w:ascii="Times New Roman" w:hAnsi="Times New Roman" w:cs="Times New Roman"/>
                <w:spacing w:val="40"/>
                <w:sz w:val="28"/>
              </w:rPr>
              <w:t xml:space="preserve"> </w:t>
            </w:r>
            <w:r w:rsidRPr="007C57D2">
              <w:rPr>
                <w:rFonts w:ascii="Times New Roman" w:hAnsi="Times New Roman" w:cs="Times New Roman"/>
                <w:sz w:val="28"/>
              </w:rPr>
              <w:t>acarreará las</w:t>
            </w:r>
            <w:r w:rsidRPr="007C57D2">
              <w:rPr>
                <w:rFonts w:ascii="Times New Roman" w:hAnsi="Times New Roman" w:cs="Times New Roman"/>
                <w:sz w:val="28"/>
              </w:rPr>
              <w:t xml:space="preserve"> sanciones</w:t>
            </w:r>
            <w:r w:rsidRPr="007C57D2">
              <w:rPr>
                <w:rFonts w:ascii="Times New Roman" w:hAnsi="Times New Roman" w:cs="Times New Roman"/>
                <w:spacing w:val="40"/>
                <w:sz w:val="28"/>
              </w:rPr>
              <w:t xml:space="preserve"> </w:t>
            </w:r>
            <w:r w:rsidRPr="007C57D2">
              <w:rPr>
                <w:rFonts w:ascii="Times New Roman" w:hAnsi="Times New Roman" w:cs="Times New Roman"/>
                <w:sz w:val="28"/>
              </w:rPr>
              <w:t>económicas</w:t>
            </w:r>
            <w:r w:rsidRPr="007C57D2">
              <w:rPr>
                <w:rFonts w:ascii="Times New Roman" w:hAnsi="Times New Roman" w:cs="Times New Roman"/>
                <w:spacing w:val="-1"/>
                <w:sz w:val="28"/>
              </w:rPr>
              <w:t xml:space="preserve"> </w:t>
            </w:r>
            <w:r w:rsidRPr="007C57D2">
              <w:rPr>
                <w:rFonts w:ascii="Times New Roman" w:hAnsi="Times New Roman" w:cs="Times New Roman"/>
                <w:sz w:val="28"/>
              </w:rPr>
              <w:t>que</w:t>
            </w:r>
            <w:r w:rsidRPr="007C57D2">
              <w:rPr>
                <w:rFonts w:ascii="Times New Roman" w:hAnsi="Times New Roman" w:cs="Times New Roman"/>
                <w:spacing w:val="-1"/>
                <w:sz w:val="28"/>
              </w:rPr>
              <w:t xml:space="preserve"> </w:t>
            </w:r>
            <w:r w:rsidRPr="007C57D2">
              <w:rPr>
                <w:rFonts w:ascii="Times New Roman" w:hAnsi="Times New Roman" w:cs="Times New Roman"/>
                <w:sz w:val="28"/>
              </w:rPr>
              <w:t>establezca</w:t>
            </w:r>
            <w:r w:rsidRPr="007C57D2">
              <w:rPr>
                <w:rFonts w:ascii="Times New Roman" w:hAnsi="Times New Roman" w:cs="Times New Roman"/>
                <w:spacing w:val="-1"/>
                <w:sz w:val="28"/>
              </w:rPr>
              <w:t xml:space="preserve"> </w:t>
            </w:r>
            <w:r w:rsidRPr="007C57D2">
              <w:rPr>
                <w:rFonts w:ascii="Times New Roman" w:hAnsi="Times New Roman" w:cs="Times New Roman"/>
                <w:sz w:val="28"/>
              </w:rPr>
              <w:t>el</w:t>
            </w:r>
            <w:r w:rsidRPr="007C57D2">
              <w:rPr>
                <w:rFonts w:ascii="Times New Roman" w:hAnsi="Times New Roman" w:cs="Times New Roman"/>
                <w:spacing w:val="40"/>
                <w:sz w:val="28"/>
              </w:rPr>
              <w:t xml:space="preserve"> </w:t>
            </w:r>
            <w:r w:rsidRPr="007C57D2">
              <w:rPr>
                <w:rFonts w:ascii="Times New Roman" w:hAnsi="Times New Roman" w:cs="Times New Roman"/>
                <w:sz w:val="28"/>
              </w:rPr>
              <w:t>Ministerio de las Tecnologías</w:t>
            </w:r>
            <w:r w:rsidRPr="007C57D2">
              <w:rPr>
                <w:rFonts w:ascii="Times New Roman" w:hAnsi="Times New Roman" w:cs="Times New Roman"/>
                <w:spacing w:val="40"/>
                <w:sz w:val="28"/>
              </w:rPr>
              <w:t xml:space="preserve"> </w:t>
            </w:r>
            <w:r w:rsidRPr="007C57D2">
              <w:rPr>
                <w:rFonts w:ascii="Times New Roman" w:hAnsi="Times New Roman" w:cs="Times New Roman"/>
                <w:sz w:val="28"/>
              </w:rPr>
              <w:t>de la Información y las</w:t>
            </w:r>
            <w:r w:rsidRPr="007C57D2">
              <w:rPr>
                <w:rFonts w:ascii="Times New Roman" w:hAnsi="Times New Roman" w:cs="Times New Roman"/>
                <w:spacing w:val="40"/>
                <w:sz w:val="28"/>
              </w:rPr>
              <w:t xml:space="preserve"> </w:t>
            </w:r>
            <w:r w:rsidRPr="007C57D2">
              <w:rPr>
                <w:rFonts w:ascii="Times New Roman" w:hAnsi="Times New Roman" w:cs="Times New Roman"/>
                <w:sz w:val="28"/>
              </w:rPr>
              <w:t>Comunicaciones, para lo cual</w:t>
            </w:r>
            <w:r w:rsidRPr="007C57D2">
              <w:rPr>
                <w:rFonts w:ascii="Times New Roman" w:hAnsi="Times New Roman" w:cs="Times New Roman"/>
                <w:spacing w:val="40"/>
                <w:sz w:val="28"/>
              </w:rPr>
              <w:t xml:space="preserve"> </w:t>
            </w:r>
            <w:r w:rsidRPr="007C57D2">
              <w:rPr>
                <w:rFonts w:ascii="Times New Roman" w:hAnsi="Times New Roman" w:cs="Times New Roman"/>
                <w:sz w:val="28"/>
              </w:rPr>
              <w:t>dicha</w:t>
            </w:r>
            <w:r w:rsidRPr="007C57D2">
              <w:rPr>
                <w:rFonts w:ascii="Times New Roman" w:hAnsi="Times New Roman" w:cs="Times New Roman"/>
                <w:spacing w:val="-10"/>
                <w:sz w:val="28"/>
              </w:rPr>
              <w:t xml:space="preserve"> </w:t>
            </w:r>
            <w:r w:rsidRPr="007C57D2">
              <w:rPr>
                <w:rFonts w:ascii="Times New Roman" w:hAnsi="Times New Roman" w:cs="Times New Roman"/>
                <w:sz w:val="28"/>
              </w:rPr>
              <w:t>cartera</w:t>
            </w:r>
            <w:r w:rsidRPr="007C57D2">
              <w:rPr>
                <w:rFonts w:ascii="Times New Roman" w:hAnsi="Times New Roman" w:cs="Times New Roman"/>
                <w:spacing w:val="-9"/>
                <w:sz w:val="28"/>
              </w:rPr>
              <w:t xml:space="preserve"> </w:t>
            </w:r>
            <w:r w:rsidRPr="007C57D2">
              <w:rPr>
                <w:rFonts w:ascii="Times New Roman" w:hAnsi="Times New Roman" w:cs="Times New Roman"/>
                <w:sz w:val="28"/>
              </w:rPr>
              <w:t>ministerial</w:t>
            </w:r>
            <w:r w:rsidRPr="007C57D2">
              <w:rPr>
                <w:rFonts w:ascii="Times New Roman" w:hAnsi="Times New Roman" w:cs="Times New Roman"/>
                <w:spacing w:val="-9"/>
                <w:sz w:val="28"/>
              </w:rPr>
              <w:t xml:space="preserve"> </w:t>
            </w:r>
            <w:r w:rsidRPr="007C57D2">
              <w:rPr>
                <w:rFonts w:ascii="Times New Roman" w:hAnsi="Times New Roman" w:cs="Times New Roman"/>
                <w:sz w:val="28"/>
              </w:rPr>
              <w:t>dentro</w:t>
            </w:r>
            <w:r w:rsidRPr="007C57D2">
              <w:rPr>
                <w:rFonts w:ascii="Times New Roman" w:hAnsi="Times New Roman" w:cs="Times New Roman"/>
                <w:spacing w:val="40"/>
                <w:sz w:val="28"/>
              </w:rPr>
              <w:t xml:space="preserve"> </w:t>
            </w:r>
            <w:r w:rsidRPr="007C57D2">
              <w:rPr>
                <w:rFonts w:ascii="Times New Roman" w:hAnsi="Times New Roman" w:cs="Times New Roman"/>
                <w:sz w:val="28"/>
              </w:rPr>
              <w:t>de</w:t>
            </w:r>
            <w:r w:rsidRPr="007C57D2">
              <w:rPr>
                <w:rFonts w:ascii="Times New Roman" w:hAnsi="Times New Roman" w:cs="Times New Roman"/>
                <w:spacing w:val="-10"/>
                <w:sz w:val="28"/>
              </w:rPr>
              <w:t xml:space="preserve"> </w:t>
            </w:r>
            <w:r w:rsidRPr="007C57D2">
              <w:rPr>
                <w:rFonts w:ascii="Times New Roman" w:hAnsi="Times New Roman" w:cs="Times New Roman"/>
                <w:sz w:val="28"/>
              </w:rPr>
              <w:t>los</w:t>
            </w:r>
            <w:r w:rsidRPr="007C57D2">
              <w:rPr>
                <w:rFonts w:ascii="Times New Roman" w:hAnsi="Times New Roman" w:cs="Times New Roman"/>
                <w:spacing w:val="-9"/>
                <w:sz w:val="28"/>
              </w:rPr>
              <w:t xml:space="preserve"> </w:t>
            </w:r>
            <w:r w:rsidRPr="007C57D2">
              <w:rPr>
                <w:rFonts w:ascii="Times New Roman" w:hAnsi="Times New Roman" w:cs="Times New Roman"/>
                <w:sz w:val="28"/>
              </w:rPr>
              <w:t>seis</w:t>
            </w:r>
            <w:r w:rsidRPr="007C57D2">
              <w:rPr>
                <w:rFonts w:ascii="Times New Roman" w:hAnsi="Times New Roman" w:cs="Times New Roman"/>
                <w:spacing w:val="-9"/>
                <w:sz w:val="28"/>
              </w:rPr>
              <w:t xml:space="preserve"> </w:t>
            </w:r>
            <w:r w:rsidRPr="007C57D2">
              <w:rPr>
                <w:rFonts w:ascii="Times New Roman" w:hAnsi="Times New Roman" w:cs="Times New Roman"/>
                <w:sz w:val="28"/>
              </w:rPr>
              <w:t>(6)</w:t>
            </w:r>
            <w:r w:rsidRPr="007C57D2">
              <w:rPr>
                <w:rFonts w:ascii="Times New Roman" w:hAnsi="Times New Roman" w:cs="Times New Roman"/>
                <w:spacing w:val="-9"/>
                <w:sz w:val="28"/>
              </w:rPr>
              <w:t xml:space="preserve"> </w:t>
            </w:r>
            <w:r w:rsidRPr="007C57D2">
              <w:rPr>
                <w:rFonts w:ascii="Times New Roman" w:hAnsi="Times New Roman" w:cs="Times New Roman"/>
                <w:sz w:val="28"/>
              </w:rPr>
              <w:t>meses</w:t>
            </w:r>
            <w:r w:rsidRPr="007C57D2">
              <w:rPr>
                <w:rFonts w:ascii="Times New Roman" w:hAnsi="Times New Roman" w:cs="Times New Roman"/>
                <w:spacing w:val="-9"/>
                <w:sz w:val="28"/>
              </w:rPr>
              <w:t xml:space="preserve"> </w:t>
            </w:r>
            <w:r w:rsidRPr="007C57D2">
              <w:rPr>
                <w:rFonts w:ascii="Times New Roman" w:hAnsi="Times New Roman" w:cs="Times New Roman"/>
                <w:sz w:val="28"/>
              </w:rPr>
              <w:t>contados</w:t>
            </w:r>
            <w:r w:rsidRPr="007C57D2">
              <w:rPr>
                <w:rFonts w:ascii="Times New Roman" w:hAnsi="Times New Roman" w:cs="Times New Roman"/>
                <w:spacing w:val="40"/>
                <w:sz w:val="28"/>
              </w:rPr>
              <w:t xml:space="preserve"> </w:t>
            </w:r>
            <w:r w:rsidRPr="007C57D2">
              <w:rPr>
                <w:rFonts w:ascii="Times New Roman" w:hAnsi="Times New Roman" w:cs="Times New Roman"/>
                <w:sz w:val="28"/>
              </w:rPr>
              <w:t>a partir de la entrada en</w:t>
            </w:r>
            <w:r w:rsidRPr="007C57D2">
              <w:rPr>
                <w:rFonts w:ascii="Times New Roman" w:hAnsi="Times New Roman" w:cs="Times New Roman"/>
                <w:spacing w:val="40"/>
                <w:sz w:val="28"/>
              </w:rPr>
              <w:t xml:space="preserve"> </w:t>
            </w:r>
            <w:r w:rsidRPr="007C57D2">
              <w:rPr>
                <w:rFonts w:ascii="Times New Roman" w:hAnsi="Times New Roman" w:cs="Times New Roman"/>
                <w:sz w:val="28"/>
              </w:rPr>
              <w:t>vigencia de la presente ley</w:t>
            </w:r>
            <w:r w:rsidRPr="007C57D2">
              <w:rPr>
                <w:rFonts w:ascii="Times New Roman" w:hAnsi="Times New Roman" w:cs="Times New Roman"/>
                <w:spacing w:val="40"/>
                <w:sz w:val="28"/>
              </w:rPr>
              <w:t xml:space="preserve"> </w:t>
            </w:r>
            <w:r w:rsidRPr="007C57D2">
              <w:rPr>
                <w:rFonts w:ascii="Times New Roman" w:hAnsi="Times New Roman" w:cs="Times New Roman"/>
                <w:sz w:val="28"/>
              </w:rPr>
              <w:t>reglamentará</w:t>
            </w:r>
            <w:r w:rsidRPr="007C57D2">
              <w:rPr>
                <w:rFonts w:ascii="Times New Roman" w:hAnsi="Times New Roman" w:cs="Times New Roman"/>
                <w:spacing w:val="-8"/>
                <w:sz w:val="28"/>
              </w:rPr>
              <w:t xml:space="preserve"> </w:t>
            </w:r>
            <w:r w:rsidRPr="007C57D2">
              <w:rPr>
                <w:rFonts w:ascii="Times New Roman" w:hAnsi="Times New Roman" w:cs="Times New Roman"/>
                <w:sz w:val="28"/>
              </w:rPr>
              <w:t>el</w:t>
            </w:r>
            <w:r w:rsidRPr="007C57D2">
              <w:rPr>
                <w:rFonts w:ascii="Times New Roman" w:hAnsi="Times New Roman" w:cs="Times New Roman"/>
                <w:spacing w:val="-9"/>
                <w:sz w:val="28"/>
              </w:rPr>
              <w:t xml:space="preserve"> </w:t>
            </w:r>
            <w:r w:rsidRPr="007C57D2">
              <w:rPr>
                <w:rFonts w:ascii="Times New Roman" w:hAnsi="Times New Roman" w:cs="Times New Roman"/>
                <w:sz w:val="28"/>
              </w:rPr>
              <w:t>procedimiento</w:t>
            </w:r>
            <w:r w:rsidRPr="007C57D2">
              <w:rPr>
                <w:rFonts w:ascii="Times New Roman" w:hAnsi="Times New Roman" w:cs="Times New Roman"/>
                <w:spacing w:val="40"/>
                <w:sz w:val="28"/>
              </w:rPr>
              <w:t xml:space="preserve"> </w:t>
            </w:r>
            <w:r w:rsidRPr="007C57D2">
              <w:rPr>
                <w:rFonts w:ascii="Times New Roman" w:hAnsi="Times New Roman" w:cs="Times New Roman"/>
                <w:sz w:val="28"/>
              </w:rPr>
              <w:t>y las sanciones.</w:t>
            </w:r>
          </w:p>
          <w:p w:rsidR="0014794A" w:rsidRPr="007C57D2" w:rsidRDefault="007C57D2" w:rsidP="007C57D2">
            <w:pPr>
              <w:pStyle w:val="TableParagraph"/>
              <w:jc w:val="both"/>
              <w:rPr>
                <w:rFonts w:ascii="Times New Roman" w:hAnsi="Times New Roman" w:cs="Times New Roman"/>
                <w:sz w:val="28"/>
              </w:rPr>
            </w:pPr>
          </w:p>
          <w:p w:rsidR="0014794A" w:rsidRPr="007C57D2" w:rsidRDefault="007C57D2" w:rsidP="007C57D2">
            <w:pPr>
              <w:pStyle w:val="TableParagraph"/>
              <w:tabs>
                <w:tab w:val="left" w:pos="1687"/>
              </w:tabs>
              <w:jc w:val="both"/>
              <w:rPr>
                <w:rFonts w:ascii="Times New Roman" w:hAnsi="Times New Roman" w:cs="Times New Roman"/>
                <w:sz w:val="28"/>
              </w:rPr>
            </w:pPr>
            <w:r w:rsidRPr="007C57D2">
              <w:rPr>
                <w:rFonts w:ascii="Times New Roman" w:hAnsi="Times New Roman" w:cs="Times New Roman"/>
                <w:b/>
                <w:sz w:val="28"/>
              </w:rPr>
              <w:t xml:space="preserve">Parágrafo 4. </w:t>
            </w:r>
            <w:r w:rsidRPr="007C57D2">
              <w:rPr>
                <w:rFonts w:ascii="Times New Roman" w:hAnsi="Times New Roman" w:cs="Times New Roman"/>
                <w:sz w:val="28"/>
              </w:rPr>
              <w:t>Las alcaldías y</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gobernaciones del </w:t>
            </w:r>
            <w:r w:rsidRPr="007C57D2">
              <w:rPr>
                <w:rFonts w:ascii="Times New Roman" w:hAnsi="Times New Roman" w:cs="Times New Roman"/>
                <w:sz w:val="28"/>
              </w:rPr>
              <w:t>país</w:t>
            </w:r>
            <w:r w:rsidRPr="007C57D2">
              <w:rPr>
                <w:rFonts w:ascii="Times New Roman" w:hAnsi="Times New Roman" w:cs="Times New Roman"/>
                <w:spacing w:val="40"/>
                <w:sz w:val="28"/>
              </w:rPr>
              <w:t xml:space="preserve"> </w:t>
            </w:r>
            <w:r w:rsidRPr="007C57D2">
              <w:rPr>
                <w:rFonts w:ascii="Times New Roman" w:hAnsi="Times New Roman" w:cs="Times New Roman"/>
                <w:sz w:val="28"/>
              </w:rPr>
              <w:t>establecerán una sección</w:t>
            </w:r>
            <w:r w:rsidRPr="007C57D2">
              <w:rPr>
                <w:rFonts w:ascii="Times New Roman" w:hAnsi="Times New Roman" w:cs="Times New Roman"/>
                <w:spacing w:val="40"/>
                <w:sz w:val="28"/>
              </w:rPr>
              <w:t xml:space="preserve"> </w:t>
            </w:r>
            <w:r w:rsidRPr="007C57D2">
              <w:rPr>
                <w:rFonts w:ascii="Times New Roman" w:hAnsi="Times New Roman" w:cs="Times New Roman"/>
                <w:sz w:val="28"/>
              </w:rPr>
              <w:t>dentro de sus páginas web</w:t>
            </w:r>
            <w:r w:rsidRPr="007C57D2">
              <w:rPr>
                <w:rFonts w:ascii="Times New Roman" w:hAnsi="Times New Roman" w:cs="Times New Roman"/>
                <w:spacing w:val="40"/>
                <w:sz w:val="28"/>
              </w:rPr>
              <w:t xml:space="preserve"> </w:t>
            </w:r>
            <w:r w:rsidRPr="007C57D2">
              <w:rPr>
                <w:rFonts w:ascii="Times New Roman" w:hAnsi="Times New Roman" w:cs="Times New Roman"/>
                <w:sz w:val="28"/>
              </w:rPr>
              <w:t>oficial, donde publicarán</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información de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w:t>
            </w:r>
            <w:r w:rsidRPr="007C57D2">
              <w:rPr>
                <w:rFonts w:ascii="Times New Roman" w:hAnsi="Times New Roman" w:cs="Times New Roman"/>
                <w:spacing w:val="-10"/>
                <w:sz w:val="28"/>
              </w:rPr>
              <w:t xml:space="preserve"> </w:t>
            </w:r>
            <w:r w:rsidRPr="007C57D2">
              <w:rPr>
                <w:rFonts w:ascii="Times New Roman" w:hAnsi="Times New Roman" w:cs="Times New Roman"/>
                <w:sz w:val="28"/>
              </w:rPr>
              <w:t>donde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ciudadanía</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podrá visualizar información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los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niños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y</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niñas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extraviados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en</w:t>
            </w:r>
            <w:r w:rsidRPr="007C57D2">
              <w:rPr>
                <w:rFonts w:ascii="Times New Roman" w:hAnsi="Times New Roman" w:cs="Times New Roman"/>
                <w:spacing w:val="40"/>
                <w:sz w:val="28"/>
              </w:rPr>
              <w:t xml:space="preserve"> </w:t>
            </w:r>
            <w:r w:rsidRPr="007C57D2">
              <w:rPr>
                <w:rFonts w:ascii="Times New Roman" w:hAnsi="Times New Roman" w:cs="Times New Roman"/>
                <w:sz w:val="28"/>
              </w:rPr>
              <w:t>el departamento o municipio.</w:t>
            </w:r>
          </w:p>
          <w:p w:rsidR="00F22616" w:rsidRPr="007C57D2" w:rsidRDefault="007C57D2" w:rsidP="007C57D2">
            <w:pPr>
              <w:pStyle w:val="TableParagraph"/>
              <w:tabs>
                <w:tab w:val="left" w:pos="1687"/>
              </w:tabs>
              <w:jc w:val="both"/>
              <w:rPr>
                <w:rFonts w:ascii="Times New Roman" w:hAnsi="Times New Roman" w:cs="Times New Roman"/>
                <w:sz w:val="28"/>
              </w:rPr>
            </w:pPr>
          </w:p>
          <w:p w:rsidR="0014794A" w:rsidRPr="007C57D2" w:rsidRDefault="007C57D2" w:rsidP="007C57D2">
            <w:pPr>
              <w:pStyle w:val="TableParagraph"/>
              <w:tabs>
                <w:tab w:val="left" w:pos="1167"/>
                <w:tab w:val="left" w:pos="1669"/>
              </w:tabs>
              <w:jc w:val="both"/>
              <w:rPr>
                <w:rFonts w:ascii="Times New Roman" w:hAnsi="Times New Roman" w:cs="Times New Roman"/>
                <w:spacing w:val="-2"/>
                <w:sz w:val="28"/>
              </w:rPr>
            </w:pPr>
            <w:r w:rsidRPr="007C57D2">
              <w:rPr>
                <w:rFonts w:ascii="Times New Roman" w:hAnsi="Times New Roman" w:cs="Times New Roman"/>
                <w:b/>
                <w:sz w:val="28"/>
              </w:rPr>
              <w:t xml:space="preserve">Parágrafo 5. </w:t>
            </w:r>
            <w:r w:rsidRPr="007C57D2">
              <w:rPr>
                <w:rFonts w:ascii="Times New Roman" w:hAnsi="Times New Roman" w:cs="Times New Roman"/>
                <w:sz w:val="28"/>
              </w:rPr>
              <w:t>El Gobierno</w:t>
            </w:r>
            <w:r w:rsidRPr="007C57D2">
              <w:rPr>
                <w:rFonts w:ascii="Times New Roman" w:hAnsi="Times New Roman" w:cs="Times New Roman"/>
                <w:spacing w:val="40"/>
                <w:sz w:val="28"/>
              </w:rPr>
              <w:t xml:space="preserve"> </w:t>
            </w:r>
            <w:r w:rsidRPr="007C57D2">
              <w:rPr>
                <w:rFonts w:ascii="Times New Roman" w:hAnsi="Times New Roman" w:cs="Times New Roman"/>
                <w:sz w:val="28"/>
              </w:rPr>
              <w:t>nacional</w:t>
            </w:r>
            <w:r w:rsidRPr="007C57D2">
              <w:rPr>
                <w:rFonts w:ascii="Times New Roman" w:hAnsi="Times New Roman" w:cs="Times New Roman"/>
                <w:spacing w:val="-10"/>
                <w:sz w:val="28"/>
              </w:rPr>
              <w:t xml:space="preserve"> </w:t>
            </w:r>
            <w:r w:rsidRPr="007C57D2">
              <w:rPr>
                <w:rFonts w:ascii="Times New Roman" w:hAnsi="Times New Roman" w:cs="Times New Roman"/>
                <w:sz w:val="28"/>
              </w:rPr>
              <w:t>a</w:t>
            </w:r>
            <w:r w:rsidRPr="007C57D2">
              <w:rPr>
                <w:rFonts w:ascii="Times New Roman" w:hAnsi="Times New Roman" w:cs="Times New Roman"/>
                <w:spacing w:val="-9"/>
                <w:sz w:val="28"/>
              </w:rPr>
              <w:t xml:space="preserve"> </w:t>
            </w:r>
            <w:r w:rsidRPr="007C57D2">
              <w:rPr>
                <w:rFonts w:ascii="Times New Roman" w:hAnsi="Times New Roman" w:cs="Times New Roman"/>
                <w:sz w:val="28"/>
              </w:rPr>
              <w:t>través</w:t>
            </w:r>
            <w:r w:rsidRPr="007C57D2">
              <w:rPr>
                <w:rFonts w:ascii="Times New Roman" w:hAnsi="Times New Roman" w:cs="Times New Roman"/>
                <w:spacing w:val="-9"/>
                <w:sz w:val="28"/>
              </w:rPr>
              <w:t xml:space="preserve"> </w:t>
            </w:r>
            <w:r w:rsidRPr="007C57D2">
              <w:rPr>
                <w:rFonts w:ascii="Times New Roman" w:hAnsi="Times New Roman" w:cs="Times New Roman"/>
                <w:sz w:val="28"/>
              </w:rPr>
              <w:t>del</w:t>
            </w:r>
            <w:r w:rsidRPr="007C57D2">
              <w:rPr>
                <w:rFonts w:ascii="Times New Roman" w:hAnsi="Times New Roman" w:cs="Times New Roman"/>
                <w:spacing w:val="-9"/>
                <w:sz w:val="28"/>
              </w:rPr>
              <w:t xml:space="preserve"> </w:t>
            </w:r>
            <w:r w:rsidRPr="007C57D2">
              <w:rPr>
                <w:rFonts w:ascii="Times New Roman" w:hAnsi="Times New Roman" w:cs="Times New Roman"/>
                <w:sz w:val="28"/>
              </w:rPr>
              <w:t>Ministerio</w:t>
            </w:r>
            <w:r w:rsidRPr="007C57D2">
              <w:rPr>
                <w:rFonts w:ascii="Times New Roman" w:hAnsi="Times New Roman" w:cs="Times New Roman"/>
                <w:spacing w:val="40"/>
                <w:sz w:val="28"/>
              </w:rPr>
              <w:t xml:space="preserve"> </w:t>
            </w:r>
            <w:r w:rsidRPr="007C57D2">
              <w:rPr>
                <w:rFonts w:ascii="Times New Roman" w:hAnsi="Times New Roman" w:cs="Times New Roman"/>
                <w:sz w:val="28"/>
              </w:rPr>
              <w:t>de las Tecnologías de la</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Información </w:t>
            </w:r>
            <w:r w:rsidRPr="007C57D2">
              <w:rPr>
                <w:rFonts w:ascii="Times New Roman" w:hAnsi="Times New Roman" w:cs="Times New Roman"/>
                <w:spacing w:val="-10"/>
                <w:sz w:val="28"/>
              </w:rPr>
              <w:t xml:space="preserve">y </w:t>
            </w:r>
            <w:r w:rsidRPr="007C57D2">
              <w:rPr>
                <w:rFonts w:ascii="Times New Roman" w:hAnsi="Times New Roman" w:cs="Times New Roman"/>
                <w:spacing w:val="-5"/>
                <w:sz w:val="28"/>
              </w:rPr>
              <w:t xml:space="preserve">las </w:t>
            </w:r>
            <w:r w:rsidRPr="007C57D2">
              <w:rPr>
                <w:rFonts w:ascii="Times New Roman" w:hAnsi="Times New Roman" w:cs="Times New Roman"/>
                <w:sz w:val="28"/>
              </w:rPr>
              <w:t>Comunicaciones,</w:t>
            </w:r>
            <w:r w:rsidRPr="007C57D2">
              <w:rPr>
                <w:rFonts w:ascii="Times New Roman" w:hAnsi="Times New Roman" w:cs="Times New Roman"/>
                <w:spacing w:val="-8"/>
                <w:sz w:val="28"/>
              </w:rPr>
              <w:t xml:space="preserve"> </w:t>
            </w:r>
            <w:r w:rsidRPr="007C57D2">
              <w:rPr>
                <w:rFonts w:ascii="Times New Roman" w:hAnsi="Times New Roman" w:cs="Times New Roman"/>
                <w:sz w:val="28"/>
              </w:rPr>
              <w:t>dentro</w:t>
            </w:r>
            <w:r w:rsidRPr="007C57D2">
              <w:rPr>
                <w:rFonts w:ascii="Times New Roman" w:hAnsi="Times New Roman" w:cs="Times New Roman"/>
                <w:spacing w:val="-7"/>
                <w:sz w:val="28"/>
              </w:rPr>
              <w:t xml:space="preserve"> </w:t>
            </w:r>
            <w:r w:rsidRPr="007C57D2">
              <w:rPr>
                <w:rFonts w:ascii="Times New Roman" w:hAnsi="Times New Roman" w:cs="Times New Roman"/>
                <w:sz w:val="28"/>
              </w:rPr>
              <w:t>de</w:t>
            </w:r>
            <w:r w:rsidRPr="007C57D2">
              <w:rPr>
                <w:rFonts w:ascii="Times New Roman" w:hAnsi="Times New Roman" w:cs="Times New Roman"/>
                <w:spacing w:val="-8"/>
                <w:sz w:val="28"/>
              </w:rPr>
              <w:t xml:space="preserve"> </w:t>
            </w:r>
            <w:r w:rsidRPr="007C57D2">
              <w:rPr>
                <w:rFonts w:ascii="Times New Roman" w:hAnsi="Times New Roman" w:cs="Times New Roman"/>
                <w:spacing w:val="-5"/>
                <w:sz w:val="28"/>
              </w:rPr>
              <w:t xml:space="preserve">los </w:t>
            </w:r>
            <w:r w:rsidRPr="007C57D2">
              <w:rPr>
                <w:rFonts w:ascii="Times New Roman" w:hAnsi="Times New Roman" w:cs="Times New Roman"/>
                <w:sz w:val="28"/>
              </w:rPr>
              <w:t>seis (6) meses contados a</w:t>
            </w:r>
            <w:r w:rsidRPr="007C57D2">
              <w:rPr>
                <w:rFonts w:ascii="Times New Roman" w:hAnsi="Times New Roman" w:cs="Times New Roman"/>
                <w:spacing w:val="40"/>
                <w:sz w:val="28"/>
              </w:rPr>
              <w:t xml:space="preserve"> </w:t>
            </w:r>
            <w:r w:rsidRPr="007C57D2">
              <w:rPr>
                <w:rFonts w:ascii="Times New Roman" w:hAnsi="Times New Roman" w:cs="Times New Roman"/>
                <w:sz w:val="28"/>
              </w:rPr>
              <w:t>partir</w:t>
            </w:r>
            <w:r w:rsidRPr="007C57D2">
              <w:rPr>
                <w:rFonts w:ascii="Times New Roman" w:hAnsi="Times New Roman" w:cs="Times New Roman"/>
                <w:spacing w:val="-10"/>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entrada</w:t>
            </w:r>
            <w:r w:rsidRPr="007C57D2">
              <w:rPr>
                <w:rFonts w:ascii="Times New Roman" w:hAnsi="Times New Roman" w:cs="Times New Roman"/>
                <w:spacing w:val="-9"/>
                <w:sz w:val="28"/>
              </w:rPr>
              <w:t xml:space="preserve"> </w:t>
            </w:r>
            <w:r w:rsidRPr="007C57D2">
              <w:rPr>
                <w:rFonts w:ascii="Times New Roman" w:hAnsi="Times New Roman" w:cs="Times New Roman"/>
                <w:sz w:val="28"/>
              </w:rPr>
              <w:t>en</w:t>
            </w:r>
            <w:r w:rsidRPr="007C57D2">
              <w:rPr>
                <w:rFonts w:ascii="Times New Roman" w:hAnsi="Times New Roman" w:cs="Times New Roman"/>
                <w:spacing w:val="-9"/>
                <w:sz w:val="28"/>
              </w:rPr>
              <w:t xml:space="preserve"> </w:t>
            </w:r>
            <w:r w:rsidRPr="007C57D2">
              <w:rPr>
                <w:rFonts w:ascii="Times New Roman" w:hAnsi="Times New Roman" w:cs="Times New Roman"/>
                <w:sz w:val="28"/>
              </w:rPr>
              <w:t>vigencia</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de la </w:t>
            </w:r>
            <w:r w:rsidRPr="007C57D2">
              <w:rPr>
                <w:rFonts w:ascii="Times New Roman" w:hAnsi="Times New Roman" w:cs="Times New Roman"/>
                <w:sz w:val="28"/>
              </w:rPr>
              <w:t>presente ley, creará una</w:t>
            </w:r>
            <w:r w:rsidRPr="007C57D2">
              <w:rPr>
                <w:rFonts w:ascii="Times New Roman" w:hAnsi="Times New Roman" w:cs="Times New Roman"/>
                <w:spacing w:val="40"/>
                <w:sz w:val="28"/>
              </w:rPr>
              <w:t xml:space="preserve"> </w:t>
            </w:r>
            <w:r w:rsidRPr="007C57D2">
              <w:rPr>
                <w:rFonts w:ascii="Times New Roman" w:hAnsi="Times New Roman" w:cs="Times New Roman"/>
                <w:sz w:val="28"/>
              </w:rPr>
              <w:t>página</w:t>
            </w:r>
            <w:r w:rsidRPr="007C57D2">
              <w:rPr>
                <w:rFonts w:ascii="Times New Roman" w:hAnsi="Times New Roman" w:cs="Times New Roman"/>
                <w:spacing w:val="-10"/>
                <w:sz w:val="28"/>
              </w:rPr>
              <w:t xml:space="preserve"> </w:t>
            </w:r>
            <w:r w:rsidRPr="007C57D2">
              <w:rPr>
                <w:rFonts w:ascii="Times New Roman" w:hAnsi="Times New Roman" w:cs="Times New Roman"/>
                <w:sz w:val="28"/>
              </w:rPr>
              <w:t>web</w:t>
            </w:r>
            <w:r w:rsidRPr="007C57D2">
              <w:rPr>
                <w:rFonts w:ascii="Times New Roman" w:hAnsi="Times New Roman" w:cs="Times New Roman"/>
                <w:spacing w:val="-9"/>
                <w:sz w:val="28"/>
              </w:rPr>
              <w:t xml:space="preserve"> </w:t>
            </w:r>
            <w:r w:rsidRPr="007C57D2">
              <w:rPr>
                <w:rFonts w:ascii="Times New Roman" w:hAnsi="Times New Roman" w:cs="Times New Roman"/>
                <w:sz w:val="28"/>
              </w:rPr>
              <w:t>denominada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a fin de que los</w:t>
            </w:r>
            <w:r w:rsidRPr="007C57D2">
              <w:rPr>
                <w:rFonts w:ascii="Times New Roman" w:hAnsi="Times New Roman" w:cs="Times New Roman"/>
                <w:spacing w:val="40"/>
                <w:sz w:val="28"/>
              </w:rPr>
              <w:t xml:space="preserve"> </w:t>
            </w:r>
            <w:r w:rsidRPr="007C57D2">
              <w:rPr>
                <w:rFonts w:ascii="Times New Roman" w:hAnsi="Times New Roman" w:cs="Times New Roman"/>
                <w:sz w:val="28"/>
              </w:rPr>
              <w:t>ciudadanos</w:t>
            </w:r>
            <w:r w:rsidRPr="007C57D2">
              <w:rPr>
                <w:rFonts w:ascii="Times New Roman" w:hAnsi="Times New Roman" w:cs="Times New Roman"/>
                <w:spacing w:val="-10"/>
                <w:sz w:val="28"/>
              </w:rPr>
              <w:t xml:space="preserve"> </w:t>
            </w:r>
            <w:r w:rsidRPr="007C57D2">
              <w:rPr>
                <w:rFonts w:ascii="Times New Roman" w:hAnsi="Times New Roman" w:cs="Times New Roman"/>
                <w:sz w:val="28"/>
              </w:rPr>
              <w:t>tengan</w:t>
            </w:r>
            <w:r w:rsidRPr="007C57D2">
              <w:rPr>
                <w:rFonts w:ascii="Times New Roman" w:hAnsi="Times New Roman" w:cs="Times New Roman"/>
                <w:spacing w:val="-9"/>
                <w:sz w:val="28"/>
              </w:rPr>
              <w:t xml:space="preserve"> </w:t>
            </w:r>
            <w:r w:rsidRPr="007C57D2">
              <w:rPr>
                <w:rFonts w:ascii="Times New Roman" w:hAnsi="Times New Roman" w:cs="Times New Roman"/>
                <w:sz w:val="28"/>
              </w:rPr>
              <w:t>acceso</w:t>
            </w:r>
            <w:r w:rsidRPr="007C57D2">
              <w:rPr>
                <w:rFonts w:ascii="Times New Roman" w:hAnsi="Times New Roman" w:cs="Times New Roman"/>
                <w:spacing w:val="-9"/>
                <w:sz w:val="28"/>
              </w:rPr>
              <w:t xml:space="preserve"> </w:t>
            </w:r>
            <w:r w:rsidRPr="007C57D2">
              <w:rPr>
                <w:rFonts w:ascii="Times New Roman" w:hAnsi="Times New Roman" w:cs="Times New Roman"/>
                <w:sz w:val="28"/>
              </w:rPr>
              <w:t>a</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z w:val="28"/>
              </w:rPr>
              <w:t>misma</w:t>
            </w:r>
            <w:r w:rsidRPr="007C57D2">
              <w:rPr>
                <w:rFonts w:ascii="Times New Roman" w:hAnsi="Times New Roman" w:cs="Times New Roman"/>
                <w:spacing w:val="30"/>
                <w:sz w:val="28"/>
              </w:rPr>
              <w:t xml:space="preserve"> </w:t>
            </w:r>
            <w:r w:rsidRPr="007C57D2">
              <w:rPr>
                <w:rFonts w:ascii="Times New Roman" w:hAnsi="Times New Roman" w:cs="Times New Roman"/>
                <w:sz w:val="28"/>
              </w:rPr>
              <w:t>y</w:t>
            </w:r>
            <w:r w:rsidRPr="007C57D2">
              <w:rPr>
                <w:rFonts w:ascii="Times New Roman" w:hAnsi="Times New Roman" w:cs="Times New Roman"/>
                <w:spacing w:val="28"/>
                <w:sz w:val="28"/>
              </w:rPr>
              <w:t xml:space="preserve"> </w:t>
            </w:r>
            <w:r w:rsidRPr="007C57D2">
              <w:rPr>
                <w:rFonts w:ascii="Times New Roman" w:hAnsi="Times New Roman" w:cs="Times New Roman"/>
                <w:sz w:val="28"/>
              </w:rPr>
              <w:t>puedan</w:t>
            </w:r>
            <w:r w:rsidRPr="007C57D2">
              <w:rPr>
                <w:rFonts w:ascii="Times New Roman" w:hAnsi="Times New Roman" w:cs="Times New Roman"/>
                <w:spacing w:val="30"/>
                <w:sz w:val="28"/>
              </w:rPr>
              <w:t xml:space="preserve"> </w:t>
            </w:r>
            <w:r w:rsidRPr="007C57D2">
              <w:rPr>
                <w:rFonts w:ascii="Times New Roman" w:hAnsi="Times New Roman" w:cs="Times New Roman"/>
                <w:sz w:val="28"/>
              </w:rPr>
              <w:t>verificar</w:t>
            </w:r>
            <w:r w:rsidRPr="007C57D2">
              <w:rPr>
                <w:rFonts w:ascii="Times New Roman" w:hAnsi="Times New Roman" w:cs="Times New Roman"/>
                <w:spacing w:val="30"/>
                <w:sz w:val="28"/>
              </w:rPr>
              <w:t xml:space="preserve"> </w:t>
            </w:r>
            <w:r w:rsidRPr="007C57D2">
              <w:rPr>
                <w:rFonts w:ascii="Times New Roman" w:hAnsi="Times New Roman" w:cs="Times New Roman"/>
                <w:spacing w:val="-5"/>
                <w:sz w:val="28"/>
              </w:rPr>
              <w:t xml:space="preserve">las </w:t>
            </w:r>
            <w:r w:rsidRPr="007C57D2">
              <w:rPr>
                <w:rFonts w:ascii="Times New Roman" w:hAnsi="Times New Roman" w:cs="Times New Roman"/>
                <w:sz w:val="28"/>
              </w:rPr>
              <w:t>alertas</w:t>
            </w:r>
            <w:r w:rsidRPr="007C57D2">
              <w:rPr>
                <w:rFonts w:ascii="Times New Roman" w:hAnsi="Times New Roman" w:cs="Times New Roman"/>
                <w:spacing w:val="-9"/>
                <w:sz w:val="28"/>
              </w:rPr>
              <w:t xml:space="preserve"> </w:t>
            </w:r>
            <w:r w:rsidRPr="007C57D2">
              <w:rPr>
                <w:rFonts w:ascii="Times New Roman" w:hAnsi="Times New Roman" w:cs="Times New Roman"/>
                <w:spacing w:val="-2"/>
                <w:sz w:val="28"/>
              </w:rPr>
              <w:t>activas.</w:t>
            </w:r>
          </w:p>
          <w:p w:rsidR="0014794A" w:rsidRPr="007C57D2" w:rsidRDefault="007C57D2" w:rsidP="007C57D2">
            <w:pPr>
              <w:pStyle w:val="TableParagraph"/>
              <w:jc w:val="both"/>
              <w:rPr>
                <w:rFonts w:ascii="Times New Roman" w:hAnsi="Times New Roman" w:cs="Times New Roman"/>
                <w:spacing w:val="-2"/>
                <w:sz w:val="28"/>
              </w:rPr>
            </w:pPr>
          </w:p>
          <w:p w:rsidR="0014794A" w:rsidRPr="007C57D2" w:rsidRDefault="007C57D2" w:rsidP="007C57D2">
            <w:pPr>
              <w:pStyle w:val="TableParagraph"/>
              <w:jc w:val="both"/>
              <w:rPr>
                <w:rFonts w:ascii="Times New Roman" w:hAnsi="Times New Roman" w:cs="Times New Roman"/>
                <w:b/>
                <w:w w:val="105"/>
                <w:sz w:val="28"/>
              </w:rPr>
            </w:pPr>
            <w:r w:rsidRPr="007C57D2">
              <w:rPr>
                <w:rFonts w:ascii="Times New Roman" w:hAnsi="Times New Roman" w:cs="Times New Roman"/>
                <w:b/>
                <w:sz w:val="28"/>
              </w:rPr>
              <w:t xml:space="preserve">Parágrafo 6. </w:t>
            </w:r>
            <w:r w:rsidRPr="007C57D2">
              <w:rPr>
                <w:rFonts w:ascii="Times New Roman" w:hAnsi="Times New Roman" w:cs="Times New Roman"/>
                <w:sz w:val="28"/>
              </w:rPr>
              <w:t>El servidor</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público</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que</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recepcione</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queja</w:t>
            </w:r>
            <w:r w:rsidRPr="007C57D2">
              <w:rPr>
                <w:rFonts w:ascii="Times New Roman" w:hAnsi="Times New Roman" w:cs="Times New Roman"/>
                <w:spacing w:val="40"/>
                <w:sz w:val="28"/>
              </w:rPr>
              <w:t xml:space="preserve"> </w:t>
            </w:r>
            <w:r w:rsidRPr="007C57D2">
              <w:rPr>
                <w:rFonts w:ascii="Times New Roman" w:hAnsi="Times New Roman" w:cs="Times New Roman"/>
                <w:sz w:val="28"/>
              </w:rPr>
              <w:t>o</w:t>
            </w:r>
            <w:r w:rsidRPr="007C57D2">
              <w:rPr>
                <w:rFonts w:ascii="Times New Roman" w:hAnsi="Times New Roman" w:cs="Times New Roman"/>
                <w:spacing w:val="-10"/>
                <w:sz w:val="28"/>
              </w:rPr>
              <w:t xml:space="preserve"> </w:t>
            </w:r>
            <w:r w:rsidRPr="007C57D2">
              <w:rPr>
                <w:rFonts w:ascii="Times New Roman" w:hAnsi="Times New Roman" w:cs="Times New Roman"/>
                <w:sz w:val="28"/>
              </w:rPr>
              <w:t>denuncia</w:t>
            </w:r>
            <w:r w:rsidRPr="007C57D2">
              <w:rPr>
                <w:rFonts w:ascii="Times New Roman" w:hAnsi="Times New Roman" w:cs="Times New Roman"/>
                <w:spacing w:val="-9"/>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no</w:t>
            </w:r>
            <w:r w:rsidRPr="007C57D2">
              <w:rPr>
                <w:rFonts w:ascii="Times New Roman" w:hAnsi="Times New Roman" w:cs="Times New Roman"/>
                <w:spacing w:val="-9"/>
                <w:sz w:val="28"/>
              </w:rPr>
              <w:t xml:space="preserve"> </w:t>
            </w:r>
            <w:r w:rsidRPr="007C57D2">
              <w:rPr>
                <w:rFonts w:ascii="Times New Roman" w:hAnsi="Times New Roman" w:cs="Times New Roman"/>
                <w:sz w:val="28"/>
              </w:rPr>
              <w:t>active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w:t>
            </w:r>
            <w:r w:rsidRPr="007C57D2">
              <w:rPr>
                <w:rFonts w:ascii="Times New Roman" w:hAnsi="Times New Roman" w:cs="Times New Roman"/>
                <w:sz w:val="28"/>
              </w:rPr>
              <w:t xml:space="preserve"> le será constitutivo</w:t>
            </w:r>
            <w:r w:rsidRPr="007C57D2">
              <w:rPr>
                <w:rFonts w:ascii="Times New Roman" w:hAnsi="Times New Roman" w:cs="Times New Roman"/>
                <w:spacing w:val="40"/>
                <w:sz w:val="28"/>
              </w:rPr>
              <w:t xml:space="preserve"> </w:t>
            </w:r>
            <w:r w:rsidRPr="007C57D2">
              <w:rPr>
                <w:rFonts w:ascii="Times New Roman" w:hAnsi="Times New Roman" w:cs="Times New Roman"/>
                <w:sz w:val="28"/>
              </w:rPr>
              <w:t>de</w:t>
            </w:r>
            <w:r w:rsidRPr="007C57D2">
              <w:rPr>
                <w:rFonts w:ascii="Times New Roman" w:hAnsi="Times New Roman" w:cs="Times New Roman"/>
                <w:spacing w:val="-10"/>
                <w:sz w:val="28"/>
              </w:rPr>
              <w:t xml:space="preserve"> </w:t>
            </w:r>
            <w:r w:rsidRPr="007C57D2">
              <w:rPr>
                <w:rFonts w:ascii="Times New Roman" w:hAnsi="Times New Roman" w:cs="Times New Roman"/>
                <w:sz w:val="28"/>
              </w:rPr>
              <w:t>falta</w:t>
            </w:r>
            <w:r w:rsidRPr="007C57D2">
              <w:rPr>
                <w:rFonts w:ascii="Times New Roman" w:hAnsi="Times New Roman" w:cs="Times New Roman"/>
                <w:spacing w:val="-9"/>
                <w:sz w:val="28"/>
              </w:rPr>
              <w:t xml:space="preserve"> </w:t>
            </w:r>
            <w:r w:rsidRPr="007C57D2">
              <w:rPr>
                <w:rFonts w:ascii="Times New Roman" w:hAnsi="Times New Roman" w:cs="Times New Roman"/>
                <w:sz w:val="28"/>
              </w:rPr>
              <w:t>grave</w:t>
            </w:r>
            <w:r w:rsidRPr="007C57D2">
              <w:rPr>
                <w:rFonts w:ascii="Times New Roman" w:hAnsi="Times New Roman" w:cs="Times New Roman"/>
                <w:spacing w:val="-9"/>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dará</w:t>
            </w:r>
            <w:r w:rsidRPr="007C57D2">
              <w:rPr>
                <w:rFonts w:ascii="Times New Roman" w:hAnsi="Times New Roman" w:cs="Times New Roman"/>
                <w:spacing w:val="-9"/>
                <w:sz w:val="28"/>
              </w:rPr>
              <w:t xml:space="preserve"> </w:t>
            </w:r>
            <w:r w:rsidRPr="007C57D2">
              <w:rPr>
                <w:rFonts w:ascii="Times New Roman" w:hAnsi="Times New Roman" w:cs="Times New Roman"/>
                <w:sz w:val="28"/>
              </w:rPr>
              <w:t>lugar</w:t>
            </w:r>
            <w:r w:rsidRPr="007C57D2">
              <w:rPr>
                <w:rFonts w:ascii="Times New Roman" w:hAnsi="Times New Roman" w:cs="Times New Roman"/>
                <w:spacing w:val="-9"/>
                <w:sz w:val="28"/>
              </w:rPr>
              <w:t xml:space="preserve"> </w:t>
            </w:r>
            <w:r w:rsidRPr="007C57D2">
              <w:rPr>
                <w:rFonts w:ascii="Times New Roman" w:hAnsi="Times New Roman" w:cs="Times New Roman"/>
                <w:sz w:val="28"/>
              </w:rPr>
              <w:t>a</w:t>
            </w:r>
            <w:r w:rsidRPr="007C57D2">
              <w:rPr>
                <w:rFonts w:ascii="Times New Roman" w:hAnsi="Times New Roman" w:cs="Times New Roman"/>
                <w:spacing w:val="-9"/>
                <w:sz w:val="28"/>
              </w:rPr>
              <w:t xml:space="preserve"> </w:t>
            </w:r>
            <w:r w:rsidRPr="007C57D2">
              <w:rPr>
                <w:rFonts w:ascii="Times New Roman" w:hAnsi="Times New Roman" w:cs="Times New Roman"/>
                <w:sz w:val="28"/>
              </w:rPr>
              <w:t>las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sanciones correspondientes</w:t>
            </w:r>
            <w:r w:rsidRPr="007C57D2">
              <w:rPr>
                <w:rFonts w:ascii="Times New Roman" w:hAnsi="Times New Roman" w:cs="Times New Roman"/>
                <w:spacing w:val="-3"/>
                <w:sz w:val="28"/>
              </w:rPr>
              <w:t xml:space="preserve"> </w:t>
            </w:r>
            <w:r w:rsidRPr="007C57D2">
              <w:rPr>
                <w:rFonts w:ascii="Times New Roman" w:hAnsi="Times New Roman" w:cs="Times New Roman"/>
                <w:spacing w:val="-2"/>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acuerdo con el régimen</w:t>
            </w:r>
            <w:r w:rsidRPr="007C57D2">
              <w:rPr>
                <w:rFonts w:ascii="Times New Roman" w:hAnsi="Times New Roman" w:cs="Times New Roman"/>
                <w:spacing w:val="40"/>
                <w:sz w:val="28"/>
              </w:rPr>
              <w:t xml:space="preserve"> </w:t>
            </w:r>
            <w:r w:rsidRPr="007C57D2">
              <w:rPr>
                <w:rFonts w:ascii="Times New Roman" w:hAnsi="Times New Roman" w:cs="Times New Roman"/>
                <w:sz w:val="28"/>
              </w:rPr>
              <w:t>disciplinario</w:t>
            </w:r>
            <w:r w:rsidRPr="007C57D2">
              <w:rPr>
                <w:rFonts w:ascii="Times New Roman" w:hAnsi="Times New Roman" w:cs="Times New Roman"/>
                <w:spacing w:val="57"/>
                <w:sz w:val="28"/>
              </w:rPr>
              <w:t xml:space="preserve"> </w:t>
            </w:r>
            <w:r w:rsidRPr="007C57D2">
              <w:rPr>
                <w:rFonts w:ascii="Times New Roman" w:hAnsi="Times New Roman" w:cs="Times New Roman"/>
                <w:sz w:val="28"/>
              </w:rPr>
              <w:t>que</w:t>
            </w:r>
            <w:r w:rsidRPr="007C57D2">
              <w:rPr>
                <w:rFonts w:ascii="Times New Roman" w:hAnsi="Times New Roman" w:cs="Times New Roman"/>
                <w:spacing w:val="57"/>
                <w:sz w:val="28"/>
              </w:rPr>
              <w:t xml:space="preserve"> </w:t>
            </w:r>
            <w:r w:rsidRPr="007C57D2">
              <w:rPr>
                <w:rFonts w:ascii="Times New Roman" w:hAnsi="Times New Roman" w:cs="Times New Roman"/>
                <w:sz w:val="28"/>
              </w:rPr>
              <w:t>le</w:t>
            </w:r>
            <w:r w:rsidRPr="007C57D2">
              <w:rPr>
                <w:rFonts w:ascii="Times New Roman" w:hAnsi="Times New Roman" w:cs="Times New Roman"/>
                <w:spacing w:val="58"/>
                <w:sz w:val="28"/>
              </w:rPr>
              <w:t xml:space="preserve"> </w:t>
            </w:r>
            <w:r w:rsidRPr="007C57D2">
              <w:rPr>
                <w:rFonts w:ascii="Times New Roman" w:hAnsi="Times New Roman" w:cs="Times New Roman"/>
                <w:spacing w:val="-5"/>
                <w:sz w:val="28"/>
              </w:rPr>
              <w:t xml:space="preserve">sea </w:t>
            </w:r>
            <w:r w:rsidRPr="007C57D2">
              <w:rPr>
                <w:rFonts w:ascii="Times New Roman" w:hAnsi="Times New Roman" w:cs="Times New Roman"/>
                <w:spacing w:val="-2"/>
                <w:sz w:val="28"/>
              </w:rPr>
              <w:t>aplicable.</w:t>
            </w:r>
          </w:p>
        </w:tc>
        <w:tc>
          <w:tcPr>
            <w:tcW w:w="3657" w:type="dxa"/>
            <w:shd w:val="clear" w:color="auto" w:fill="auto"/>
          </w:tcPr>
          <w:p w:rsidR="007630E9"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r w:rsidRPr="007C57D2">
              <w:rPr>
                <w:rFonts w:ascii="Times New Roman" w:hAnsi="Times New Roman" w:cs="Times New Roman"/>
                <w:b/>
                <w:w w:val="105"/>
                <w:sz w:val="28"/>
              </w:rPr>
              <w:t>Artículo 6°. Divulgación</w:t>
            </w:r>
            <w:r w:rsidRPr="007C57D2">
              <w:rPr>
                <w:rFonts w:ascii="Times New Roman" w:hAnsi="Times New Roman" w:cs="Times New Roman"/>
                <w:w w:val="105"/>
                <w:sz w:val="28"/>
              </w:rPr>
              <w:t>.</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Fundamentado en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principios constitucionales</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6"/>
                <w:w w:val="105"/>
                <w:sz w:val="28"/>
              </w:rPr>
              <w:t xml:space="preserve">de </w:t>
            </w:r>
            <w:r w:rsidRPr="007C57D2">
              <w:rPr>
                <w:rFonts w:ascii="Times New Roman" w:hAnsi="Times New Roman" w:cs="Times New Roman"/>
                <w:spacing w:val="-2"/>
                <w:w w:val="105"/>
                <w:sz w:val="28"/>
              </w:rPr>
              <w:t>solidaridad,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responsabilidad </w:t>
            </w:r>
            <w:r w:rsidRPr="007C57D2">
              <w:rPr>
                <w:rFonts w:ascii="Times New Roman" w:hAnsi="Times New Roman" w:cs="Times New Roman"/>
                <w:w w:val="105"/>
                <w:sz w:val="28"/>
              </w:rPr>
              <w:t>social y</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 xml:space="preserve">empresarial, </w:t>
            </w:r>
            <w:r w:rsidRPr="007C57D2">
              <w:rPr>
                <w:rFonts w:ascii="Times New Roman" w:hAnsi="Times New Roman" w:cs="Times New Roman"/>
                <w:spacing w:val="-4"/>
                <w:w w:val="105"/>
                <w:sz w:val="28"/>
              </w:rPr>
              <w:t>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proveedores de redes y</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 xml:space="preserve">servicios </w:t>
            </w:r>
            <w:r w:rsidRPr="007C57D2">
              <w:rPr>
                <w:rFonts w:ascii="Times New Roman" w:hAnsi="Times New Roman" w:cs="Times New Roman"/>
                <w:spacing w:val="-4"/>
                <w:w w:val="105"/>
                <w:sz w:val="28"/>
              </w:rPr>
              <w:t xml:space="preserve">de </w:t>
            </w:r>
            <w:r w:rsidRPr="007C57D2">
              <w:rPr>
                <w:rFonts w:ascii="Times New Roman" w:hAnsi="Times New Roman" w:cs="Times New Roman"/>
                <w:w w:val="105"/>
                <w:sz w:val="28"/>
              </w:rPr>
              <w:t>telecomunicaciones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móviles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deberán garantizar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divulgación, de forma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gratuita e inmediata de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 Colombia. La alerta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será enviada a todos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teléfonos móviles que se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encuentren en la zo</w:t>
            </w:r>
            <w:r w:rsidRPr="007C57D2">
              <w:rPr>
                <w:rFonts w:ascii="Times New Roman" w:hAnsi="Times New Roman" w:cs="Times New Roman"/>
                <w:w w:val="105"/>
                <w:sz w:val="28"/>
              </w:rPr>
              <w:t>na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donde se extravió el niño 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 la cual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contener los datos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señalados en el artículo 4 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los siguientes en caso 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tenerlos:</w:t>
            </w:r>
          </w:p>
          <w:p w:rsidR="007630E9"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7630E9"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7630E9"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7630E9"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7630E9"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7630E9" w:rsidRPr="007C57D2" w:rsidRDefault="007C57D2" w:rsidP="007C57D2">
            <w:pPr>
              <w:pStyle w:val="TableParagraph"/>
              <w:tabs>
                <w:tab w:val="left" w:pos="994"/>
                <w:tab w:val="left" w:pos="1483"/>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a. </w:t>
            </w:r>
            <w:r w:rsidRPr="007C57D2">
              <w:rPr>
                <w:rFonts w:ascii="Times New Roman" w:hAnsi="Times New Roman" w:cs="Times New Roman"/>
                <w:bCs/>
                <w:w w:val="105"/>
                <w:sz w:val="28"/>
                <w:lang w:val="es-CO"/>
              </w:rPr>
              <w:t>Fecha exacta en la que se extravió el niño o niña.</w:t>
            </w:r>
          </w:p>
          <w:p w:rsidR="007630E9" w:rsidRPr="007C57D2" w:rsidRDefault="007C57D2" w:rsidP="007C57D2">
            <w:pPr>
              <w:pStyle w:val="TableParagraph"/>
              <w:tabs>
                <w:tab w:val="left" w:pos="994"/>
                <w:tab w:val="left" w:pos="1483"/>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b. </w:t>
            </w:r>
            <w:r w:rsidRPr="007C57D2">
              <w:rPr>
                <w:rFonts w:ascii="Times New Roman" w:hAnsi="Times New Roman" w:cs="Times New Roman"/>
                <w:bCs/>
                <w:w w:val="105"/>
                <w:sz w:val="28"/>
                <w:lang w:val="es-CO"/>
              </w:rPr>
              <w:t>Número telefónico dispuesto por las autoridades.</w:t>
            </w:r>
          </w:p>
          <w:p w:rsidR="007630E9" w:rsidRPr="007C57D2" w:rsidRDefault="007C57D2" w:rsidP="007C57D2">
            <w:pPr>
              <w:pStyle w:val="TableParagraph"/>
              <w:tabs>
                <w:tab w:val="left" w:pos="994"/>
                <w:tab w:val="left" w:pos="1483"/>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c. </w:t>
            </w:r>
            <w:r w:rsidRPr="007C57D2">
              <w:rPr>
                <w:rFonts w:ascii="Times New Roman" w:hAnsi="Times New Roman" w:cs="Times New Roman"/>
                <w:bCs/>
                <w:w w:val="105"/>
                <w:sz w:val="28"/>
                <w:lang w:val="es-CO"/>
              </w:rPr>
              <w:t>Número</w:t>
            </w:r>
            <w:r w:rsidRPr="007C57D2">
              <w:rPr>
                <w:rFonts w:ascii="Times New Roman" w:hAnsi="Times New Roman" w:cs="Times New Roman"/>
                <w:bCs/>
                <w:w w:val="105"/>
                <w:sz w:val="28"/>
                <w:lang w:val="es-CO"/>
              </w:rPr>
              <w:t xml:space="preserve"> telefónico de los familiares.</w:t>
            </w:r>
          </w:p>
          <w:p w:rsidR="0014794A" w:rsidRPr="007C57D2" w:rsidRDefault="007C57D2" w:rsidP="007C57D2">
            <w:pPr>
              <w:pStyle w:val="TableParagraph"/>
              <w:tabs>
                <w:tab w:val="left" w:pos="994"/>
                <w:tab w:val="left" w:pos="1483"/>
              </w:tabs>
              <w:jc w:val="both"/>
              <w:rPr>
                <w:rFonts w:ascii="Times New Roman" w:hAnsi="Times New Roman" w:cs="Times New Roman"/>
                <w:bCs/>
                <w:w w:val="105"/>
                <w:sz w:val="28"/>
                <w:lang w:val="es-CO"/>
              </w:rPr>
            </w:pPr>
            <w:r w:rsidRPr="007C57D2">
              <w:rPr>
                <w:rFonts w:ascii="Times New Roman" w:hAnsi="Times New Roman" w:cs="Times New Roman"/>
                <w:b/>
                <w:w w:val="105"/>
                <w:sz w:val="28"/>
                <w:lang w:val="es-CO"/>
              </w:rPr>
              <w:t xml:space="preserve">d. </w:t>
            </w:r>
            <w:r w:rsidRPr="007C57D2">
              <w:rPr>
                <w:rFonts w:ascii="Times New Roman" w:hAnsi="Times New Roman" w:cs="Times New Roman"/>
                <w:bCs/>
                <w:w w:val="105"/>
                <w:sz w:val="28"/>
                <w:lang w:val="es-CO"/>
              </w:rPr>
              <w:t>Ciudad o municipio, localidad, departamento o distrito.</w:t>
            </w:r>
          </w:p>
          <w:p w:rsidR="0014794A" w:rsidRPr="007C57D2" w:rsidRDefault="007C57D2" w:rsidP="007C57D2">
            <w:pPr>
              <w:pStyle w:val="TableParagraph"/>
              <w:tabs>
                <w:tab w:val="left" w:pos="994"/>
                <w:tab w:val="left" w:pos="1483"/>
              </w:tabs>
              <w:jc w:val="both"/>
              <w:rPr>
                <w:rFonts w:ascii="Times New Roman" w:hAnsi="Times New Roman" w:cs="Times New Roman"/>
                <w:b/>
                <w:w w:val="105"/>
                <w:sz w:val="28"/>
                <w:lang w:val="es-CO"/>
              </w:rPr>
            </w:pPr>
            <w:r w:rsidRPr="007C57D2">
              <w:rPr>
                <w:rFonts w:ascii="Times New Roman" w:hAnsi="Times New Roman" w:cs="Times New Roman"/>
                <w:b/>
                <w:w w:val="105"/>
                <w:sz w:val="28"/>
                <w:lang w:val="es-CO"/>
              </w:rPr>
              <w:t xml:space="preserve">e. </w:t>
            </w:r>
            <w:r w:rsidRPr="007C57D2">
              <w:rPr>
                <w:rFonts w:ascii="Times New Roman" w:hAnsi="Times New Roman" w:cs="Times New Roman"/>
                <w:bCs/>
                <w:w w:val="105"/>
                <w:sz w:val="28"/>
                <w:lang w:val="es-CO"/>
              </w:rPr>
              <w:t>Zona donde se extravió el niño o niña.</w:t>
            </w:r>
          </w:p>
          <w:p w:rsidR="0014794A" w:rsidRPr="007C57D2" w:rsidRDefault="007C57D2" w:rsidP="007C57D2">
            <w:pPr>
              <w:pStyle w:val="TableParagraph"/>
              <w:tabs>
                <w:tab w:val="left" w:pos="994"/>
                <w:tab w:val="left" w:pos="1483"/>
              </w:tabs>
              <w:jc w:val="both"/>
              <w:rPr>
                <w:rFonts w:ascii="Times New Roman" w:hAnsi="Times New Roman" w:cs="Times New Roman"/>
                <w:spacing w:val="-2"/>
                <w:sz w:val="28"/>
              </w:rPr>
            </w:pPr>
            <w:r w:rsidRPr="007C57D2">
              <w:rPr>
                <w:rFonts w:ascii="Times New Roman" w:hAnsi="Times New Roman" w:cs="Times New Roman"/>
                <w:b/>
                <w:spacing w:val="-2"/>
                <w:sz w:val="28"/>
              </w:rPr>
              <w:t>f.</w:t>
            </w:r>
            <w:r w:rsidRPr="007C57D2">
              <w:rPr>
                <w:rFonts w:ascii="Times New Roman" w:hAnsi="Times New Roman" w:cs="Times New Roman"/>
                <w:b/>
                <w:spacing w:val="-8"/>
                <w:sz w:val="28"/>
              </w:rPr>
              <w:t xml:space="preserve"> </w:t>
            </w:r>
            <w:r w:rsidRPr="007C57D2">
              <w:rPr>
                <w:rFonts w:ascii="Times New Roman" w:hAnsi="Times New Roman" w:cs="Times New Roman"/>
                <w:spacing w:val="-2"/>
                <w:sz w:val="28"/>
              </w:rPr>
              <w:t>Vestimenta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del</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niño</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o</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niña</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extraviado.</w:t>
            </w:r>
          </w:p>
          <w:p w:rsidR="0014794A" w:rsidRPr="007C57D2" w:rsidRDefault="007C57D2" w:rsidP="007C57D2">
            <w:pPr>
              <w:pStyle w:val="TableParagraph"/>
              <w:tabs>
                <w:tab w:val="left" w:pos="994"/>
                <w:tab w:val="left" w:pos="1483"/>
              </w:tabs>
              <w:jc w:val="both"/>
              <w:rPr>
                <w:rFonts w:ascii="Times New Roman" w:hAnsi="Times New Roman" w:cs="Times New Roman"/>
                <w:sz w:val="28"/>
              </w:rPr>
            </w:pPr>
            <w:r w:rsidRPr="007C57D2">
              <w:rPr>
                <w:rFonts w:ascii="Times New Roman" w:hAnsi="Times New Roman" w:cs="Times New Roman"/>
                <w:b/>
                <w:sz w:val="28"/>
              </w:rPr>
              <w:t xml:space="preserve">g. </w:t>
            </w:r>
            <w:r w:rsidRPr="007C57D2">
              <w:rPr>
                <w:rFonts w:ascii="Times New Roman" w:hAnsi="Times New Roman" w:cs="Times New Roman"/>
                <w:sz w:val="28"/>
              </w:rPr>
              <w:t>Fotografía actualizada</w:t>
            </w:r>
            <w:r w:rsidRPr="007C57D2">
              <w:rPr>
                <w:rFonts w:ascii="Times New Roman" w:hAnsi="Times New Roman" w:cs="Times New Roman"/>
                <w:spacing w:val="40"/>
                <w:sz w:val="28"/>
              </w:rPr>
              <w:t xml:space="preserve"> </w:t>
            </w:r>
            <w:r w:rsidRPr="007C57D2">
              <w:rPr>
                <w:rFonts w:ascii="Times New Roman" w:hAnsi="Times New Roman" w:cs="Times New Roman"/>
                <w:sz w:val="28"/>
              </w:rPr>
              <w:t>del</w:t>
            </w:r>
            <w:r w:rsidRPr="007C57D2">
              <w:rPr>
                <w:rFonts w:ascii="Times New Roman" w:hAnsi="Times New Roman" w:cs="Times New Roman"/>
                <w:spacing w:val="-2"/>
                <w:sz w:val="28"/>
              </w:rPr>
              <w:t xml:space="preserve"> </w:t>
            </w:r>
            <w:r w:rsidRPr="007C57D2">
              <w:rPr>
                <w:rFonts w:ascii="Times New Roman" w:hAnsi="Times New Roman" w:cs="Times New Roman"/>
                <w:sz w:val="28"/>
              </w:rPr>
              <w:t>niño</w:t>
            </w:r>
            <w:r w:rsidRPr="007C57D2">
              <w:rPr>
                <w:rFonts w:ascii="Times New Roman" w:hAnsi="Times New Roman" w:cs="Times New Roman"/>
                <w:spacing w:val="-2"/>
                <w:sz w:val="28"/>
              </w:rPr>
              <w:t xml:space="preserve"> </w:t>
            </w:r>
            <w:r w:rsidRPr="007C57D2">
              <w:rPr>
                <w:rFonts w:ascii="Times New Roman" w:hAnsi="Times New Roman" w:cs="Times New Roman"/>
                <w:sz w:val="28"/>
              </w:rPr>
              <w:t>o</w:t>
            </w:r>
            <w:r w:rsidRPr="007C57D2">
              <w:rPr>
                <w:rFonts w:ascii="Times New Roman" w:hAnsi="Times New Roman" w:cs="Times New Roman"/>
                <w:spacing w:val="-2"/>
                <w:sz w:val="28"/>
              </w:rPr>
              <w:t xml:space="preserve"> </w:t>
            </w:r>
            <w:r w:rsidRPr="007C57D2">
              <w:rPr>
                <w:rFonts w:ascii="Times New Roman" w:hAnsi="Times New Roman" w:cs="Times New Roman"/>
                <w:sz w:val="28"/>
              </w:rPr>
              <w:t>niña</w:t>
            </w:r>
            <w:r w:rsidRPr="007C57D2">
              <w:rPr>
                <w:rFonts w:ascii="Times New Roman" w:hAnsi="Times New Roman" w:cs="Times New Roman"/>
                <w:spacing w:val="-2"/>
                <w:sz w:val="28"/>
              </w:rPr>
              <w:t xml:space="preserve"> </w:t>
            </w:r>
            <w:r w:rsidRPr="007C57D2">
              <w:rPr>
                <w:rFonts w:ascii="Times New Roman" w:hAnsi="Times New Roman" w:cs="Times New Roman"/>
                <w:sz w:val="28"/>
              </w:rPr>
              <w:t>que</w:t>
            </w:r>
            <w:r w:rsidRPr="007C57D2">
              <w:rPr>
                <w:rFonts w:ascii="Times New Roman" w:hAnsi="Times New Roman" w:cs="Times New Roman"/>
                <w:spacing w:val="-2"/>
                <w:sz w:val="28"/>
              </w:rPr>
              <w:t xml:space="preserve"> </w:t>
            </w:r>
            <w:r w:rsidRPr="007C57D2">
              <w:rPr>
                <w:rFonts w:ascii="Times New Roman" w:hAnsi="Times New Roman" w:cs="Times New Roman"/>
                <w:sz w:val="28"/>
              </w:rPr>
              <w:t>permita</w:t>
            </w:r>
            <w:r w:rsidRPr="007C57D2">
              <w:rPr>
                <w:rFonts w:ascii="Times New Roman" w:hAnsi="Times New Roman" w:cs="Times New Roman"/>
                <w:spacing w:val="40"/>
                <w:sz w:val="28"/>
              </w:rPr>
              <w:t xml:space="preserve"> </w:t>
            </w:r>
            <w:r w:rsidRPr="007C57D2">
              <w:rPr>
                <w:rFonts w:ascii="Times New Roman" w:hAnsi="Times New Roman" w:cs="Times New Roman"/>
                <w:sz w:val="28"/>
              </w:rPr>
              <w:t>su</w:t>
            </w:r>
            <w:r w:rsidRPr="007C57D2">
              <w:rPr>
                <w:rFonts w:ascii="Times New Roman" w:hAnsi="Times New Roman" w:cs="Times New Roman"/>
                <w:spacing w:val="-7"/>
                <w:sz w:val="28"/>
              </w:rPr>
              <w:t xml:space="preserve"> </w:t>
            </w:r>
            <w:r w:rsidRPr="007C57D2">
              <w:rPr>
                <w:rFonts w:ascii="Times New Roman" w:hAnsi="Times New Roman" w:cs="Times New Roman"/>
                <w:sz w:val="28"/>
              </w:rPr>
              <w:t>individualización.</w:t>
            </w:r>
          </w:p>
          <w:p w:rsidR="0014794A" w:rsidRPr="007C57D2" w:rsidRDefault="007C57D2" w:rsidP="007C57D2">
            <w:pPr>
              <w:pStyle w:val="TableParagraph"/>
              <w:tabs>
                <w:tab w:val="left" w:pos="994"/>
                <w:tab w:val="left" w:pos="1483"/>
              </w:tabs>
              <w:jc w:val="both"/>
              <w:rPr>
                <w:rFonts w:ascii="Times New Roman" w:hAnsi="Times New Roman" w:cs="Times New Roman"/>
                <w:sz w:val="28"/>
              </w:rPr>
            </w:pPr>
          </w:p>
          <w:p w:rsidR="0014794A" w:rsidRPr="007C57D2" w:rsidRDefault="007C57D2" w:rsidP="007C57D2">
            <w:pPr>
              <w:pStyle w:val="TableParagraph"/>
              <w:tabs>
                <w:tab w:val="left" w:pos="994"/>
                <w:tab w:val="left" w:pos="1483"/>
              </w:tabs>
              <w:jc w:val="both"/>
              <w:rPr>
                <w:rFonts w:ascii="Times New Roman" w:hAnsi="Times New Roman" w:cs="Times New Roman"/>
                <w:sz w:val="28"/>
              </w:rPr>
            </w:pPr>
            <w:r w:rsidRPr="007C57D2">
              <w:rPr>
                <w:rFonts w:ascii="Times New Roman" w:hAnsi="Times New Roman" w:cs="Times New Roman"/>
                <w:b/>
                <w:sz w:val="28"/>
              </w:rPr>
              <w:t xml:space="preserve">h. </w:t>
            </w:r>
            <w:r w:rsidRPr="007C57D2">
              <w:rPr>
                <w:rFonts w:ascii="Times New Roman" w:hAnsi="Times New Roman" w:cs="Times New Roman"/>
                <w:sz w:val="28"/>
              </w:rPr>
              <w:t>Cualquier otra</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información que sirva para</w:t>
            </w:r>
            <w:r w:rsidRPr="007C57D2">
              <w:rPr>
                <w:rFonts w:ascii="Times New Roman" w:hAnsi="Times New Roman" w:cs="Times New Roman"/>
                <w:spacing w:val="40"/>
                <w:sz w:val="28"/>
              </w:rPr>
              <w:t xml:space="preserve"> </w:t>
            </w:r>
            <w:r w:rsidRPr="007C57D2">
              <w:rPr>
                <w:rFonts w:ascii="Times New Roman" w:hAnsi="Times New Roman" w:cs="Times New Roman"/>
                <w:sz w:val="28"/>
              </w:rPr>
              <w:t>identificar</w:t>
            </w:r>
            <w:r w:rsidRPr="007C57D2">
              <w:rPr>
                <w:rFonts w:ascii="Times New Roman" w:hAnsi="Times New Roman" w:cs="Times New Roman"/>
                <w:spacing w:val="-7"/>
                <w:sz w:val="28"/>
              </w:rPr>
              <w:t xml:space="preserve"> </w:t>
            </w:r>
            <w:r w:rsidRPr="007C57D2">
              <w:rPr>
                <w:rFonts w:ascii="Times New Roman" w:hAnsi="Times New Roman" w:cs="Times New Roman"/>
                <w:sz w:val="28"/>
              </w:rPr>
              <w:t>y</w:t>
            </w:r>
            <w:r w:rsidRPr="007C57D2">
              <w:rPr>
                <w:rFonts w:ascii="Times New Roman" w:hAnsi="Times New Roman" w:cs="Times New Roman"/>
                <w:spacing w:val="-8"/>
                <w:sz w:val="28"/>
              </w:rPr>
              <w:t xml:space="preserve"> </w:t>
            </w:r>
            <w:r w:rsidRPr="007C57D2">
              <w:rPr>
                <w:rFonts w:ascii="Times New Roman" w:hAnsi="Times New Roman" w:cs="Times New Roman"/>
                <w:sz w:val="28"/>
              </w:rPr>
              <w:t>localizar</w:t>
            </w:r>
            <w:r w:rsidRPr="007C57D2">
              <w:rPr>
                <w:rFonts w:ascii="Times New Roman" w:hAnsi="Times New Roman" w:cs="Times New Roman"/>
                <w:spacing w:val="-9"/>
                <w:sz w:val="28"/>
              </w:rPr>
              <w:t xml:space="preserve"> </w:t>
            </w:r>
            <w:r w:rsidRPr="007C57D2">
              <w:rPr>
                <w:rFonts w:ascii="Times New Roman" w:hAnsi="Times New Roman" w:cs="Times New Roman"/>
                <w:sz w:val="28"/>
              </w:rPr>
              <w:t>al</w:t>
            </w:r>
            <w:r w:rsidRPr="007C57D2">
              <w:rPr>
                <w:rFonts w:ascii="Times New Roman" w:hAnsi="Times New Roman" w:cs="Times New Roman"/>
                <w:spacing w:val="-9"/>
                <w:sz w:val="28"/>
              </w:rPr>
              <w:t xml:space="preserve"> </w:t>
            </w:r>
            <w:r w:rsidRPr="007C57D2">
              <w:rPr>
                <w:rFonts w:ascii="Times New Roman" w:hAnsi="Times New Roman" w:cs="Times New Roman"/>
                <w:sz w:val="28"/>
              </w:rPr>
              <w:t>niño</w:t>
            </w:r>
            <w:r w:rsidRPr="007C57D2">
              <w:rPr>
                <w:rFonts w:ascii="Times New Roman" w:hAnsi="Times New Roman" w:cs="Times New Roman"/>
                <w:spacing w:val="40"/>
                <w:sz w:val="28"/>
              </w:rPr>
              <w:t xml:space="preserve"> </w:t>
            </w:r>
            <w:r w:rsidRPr="007C57D2">
              <w:rPr>
                <w:rFonts w:ascii="Times New Roman" w:hAnsi="Times New Roman" w:cs="Times New Roman"/>
                <w:sz w:val="28"/>
              </w:rPr>
              <w:t>o niña extraviado, o a la</w:t>
            </w:r>
            <w:r w:rsidRPr="007C57D2">
              <w:rPr>
                <w:rFonts w:ascii="Times New Roman" w:hAnsi="Times New Roman" w:cs="Times New Roman"/>
                <w:spacing w:val="40"/>
                <w:sz w:val="28"/>
              </w:rPr>
              <w:t xml:space="preserve"> </w:t>
            </w:r>
            <w:r w:rsidRPr="007C57D2">
              <w:rPr>
                <w:rFonts w:ascii="Times New Roman" w:hAnsi="Times New Roman" w:cs="Times New Roman"/>
                <w:sz w:val="28"/>
              </w:rPr>
              <w:t>persona</w:t>
            </w:r>
            <w:r w:rsidRPr="007C57D2">
              <w:rPr>
                <w:rFonts w:ascii="Times New Roman" w:hAnsi="Times New Roman" w:cs="Times New Roman"/>
                <w:spacing w:val="-8"/>
                <w:sz w:val="28"/>
              </w:rPr>
              <w:t xml:space="preserve"> </w:t>
            </w:r>
            <w:r w:rsidRPr="007C57D2">
              <w:rPr>
                <w:rFonts w:ascii="Times New Roman" w:hAnsi="Times New Roman" w:cs="Times New Roman"/>
                <w:sz w:val="28"/>
              </w:rPr>
              <w:t>que</w:t>
            </w:r>
            <w:r w:rsidRPr="007C57D2">
              <w:rPr>
                <w:rFonts w:ascii="Times New Roman" w:hAnsi="Times New Roman" w:cs="Times New Roman"/>
                <w:spacing w:val="-9"/>
                <w:sz w:val="28"/>
              </w:rPr>
              <w:t xml:space="preserve"> </w:t>
            </w:r>
            <w:r w:rsidRPr="007C57D2">
              <w:rPr>
                <w:rFonts w:ascii="Times New Roman" w:hAnsi="Times New Roman" w:cs="Times New Roman"/>
                <w:sz w:val="28"/>
              </w:rPr>
              <w:t>lo</w:t>
            </w:r>
            <w:r w:rsidRPr="007C57D2">
              <w:rPr>
                <w:rFonts w:ascii="Times New Roman" w:hAnsi="Times New Roman" w:cs="Times New Roman"/>
                <w:spacing w:val="-8"/>
                <w:sz w:val="28"/>
              </w:rPr>
              <w:t xml:space="preserve"> </w:t>
            </w:r>
            <w:r w:rsidRPr="007C57D2">
              <w:rPr>
                <w:rFonts w:ascii="Times New Roman" w:hAnsi="Times New Roman" w:cs="Times New Roman"/>
                <w:sz w:val="28"/>
              </w:rPr>
              <w:t>secuestró</w:t>
            </w:r>
            <w:r w:rsidRPr="007C57D2">
              <w:rPr>
                <w:rFonts w:ascii="Times New Roman" w:hAnsi="Times New Roman" w:cs="Times New Roman"/>
                <w:spacing w:val="-8"/>
                <w:sz w:val="28"/>
              </w:rPr>
              <w:t xml:space="preserve"> </w:t>
            </w:r>
            <w:r w:rsidRPr="007C57D2">
              <w:rPr>
                <w:rFonts w:ascii="Times New Roman" w:hAnsi="Times New Roman" w:cs="Times New Roman"/>
                <w:sz w:val="28"/>
              </w:rPr>
              <w:t>si</w:t>
            </w:r>
            <w:r w:rsidRPr="007C57D2">
              <w:rPr>
                <w:rFonts w:ascii="Times New Roman" w:hAnsi="Times New Roman" w:cs="Times New Roman"/>
                <w:spacing w:val="40"/>
                <w:sz w:val="28"/>
              </w:rPr>
              <w:t xml:space="preserve"> </w:t>
            </w:r>
            <w:r w:rsidRPr="007C57D2">
              <w:rPr>
                <w:rFonts w:ascii="Times New Roman" w:hAnsi="Times New Roman" w:cs="Times New Roman"/>
                <w:sz w:val="28"/>
              </w:rPr>
              <w:t>se tiene certeza de su</w:t>
            </w:r>
            <w:r w:rsidRPr="007C57D2">
              <w:rPr>
                <w:rFonts w:ascii="Times New Roman" w:hAnsi="Times New Roman" w:cs="Times New Roman"/>
                <w:spacing w:val="40"/>
                <w:sz w:val="28"/>
              </w:rPr>
              <w:t xml:space="preserve"> </w:t>
            </w:r>
            <w:r w:rsidRPr="007C57D2">
              <w:rPr>
                <w:rFonts w:ascii="Times New Roman" w:hAnsi="Times New Roman" w:cs="Times New Roman"/>
                <w:sz w:val="28"/>
              </w:rPr>
              <w:t>identidad</w:t>
            </w:r>
            <w:r w:rsidRPr="007C57D2">
              <w:rPr>
                <w:rFonts w:ascii="Times New Roman" w:hAnsi="Times New Roman" w:cs="Times New Roman"/>
                <w:spacing w:val="-1"/>
                <w:sz w:val="28"/>
              </w:rPr>
              <w:t xml:space="preserve"> </w:t>
            </w:r>
            <w:r w:rsidRPr="007C57D2">
              <w:rPr>
                <w:rFonts w:ascii="Times New Roman" w:hAnsi="Times New Roman" w:cs="Times New Roman"/>
                <w:sz w:val="28"/>
              </w:rPr>
              <w:t>o por</w:t>
            </w:r>
            <w:r w:rsidRPr="007C57D2">
              <w:rPr>
                <w:rFonts w:ascii="Times New Roman" w:hAnsi="Times New Roman" w:cs="Times New Roman"/>
                <w:spacing w:val="-1"/>
                <w:sz w:val="28"/>
              </w:rPr>
              <w:t xml:space="preserve"> </w:t>
            </w:r>
            <w:r w:rsidRPr="007C57D2">
              <w:rPr>
                <w:rFonts w:ascii="Times New Roman" w:hAnsi="Times New Roman" w:cs="Times New Roman"/>
                <w:sz w:val="28"/>
              </w:rPr>
              <w:t>lo</w:t>
            </w:r>
            <w:r w:rsidRPr="007C57D2">
              <w:rPr>
                <w:rFonts w:ascii="Times New Roman" w:hAnsi="Times New Roman" w:cs="Times New Roman"/>
                <w:spacing w:val="-1"/>
                <w:sz w:val="28"/>
              </w:rPr>
              <w:t xml:space="preserve"> </w:t>
            </w:r>
            <w:r w:rsidRPr="007C57D2">
              <w:rPr>
                <w:rFonts w:ascii="Times New Roman" w:hAnsi="Times New Roman" w:cs="Times New Roman"/>
                <w:sz w:val="28"/>
              </w:rPr>
              <w:t>menos la</w:t>
            </w:r>
            <w:r w:rsidRPr="007C57D2">
              <w:rPr>
                <w:rFonts w:ascii="Times New Roman" w:hAnsi="Times New Roman" w:cs="Times New Roman"/>
                <w:spacing w:val="40"/>
                <w:sz w:val="28"/>
              </w:rPr>
              <w:t xml:space="preserve"> </w:t>
            </w:r>
            <w:r w:rsidRPr="007C57D2">
              <w:rPr>
                <w:rFonts w:ascii="Times New Roman" w:hAnsi="Times New Roman" w:cs="Times New Roman"/>
                <w:sz w:val="28"/>
              </w:rPr>
              <w:t>descripción física, so pena</w:t>
            </w:r>
            <w:r w:rsidRPr="007C57D2">
              <w:rPr>
                <w:rFonts w:ascii="Times New Roman" w:hAnsi="Times New Roman" w:cs="Times New Roman"/>
                <w:spacing w:val="40"/>
                <w:sz w:val="28"/>
              </w:rPr>
              <w:t xml:space="preserve"> </w:t>
            </w:r>
            <w:r w:rsidRPr="007C57D2">
              <w:rPr>
                <w:rFonts w:ascii="Times New Roman" w:hAnsi="Times New Roman" w:cs="Times New Roman"/>
                <w:sz w:val="28"/>
              </w:rPr>
              <w:t>de los delitos cometidos si</w:t>
            </w:r>
            <w:r w:rsidRPr="007C57D2">
              <w:rPr>
                <w:rFonts w:ascii="Times New Roman" w:hAnsi="Times New Roman" w:cs="Times New Roman"/>
                <w:spacing w:val="40"/>
                <w:sz w:val="28"/>
              </w:rPr>
              <w:t xml:space="preserve"> </w:t>
            </w:r>
            <w:r w:rsidRPr="007C57D2">
              <w:rPr>
                <w:rFonts w:ascii="Times New Roman" w:hAnsi="Times New Roman" w:cs="Times New Roman"/>
                <w:sz w:val="28"/>
              </w:rPr>
              <w:t>resultara</w:t>
            </w:r>
            <w:r w:rsidRPr="007C57D2">
              <w:rPr>
                <w:rFonts w:ascii="Times New Roman" w:hAnsi="Times New Roman" w:cs="Times New Roman"/>
                <w:spacing w:val="-10"/>
                <w:sz w:val="28"/>
              </w:rPr>
              <w:t xml:space="preserve"> </w:t>
            </w:r>
            <w:r w:rsidRPr="007C57D2">
              <w:rPr>
                <w:rFonts w:ascii="Times New Roman" w:hAnsi="Times New Roman" w:cs="Times New Roman"/>
                <w:sz w:val="28"/>
              </w:rPr>
              <w:t>dolosamente</w:t>
            </w:r>
            <w:r w:rsidRPr="007C57D2">
              <w:rPr>
                <w:rFonts w:ascii="Times New Roman" w:hAnsi="Times New Roman" w:cs="Times New Roman"/>
                <w:spacing w:val="-9"/>
                <w:sz w:val="28"/>
              </w:rPr>
              <w:t xml:space="preserve"> </w:t>
            </w:r>
            <w:r w:rsidRPr="007C57D2">
              <w:rPr>
                <w:rFonts w:ascii="Times New Roman" w:hAnsi="Times New Roman" w:cs="Times New Roman"/>
                <w:sz w:val="28"/>
              </w:rPr>
              <w:t>falsa</w:t>
            </w:r>
            <w:r w:rsidRPr="007C57D2">
              <w:rPr>
                <w:rFonts w:ascii="Times New Roman" w:hAnsi="Times New Roman" w:cs="Times New Roman"/>
                <w:spacing w:val="40"/>
                <w:sz w:val="28"/>
              </w:rPr>
              <w:t xml:space="preserve"> </w:t>
            </w:r>
            <w:r w:rsidRPr="007C57D2">
              <w:rPr>
                <w:rFonts w:ascii="Times New Roman" w:hAnsi="Times New Roman" w:cs="Times New Roman"/>
                <w:sz w:val="28"/>
              </w:rPr>
              <w:t>la</w:t>
            </w:r>
            <w:r w:rsidRPr="007C57D2">
              <w:rPr>
                <w:rFonts w:ascii="Times New Roman" w:hAnsi="Times New Roman" w:cs="Times New Roman"/>
                <w:spacing w:val="-5"/>
                <w:sz w:val="28"/>
              </w:rPr>
              <w:t xml:space="preserve"> </w:t>
            </w:r>
            <w:r w:rsidRPr="007C57D2">
              <w:rPr>
                <w:rFonts w:ascii="Times New Roman" w:hAnsi="Times New Roman" w:cs="Times New Roman"/>
                <w:sz w:val="28"/>
              </w:rPr>
              <w:t>información.</w:t>
            </w:r>
          </w:p>
          <w:p w:rsidR="0014794A" w:rsidRPr="007C57D2" w:rsidRDefault="007C57D2" w:rsidP="007C57D2">
            <w:pPr>
              <w:pStyle w:val="TableParagraph"/>
              <w:tabs>
                <w:tab w:val="left" w:pos="994"/>
                <w:tab w:val="left" w:pos="1483"/>
              </w:tabs>
              <w:jc w:val="both"/>
              <w:rPr>
                <w:rFonts w:ascii="Times New Roman" w:hAnsi="Times New Roman" w:cs="Times New Roman"/>
                <w:sz w:val="28"/>
              </w:rPr>
            </w:pPr>
          </w:p>
          <w:p w:rsidR="0014794A"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sz w:val="28"/>
              </w:rPr>
              <w:t>Parágrafo</w:t>
            </w:r>
            <w:r w:rsidRPr="007C57D2">
              <w:rPr>
                <w:rFonts w:ascii="Times New Roman" w:hAnsi="Times New Roman" w:cs="Times New Roman"/>
                <w:b/>
                <w:spacing w:val="-10"/>
                <w:sz w:val="28"/>
              </w:rPr>
              <w:t xml:space="preserve"> </w:t>
            </w:r>
            <w:r w:rsidRPr="007C57D2">
              <w:rPr>
                <w:rFonts w:ascii="Times New Roman" w:hAnsi="Times New Roman" w:cs="Times New Roman"/>
                <w:b/>
                <w:sz w:val="28"/>
              </w:rPr>
              <w:t>1.</w:t>
            </w:r>
            <w:r w:rsidRPr="007C57D2">
              <w:rPr>
                <w:rFonts w:ascii="Times New Roman" w:hAnsi="Times New Roman" w:cs="Times New Roman"/>
                <w:b/>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que</w:t>
            </w:r>
            <w:r w:rsidRPr="007C57D2">
              <w:rPr>
                <w:rFonts w:ascii="Times New Roman" w:hAnsi="Times New Roman" w:cs="Times New Roman"/>
                <w:spacing w:val="40"/>
                <w:sz w:val="28"/>
              </w:rPr>
              <w:t xml:space="preserve"> </w:t>
            </w:r>
            <w:r w:rsidRPr="007C57D2">
              <w:rPr>
                <w:rFonts w:ascii="Times New Roman" w:hAnsi="Times New Roman" w:cs="Times New Roman"/>
                <w:sz w:val="28"/>
              </w:rPr>
              <w:t>emitan los proveedores de</w:t>
            </w:r>
            <w:r w:rsidRPr="007C57D2">
              <w:rPr>
                <w:rFonts w:ascii="Times New Roman" w:hAnsi="Times New Roman" w:cs="Times New Roman"/>
                <w:spacing w:val="40"/>
                <w:sz w:val="28"/>
              </w:rPr>
              <w:t xml:space="preserve"> </w:t>
            </w:r>
            <w:r w:rsidRPr="007C57D2">
              <w:rPr>
                <w:rFonts w:ascii="Times New Roman" w:hAnsi="Times New Roman" w:cs="Times New Roman"/>
                <w:sz w:val="28"/>
              </w:rPr>
              <w:t>redes y servicios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telecomunicaciones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móviles</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 ser gratuita e</w:t>
            </w:r>
            <w:r w:rsidRPr="007C57D2">
              <w:rPr>
                <w:rFonts w:ascii="Times New Roman" w:hAnsi="Times New Roman" w:cs="Times New Roman"/>
                <w:spacing w:val="40"/>
                <w:sz w:val="28"/>
              </w:rPr>
              <w:t xml:space="preserve"> </w:t>
            </w:r>
            <w:r w:rsidRPr="007C57D2">
              <w:rPr>
                <w:rFonts w:ascii="Times New Roman" w:hAnsi="Times New Roman" w:cs="Times New Roman"/>
                <w:sz w:val="28"/>
              </w:rPr>
              <w:t>inmediata una vez</w:t>
            </w:r>
            <w:r w:rsidRPr="007C57D2">
              <w:rPr>
                <w:rFonts w:ascii="Times New Roman" w:hAnsi="Times New Roman" w:cs="Times New Roman"/>
                <w:spacing w:val="40"/>
                <w:sz w:val="28"/>
              </w:rPr>
              <w:t xml:space="preserve"> </w:t>
            </w:r>
            <w:r w:rsidRPr="007C57D2">
              <w:rPr>
                <w:rFonts w:ascii="Times New Roman" w:hAnsi="Times New Roman" w:cs="Times New Roman"/>
                <w:sz w:val="28"/>
              </w:rPr>
              <w:t>recepcionen la información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de la niña o niño por parte</w:t>
            </w:r>
            <w:r w:rsidRPr="007C57D2">
              <w:rPr>
                <w:rFonts w:ascii="Times New Roman" w:hAnsi="Times New Roman" w:cs="Times New Roman"/>
                <w:spacing w:val="40"/>
                <w:sz w:val="28"/>
              </w:rPr>
              <w:t xml:space="preserve"> </w:t>
            </w:r>
            <w:r w:rsidRPr="007C57D2">
              <w:rPr>
                <w:rFonts w:ascii="Times New Roman" w:hAnsi="Times New Roman" w:cs="Times New Roman"/>
                <w:sz w:val="28"/>
              </w:rPr>
              <w:t>del</w:t>
            </w:r>
            <w:r w:rsidRPr="007C57D2">
              <w:rPr>
                <w:rFonts w:ascii="Times New Roman" w:hAnsi="Times New Roman" w:cs="Times New Roman"/>
                <w:spacing w:val="-6"/>
                <w:sz w:val="28"/>
              </w:rPr>
              <w:t xml:space="preserve"> </w:t>
            </w:r>
            <w:r w:rsidRPr="007C57D2">
              <w:rPr>
                <w:rFonts w:ascii="Times New Roman" w:hAnsi="Times New Roman" w:cs="Times New Roman"/>
                <w:sz w:val="28"/>
              </w:rPr>
              <w:t>Instituto</w:t>
            </w:r>
            <w:r w:rsidRPr="007C57D2">
              <w:rPr>
                <w:rFonts w:ascii="Times New Roman" w:hAnsi="Times New Roman" w:cs="Times New Roman"/>
                <w:spacing w:val="-5"/>
                <w:sz w:val="28"/>
              </w:rPr>
              <w:t xml:space="preserve"> </w:t>
            </w:r>
            <w:r w:rsidRPr="007C57D2">
              <w:rPr>
                <w:rFonts w:ascii="Times New Roman" w:hAnsi="Times New Roman" w:cs="Times New Roman"/>
                <w:sz w:val="28"/>
              </w:rPr>
              <w:t>Colombiano</w:t>
            </w:r>
            <w:r w:rsidRPr="007C57D2">
              <w:rPr>
                <w:rFonts w:ascii="Times New Roman" w:hAnsi="Times New Roman" w:cs="Times New Roman"/>
                <w:spacing w:val="-5"/>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Bienestar</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Familiar.</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w:t>
            </w:r>
            <w:r w:rsidRPr="007C57D2">
              <w:rPr>
                <w:rFonts w:ascii="Times New Roman" w:hAnsi="Times New Roman" w:cs="Times New Roman"/>
                <w:spacing w:val="-8"/>
                <w:sz w:val="28"/>
              </w:rPr>
              <w:t xml:space="preserve"> </w:t>
            </w:r>
            <w:r w:rsidRPr="007C57D2">
              <w:rPr>
                <w:rFonts w:ascii="Times New Roman" w:hAnsi="Times New Roman" w:cs="Times New Roman"/>
                <w:sz w:val="28"/>
              </w:rPr>
              <w:t>deberá</w:t>
            </w:r>
            <w:r w:rsidRPr="007C57D2">
              <w:rPr>
                <w:rFonts w:ascii="Times New Roman" w:hAnsi="Times New Roman" w:cs="Times New Roman"/>
                <w:spacing w:val="-8"/>
                <w:sz w:val="28"/>
              </w:rPr>
              <w:t xml:space="preserve"> </w:t>
            </w:r>
            <w:r w:rsidRPr="007C57D2">
              <w:rPr>
                <w:rFonts w:ascii="Times New Roman" w:hAnsi="Times New Roman" w:cs="Times New Roman"/>
                <w:sz w:val="28"/>
              </w:rPr>
              <w:t>llegar</w:t>
            </w:r>
            <w:r w:rsidRPr="007C57D2">
              <w:rPr>
                <w:rFonts w:ascii="Times New Roman" w:hAnsi="Times New Roman" w:cs="Times New Roman"/>
                <w:spacing w:val="-8"/>
                <w:sz w:val="28"/>
              </w:rPr>
              <w:t xml:space="preserve"> </w:t>
            </w:r>
            <w:r w:rsidRPr="007C57D2">
              <w:rPr>
                <w:rFonts w:ascii="Times New Roman" w:hAnsi="Times New Roman" w:cs="Times New Roman"/>
                <w:sz w:val="28"/>
              </w:rPr>
              <w:t>a</w:t>
            </w:r>
            <w:r w:rsidRPr="007C57D2">
              <w:rPr>
                <w:rFonts w:ascii="Times New Roman" w:hAnsi="Times New Roman" w:cs="Times New Roman"/>
                <w:spacing w:val="-8"/>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z w:val="28"/>
              </w:rPr>
              <w:t>pantalla</w:t>
            </w:r>
            <w:r w:rsidRPr="007C57D2">
              <w:rPr>
                <w:rFonts w:ascii="Times New Roman" w:hAnsi="Times New Roman" w:cs="Times New Roman"/>
                <w:spacing w:val="76"/>
                <w:sz w:val="28"/>
              </w:rPr>
              <w:t xml:space="preserve"> </w:t>
            </w:r>
            <w:r w:rsidRPr="007C57D2">
              <w:rPr>
                <w:rFonts w:ascii="Times New Roman" w:hAnsi="Times New Roman" w:cs="Times New Roman"/>
                <w:sz w:val="28"/>
              </w:rPr>
              <w:t>principal</w:t>
            </w:r>
            <w:r w:rsidRPr="007C57D2">
              <w:rPr>
                <w:rFonts w:ascii="Times New Roman" w:hAnsi="Times New Roman" w:cs="Times New Roman"/>
                <w:spacing w:val="76"/>
                <w:sz w:val="28"/>
              </w:rPr>
              <w:t xml:space="preserve"> </w:t>
            </w:r>
            <w:r w:rsidRPr="007C57D2">
              <w:rPr>
                <w:rFonts w:ascii="Times New Roman" w:hAnsi="Times New Roman" w:cs="Times New Roman"/>
                <w:sz w:val="28"/>
              </w:rPr>
              <w:t>de</w:t>
            </w:r>
            <w:r w:rsidRPr="007C57D2">
              <w:rPr>
                <w:rFonts w:ascii="Times New Roman" w:hAnsi="Times New Roman" w:cs="Times New Roman"/>
                <w:spacing w:val="76"/>
                <w:sz w:val="28"/>
              </w:rPr>
              <w:t xml:space="preserve"> </w:t>
            </w:r>
            <w:r w:rsidRPr="007C57D2">
              <w:rPr>
                <w:rFonts w:ascii="Times New Roman" w:hAnsi="Times New Roman" w:cs="Times New Roman"/>
                <w:spacing w:val="-5"/>
                <w:sz w:val="28"/>
              </w:rPr>
              <w:t xml:space="preserve">los </w:t>
            </w:r>
            <w:r w:rsidRPr="007C57D2">
              <w:rPr>
                <w:rFonts w:ascii="Times New Roman" w:hAnsi="Times New Roman" w:cs="Times New Roman"/>
                <w:spacing w:val="-2"/>
                <w:sz w:val="28"/>
              </w:rPr>
              <w:t>teléfonos móviles</w:t>
            </w:r>
            <w:r w:rsidRPr="007C57D2">
              <w:rPr>
                <w:rFonts w:ascii="Times New Roman" w:hAnsi="Times New Roman" w:cs="Times New Roman"/>
                <w:spacing w:val="-2"/>
                <w:sz w:val="28"/>
              </w:rPr>
              <w:t xml:space="preserve"> </w:t>
            </w:r>
            <w:r w:rsidRPr="007C57D2">
              <w:rPr>
                <w:rFonts w:ascii="Times New Roman" w:hAnsi="Times New Roman" w:cs="Times New Roman"/>
                <w:sz w:val="28"/>
              </w:rPr>
              <w:t>cumpliendo los requisitos</w:t>
            </w:r>
            <w:r w:rsidRPr="007C57D2">
              <w:rPr>
                <w:rFonts w:ascii="Times New Roman" w:hAnsi="Times New Roman" w:cs="Times New Roman"/>
                <w:spacing w:val="40"/>
                <w:sz w:val="28"/>
              </w:rPr>
              <w:t xml:space="preserve"> </w:t>
            </w:r>
            <w:r w:rsidRPr="007C57D2">
              <w:rPr>
                <w:rFonts w:ascii="Times New Roman" w:hAnsi="Times New Roman" w:cs="Times New Roman"/>
                <w:sz w:val="28"/>
              </w:rPr>
              <w:t>del presente artículo. En</w:t>
            </w:r>
            <w:r w:rsidRPr="007C57D2">
              <w:rPr>
                <w:rFonts w:ascii="Times New Roman" w:hAnsi="Times New Roman" w:cs="Times New Roman"/>
                <w:spacing w:val="40"/>
                <w:sz w:val="28"/>
              </w:rPr>
              <w:t xml:space="preserve"> </w:t>
            </w:r>
            <w:r w:rsidRPr="007C57D2">
              <w:rPr>
                <w:rFonts w:ascii="Times New Roman" w:hAnsi="Times New Roman" w:cs="Times New Roman"/>
                <w:sz w:val="28"/>
              </w:rPr>
              <w:t>caso de tratarse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dispositivos</w:t>
            </w:r>
            <w:r w:rsidRPr="007C57D2">
              <w:rPr>
                <w:rFonts w:ascii="Times New Roman" w:hAnsi="Times New Roman" w:cs="Times New Roman"/>
                <w:sz w:val="28"/>
              </w:rPr>
              <w:tab/>
            </w:r>
            <w:r w:rsidRPr="007C57D2">
              <w:rPr>
                <w:rFonts w:ascii="Times New Roman" w:hAnsi="Times New Roman" w:cs="Times New Roman"/>
                <w:spacing w:val="-4"/>
                <w:sz w:val="28"/>
              </w:rPr>
              <w:t>cuya</w:t>
            </w:r>
            <w:r w:rsidRPr="007C57D2">
              <w:rPr>
                <w:rFonts w:ascii="Times New Roman" w:hAnsi="Times New Roman" w:cs="Times New Roman"/>
                <w:spacing w:val="40"/>
                <w:sz w:val="28"/>
              </w:rPr>
              <w:t xml:space="preserve"> </w:t>
            </w:r>
            <w:r w:rsidRPr="007C57D2">
              <w:rPr>
                <w:rFonts w:ascii="Times New Roman" w:hAnsi="Times New Roman" w:cs="Times New Roman"/>
                <w:sz w:val="28"/>
              </w:rPr>
              <w:t>reproducción</w:t>
            </w:r>
            <w:r w:rsidRPr="007C57D2">
              <w:rPr>
                <w:rFonts w:ascii="Times New Roman" w:hAnsi="Times New Roman" w:cs="Times New Roman"/>
                <w:spacing w:val="-10"/>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en</w:t>
            </w:r>
            <w:r w:rsidRPr="007C57D2">
              <w:rPr>
                <w:rFonts w:ascii="Times New Roman" w:hAnsi="Times New Roman" w:cs="Times New Roman"/>
                <w:spacing w:val="40"/>
                <w:sz w:val="28"/>
              </w:rPr>
              <w:t xml:space="preserve"> </w:t>
            </w:r>
            <w:r w:rsidRPr="007C57D2">
              <w:rPr>
                <w:rFonts w:ascii="Times New Roman" w:hAnsi="Times New Roman" w:cs="Times New Roman"/>
                <w:sz w:val="28"/>
              </w:rPr>
              <w:t>la pantalla principal no sea</w:t>
            </w:r>
            <w:r w:rsidRPr="007C57D2">
              <w:rPr>
                <w:rFonts w:ascii="Times New Roman" w:hAnsi="Times New Roman" w:cs="Times New Roman"/>
                <w:spacing w:val="40"/>
                <w:sz w:val="28"/>
              </w:rPr>
              <w:t xml:space="preserve"> </w:t>
            </w:r>
            <w:r w:rsidRPr="007C57D2">
              <w:rPr>
                <w:rFonts w:ascii="Times New Roman" w:hAnsi="Times New Roman" w:cs="Times New Roman"/>
                <w:sz w:val="28"/>
              </w:rPr>
              <w:t>posible, esta deberá</w:t>
            </w:r>
            <w:r w:rsidRPr="007C57D2">
              <w:rPr>
                <w:rFonts w:ascii="Times New Roman" w:hAnsi="Times New Roman" w:cs="Times New Roman"/>
                <w:spacing w:val="40"/>
                <w:sz w:val="28"/>
              </w:rPr>
              <w:t xml:space="preserve"> </w:t>
            </w:r>
            <w:r w:rsidRPr="007C57D2">
              <w:rPr>
                <w:rFonts w:ascii="Times New Roman" w:hAnsi="Times New Roman" w:cs="Times New Roman"/>
                <w:sz w:val="28"/>
              </w:rPr>
              <w:t>realizarse a través de</w:t>
            </w:r>
            <w:r w:rsidRPr="007C57D2">
              <w:rPr>
                <w:rFonts w:ascii="Times New Roman" w:hAnsi="Times New Roman" w:cs="Times New Roman"/>
                <w:spacing w:val="40"/>
                <w:sz w:val="28"/>
              </w:rPr>
              <w:t xml:space="preserve"> </w:t>
            </w:r>
            <w:r w:rsidRPr="007C57D2">
              <w:rPr>
                <w:rFonts w:ascii="Times New Roman" w:hAnsi="Times New Roman" w:cs="Times New Roman"/>
                <w:sz w:val="28"/>
              </w:rPr>
              <w:t>mensajes de texto de</w:t>
            </w:r>
            <w:r w:rsidRPr="007C57D2">
              <w:rPr>
                <w:rFonts w:ascii="Times New Roman" w:hAnsi="Times New Roman" w:cs="Times New Roman"/>
                <w:spacing w:val="40"/>
                <w:sz w:val="28"/>
              </w:rPr>
              <w:t xml:space="preserve"> </w:t>
            </w:r>
            <w:r w:rsidRPr="007C57D2">
              <w:rPr>
                <w:rFonts w:ascii="Times New Roman" w:hAnsi="Times New Roman" w:cs="Times New Roman"/>
                <w:sz w:val="28"/>
              </w:rPr>
              <w:t>notificación</w:t>
            </w:r>
            <w:r w:rsidRPr="007C57D2">
              <w:rPr>
                <w:rFonts w:ascii="Times New Roman" w:hAnsi="Times New Roman" w:cs="Times New Roman"/>
                <w:spacing w:val="-5"/>
                <w:sz w:val="28"/>
              </w:rPr>
              <w:t xml:space="preserve"> </w:t>
            </w:r>
            <w:r w:rsidRPr="007C57D2">
              <w:rPr>
                <w:rFonts w:ascii="Times New Roman" w:hAnsi="Times New Roman" w:cs="Times New Roman"/>
                <w:sz w:val="28"/>
              </w:rPr>
              <w:t>especial.</w:t>
            </w:r>
          </w:p>
          <w:p w:rsidR="0014794A" w:rsidRPr="007C57D2" w:rsidRDefault="007C57D2" w:rsidP="007C57D2">
            <w:pPr>
              <w:pStyle w:val="TableParagraph"/>
              <w:tabs>
                <w:tab w:val="left" w:pos="994"/>
                <w:tab w:val="left" w:pos="1483"/>
              </w:tabs>
              <w:jc w:val="both"/>
              <w:rPr>
                <w:rFonts w:ascii="Times New Roman" w:hAnsi="Times New Roman" w:cs="Times New Roman"/>
                <w:w w:val="105"/>
                <w:sz w:val="28"/>
              </w:rPr>
            </w:pPr>
          </w:p>
          <w:p w:rsidR="0014794A"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sz w:val="28"/>
              </w:rPr>
              <w:t>Parágrafo</w:t>
            </w:r>
            <w:r w:rsidRPr="007C57D2">
              <w:rPr>
                <w:rFonts w:ascii="Times New Roman" w:hAnsi="Times New Roman" w:cs="Times New Roman"/>
                <w:b/>
                <w:spacing w:val="-10"/>
                <w:sz w:val="28"/>
              </w:rPr>
              <w:t xml:space="preserve"> </w:t>
            </w:r>
            <w:r w:rsidRPr="007C57D2">
              <w:rPr>
                <w:rFonts w:ascii="Times New Roman" w:hAnsi="Times New Roman" w:cs="Times New Roman"/>
                <w:b/>
                <w:sz w:val="28"/>
              </w:rPr>
              <w:t>2.</w:t>
            </w:r>
            <w:r w:rsidRPr="007C57D2">
              <w:rPr>
                <w:rFonts w:ascii="Times New Roman" w:hAnsi="Times New Roman" w:cs="Times New Roman"/>
                <w:b/>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que</w:t>
            </w:r>
            <w:r w:rsidRPr="007C57D2">
              <w:rPr>
                <w:rFonts w:ascii="Times New Roman" w:hAnsi="Times New Roman" w:cs="Times New Roman"/>
                <w:spacing w:val="40"/>
                <w:sz w:val="28"/>
              </w:rPr>
              <w:t xml:space="preserve"> </w:t>
            </w:r>
            <w:r w:rsidRPr="007C57D2">
              <w:rPr>
                <w:rFonts w:ascii="Times New Roman" w:hAnsi="Times New Roman" w:cs="Times New Roman"/>
                <w:sz w:val="28"/>
              </w:rPr>
              <w:t>emitan los proveedores de</w:t>
            </w:r>
            <w:r w:rsidRPr="007C57D2">
              <w:rPr>
                <w:rFonts w:ascii="Times New Roman" w:hAnsi="Times New Roman" w:cs="Times New Roman"/>
                <w:spacing w:val="40"/>
                <w:sz w:val="28"/>
              </w:rPr>
              <w:t xml:space="preserve"> </w:t>
            </w:r>
            <w:r w:rsidRPr="007C57D2">
              <w:rPr>
                <w:rFonts w:ascii="Times New Roman" w:hAnsi="Times New Roman" w:cs="Times New Roman"/>
                <w:sz w:val="28"/>
              </w:rPr>
              <w:t>redes y servicios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telecomunicaciones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móviles</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 realizarse tres (3)</w:t>
            </w:r>
            <w:r w:rsidRPr="007C57D2">
              <w:rPr>
                <w:rFonts w:ascii="Times New Roman" w:hAnsi="Times New Roman" w:cs="Times New Roman"/>
                <w:spacing w:val="40"/>
                <w:sz w:val="28"/>
              </w:rPr>
              <w:t xml:space="preserve"> </w:t>
            </w:r>
            <w:r w:rsidRPr="007C57D2">
              <w:rPr>
                <w:rFonts w:ascii="Times New Roman" w:hAnsi="Times New Roman" w:cs="Times New Roman"/>
                <w:sz w:val="28"/>
              </w:rPr>
              <w:t>veces al día desde el</w:t>
            </w:r>
            <w:r w:rsidRPr="007C57D2">
              <w:rPr>
                <w:rFonts w:ascii="Times New Roman" w:hAnsi="Times New Roman" w:cs="Times New Roman"/>
                <w:spacing w:val="40"/>
                <w:sz w:val="28"/>
              </w:rPr>
              <w:t xml:space="preserve"> </w:t>
            </w:r>
            <w:r w:rsidRPr="007C57D2">
              <w:rPr>
                <w:rFonts w:ascii="Times New Roman" w:hAnsi="Times New Roman" w:cs="Times New Roman"/>
                <w:sz w:val="28"/>
              </w:rPr>
              <w:t>reporte</w:t>
            </w:r>
            <w:r w:rsidRPr="007C57D2">
              <w:rPr>
                <w:rFonts w:ascii="Times New Roman" w:hAnsi="Times New Roman" w:cs="Times New Roman"/>
                <w:spacing w:val="-10"/>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desaparición</w:t>
            </w:r>
            <w:r w:rsidRPr="007C57D2">
              <w:rPr>
                <w:rFonts w:ascii="Times New Roman" w:hAnsi="Times New Roman" w:cs="Times New Roman"/>
                <w:spacing w:val="-9"/>
                <w:sz w:val="28"/>
              </w:rPr>
              <w:t xml:space="preserve"> </w:t>
            </w:r>
            <w:r w:rsidRPr="007C57D2">
              <w:rPr>
                <w:rFonts w:ascii="Times New Roman" w:hAnsi="Times New Roman" w:cs="Times New Roman"/>
                <w:sz w:val="28"/>
              </w:rPr>
              <w:t>y</w:t>
            </w:r>
            <w:r w:rsidRPr="007C57D2">
              <w:rPr>
                <w:rFonts w:ascii="Times New Roman" w:hAnsi="Times New Roman" w:cs="Times New Roman"/>
                <w:spacing w:val="40"/>
                <w:sz w:val="28"/>
              </w:rPr>
              <w:t xml:space="preserve"> </w:t>
            </w:r>
            <w:r w:rsidRPr="007C57D2">
              <w:rPr>
                <w:rFonts w:ascii="Times New Roman" w:hAnsi="Times New Roman" w:cs="Times New Roman"/>
                <w:sz w:val="28"/>
              </w:rPr>
              <w:t>mínimo durante la semana</w:t>
            </w:r>
            <w:r w:rsidRPr="007C57D2">
              <w:rPr>
                <w:rFonts w:ascii="Times New Roman" w:hAnsi="Times New Roman" w:cs="Times New Roman"/>
                <w:spacing w:val="40"/>
                <w:sz w:val="28"/>
              </w:rPr>
              <w:t xml:space="preserve"> </w:t>
            </w:r>
            <w:r w:rsidRPr="007C57D2">
              <w:rPr>
                <w:rFonts w:ascii="Times New Roman" w:hAnsi="Times New Roman" w:cs="Times New Roman"/>
                <w:sz w:val="28"/>
              </w:rPr>
              <w:t>siguiente a la alerta inicial,</w:t>
            </w:r>
            <w:r w:rsidRPr="007C57D2">
              <w:rPr>
                <w:rFonts w:ascii="Times New Roman" w:hAnsi="Times New Roman" w:cs="Times New Roman"/>
                <w:spacing w:val="40"/>
                <w:sz w:val="28"/>
              </w:rPr>
              <w:t xml:space="preserve"> </w:t>
            </w:r>
            <w:r w:rsidRPr="007C57D2">
              <w:rPr>
                <w:rFonts w:ascii="Times New Roman" w:hAnsi="Times New Roman" w:cs="Times New Roman"/>
                <w:sz w:val="28"/>
              </w:rPr>
              <w:t>salvo que antes de este</w:t>
            </w:r>
            <w:r w:rsidRPr="007C57D2">
              <w:rPr>
                <w:rFonts w:ascii="Times New Roman" w:hAnsi="Times New Roman" w:cs="Times New Roman"/>
                <w:spacing w:val="40"/>
                <w:sz w:val="28"/>
              </w:rPr>
              <w:t xml:space="preserve"> </w:t>
            </w:r>
            <w:r w:rsidRPr="007C57D2">
              <w:rPr>
                <w:rFonts w:ascii="Times New Roman" w:hAnsi="Times New Roman" w:cs="Times New Roman"/>
                <w:sz w:val="28"/>
              </w:rPr>
              <w:t>término</w:t>
            </w:r>
            <w:r w:rsidRPr="007C57D2">
              <w:rPr>
                <w:rFonts w:ascii="Times New Roman" w:hAnsi="Times New Roman" w:cs="Times New Roman"/>
                <w:spacing w:val="19"/>
                <w:sz w:val="28"/>
              </w:rPr>
              <w:t xml:space="preserve"> </w:t>
            </w:r>
            <w:r w:rsidRPr="007C57D2">
              <w:rPr>
                <w:rFonts w:ascii="Times New Roman" w:hAnsi="Times New Roman" w:cs="Times New Roman"/>
                <w:sz w:val="28"/>
              </w:rPr>
              <w:t>el</w:t>
            </w:r>
            <w:r w:rsidRPr="007C57D2">
              <w:rPr>
                <w:rFonts w:ascii="Times New Roman" w:hAnsi="Times New Roman" w:cs="Times New Roman"/>
                <w:spacing w:val="18"/>
                <w:sz w:val="28"/>
              </w:rPr>
              <w:t xml:space="preserve"> </w:t>
            </w:r>
            <w:r w:rsidRPr="007C57D2">
              <w:rPr>
                <w:rFonts w:ascii="Times New Roman" w:hAnsi="Times New Roman" w:cs="Times New Roman"/>
                <w:sz w:val="28"/>
              </w:rPr>
              <w:t>niño</w:t>
            </w:r>
            <w:r w:rsidRPr="007C57D2">
              <w:rPr>
                <w:rFonts w:ascii="Times New Roman" w:hAnsi="Times New Roman" w:cs="Times New Roman"/>
                <w:spacing w:val="19"/>
                <w:sz w:val="28"/>
              </w:rPr>
              <w:t xml:space="preserve"> </w:t>
            </w:r>
            <w:r w:rsidRPr="007C57D2">
              <w:rPr>
                <w:rFonts w:ascii="Times New Roman" w:hAnsi="Times New Roman" w:cs="Times New Roman"/>
                <w:sz w:val="28"/>
              </w:rPr>
              <w:t>o</w:t>
            </w:r>
            <w:r w:rsidRPr="007C57D2">
              <w:rPr>
                <w:rFonts w:ascii="Times New Roman" w:hAnsi="Times New Roman" w:cs="Times New Roman"/>
                <w:spacing w:val="18"/>
                <w:sz w:val="28"/>
              </w:rPr>
              <w:t xml:space="preserve"> </w:t>
            </w:r>
            <w:r w:rsidRPr="007C57D2">
              <w:rPr>
                <w:rFonts w:ascii="Times New Roman" w:hAnsi="Times New Roman" w:cs="Times New Roman"/>
                <w:sz w:val="28"/>
              </w:rPr>
              <w:t>niña</w:t>
            </w:r>
            <w:r w:rsidRPr="007C57D2">
              <w:rPr>
                <w:rFonts w:ascii="Times New Roman" w:hAnsi="Times New Roman" w:cs="Times New Roman"/>
                <w:spacing w:val="20"/>
                <w:sz w:val="28"/>
              </w:rPr>
              <w:t xml:space="preserve"> </w:t>
            </w:r>
            <w:r w:rsidRPr="007C57D2">
              <w:rPr>
                <w:rFonts w:ascii="Times New Roman" w:hAnsi="Times New Roman" w:cs="Times New Roman"/>
                <w:spacing w:val="-5"/>
                <w:sz w:val="28"/>
              </w:rPr>
              <w:t>sea</w:t>
            </w:r>
          </w:p>
          <w:p w:rsidR="0014794A" w:rsidRPr="007C57D2" w:rsidRDefault="007C57D2" w:rsidP="007C57D2">
            <w:pPr>
              <w:pStyle w:val="TableParagraph"/>
              <w:tabs>
                <w:tab w:val="left" w:pos="994"/>
                <w:tab w:val="left" w:pos="1483"/>
              </w:tabs>
              <w:jc w:val="both"/>
              <w:rPr>
                <w:rFonts w:ascii="Times New Roman" w:hAnsi="Times New Roman" w:cs="Times New Roman"/>
                <w:spacing w:val="-2"/>
                <w:sz w:val="28"/>
              </w:rPr>
            </w:pPr>
            <w:r w:rsidRPr="007C57D2">
              <w:rPr>
                <w:rFonts w:ascii="Times New Roman" w:hAnsi="Times New Roman" w:cs="Times New Roman"/>
                <w:spacing w:val="-2"/>
                <w:sz w:val="28"/>
              </w:rPr>
              <w:t>encontrado.</w:t>
            </w:r>
          </w:p>
          <w:p w:rsidR="0014794A" w:rsidRPr="007C57D2" w:rsidRDefault="007C57D2" w:rsidP="007C57D2">
            <w:pPr>
              <w:pStyle w:val="TableParagraph"/>
              <w:tabs>
                <w:tab w:val="left" w:pos="994"/>
                <w:tab w:val="left" w:pos="1483"/>
              </w:tabs>
              <w:jc w:val="both"/>
              <w:rPr>
                <w:rFonts w:ascii="Times New Roman" w:hAnsi="Times New Roman" w:cs="Times New Roman"/>
                <w:spacing w:val="-2"/>
                <w:sz w:val="28"/>
              </w:rPr>
            </w:pPr>
          </w:p>
          <w:p w:rsidR="0014794A"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sz w:val="28"/>
              </w:rPr>
              <w:t xml:space="preserve">Parágrafo 3. </w:t>
            </w:r>
            <w:r w:rsidRPr="007C57D2">
              <w:rPr>
                <w:rFonts w:ascii="Times New Roman" w:hAnsi="Times New Roman" w:cs="Times New Roman"/>
                <w:sz w:val="28"/>
              </w:rPr>
              <w:t>El Instituto</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Colombiano de Bienestar</w:t>
            </w:r>
            <w:r w:rsidRPr="007C57D2">
              <w:rPr>
                <w:rFonts w:ascii="Times New Roman" w:hAnsi="Times New Roman" w:cs="Times New Roman"/>
                <w:spacing w:val="40"/>
                <w:sz w:val="28"/>
              </w:rPr>
              <w:t xml:space="preserve"> </w:t>
            </w:r>
            <w:r w:rsidRPr="007C57D2">
              <w:rPr>
                <w:rFonts w:ascii="Times New Roman" w:hAnsi="Times New Roman" w:cs="Times New Roman"/>
                <w:sz w:val="28"/>
              </w:rPr>
              <w:t>Familiar,</w:t>
            </w:r>
            <w:r w:rsidRPr="007C57D2">
              <w:rPr>
                <w:rFonts w:ascii="Times New Roman" w:hAnsi="Times New Roman" w:cs="Times New Roman"/>
                <w:spacing w:val="7"/>
                <w:sz w:val="28"/>
              </w:rPr>
              <w:t xml:space="preserve"> </w:t>
            </w:r>
            <w:r w:rsidRPr="007C57D2">
              <w:rPr>
                <w:rFonts w:ascii="Times New Roman" w:hAnsi="Times New Roman" w:cs="Times New Roman"/>
                <w:sz w:val="28"/>
              </w:rPr>
              <w:t>dentro</w:t>
            </w:r>
            <w:r w:rsidRPr="007C57D2">
              <w:rPr>
                <w:rFonts w:ascii="Times New Roman" w:hAnsi="Times New Roman" w:cs="Times New Roman"/>
                <w:spacing w:val="7"/>
                <w:sz w:val="28"/>
              </w:rPr>
              <w:t xml:space="preserve"> </w:t>
            </w:r>
            <w:r w:rsidRPr="007C57D2">
              <w:rPr>
                <w:rFonts w:ascii="Times New Roman" w:hAnsi="Times New Roman" w:cs="Times New Roman"/>
                <w:sz w:val="28"/>
              </w:rPr>
              <w:t>de</w:t>
            </w:r>
            <w:r w:rsidRPr="007C57D2">
              <w:rPr>
                <w:rFonts w:ascii="Times New Roman" w:hAnsi="Times New Roman" w:cs="Times New Roman"/>
                <w:spacing w:val="8"/>
                <w:sz w:val="28"/>
              </w:rPr>
              <w:t xml:space="preserve"> </w:t>
            </w:r>
            <w:r w:rsidRPr="007C57D2">
              <w:rPr>
                <w:rFonts w:ascii="Times New Roman" w:hAnsi="Times New Roman" w:cs="Times New Roman"/>
                <w:sz w:val="28"/>
              </w:rPr>
              <w:t>los</w:t>
            </w:r>
            <w:r w:rsidRPr="007C57D2">
              <w:rPr>
                <w:rFonts w:ascii="Times New Roman" w:hAnsi="Times New Roman" w:cs="Times New Roman"/>
                <w:spacing w:val="7"/>
                <w:sz w:val="28"/>
              </w:rPr>
              <w:t xml:space="preserve"> </w:t>
            </w:r>
            <w:r w:rsidRPr="007C57D2">
              <w:rPr>
                <w:rFonts w:ascii="Times New Roman" w:hAnsi="Times New Roman" w:cs="Times New Roman"/>
                <w:spacing w:val="-4"/>
                <w:sz w:val="28"/>
              </w:rPr>
              <w:t xml:space="preserve">seis </w:t>
            </w:r>
            <w:r w:rsidRPr="007C57D2">
              <w:rPr>
                <w:rFonts w:ascii="Times New Roman" w:hAnsi="Times New Roman" w:cs="Times New Roman"/>
                <w:sz w:val="28"/>
              </w:rPr>
              <w:t>(6)</w:t>
            </w:r>
            <w:r w:rsidRPr="007C57D2">
              <w:rPr>
                <w:rFonts w:ascii="Times New Roman" w:hAnsi="Times New Roman" w:cs="Times New Roman"/>
                <w:spacing w:val="1"/>
                <w:sz w:val="28"/>
              </w:rPr>
              <w:t xml:space="preserve"> </w:t>
            </w:r>
            <w:r w:rsidRPr="007C57D2">
              <w:rPr>
                <w:rFonts w:ascii="Times New Roman" w:hAnsi="Times New Roman" w:cs="Times New Roman"/>
                <w:sz w:val="28"/>
              </w:rPr>
              <w:t>meses</w:t>
            </w:r>
            <w:r w:rsidRPr="007C57D2">
              <w:rPr>
                <w:rFonts w:ascii="Times New Roman" w:hAnsi="Times New Roman" w:cs="Times New Roman"/>
                <w:spacing w:val="2"/>
                <w:sz w:val="28"/>
              </w:rPr>
              <w:t xml:space="preserve"> </w:t>
            </w:r>
            <w:r w:rsidRPr="007C57D2">
              <w:rPr>
                <w:rFonts w:ascii="Times New Roman" w:hAnsi="Times New Roman" w:cs="Times New Roman"/>
                <w:sz w:val="28"/>
              </w:rPr>
              <w:t>contados a</w:t>
            </w:r>
            <w:r w:rsidRPr="007C57D2">
              <w:rPr>
                <w:rFonts w:ascii="Times New Roman" w:hAnsi="Times New Roman" w:cs="Times New Roman"/>
                <w:spacing w:val="1"/>
                <w:sz w:val="28"/>
              </w:rPr>
              <w:t xml:space="preserve"> </w:t>
            </w:r>
            <w:r w:rsidRPr="007C57D2">
              <w:rPr>
                <w:rFonts w:ascii="Times New Roman" w:hAnsi="Times New Roman" w:cs="Times New Roman"/>
                <w:spacing w:val="-2"/>
                <w:sz w:val="28"/>
              </w:rPr>
              <w:t xml:space="preserve">partir </w:t>
            </w:r>
            <w:r w:rsidRPr="007C57D2">
              <w:rPr>
                <w:rFonts w:ascii="Times New Roman" w:hAnsi="Times New Roman" w:cs="Times New Roman"/>
                <w:sz w:val="28"/>
              </w:rPr>
              <w:t>de</w:t>
            </w:r>
            <w:r w:rsidRPr="007C57D2">
              <w:rPr>
                <w:rFonts w:ascii="Times New Roman" w:hAnsi="Times New Roman" w:cs="Times New Roman"/>
                <w:spacing w:val="-10"/>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entrada</w:t>
            </w:r>
            <w:r w:rsidRPr="007C57D2">
              <w:rPr>
                <w:rFonts w:ascii="Times New Roman" w:hAnsi="Times New Roman" w:cs="Times New Roman"/>
                <w:spacing w:val="-9"/>
                <w:sz w:val="28"/>
              </w:rPr>
              <w:t xml:space="preserve"> </w:t>
            </w:r>
            <w:r w:rsidRPr="007C57D2">
              <w:rPr>
                <w:rFonts w:ascii="Times New Roman" w:hAnsi="Times New Roman" w:cs="Times New Roman"/>
                <w:sz w:val="28"/>
              </w:rPr>
              <w:t>en</w:t>
            </w:r>
            <w:r w:rsidRPr="007C57D2">
              <w:rPr>
                <w:rFonts w:ascii="Times New Roman" w:hAnsi="Times New Roman" w:cs="Times New Roman"/>
                <w:spacing w:val="-9"/>
                <w:sz w:val="28"/>
              </w:rPr>
              <w:t xml:space="preserve"> </w:t>
            </w:r>
            <w:r w:rsidRPr="007C57D2">
              <w:rPr>
                <w:rFonts w:ascii="Times New Roman" w:hAnsi="Times New Roman" w:cs="Times New Roman"/>
                <w:sz w:val="28"/>
              </w:rPr>
              <w:t>vigencia</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la</w:t>
            </w:r>
            <w:r w:rsidRPr="007C57D2">
              <w:rPr>
                <w:rFonts w:ascii="Times New Roman" w:hAnsi="Times New Roman" w:cs="Times New Roman"/>
                <w:spacing w:val="34"/>
                <w:sz w:val="28"/>
              </w:rPr>
              <w:t xml:space="preserve"> </w:t>
            </w:r>
            <w:r w:rsidRPr="007C57D2">
              <w:rPr>
                <w:rFonts w:ascii="Times New Roman" w:hAnsi="Times New Roman" w:cs="Times New Roman"/>
                <w:sz w:val="28"/>
              </w:rPr>
              <w:t>presente</w:t>
            </w:r>
            <w:r w:rsidRPr="007C57D2">
              <w:rPr>
                <w:rFonts w:ascii="Times New Roman" w:hAnsi="Times New Roman" w:cs="Times New Roman"/>
                <w:spacing w:val="35"/>
                <w:sz w:val="28"/>
              </w:rPr>
              <w:t xml:space="preserve"> </w:t>
            </w:r>
            <w:r w:rsidRPr="007C57D2">
              <w:rPr>
                <w:rFonts w:ascii="Times New Roman" w:hAnsi="Times New Roman" w:cs="Times New Roman"/>
                <w:sz w:val="28"/>
              </w:rPr>
              <w:t>ley,</w:t>
            </w:r>
            <w:r w:rsidRPr="007C57D2">
              <w:rPr>
                <w:rFonts w:ascii="Times New Roman" w:hAnsi="Times New Roman" w:cs="Times New Roman"/>
                <w:spacing w:val="34"/>
                <w:sz w:val="28"/>
              </w:rPr>
              <w:t xml:space="preserve"> </w:t>
            </w:r>
            <w:r w:rsidRPr="007C57D2">
              <w:rPr>
                <w:rFonts w:ascii="Times New Roman" w:hAnsi="Times New Roman" w:cs="Times New Roman"/>
                <w:spacing w:val="-2"/>
                <w:sz w:val="28"/>
              </w:rPr>
              <w:t>dispondrá en</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su</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página</w:t>
            </w:r>
            <w:r w:rsidRPr="007C57D2">
              <w:rPr>
                <w:rFonts w:ascii="Times New Roman" w:hAnsi="Times New Roman" w:cs="Times New Roman"/>
                <w:spacing w:val="-6"/>
                <w:sz w:val="28"/>
              </w:rPr>
              <w:t xml:space="preserve"> </w:t>
            </w:r>
            <w:r w:rsidRPr="007C57D2">
              <w:rPr>
                <w:rFonts w:ascii="Times New Roman" w:hAnsi="Times New Roman" w:cs="Times New Roman"/>
                <w:spacing w:val="-2"/>
                <w:sz w:val="28"/>
              </w:rPr>
              <w:t>web</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oficial</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una</w:t>
            </w:r>
            <w:r w:rsidRPr="007C57D2">
              <w:rPr>
                <w:rFonts w:ascii="Times New Roman" w:hAnsi="Times New Roman" w:cs="Times New Roman"/>
                <w:spacing w:val="40"/>
                <w:sz w:val="28"/>
              </w:rPr>
              <w:t xml:space="preserve"> </w:t>
            </w:r>
            <w:r w:rsidRPr="007C57D2">
              <w:rPr>
                <w:rFonts w:ascii="Times New Roman" w:hAnsi="Times New Roman" w:cs="Times New Roman"/>
                <w:sz w:val="28"/>
              </w:rPr>
              <w:t>ventana</w:t>
            </w:r>
            <w:r w:rsidRPr="007C57D2">
              <w:rPr>
                <w:rFonts w:ascii="Times New Roman" w:hAnsi="Times New Roman" w:cs="Times New Roman"/>
                <w:spacing w:val="-10"/>
                <w:sz w:val="28"/>
              </w:rPr>
              <w:t xml:space="preserve"> </w:t>
            </w:r>
            <w:r w:rsidRPr="007C57D2">
              <w:rPr>
                <w:rFonts w:ascii="Times New Roman" w:hAnsi="Times New Roman" w:cs="Times New Roman"/>
                <w:sz w:val="28"/>
              </w:rPr>
              <w:t>denominada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a fin que los</w:t>
            </w:r>
            <w:r w:rsidRPr="007C57D2">
              <w:rPr>
                <w:rFonts w:ascii="Times New Roman" w:hAnsi="Times New Roman" w:cs="Times New Roman"/>
                <w:spacing w:val="40"/>
                <w:sz w:val="28"/>
              </w:rPr>
              <w:t xml:space="preserve"> </w:t>
            </w:r>
            <w:r w:rsidRPr="007C57D2">
              <w:rPr>
                <w:rFonts w:ascii="Times New Roman" w:hAnsi="Times New Roman" w:cs="Times New Roman"/>
                <w:sz w:val="28"/>
              </w:rPr>
              <w:t>ciudadanos tengan acceso</w:t>
            </w:r>
            <w:r w:rsidRPr="007C57D2">
              <w:rPr>
                <w:rFonts w:ascii="Times New Roman" w:hAnsi="Times New Roman" w:cs="Times New Roman"/>
                <w:spacing w:val="40"/>
                <w:sz w:val="28"/>
              </w:rPr>
              <w:t xml:space="preserve"> </w:t>
            </w:r>
            <w:r w:rsidRPr="007C57D2">
              <w:rPr>
                <w:rFonts w:ascii="Times New Roman" w:hAnsi="Times New Roman" w:cs="Times New Roman"/>
                <w:sz w:val="28"/>
              </w:rPr>
              <w:t>a la misma y puedan</w:t>
            </w:r>
            <w:r w:rsidRPr="007C57D2">
              <w:rPr>
                <w:rFonts w:ascii="Times New Roman" w:hAnsi="Times New Roman" w:cs="Times New Roman"/>
                <w:spacing w:val="40"/>
                <w:sz w:val="28"/>
              </w:rPr>
              <w:t xml:space="preserve"> </w:t>
            </w:r>
            <w:r w:rsidRPr="007C57D2">
              <w:rPr>
                <w:rFonts w:ascii="Times New Roman" w:hAnsi="Times New Roman" w:cs="Times New Roman"/>
                <w:sz w:val="28"/>
              </w:rPr>
              <w:t>verificar las alertas</w:t>
            </w:r>
            <w:r w:rsidRPr="007C57D2">
              <w:rPr>
                <w:rFonts w:ascii="Times New Roman" w:hAnsi="Times New Roman" w:cs="Times New Roman"/>
                <w:spacing w:val="-1"/>
                <w:sz w:val="28"/>
              </w:rPr>
              <w:t xml:space="preserve"> </w:t>
            </w:r>
            <w:r w:rsidRPr="007C57D2">
              <w:rPr>
                <w:rFonts w:ascii="Times New Roman" w:hAnsi="Times New Roman" w:cs="Times New Roman"/>
                <w:sz w:val="28"/>
              </w:rPr>
              <w:t>activas</w:t>
            </w:r>
            <w:r w:rsidRPr="007C57D2">
              <w:rPr>
                <w:rFonts w:ascii="Times New Roman" w:hAnsi="Times New Roman" w:cs="Times New Roman"/>
                <w:sz w:val="28"/>
              </w:rPr>
              <w:t>.</w:t>
            </w: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F22616" w:rsidRPr="007C57D2" w:rsidRDefault="007C57D2" w:rsidP="007C57D2">
            <w:pPr>
              <w:pStyle w:val="TableParagraph"/>
              <w:jc w:val="both"/>
              <w:rPr>
                <w:rFonts w:ascii="Times New Roman" w:hAnsi="Times New Roman" w:cs="Times New Roman"/>
                <w:sz w:val="28"/>
              </w:rPr>
            </w:pPr>
          </w:p>
          <w:p w:rsidR="0014794A" w:rsidRPr="007C57D2" w:rsidRDefault="007C57D2" w:rsidP="007C57D2">
            <w:pPr>
              <w:pStyle w:val="TableParagraph"/>
              <w:tabs>
                <w:tab w:val="left" w:pos="994"/>
                <w:tab w:val="left" w:pos="1483"/>
              </w:tabs>
              <w:jc w:val="both"/>
              <w:rPr>
                <w:rFonts w:ascii="Times New Roman" w:hAnsi="Times New Roman" w:cs="Times New Roman"/>
                <w:b/>
                <w:w w:val="105"/>
                <w:sz w:val="28"/>
              </w:rPr>
            </w:pPr>
            <w:r w:rsidRPr="007C57D2">
              <w:rPr>
                <w:rFonts w:ascii="Times New Roman" w:hAnsi="Times New Roman" w:cs="Times New Roman"/>
                <w:b/>
                <w:spacing w:val="-2"/>
                <w:sz w:val="28"/>
              </w:rPr>
              <w:t>Parágrafo</w:t>
            </w:r>
            <w:r w:rsidRPr="007C57D2">
              <w:rPr>
                <w:rFonts w:ascii="Times New Roman" w:hAnsi="Times New Roman" w:cs="Times New Roman"/>
                <w:b/>
                <w:spacing w:val="-6"/>
                <w:sz w:val="28"/>
              </w:rPr>
              <w:t xml:space="preserve"> </w:t>
            </w:r>
            <w:r w:rsidRPr="007C57D2">
              <w:rPr>
                <w:rFonts w:ascii="Times New Roman" w:hAnsi="Times New Roman" w:cs="Times New Roman"/>
                <w:b/>
                <w:spacing w:val="-2"/>
                <w:sz w:val="28"/>
              </w:rPr>
              <w:t>4.</w:t>
            </w:r>
            <w:r w:rsidRPr="007C57D2">
              <w:rPr>
                <w:rFonts w:ascii="Times New Roman" w:hAnsi="Times New Roman" w:cs="Times New Roman"/>
                <w:b/>
                <w:spacing w:val="-5"/>
                <w:sz w:val="28"/>
              </w:rPr>
              <w:t xml:space="preserve"> </w:t>
            </w:r>
            <w:r w:rsidRPr="007C57D2">
              <w:rPr>
                <w:rFonts w:ascii="Times New Roman" w:hAnsi="Times New Roman" w:cs="Times New Roman"/>
                <w:spacing w:val="-2"/>
                <w:sz w:val="28"/>
              </w:rPr>
              <w:t>El</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funcionario</w:t>
            </w:r>
            <w:r w:rsidRPr="007C57D2">
              <w:rPr>
                <w:rFonts w:ascii="Times New Roman" w:hAnsi="Times New Roman" w:cs="Times New Roman"/>
                <w:spacing w:val="40"/>
                <w:sz w:val="28"/>
              </w:rPr>
              <w:t xml:space="preserve"> </w:t>
            </w:r>
            <w:r w:rsidRPr="007C57D2">
              <w:rPr>
                <w:rFonts w:ascii="Times New Roman" w:hAnsi="Times New Roman" w:cs="Times New Roman"/>
                <w:sz w:val="28"/>
              </w:rPr>
              <w:t>que</w:t>
            </w:r>
            <w:r w:rsidRPr="007C57D2">
              <w:rPr>
                <w:rFonts w:ascii="Times New Roman" w:hAnsi="Times New Roman" w:cs="Times New Roman"/>
                <w:spacing w:val="-4"/>
                <w:sz w:val="28"/>
              </w:rPr>
              <w:t xml:space="preserve"> </w:t>
            </w:r>
            <w:r w:rsidRPr="007C57D2">
              <w:rPr>
                <w:rFonts w:ascii="Times New Roman" w:hAnsi="Times New Roman" w:cs="Times New Roman"/>
                <w:sz w:val="28"/>
              </w:rPr>
              <w:t>recepcione</w:t>
            </w:r>
            <w:r w:rsidRPr="007C57D2">
              <w:rPr>
                <w:rFonts w:ascii="Times New Roman" w:hAnsi="Times New Roman" w:cs="Times New Roman"/>
                <w:spacing w:val="-4"/>
                <w:sz w:val="28"/>
              </w:rPr>
              <w:t xml:space="preserve"> </w:t>
            </w:r>
            <w:r w:rsidRPr="007C57D2">
              <w:rPr>
                <w:rFonts w:ascii="Times New Roman" w:hAnsi="Times New Roman" w:cs="Times New Roman"/>
                <w:sz w:val="28"/>
              </w:rPr>
              <w:t>el</w:t>
            </w:r>
            <w:r w:rsidRPr="007C57D2">
              <w:rPr>
                <w:rFonts w:ascii="Times New Roman" w:hAnsi="Times New Roman" w:cs="Times New Roman"/>
                <w:spacing w:val="-4"/>
                <w:sz w:val="28"/>
              </w:rPr>
              <w:t xml:space="preserve"> </w:t>
            </w:r>
            <w:r w:rsidRPr="007C57D2">
              <w:rPr>
                <w:rFonts w:ascii="Times New Roman" w:hAnsi="Times New Roman" w:cs="Times New Roman"/>
                <w:sz w:val="28"/>
              </w:rPr>
              <w:t>reporte</w:t>
            </w:r>
            <w:r w:rsidRPr="007C57D2">
              <w:rPr>
                <w:rFonts w:ascii="Times New Roman" w:hAnsi="Times New Roman" w:cs="Times New Roman"/>
                <w:spacing w:val="-4"/>
                <w:sz w:val="28"/>
              </w:rPr>
              <w:t xml:space="preserve"> </w:t>
            </w:r>
            <w:r w:rsidRPr="007C57D2">
              <w:rPr>
                <w:rFonts w:ascii="Times New Roman" w:hAnsi="Times New Roman" w:cs="Times New Roman"/>
                <w:sz w:val="28"/>
              </w:rPr>
              <w:t>y</w:t>
            </w:r>
            <w:r w:rsidRPr="007C57D2">
              <w:rPr>
                <w:rFonts w:ascii="Times New Roman" w:hAnsi="Times New Roman" w:cs="Times New Roman"/>
                <w:spacing w:val="40"/>
                <w:sz w:val="28"/>
              </w:rPr>
              <w:t xml:space="preserve"> </w:t>
            </w:r>
            <w:r w:rsidRPr="007C57D2">
              <w:rPr>
                <w:rFonts w:ascii="Times New Roman" w:hAnsi="Times New Roman" w:cs="Times New Roman"/>
                <w:sz w:val="28"/>
              </w:rPr>
              <w:t>no</w:t>
            </w:r>
            <w:r w:rsidRPr="007C57D2">
              <w:rPr>
                <w:rFonts w:ascii="Times New Roman" w:hAnsi="Times New Roman" w:cs="Times New Roman"/>
                <w:spacing w:val="-10"/>
                <w:sz w:val="28"/>
              </w:rPr>
              <w:t xml:space="preserve"> </w:t>
            </w:r>
            <w:r w:rsidRPr="007C57D2">
              <w:rPr>
                <w:rFonts w:ascii="Times New Roman" w:hAnsi="Times New Roman" w:cs="Times New Roman"/>
                <w:sz w:val="28"/>
              </w:rPr>
              <w:t>active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Colombia</w:t>
            </w:r>
            <w:r w:rsidRPr="007C57D2">
              <w:rPr>
                <w:rFonts w:ascii="Times New Roman" w:hAnsi="Times New Roman" w:cs="Times New Roman"/>
                <w:spacing w:val="40"/>
                <w:sz w:val="28"/>
              </w:rPr>
              <w:t xml:space="preserve"> </w:t>
            </w:r>
            <w:r w:rsidRPr="007C57D2">
              <w:rPr>
                <w:rFonts w:ascii="Times New Roman" w:hAnsi="Times New Roman" w:cs="Times New Roman"/>
                <w:sz w:val="28"/>
              </w:rPr>
              <w:t>será objeto de las</w:t>
            </w:r>
            <w:r w:rsidRPr="007C57D2">
              <w:rPr>
                <w:rFonts w:ascii="Times New Roman" w:hAnsi="Times New Roman" w:cs="Times New Roman"/>
                <w:spacing w:val="40"/>
                <w:sz w:val="28"/>
              </w:rPr>
              <w:t xml:space="preserve"> </w:t>
            </w:r>
            <w:r w:rsidRPr="007C57D2">
              <w:rPr>
                <w:rFonts w:ascii="Times New Roman" w:hAnsi="Times New Roman" w:cs="Times New Roman"/>
                <w:sz w:val="28"/>
              </w:rPr>
              <w:t>investigaciones</w:t>
            </w:r>
            <w:r w:rsidRPr="007C57D2">
              <w:rPr>
                <w:rFonts w:ascii="Times New Roman" w:hAnsi="Times New Roman" w:cs="Times New Roman"/>
                <w:spacing w:val="-8"/>
                <w:sz w:val="28"/>
              </w:rPr>
              <w:t xml:space="preserve"> </w:t>
            </w:r>
            <w:r w:rsidRPr="007C57D2">
              <w:rPr>
                <w:rFonts w:ascii="Times New Roman" w:hAnsi="Times New Roman" w:cs="Times New Roman"/>
                <w:sz w:val="28"/>
              </w:rPr>
              <w:t>de</w:t>
            </w:r>
            <w:r w:rsidRPr="007C57D2">
              <w:rPr>
                <w:rFonts w:ascii="Times New Roman" w:hAnsi="Times New Roman" w:cs="Times New Roman"/>
                <w:spacing w:val="-8"/>
                <w:sz w:val="28"/>
              </w:rPr>
              <w:t xml:space="preserve"> </w:t>
            </w:r>
            <w:r w:rsidRPr="007C57D2">
              <w:rPr>
                <w:rFonts w:ascii="Times New Roman" w:hAnsi="Times New Roman" w:cs="Times New Roman"/>
                <w:sz w:val="28"/>
              </w:rPr>
              <w:t>acuerdo</w:t>
            </w:r>
            <w:r w:rsidRPr="007C57D2">
              <w:rPr>
                <w:rFonts w:ascii="Times New Roman" w:hAnsi="Times New Roman" w:cs="Times New Roman"/>
                <w:spacing w:val="40"/>
                <w:sz w:val="28"/>
              </w:rPr>
              <w:t xml:space="preserve"> </w:t>
            </w:r>
            <w:r w:rsidRPr="007C57D2">
              <w:rPr>
                <w:rFonts w:ascii="Times New Roman" w:hAnsi="Times New Roman" w:cs="Times New Roman"/>
                <w:sz w:val="28"/>
              </w:rPr>
              <w:t>con</w:t>
            </w:r>
            <w:r w:rsidRPr="007C57D2">
              <w:rPr>
                <w:rFonts w:ascii="Times New Roman" w:hAnsi="Times New Roman" w:cs="Times New Roman"/>
                <w:spacing w:val="-3"/>
                <w:sz w:val="28"/>
              </w:rPr>
              <w:t xml:space="preserve"> </w:t>
            </w:r>
            <w:r w:rsidRPr="007C57D2">
              <w:rPr>
                <w:rFonts w:ascii="Times New Roman" w:hAnsi="Times New Roman" w:cs="Times New Roman"/>
                <w:sz w:val="28"/>
              </w:rPr>
              <w:t>el</w:t>
            </w:r>
            <w:r w:rsidRPr="007C57D2">
              <w:rPr>
                <w:rFonts w:ascii="Times New Roman" w:hAnsi="Times New Roman" w:cs="Times New Roman"/>
                <w:spacing w:val="-3"/>
                <w:sz w:val="28"/>
              </w:rPr>
              <w:t xml:space="preserve"> </w:t>
            </w:r>
            <w:r w:rsidRPr="007C57D2">
              <w:rPr>
                <w:rFonts w:ascii="Times New Roman" w:hAnsi="Times New Roman" w:cs="Times New Roman"/>
                <w:sz w:val="28"/>
              </w:rPr>
              <w:t>régimen</w:t>
            </w:r>
            <w:r w:rsidRPr="007C57D2">
              <w:rPr>
                <w:rFonts w:ascii="Times New Roman" w:hAnsi="Times New Roman" w:cs="Times New Roman"/>
                <w:spacing w:val="-3"/>
                <w:sz w:val="28"/>
              </w:rPr>
              <w:t xml:space="preserve"> </w:t>
            </w:r>
            <w:r w:rsidRPr="007C57D2">
              <w:rPr>
                <w:rFonts w:ascii="Times New Roman" w:hAnsi="Times New Roman" w:cs="Times New Roman"/>
                <w:sz w:val="28"/>
              </w:rPr>
              <w:t>disciplinario</w:t>
            </w:r>
            <w:r w:rsidRPr="007C57D2">
              <w:rPr>
                <w:rFonts w:ascii="Times New Roman" w:hAnsi="Times New Roman" w:cs="Times New Roman"/>
                <w:spacing w:val="40"/>
                <w:sz w:val="28"/>
              </w:rPr>
              <w:t xml:space="preserve"> </w:t>
            </w:r>
            <w:r w:rsidRPr="007C57D2">
              <w:rPr>
                <w:rFonts w:ascii="Times New Roman" w:hAnsi="Times New Roman" w:cs="Times New Roman"/>
                <w:sz w:val="28"/>
              </w:rPr>
              <w:t>que le sea aplicable.</w:t>
            </w:r>
          </w:p>
        </w:tc>
        <w:tc>
          <w:tcPr>
            <w:tcW w:w="2185" w:type="dxa"/>
            <w:shd w:val="clear" w:color="auto" w:fill="auto"/>
            <w:vAlign w:val="center"/>
          </w:tcPr>
          <w:p w:rsidR="007630E9"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w w:val="105"/>
                <w:sz w:val="28"/>
              </w:rPr>
              <w:t>Se</w:t>
            </w:r>
            <w:r w:rsidRPr="007C57D2">
              <w:rPr>
                <w:rFonts w:ascii="Times New Roman" w:hAnsi="Times New Roman"/>
                <w:b/>
                <w:spacing w:val="-9"/>
                <w:w w:val="105"/>
                <w:sz w:val="28"/>
              </w:rPr>
              <w:t xml:space="preserve"> </w:t>
            </w:r>
            <w:r w:rsidRPr="007C57D2">
              <w:rPr>
                <w:rFonts w:ascii="Times New Roman" w:hAnsi="Times New Roman"/>
                <w:b/>
                <w:w w:val="105"/>
                <w:sz w:val="28"/>
              </w:rPr>
              <w:t>acoge</w:t>
            </w:r>
            <w:r w:rsidRPr="007C57D2">
              <w:rPr>
                <w:rFonts w:ascii="Times New Roman" w:hAnsi="Times New Roman"/>
                <w:b/>
                <w:spacing w:val="-9"/>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F22616" w:rsidRPr="007C57D2" w:rsidRDefault="007C57D2" w:rsidP="007C57D2">
            <w:pPr>
              <w:pStyle w:val="TableParagraph"/>
              <w:jc w:val="both"/>
              <w:rPr>
                <w:rFonts w:ascii="Times New Roman" w:hAnsi="Times New Roman" w:cs="Times New Roman"/>
                <w:b/>
                <w:w w:val="105"/>
                <w:sz w:val="28"/>
              </w:rPr>
            </w:pPr>
            <w:r w:rsidRPr="007C57D2">
              <w:rPr>
                <w:rFonts w:ascii="Times New Roman" w:hAnsi="Times New Roman" w:cs="Times New Roman"/>
                <w:b/>
                <w:sz w:val="28"/>
              </w:rPr>
              <w:t>Artículo 7. Tratamiento de</w:t>
            </w:r>
            <w:r w:rsidRPr="007C57D2">
              <w:rPr>
                <w:rFonts w:ascii="Times New Roman" w:hAnsi="Times New Roman" w:cs="Times New Roman"/>
                <w:b/>
                <w:spacing w:val="40"/>
                <w:sz w:val="28"/>
              </w:rPr>
              <w:t xml:space="preserve"> </w:t>
            </w:r>
            <w:r w:rsidRPr="007C57D2">
              <w:rPr>
                <w:rFonts w:ascii="Times New Roman" w:hAnsi="Times New Roman" w:cs="Times New Roman"/>
                <w:b/>
                <w:sz w:val="28"/>
              </w:rPr>
              <w:t xml:space="preserve">datos personales. </w:t>
            </w:r>
            <w:r w:rsidRPr="007C57D2">
              <w:rPr>
                <w:rFonts w:ascii="Times New Roman" w:hAnsi="Times New Roman" w:cs="Times New Roman"/>
                <w:sz w:val="28"/>
              </w:rPr>
              <w:t>El</w:t>
            </w:r>
            <w:r w:rsidRPr="007C57D2">
              <w:rPr>
                <w:rFonts w:ascii="Times New Roman" w:hAnsi="Times New Roman" w:cs="Times New Roman"/>
                <w:spacing w:val="40"/>
                <w:sz w:val="28"/>
              </w:rPr>
              <w:t xml:space="preserve"> </w:t>
            </w:r>
            <w:r w:rsidRPr="007C57D2">
              <w:rPr>
                <w:rFonts w:ascii="Times New Roman" w:hAnsi="Times New Roman" w:cs="Times New Roman"/>
                <w:sz w:val="28"/>
              </w:rPr>
              <w:t>Tratamiento de los datos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personales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se</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llevará</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cabo</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acuerdo con lo establecido en</w:t>
            </w:r>
            <w:r w:rsidRPr="007C57D2">
              <w:rPr>
                <w:rFonts w:ascii="Times New Roman" w:hAnsi="Times New Roman" w:cs="Times New Roman"/>
                <w:spacing w:val="40"/>
                <w:sz w:val="28"/>
              </w:rPr>
              <w:t xml:space="preserve"> </w:t>
            </w:r>
            <w:r w:rsidRPr="007C57D2">
              <w:rPr>
                <w:rFonts w:ascii="Times New Roman" w:hAnsi="Times New Roman" w:cs="Times New Roman"/>
                <w:sz w:val="28"/>
              </w:rPr>
              <w:t>la Ley Estatutaria 1581 de</w:t>
            </w:r>
            <w:r w:rsidRPr="007C57D2">
              <w:rPr>
                <w:rFonts w:ascii="Times New Roman" w:hAnsi="Times New Roman" w:cs="Times New Roman"/>
                <w:spacing w:val="40"/>
                <w:sz w:val="28"/>
              </w:rPr>
              <w:t xml:space="preserve"> </w:t>
            </w:r>
            <w:r w:rsidRPr="007C57D2">
              <w:rPr>
                <w:rFonts w:ascii="Times New Roman" w:hAnsi="Times New Roman" w:cs="Times New Roman"/>
                <w:sz w:val="28"/>
              </w:rPr>
              <w:t>2012.</w:t>
            </w:r>
            <w:r w:rsidRPr="007C57D2">
              <w:rPr>
                <w:rFonts w:ascii="Times New Roman" w:hAnsi="Times New Roman" w:cs="Times New Roman"/>
                <w:spacing w:val="-10"/>
                <w:sz w:val="28"/>
              </w:rPr>
              <w:t xml:space="preserve"> </w:t>
            </w:r>
            <w:r w:rsidRPr="007C57D2">
              <w:rPr>
                <w:rFonts w:ascii="Times New Roman" w:hAnsi="Times New Roman" w:cs="Times New Roman"/>
                <w:sz w:val="28"/>
              </w:rPr>
              <w:t>Los</w:t>
            </w:r>
            <w:r w:rsidRPr="007C57D2">
              <w:rPr>
                <w:rFonts w:ascii="Times New Roman" w:hAnsi="Times New Roman" w:cs="Times New Roman"/>
                <w:spacing w:val="-9"/>
                <w:sz w:val="28"/>
              </w:rPr>
              <w:t xml:space="preserve"> </w:t>
            </w:r>
            <w:r w:rsidRPr="007C57D2">
              <w:rPr>
                <w:rFonts w:ascii="Times New Roman" w:hAnsi="Times New Roman" w:cs="Times New Roman"/>
                <w:sz w:val="28"/>
              </w:rPr>
              <w:t>datos</w:t>
            </w:r>
            <w:r w:rsidRPr="007C57D2">
              <w:rPr>
                <w:rFonts w:ascii="Times New Roman" w:hAnsi="Times New Roman" w:cs="Times New Roman"/>
                <w:spacing w:val="-9"/>
                <w:sz w:val="28"/>
              </w:rPr>
              <w:t xml:space="preserve"> </w:t>
            </w:r>
            <w:r w:rsidRPr="007C57D2">
              <w:rPr>
                <w:rFonts w:ascii="Times New Roman" w:hAnsi="Times New Roman" w:cs="Times New Roman"/>
                <w:sz w:val="28"/>
              </w:rPr>
              <w:t>personales</w:t>
            </w:r>
            <w:r w:rsidRPr="007C57D2">
              <w:rPr>
                <w:rFonts w:ascii="Times New Roman" w:hAnsi="Times New Roman" w:cs="Times New Roman"/>
                <w:spacing w:val="-9"/>
                <w:sz w:val="28"/>
              </w:rPr>
              <w:t xml:space="preserve"> </w:t>
            </w:r>
            <w:r w:rsidRPr="007C57D2">
              <w:rPr>
                <w:rFonts w:ascii="Times New Roman" w:hAnsi="Times New Roman" w:cs="Times New Roman"/>
                <w:sz w:val="28"/>
              </w:rPr>
              <w:t>no</w:t>
            </w:r>
            <w:r w:rsidRPr="007C57D2">
              <w:rPr>
                <w:rFonts w:ascii="Times New Roman" w:hAnsi="Times New Roman" w:cs="Times New Roman"/>
                <w:spacing w:val="40"/>
                <w:sz w:val="28"/>
              </w:rPr>
              <w:t xml:space="preserve"> </w:t>
            </w:r>
            <w:r w:rsidRPr="007C57D2">
              <w:rPr>
                <w:rFonts w:ascii="Times New Roman" w:hAnsi="Times New Roman" w:cs="Times New Roman"/>
                <w:sz w:val="28"/>
              </w:rPr>
              <w:t>podrán ser</w:t>
            </w:r>
            <w:r w:rsidRPr="007C57D2">
              <w:rPr>
                <w:rFonts w:ascii="Times New Roman" w:hAnsi="Times New Roman" w:cs="Times New Roman"/>
                <w:spacing w:val="-1"/>
                <w:sz w:val="28"/>
              </w:rPr>
              <w:t xml:space="preserve"> </w:t>
            </w:r>
            <w:r w:rsidRPr="007C57D2">
              <w:rPr>
                <w:rFonts w:ascii="Times New Roman" w:hAnsi="Times New Roman" w:cs="Times New Roman"/>
                <w:sz w:val="28"/>
              </w:rPr>
              <w:t>entregados a</w:t>
            </w:r>
            <w:r w:rsidRPr="007C57D2">
              <w:rPr>
                <w:rFonts w:ascii="Times New Roman" w:hAnsi="Times New Roman" w:cs="Times New Roman"/>
                <w:spacing w:val="-1"/>
                <w:sz w:val="28"/>
              </w:rPr>
              <w:t xml:space="preserve"> </w:t>
            </w:r>
            <w:r w:rsidRPr="007C57D2">
              <w:rPr>
                <w:rFonts w:ascii="Times New Roman" w:hAnsi="Times New Roman" w:cs="Times New Roman"/>
                <w:sz w:val="28"/>
              </w:rPr>
              <w:t>otras</w:t>
            </w:r>
            <w:r w:rsidRPr="007C57D2">
              <w:rPr>
                <w:rFonts w:ascii="Times New Roman" w:hAnsi="Times New Roman" w:cs="Times New Roman"/>
                <w:spacing w:val="40"/>
                <w:sz w:val="28"/>
              </w:rPr>
              <w:t xml:space="preserve"> </w:t>
            </w:r>
            <w:r w:rsidRPr="007C57D2">
              <w:rPr>
                <w:rFonts w:ascii="Times New Roman" w:hAnsi="Times New Roman" w:cs="Times New Roman"/>
                <w:sz w:val="28"/>
              </w:rPr>
              <w:t>entidades</w:t>
            </w:r>
            <w:r w:rsidRPr="007C57D2">
              <w:rPr>
                <w:rFonts w:ascii="Times New Roman" w:hAnsi="Times New Roman" w:cs="Times New Roman"/>
                <w:spacing w:val="-10"/>
                <w:sz w:val="28"/>
              </w:rPr>
              <w:t xml:space="preserve"> </w:t>
            </w:r>
            <w:r w:rsidRPr="007C57D2">
              <w:rPr>
                <w:rFonts w:ascii="Times New Roman" w:hAnsi="Times New Roman" w:cs="Times New Roman"/>
                <w:sz w:val="28"/>
              </w:rPr>
              <w:t>diferentes</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las</w:t>
            </w:r>
            <w:r w:rsidRPr="007C57D2">
              <w:rPr>
                <w:rFonts w:ascii="Times New Roman" w:hAnsi="Times New Roman" w:cs="Times New Roman"/>
                <w:spacing w:val="-9"/>
                <w:sz w:val="28"/>
              </w:rPr>
              <w:t xml:space="preserve"> </w:t>
            </w:r>
            <w:r w:rsidRPr="007C57D2">
              <w:rPr>
                <w:rFonts w:ascii="Times New Roman" w:hAnsi="Times New Roman" w:cs="Times New Roman"/>
                <w:sz w:val="28"/>
              </w:rPr>
              <w:t>que</w:t>
            </w:r>
            <w:r w:rsidRPr="007C57D2">
              <w:rPr>
                <w:rFonts w:ascii="Times New Roman" w:hAnsi="Times New Roman" w:cs="Times New Roman"/>
                <w:spacing w:val="40"/>
                <w:sz w:val="28"/>
              </w:rPr>
              <w:t xml:space="preserve"> </w:t>
            </w:r>
            <w:r w:rsidRPr="007C57D2">
              <w:rPr>
                <w:rFonts w:ascii="Times New Roman" w:hAnsi="Times New Roman" w:cs="Times New Roman"/>
                <w:sz w:val="28"/>
              </w:rPr>
              <w:t>trata la presente ley y</w:t>
            </w:r>
            <w:r w:rsidRPr="007C57D2">
              <w:rPr>
                <w:rFonts w:ascii="Times New Roman" w:hAnsi="Times New Roman" w:cs="Times New Roman"/>
                <w:spacing w:val="40"/>
                <w:sz w:val="28"/>
              </w:rPr>
              <w:t xml:space="preserve"> </w:t>
            </w:r>
            <w:r w:rsidRPr="007C57D2">
              <w:rPr>
                <w:rFonts w:ascii="Times New Roman" w:hAnsi="Times New Roman" w:cs="Times New Roman"/>
                <w:sz w:val="28"/>
              </w:rPr>
              <w:t>empresas nacionales o</w:t>
            </w:r>
            <w:r w:rsidRPr="007C57D2">
              <w:rPr>
                <w:rFonts w:ascii="Times New Roman" w:hAnsi="Times New Roman" w:cs="Times New Roman"/>
                <w:spacing w:val="40"/>
                <w:sz w:val="28"/>
              </w:rPr>
              <w:t xml:space="preserve"> </w:t>
            </w:r>
            <w:r w:rsidRPr="007C57D2">
              <w:rPr>
                <w:rFonts w:ascii="Times New Roman" w:hAnsi="Times New Roman" w:cs="Times New Roman"/>
                <w:sz w:val="28"/>
              </w:rPr>
              <w:t>extranjeras</w:t>
            </w:r>
            <w:r w:rsidRPr="007C57D2">
              <w:rPr>
                <w:rFonts w:ascii="Times New Roman" w:hAnsi="Times New Roman" w:cs="Times New Roman"/>
                <w:spacing w:val="-5"/>
                <w:sz w:val="28"/>
              </w:rPr>
              <w:t xml:space="preserve"> </w:t>
            </w:r>
            <w:r w:rsidRPr="007C57D2">
              <w:rPr>
                <w:rFonts w:ascii="Times New Roman" w:hAnsi="Times New Roman" w:cs="Times New Roman"/>
                <w:sz w:val="28"/>
              </w:rPr>
              <w:t>so</w:t>
            </w:r>
            <w:r w:rsidRPr="007C57D2">
              <w:rPr>
                <w:rFonts w:ascii="Times New Roman" w:hAnsi="Times New Roman" w:cs="Times New Roman"/>
                <w:spacing w:val="-4"/>
                <w:sz w:val="28"/>
              </w:rPr>
              <w:t xml:space="preserve"> </w:t>
            </w:r>
            <w:r w:rsidRPr="007C57D2">
              <w:rPr>
                <w:rFonts w:ascii="Times New Roman" w:hAnsi="Times New Roman" w:cs="Times New Roman"/>
                <w:sz w:val="28"/>
              </w:rPr>
              <w:t>pena</w:t>
            </w:r>
            <w:r w:rsidRPr="007C57D2">
              <w:rPr>
                <w:rFonts w:ascii="Times New Roman" w:hAnsi="Times New Roman" w:cs="Times New Roman"/>
                <w:spacing w:val="-4"/>
                <w:sz w:val="28"/>
              </w:rPr>
              <w:t xml:space="preserve"> </w:t>
            </w:r>
            <w:r w:rsidRPr="007C57D2">
              <w:rPr>
                <w:rFonts w:ascii="Times New Roman" w:hAnsi="Times New Roman" w:cs="Times New Roman"/>
                <w:sz w:val="28"/>
              </w:rPr>
              <w:t>de</w:t>
            </w:r>
            <w:r w:rsidRPr="007C57D2">
              <w:rPr>
                <w:rFonts w:ascii="Times New Roman" w:hAnsi="Times New Roman" w:cs="Times New Roman"/>
                <w:spacing w:val="-4"/>
                <w:sz w:val="28"/>
              </w:rPr>
              <w:t xml:space="preserve"> </w:t>
            </w:r>
            <w:r w:rsidRPr="007C57D2">
              <w:rPr>
                <w:rFonts w:ascii="Times New Roman" w:hAnsi="Times New Roman" w:cs="Times New Roman"/>
                <w:sz w:val="28"/>
              </w:rPr>
              <w:t>incurrir</w:t>
            </w:r>
            <w:r w:rsidRPr="007C57D2">
              <w:rPr>
                <w:rFonts w:ascii="Times New Roman" w:hAnsi="Times New Roman" w:cs="Times New Roman"/>
                <w:spacing w:val="40"/>
                <w:sz w:val="28"/>
              </w:rPr>
              <w:t xml:space="preserve"> </w:t>
            </w:r>
            <w:r w:rsidRPr="007C57D2">
              <w:rPr>
                <w:rFonts w:ascii="Times New Roman" w:hAnsi="Times New Roman" w:cs="Times New Roman"/>
                <w:sz w:val="28"/>
              </w:rPr>
              <w:t>en</w:t>
            </w:r>
            <w:r w:rsidRPr="007C57D2">
              <w:rPr>
                <w:rFonts w:ascii="Times New Roman" w:hAnsi="Times New Roman" w:cs="Times New Roman"/>
                <w:spacing w:val="-2"/>
                <w:sz w:val="28"/>
              </w:rPr>
              <w:t xml:space="preserve"> </w:t>
            </w:r>
            <w:r w:rsidRPr="007C57D2">
              <w:rPr>
                <w:rFonts w:ascii="Times New Roman" w:hAnsi="Times New Roman" w:cs="Times New Roman"/>
                <w:sz w:val="28"/>
              </w:rPr>
              <w:t>las</w:t>
            </w:r>
            <w:r w:rsidRPr="007C57D2">
              <w:rPr>
                <w:rFonts w:ascii="Times New Roman" w:hAnsi="Times New Roman" w:cs="Times New Roman"/>
                <w:spacing w:val="-3"/>
                <w:sz w:val="28"/>
              </w:rPr>
              <w:t xml:space="preserve"> </w:t>
            </w:r>
            <w:r w:rsidRPr="007C57D2">
              <w:rPr>
                <w:rFonts w:ascii="Times New Roman" w:hAnsi="Times New Roman" w:cs="Times New Roman"/>
                <w:sz w:val="28"/>
              </w:rPr>
              <w:t>sanciones</w:t>
            </w:r>
            <w:r w:rsidRPr="007C57D2">
              <w:rPr>
                <w:rFonts w:ascii="Times New Roman" w:hAnsi="Times New Roman" w:cs="Times New Roman"/>
                <w:spacing w:val="-3"/>
                <w:sz w:val="28"/>
              </w:rPr>
              <w:t xml:space="preserve"> </w:t>
            </w:r>
            <w:r w:rsidRPr="007C57D2">
              <w:rPr>
                <w:rFonts w:ascii="Times New Roman" w:hAnsi="Times New Roman" w:cs="Times New Roman"/>
                <w:sz w:val="28"/>
              </w:rPr>
              <w:t>consagradas</w:t>
            </w:r>
            <w:r w:rsidRPr="007C57D2">
              <w:rPr>
                <w:rFonts w:ascii="Times New Roman" w:hAnsi="Times New Roman" w:cs="Times New Roman"/>
                <w:spacing w:val="40"/>
                <w:sz w:val="28"/>
              </w:rPr>
              <w:t xml:space="preserve"> </w:t>
            </w:r>
            <w:r w:rsidRPr="007C57D2">
              <w:rPr>
                <w:rFonts w:ascii="Times New Roman" w:hAnsi="Times New Roman" w:cs="Times New Roman"/>
                <w:sz w:val="28"/>
              </w:rPr>
              <w:t>en</w:t>
            </w:r>
            <w:r w:rsidRPr="007C57D2">
              <w:rPr>
                <w:rFonts w:ascii="Times New Roman" w:hAnsi="Times New Roman" w:cs="Times New Roman"/>
                <w:spacing w:val="-1"/>
                <w:sz w:val="28"/>
              </w:rPr>
              <w:t xml:space="preserve"> </w:t>
            </w:r>
            <w:r w:rsidRPr="007C57D2">
              <w:rPr>
                <w:rFonts w:ascii="Times New Roman" w:hAnsi="Times New Roman" w:cs="Times New Roman"/>
                <w:sz w:val="28"/>
              </w:rPr>
              <w:t>el Título</w:t>
            </w:r>
            <w:r w:rsidRPr="007C57D2">
              <w:rPr>
                <w:rFonts w:ascii="Times New Roman" w:hAnsi="Times New Roman" w:cs="Times New Roman"/>
                <w:spacing w:val="-1"/>
                <w:sz w:val="28"/>
              </w:rPr>
              <w:t xml:space="preserve"> </w:t>
            </w:r>
            <w:r w:rsidRPr="007C57D2">
              <w:rPr>
                <w:rFonts w:ascii="Times New Roman" w:hAnsi="Times New Roman" w:cs="Times New Roman"/>
                <w:sz w:val="28"/>
              </w:rPr>
              <w:t>VII,</w:t>
            </w:r>
            <w:r w:rsidRPr="007C57D2">
              <w:rPr>
                <w:rFonts w:ascii="Times New Roman" w:hAnsi="Times New Roman" w:cs="Times New Roman"/>
                <w:spacing w:val="-1"/>
                <w:sz w:val="28"/>
              </w:rPr>
              <w:t xml:space="preserve"> </w:t>
            </w:r>
            <w:r w:rsidRPr="007C57D2">
              <w:rPr>
                <w:rFonts w:ascii="Times New Roman" w:hAnsi="Times New Roman" w:cs="Times New Roman"/>
                <w:sz w:val="28"/>
              </w:rPr>
              <w:t>Capítulos I y</w:t>
            </w:r>
            <w:r w:rsidRPr="007C57D2">
              <w:rPr>
                <w:rFonts w:ascii="Times New Roman" w:hAnsi="Times New Roman" w:cs="Times New Roman"/>
                <w:spacing w:val="-1"/>
                <w:sz w:val="28"/>
              </w:rPr>
              <w:t xml:space="preserve"> </w:t>
            </w:r>
            <w:r w:rsidRPr="007C57D2">
              <w:rPr>
                <w:rFonts w:ascii="Times New Roman" w:hAnsi="Times New Roman" w:cs="Times New Roman"/>
                <w:sz w:val="28"/>
              </w:rPr>
              <w:t>II</w:t>
            </w:r>
            <w:r w:rsidRPr="007C57D2">
              <w:rPr>
                <w:rFonts w:ascii="Times New Roman" w:hAnsi="Times New Roman" w:cs="Times New Roman"/>
                <w:spacing w:val="40"/>
                <w:sz w:val="28"/>
              </w:rPr>
              <w:t xml:space="preserve"> </w:t>
            </w:r>
            <w:r w:rsidRPr="007C57D2">
              <w:rPr>
                <w:rFonts w:ascii="Times New Roman" w:hAnsi="Times New Roman" w:cs="Times New Roman"/>
                <w:sz w:val="28"/>
              </w:rPr>
              <w:t>de la Ley Estatutaria 1581 de</w:t>
            </w:r>
            <w:r w:rsidRPr="007C57D2">
              <w:rPr>
                <w:rFonts w:ascii="Times New Roman" w:hAnsi="Times New Roman" w:cs="Times New Roman"/>
                <w:spacing w:val="40"/>
                <w:sz w:val="28"/>
              </w:rPr>
              <w:t xml:space="preserve"> </w:t>
            </w:r>
            <w:r w:rsidRPr="007C57D2">
              <w:rPr>
                <w:rFonts w:ascii="Times New Roman" w:hAnsi="Times New Roman" w:cs="Times New Roman"/>
                <w:sz w:val="28"/>
              </w:rPr>
              <w:t>2012. Además, se</w:t>
            </w:r>
            <w:r w:rsidRPr="007C57D2">
              <w:rPr>
                <w:rFonts w:ascii="Times New Roman" w:hAnsi="Times New Roman" w:cs="Times New Roman"/>
                <w:spacing w:val="-1"/>
                <w:sz w:val="28"/>
              </w:rPr>
              <w:t xml:space="preserve"> </w:t>
            </w:r>
            <w:r w:rsidRPr="007C57D2">
              <w:rPr>
                <w:rFonts w:ascii="Times New Roman" w:hAnsi="Times New Roman" w:cs="Times New Roman"/>
                <w:sz w:val="28"/>
              </w:rPr>
              <w:t>requerirá el</w:t>
            </w:r>
            <w:r w:rsidRPr="007C57D2">
              <w:rPr>
                <w:rFonts w:ascii="Times New Roman" w:hAnsi="Times New Roman" w:cs="Times New Roman"/>
                <w:spacing w:val="40"/>
                <w:sz w:val="28"/>
              </w:rPr>
              <w:t xml:space="preserve"> </w:t>
            </w:r>
            <w:r w:rsidRPr="007C57D2">
              <w:rPr>
                <w:rFonts w:ascii="Times New Roman" w:hAnsi="Times New Roman" w:cs="Times New Roman"/>
                <w:sz w:val="28"/>
              </w:rPr>
              <w:t>consentimiento</w:t>
            </w:r>
            <w:r w:rsidRPr="007C57D2">
              <w:rPr>
                <w:rFonts w:ascii="Times New Roman" w:hAnsi="Times New Roman" w:cs="Times New Roman"/>
                <w:spacing w:val="-5"/>
                <w:sz w:val="28"/>
              </w:rPr>
              <w:t xml:space="preserve"> </w:t>
            </w:r>
            <w:r w:rsidRPr="007C57D2">
              <w:rPr>
                <w:rFonts w:ascii="Times New Roman" w:hAnsi="Times New Roman" w:cs="Times New Roman"/>
                <w:sz w:val="28"/>
              </w:rPr>
              <w:t>expreso</w:t>
            </w:r>
            <w:r w:rsidRPr="007C57D2">
              <w:rPr>
                <w:rFonts w:ascii="Times New Roman" w:hAnsi="Times New Roman" w:cs="Times New Roman"/>
                <w:spacing w:val="-5"/>
                <w:sz w:val="28"/>
              </w:rPr>
              <w:t xml:space="preserve"> </w:t>
            </w:r>
            <w:r w:rsidRPr="007C57D2">
              <w:rPr>
                <w:rFonts w:ascii="Times New Roman" w:hAnsi="Times New Roman" w:cs="Times New Roman"/>
                <w:sz w:val="28"/>
              </w:rPr>
              <w:t>de</w:t>
            </w:r>
            <w:r w:rsidRPr="007C57D2">
              <w:rPr>
                <w:rFonts w:ascii="Times New Roman" w:hAnsi="Times New Roman" w:cs="Times New Roman"/>
                <w:spacing w:val="-5"/>
                <w:sz w:val="28"/>
              </w:rPr>
              <w:t xml:space="preserve"> </w:t>
            </w:r>
            <w:r w:rsidRPr="007C57D2">
              <w:rPr>
                <w:rFonts w:ascii="Times New Roman" w:hAnsi="Times New Roman" w:cs="Times New Roman"/>
                <w:sz w:val="28"/>
              </w:rPr>
              <w:t>los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padres</w:t>
            </w:r>
            <w:r w:rsidRPr="007C57D2">
              <w:rPr>
                <w:rFonts w:ascii="Times New Roman" w:hAnsi="Times New Roman" w:cs="Times New Roman"/>
                <w:spacing w:val="-3"/>
                <w:sz w:val="28"/>
              </w:rPr>
              <w:t xml:space="preserve"> </w:t>
            </w:r>
            <w:r w:rsidRPr="007C57D2">
              <w:rPr>
                <w:rFonts w:ascii="Times New Roman" w:hAnsi="Times New Roman" w:cs="Times New Roman"/>
                <w:spacing w:val="-2"/>
                <w:sz w:val="28"/>
              </w:rPr>
              <w:t>o tutores legales</w:t>
            </w:r>
            <w:r w:rsidRPr="007C57D2">
              <w:rPr>
                <w:rFonts w:ascii="Times New Roman" w:hAnsi="Times New Roman" w:cs="Times New Roman"/>
                <w:spacing w:val="-3"/>
                <w:sz w:val="28"/>
              </w:rPr>
              <w:t xml:space="preserve"> </w:t>
            </w:r>
            <w:r w:rsidRPr="007C57D2">
              <w:rPr>
                <w:rFonts w:ascii="Times New Roman" w:hAnsi="Times New Roman" w:cs="Times New Roman"/>
                <w:spacing w:val="-2"/>
                <w:sz w:val="28"/>
              </w:rPr>
              <w:t>para</w:t>
            </w:r>
            <w:r w:rsidRPr="007C57D2">
              <w:rPr>
                <w:rFonts w:ascii="Times New Roman" w:hAnsi="Times New Roman" w:cs="Times New Roman"/>
                <w:spacing w:val="-1"/>
                <w:sz w:val="28"/>
              </w:rPr>
              <w:t xml:space="preserve"> </w:t>
            </w:r>
            <w:r w:rsidRPr="007C57D2">
              <w:rPr>
                <w:rFonts w:ascii="Times New Roman" w:hAnsi="Times New Roman" w:cs="Times New Roman"/>
                <w:spacing w:val="-5"/>
                <w:sz w:val="28"/>
              </w:rPr>
              <w:t xml:space="preserve">el </w:t>
            </w:r>
            <w:r w:rsidRPr="007C57D2">
              <w:rPr>
                <w:rFonts w:ascii="Times New Roman" w:hAnsi="Times New Roman" w:cs="Times New Roman"/>
                <w:sz w:val="28"/>
              </w:rPr>
              <w:t>tratamiento</w:t>
            </w:r>
            <w:r w:rsidRPr="007C57D2">
              <w:rPr>
                <w:rFonts w:ascii="Times New Roman" w:hAnsi="Times New Roman" w:cs="Times New Roman"/>
                <w:spacing w:val="45"/>
                <w:sz w:val="28"/>
              </w:rPr>
              <w:t xml:space="preserve"> </w:t>
            </w:r>
            <w:r w:rsidRPr="007C57D2">
              <w:rPr>
                <w:rFonts w:ascii="Times New Roman" w:hAnsi="Times New Roman" w:cs="Times New Roman"/>
                <w:sz w:val="28"/>
              </w:rPr>
              <w:t>de</w:t>
            </w:r>
            <w:r w:rsidRPr="007C57D2">
              <w:rPr>
                <w:rFonts w:ascii="Times New Roman" w:hAnsi="Times New Roman" w:cs="Times New Roman"/>
                <w:spacing w:val="45"/>
                <w:sz w:val="28"/>
              </w:rPr>
              <w:t xml:space="preserve"> </w:t>
            </w:r>
            <w:r w:rsidRPr="007C57D2">
              <w:rPr>
                <w:rFonts w:ascii="Times New Roman" w:hAnsi="Times New Roman" w:cs="Times New Roman"/>
                <w:sz w:val="28"/>
              </w:rPr>
              <w:t>los</w:t>
            </w:r>
            <w:r w:rsidRPr="007C57D2">
              <w:rPr>
                <w:rFonts w:ascii="Times New Roman" w:hAnsi="Times New Roman" w:cs="Times New Roman"/>
                <w:spacing w:val="45"/>
                <w:sz w:val="28"/>
              </w:rPr>
              <w:t xml:space="preserve"> </w:t>
            </w:r>
            <w:r w:rsidRPr="007C57D2">
              <w:rPr>
                <w:rFonts w:ascii="Times New Roman" w:hAnsi="Times New Roman" w:cs="Times New Roman"/>
                <w:spacing w:val="-2"/>
                <w:sz w:val="28"/>
              </w:rPr>
              <w:t xml:space="preserve">datos personales de los niños o niñas extraviados, de conformidad con las disposiciones de protección de datos personales y la especial protección que </w:t>
            </w:r>
            <w:r w:rsidRPr="007C57D2">
              <w:rPr>
                <w:rFonts w:ascii="Times New Roman" w:hAnsi="Times New Roman" w:cs="Times New Roman"/>
                <w:spacing w:val="-2"/>
                <w:sz w:val="28"/>
                <w:lang w:val="es-CO"/>
              </w:rPr>
              <w:t>requieren los menores de edad</w:t>
            </w:r>
          </w:p>
        </w:tc>
        <w:tc>
          <w:tcPr>
            <w:tcW w:w="3657" w:type="dxa"/>
            <w:shd w:val="clear" w:color="auto" w:fill="auto"/>
          </w:tcPr>
          <w:p w:rsidR="00F22616" w:rsidRPr="007C57D2" w:rsidRDefault="007C57D2" w:rsidP="007C57D2">
            <w:pPr>
              <w:pStyle w:val="TableParagraph"/>
              <w:tabs>
                <w:tab w:val="left" w:pos="994"/>
                <w:tab w:val="left" w:pos="1483"/>
              </w:tabs>
              <w:jc w:val="both"/>
              <w:rPr>
                <w:rFonts w:ascii="Times New Roman" w:hAnsi="Times New Roman" w:cs="Times New Roman"/>
                <w:b/>
                <w:w w:val="105"/>
                <w:sz w:val="28"/>
              </w:rPr>
            </w:pPr>
            <w:r w:rsidRPr="007C57D2">
              <w:rPr>
                <w:rFonts w:ascii="Times New Roman" w:hAnsi="Times New Roman" w:cs="Times New Roman"/>
                <w:b/>
                <w:sz w:val="28"/>
              </w:rPr>
              <w:t>Artículo 7. Tratamiento</w:t>
            </w:r>
            <w:r w:rsidRPr="007C57D2">
              <w:rPr>
                <w:rFonts w:ascii="Times New Roman" w:hAnsi="Times New Roman" w:cs="Times New Roman"/>
                <w:b/>
                <w:spacing w:val="40"/>
                <w:sz w:val="28"/>
              </w:rPr>
              <w:t xml:space="preserve"> </w:t>
            </w:r>
            <w:r w:rsidRPr="007C57D2">
              <w:rPr>
                <w:rFonts w:ascii="Times New Roman" w:hAnsi="Times New Roman" w:cs="Times New Roman"/>
                <w:b/>
                <w:sz w:val="28"/>
              </w:rPr>
              <w:t xml:space="preserve">de datos personales. </w:t>
            </w:r>
            <w:r w:rsidRPr="007C57D2">
              <w:rPr>
                <w:rFonts w:ascii="Times New Roman" w:hAnsi="Times New Roman" w:cs="Times New Roman"/>
                <w:sz w:val="28"/>
              </w:rPr>
              <w:t>El</w:t>
            </w:r>
            <w:r w:rsidRPr="007C57D2">
              <w:rPr>
                <w:rFonts w:ascii="Times New Roman" w:hAnsi="Times New Roman" w:cs="Times New Roman"/>
                <w:spacing w:val="40"/>
                <w:sz w:val="28"/>
              </w:rPr>
              <w:t xml:space="preserve"> </w:t>
            </w:r>
            <w:r w:rsidRPr="007C57D2">
              <w:rPr>
                <w:rFonts w:ascii="Times New Roman" w:hAnsi="Times New Roman" w:cs="Times New Roman"/>
                <w:sz w:val="28"/>
              </w:rPr>
              <w:t>Tratamiento de los datos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personales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se</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llevará</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cabo</w:t>
            </w:r>
            <w:r w:rsidRPr="007C57D2">
              <w:rPr>
                <w:rFonts w:ascii="Times New Roman" w:hAnsi="Times New Roman" w:cs="Times New Roman"/>
                <w:spacing w:val="40"/>
                <w:sz w:val="28"/>
              </w:rPr>
              <w:t xml:space="preserve"> </w:t>
            </w:r>
            <w:r w:rsidRPr="007C57D2">
              <w:rPr>
                <w:rFonts w:ascii="Times New Roman" w:hAnsi="Times New Roman" w:cs="Times New Roman"/>
                <w:sz w:val="28"/>
              </w:rPr>
              <w:t>de acuerdo con lo</w:t>
            </w:r>
            <w:r w:rsidRPr="007C57D2">
              <w:rPr>
                <w:rFonts w:ascii="Times New Roman" w:hAnsi="Times New Roman" w:cs="Times New Roman"/>
                <w:spacing w:val="40"/>
                <w:sz w:val="28"/>
              </w:rPr>
              <w:t xml:space="preserve"> </w:t>
            </w:r>
            <w:r w:rsidRPr="007C57D2">
              <w:rPr>
                <w:rFonts w:ascii="Times New Roman" w:hAnsi="Times New Roman" w:cs="Times New Roman"/>
                <w:sz w:val="28"/>
              </w:rPr>
              <w:t>establecido en la Ley</w:t>
            </w:r>
            <w:r w:rsidRPr="007C57D2">
              <w:rPr>
                <w:rFonts w:ascii="Times New Roman" w:hAnsi="Times New Roman" w:cs="Times New Roman"/>
                <w:spacing w:val="40"/>
                <w:sz w:val="28"/>
              </w:rPr>
              <w:t xml:space="preserve"> </w:t>
            </w:r>
            <w:r w:rsidRPr="007C57D2">
              <w:rPr>
                <w:rFonts w:ascii="Times New Roman" w:hAnsi="Times New Roman" w:cs="Times New Roman"/>
                <w:sz w:val="28"/>
              </w:rPr>
              <w:t>Estatutaria 1581 de 2012.</w:t>
            </w:r>
            <w:r w:rsidRPr="007C57D2">
              <w:rPr>
                <w:rFonts w:ascii="Times New Roman" w:hAnsi="Times New Roman" w:cs="Times New Roman"/>
                <w:spacing w:val="40"/>
                <w:sz w:val="28"/>
              </w:rPr>
              <w:t xml:space="preserve"> </w:t>
            </w:r>
            <w:r w:rsidRPr="007C57D2">
              <w:rPr>
                <w:rFonts w:ascii="Times New Roman" w:hAnsi="Times New Roman" w:cs="Times New Roman"/>
                <w:sz w:val="28"/>
              </w:rPr>
              <w:t>Los datos personales no</w:t>
            </w:r>
            <w:r w:rsidRPr="007C57D2">
              <w:rPr>
                <w:rFonts w:ascii="Times New Roman" w:hAnsi="Times New Roman" w:cs="Times New Roman"/>
                <w:spacing w:val="40"/>
                <w:sz w:val="28"/>
              </w:rPr>
              <w:t xml:space="preserve"> </w:t>
            </w:r>
            <w:r w:rsidRPr="007C57D2">
              <w:rPr>
                <w:rFonts w:ascii="Times New Roman" w:hAnsi="Times New Roman" w:cs="Times New Roman"/>
                <w:sz w:val="28"/>
              </w:rPr>
              <w:t>podrán ser entregados a</w:t>
            </w:r>
            <w:r w:rsidRPr="007C57D2">
              <w:rPr>
                <w:rFonts w:ascii="Times New Roman" w:hAnsi="Times New Roman" w:cs="Times New Roman"/>
                <w:spacing w:val="40"/>
                <w:sz w:val="28"/>
              </w:rPr>
              <w:t xml:space="preserve"> </w:t>
            </w:r>
            <w:r w:rsidRPr="007C57D2">
              <w:rPr>
                <w:rFonts w:ascii="Times New Roman" w:hAnsi="Times New Roman" w:cs="Times New Roman"/>
                <w:sz w:val="28"/>
              </w:rPr>
              <w:t>otras entidades diferentes</w:t>
            </w:r>
            <w:r w:rsidRPr="007C57D2">
              <w:rPr>
                <w:rFonts w:ascii="Times New Roman" w:hAnsi="Times New Roman" w:cs="Times New Roman"/>
                <w:spacing w:val="40"/>
                <w:sz w:val="28"/>
              </w:rPr>
              <w:t xml:space="preserve"> </w:t>
            </w:r>
            <w:r w:rsidRPr="007C57D2">
              <w:rPr>
                <w:rFonts w:ascii="Times New Roman" w:hAnsi="Times New Roman" w:cs="Times New Roman"/>
                <w:sz w:val="28"/>
              </w:rPr>
              <w:t>de</w:t>
            </w:r>
            <w:r w:rsidRPr="007C57D2">
              <w:rPr>
                <w:rFonts w:ascii="Times New Roman" w:hAnsi="Times New Roman" w:cs="Times New Roman"/>
                <w:spacing w:val="-2"/>
                <w:sz w:val="28"/>
              </w:rPr>
              <w:t xml:space="preserve"> </w:t>
            </w:r>
            <w:r w:rsidRPr="007C57D2">
              <w:rPr>
                <w:rFonts w:ascii="Times New Roman" w:hAnsi="Times New Roman" w:cs="Times New Roman"/>
                <w:sz w:val="28"/>
              </w:rPr>
              <w:t>las</w:t>
            </w:r>
            <w:r w:rsidRPr="007C57D2">
              <w:rPr>
                <w:rFonts w:ascii="Times New Roman" w:hAnsi="Times New Roman" w:cs="Times New Roman"/>
                <w:spacing w:val="-4"/>
                <w:sz w:val="28"/>
              </w:rPr>
              <w:t xml:space="preserve"> </w:t>
            </w:r>
            <w:r w:rsidRPr="007C57D2">
              <w:rPr>
                <w:rFonts w:ascii="Times New Roman" w:hAnsi="Times New Roman" w:cs="Times New Roman"/>
                <w:sz w:val="28"/>
              </w:rPr>
              <w:t>que</w:t>
            </w:r>
            <w:r w:rsidRPr="007C57D2">
              <w:rPr>
                <w:rFonts w:ascii="Times New Roman" w:hAnsi="Times New Roman" w:cs="Times New Roman"/>
                <w:spacing w:val="-4"/>
                <w:sz w:val="28"/>
              </w:rPr>
              <w:t xml:space="preserve"> </w:t>
            </w:r>
            <w:r w:rsidRPr="007C57D2">
              <w:rPr>
                <w:rFonts w:ascii="Times New Roman" w:hAnsi="Times New Roman" w:cs="Times New Roman"/>
                <w:sz w:val="28"/>
              </w:rPr>
              <w:t>trata</w:t>
            </w:r>
            <w:r w:rsidRPr="007C57D2">
              <w:rPr>
                <w:rFonts w:ascii="Times New Roman" w:hAnsi="Times New Roman" w:cs="Times New Roman"/>
                <w:spacing w:val="-4"/>
                <w:sz w:val="28"/>
              </w:rPr>
              <w:t xml:space="preserve"> </w:t>
            </w:r>
            <w:r w:rsidRPr="007C57D2">
              <w:rPr>
                <w:rFonts w:ascii="Times New Roman" w:hAnsi="Times New Roman" w:cs="Times New Roman"/>
                <w:sz w:val="28"/>
              </w:rPr>
              <w:t>la</w:t>
            </w:r>
            <w:r w:rsidRPr="007C57D2">
              <w:rPr>
                <w:rFonts w:ascii="Times New Roman" w:hAnsi="Times New Roman" w:cs="Times New Roman"/>
                <w:spacing w:val="-4"/>
                <w:sz w:val="28"/>
              </w:rPr>
              <w:t xml:space="preserve"> </w:t>
            </w:r>
            <w:r w:rsidRPr="007C57D2">
              <w:rPr>
                <w:rFonts w:ascii="Times New Roman" w:hAnsi="Times New Roman" w:cs="Times New Roman"/>
                <w:sz w:val="28"/>
              </w:rPr>
              <w:t>presente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ley</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y</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empresas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nacionales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o</w:t>
            </w:r>
            <w:r w:rsidRPr="007C57D2">
              <w:rPr>
                <w:rFonts w:ascii="Times New Roman" w:hAnsi="Times New Roman" w:cs="Times New Roman"/>
                <w:spacing w:val="40"/>
                <w:sz w:val="28"/>
              </w:rPr>
              <w:t xml:space="preserve"> </w:t>
            </w:r>
            <w:r w:rsidRPr="007C57D2">
              <w:rPr>
                <w:rFonts w:ascii="Times New Roman" w:hAnsi="Times New Roman" w:cs="Times New Roman"/>
                <w:sz w:val="28"/>
              </w:rPr>
              <w:t>extranjeras so pena de</w:t>
            </w:r>
            <w:r w:rsidRPr="007C57D2">
              <w:rPr>
                <w:rFonts w:ascii="Times New Roman" w:hAnsi="Times New Roman" w:cs="Times New Roman"/>
                <w:spacing w:val="40"/>
                <w:sz w:val="28"/>
              </w:rPr>
              <w:t xml:space="preserve"> </w:t>
            </w:r>
            <w:r w:rsidRPr="007C57D2">
              <w:rPr>
                <w:rFonts w:ascii="Times New Roman" w:hAnsi="Times New Roman" w:cs="Times New Roman"/>
                <w:sz w:val="28"/>
              </w:rPr>
              <w:t>incurr</w:t>
            </w:r>
            <w:r w:rsidRPr="007C57D2">
              <w:rPr>
                <w:rFonts w:ascii="Times New Roman" w:hAnsi="Times New Roman" w:cs="Times New Roman"/>
                <w:sz w:val="28"/>
              </w:rPr>
              <w:t>ir en las sanciones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consagradas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en</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el</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Título</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VII,</w:t>
            </w:r>
            <w:r w:rsidRPr="007C57D2">
              <w:rPr>
                <w:rFonts w:ascii="Times New Roman" w:hAnsi="Times New Roman" w:cs="Times New Roman"/>
                <w:spacing w:val="40"/>
                <w:sz w:val="28"/>
              </w:rPr>
              <w:t xml:space="preserve"> </w:t>
            </w:r>
            <w:r w:rsidRPr="007C57D2">
              <w:rPr>
                <w:rFonts w:ascii="Times New Roman" w:hAnsi="Times New Roman" w:cs="Times New Roman"/>
                <w:sz w:val="28"/>
              </w:rPr>
              <w:t>Capítulos I y II de la Ley</w:t>
            </w:r>
            <w:r w:rsidRPr="007C57D2">
              <w:rPr>
                <w:rFonts w:ascii="Times New Roman" w:hAnsi="Times New Roman" w:cs="Times New Roman"/>
                <w:spacing w:val="40"/>
                <w:sz w:val="28"/>
              </w:rPr>
              <w:t xml:space="preserve"> </w:t>
            </w:r>
            <w:r w:rsidRPr="007C57D2">
              <w:rPr>
                <w:rFonts w:ascii="Times New Roman" w:hAnsi="Times New Roman" w:cs="Times New Roman"/>
                <w:sz w:val="28"/>
              </w:rPr>
              <w:t>Estatutaria 1581 de 2012.</w:t>
            </w:r>
          </w:p>
        </w:tc>
        <w:tc>
          <w:tcPr>
            <w:tcW w:w="2185" w:type="dxa"/>
            <w:shd w:val="clear" w:color="auto" w:fill="auto"/>
            <w:vAlign w:val="center"/>
          </w:tcPr>
          <w:p w:rsidR="00F22616"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sz w:val="28"/>
                <w:lang w:val="es-ES" w:eastAsia="es-ES"/>
              </w:rPr>
              <w:t>Se acoge texto de Senado</w:t>
            </w:r>
          </w:p>
        </w:tc>
      </w:tr>
      <w:tr w:rsidR="00685F32" w:rsidRPr="007C57D2" w:rsidTr="007C57D2">
        <w:tc>
          <w:tcPr>
            <w:tcW w:w="2947" w:type="dxa"/>
            <w:shd w:val="clear" w:color="auto" w:fill="auto"/>
          </w:tcPr>
          <w:p w:rsidR="00F22616" w:rsidRPr="007C57D2" w:rsidRDefault="007C57D2" w:rsidP="007C57D2">
            <w:pPr>
              <w:pStyle w:val="TableParagraph"/>
              <w:jc w:val="both"/>
              <w:rPr>
                <w:rFonts w:ascii="Times New Roman" w:hAnsi="Times New Roman" w:cs="Times New Roman"/>
                <w:spacing w:val="-2"/>
                <w:w w:val="105"/>
                <w:sz w:val="28"/>
              </w:rPr>
            </w:pPr>
            <w:r w:rsidRPr="007C57D2">
              <w:rPr>
                <w:rFonts w:ascii="Times New Roman" w:hAnsi="Times New Roman" w:cs="Times New Roman"/>
                <w:b/>
                <w:w w:val="105"/>
                <w:sz w:val="28"/>
              </w:rPr>
              <w:t>Artículo 8. Eliminación de</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los datos</w:t>
            </w:r>
            <w:r w:rsidRPr="007C57D2">
              <w:rPr>
                <w:rFonts w:ascii="Times New Roman" w:hAnsi="Times New Roman" w:cs="Times New Roman"/>
                <w:w w:val="105"/>
                <w:sz w:val="28"/>
              </w:rPr>
              <w:t>. Cuando el niño 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 sea encontrado, la Policía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Nacional, los proveedores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redes y </w:t>
            </w:r>
            <w:r w:rsidRPr="007C57D2">
              <w:rPr>
                <w:rFonts w:ascii="Times New Roman" w:hAnsi="Times New Roman" w:cs="Times New Roman"/>
                <w:w w:val="105"/>
                <w:sz w:val="28"/>
              </w:rPr>
              <w:t>servicios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telecomunicaciones móviles 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 Instituto Colombiano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Bienestar Familiar (ICBF)</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deberán comunicar que el niño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o niña ya fue encontrado 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deberán eliminar de forma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inmediata tanto datos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personales como biométricos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 estos de sus bases 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dat</w:t>
            </w:r>
            <w:r w:rsidRPr="007C57D2">
              <w:rPr>
                <w:rFonts w:ascii="Times New Roman" w:hAnsi="Times New Roman" w:cs="Times New Roman"/>
                <w:spacing w:val="-2"/>
                <w:w w:val="105"/>
                <w:sz w:val="28"/>
              </w:rPr>
              <w:t>os.</w:t>
            </w:r>
          </w:p>
          <w:p w:rsidR="00F22616" w:rsidRPr="007C57D2" w:rsidRDefault="007C57D2" w:rsidP="007C57D2">
            <w:pPr>
              <w:pStyle w:val="TableParagraph"/>
              <w:jc w:val="both"/>
              <w:rPr>
                <w:rFonts w:ascii="Times New Roman" w:hAnsi="Times New Roman" w:cs="Times New Roman"/>
                <w:spacing w:val="-2"/>
                <w:w w:val="105"/>
                <w:sz w:val="28"/>
              </w:rPr>
            </w:pPr>
          </w:p>
          <w:p w:rsidR="00F22616" w:rsidRPr="007C57D2" w:rsidRDefault="007C57D2" w:rsidP="007C57D2">
            <w:pPr>
              <w:pStyle w:val="TableParagraph"/>
              <w:jc w:val="both"/>
              <w:rPr>
                <w:rFonts w:ascii="Times New Roman" w:hAnsi="Times New Roman" w:cs="Times New Roman"/>
                <w:b/>
                <w:sz w:val="28"/>
              </w:rPr>
            </w:pPr>
            <w:r w:rsidRPr="007C57D2">
              <w:rPr>
                <w:rFonts w:ascii="Times New Roman" w:hAnsi="Times New Roman" w:cs="Times New Roman"/>
                <w:b/>
                <w:w w:val="105"/>
                <w:sz w:val="28"/>
              </w:rPr>
              <w:t>Parágrafo</w:t>
            </w:r>
            <w:r w:rsidRPr="007C57D2">
              <w:rPr>
                <w:rFonts w:ascii="Times New Roman" w:hAnsi="Times New Roman" w:cs="Times New Roman"/>
                <w:w w:val="105"/>
                <w:sz w:val="28"/>
              </w:rPr>
              <w:t>. Por una sola vez,</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se enviará una alerta de éxito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anunciando que el niño o niña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extraviado fue encontrado.</w:t>
            </w:r>
          </w:p>
        </w:tc>
        <w:tc>
          <w:tcPr>
            <w:tcW w:w="3657" w:type="dxa"/>
            <w:shd w:val="clear" w:color="auto" w:fill="auto"/>
          </w:tcPr>
          <w:p w:rsidR="00F22616"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r w:rsidRPr="007C57D2">
              <w:rPr>
                <w:rFonts w:ascii="Times New Roman" w:hAnsi="Times New Roman" w:cs="Times New Roman"/>
                <w:b/>
                <w:w w:val="105"/>
                <w:sz w:val="28"/>
              </w:rPr>
              <w:t>Artículo</w:t>
            </w:r>
            <w:r w:rsidRPr="007C57D2">
              <w:rPr>
                <w:rFonts w:ascii="Times New Roman" w:hAnsi="Times New Roman" w:cs="Times New Roman"/>
                <w:b/>
                <w:spacing w:val="-9"/>
                <w:w w:val="105"/>
                <w:sz w:val="28"/>
              </w:rPr>
              <w:t xml:space="preserve"> </w:t>
            </w:r>
            <w:r w:rsidRPr="007C57D2">
              <w:rPr>
                <w:rFonts w:ascii="Times New Roman" w:hAnsi="Times New Roman" w:cs="Times New Roman"/>
                <w:b/>
                <w:w w:val="105"/>
                <w:sz w:val="28"/>
              </w:rPr>
              <w:t>8.</w:t>
            </w:r>
            <w:r w:rsidRPr="007C57D2">
              <w:rPr>
                <w:rFonts w:ascii="Times New Roman" w:hAnsi="Times New Roman" w:cs="Times New Roman"/>
                <w:b/>
                <w:spacing w:val="-9"/>
                <w:w w:val="105"/>
                <w:sz w:val="28"/>
              </w:rPr>
              <w:t xml:space="preserve"> </w:t>
            </w:r>
            <w:r w:rsidRPr="007C57D2">
              <w:rPr>
                <w:rFonts w:ascii="Times New Roman" w:hAnsi="Times New Roman" w:cs="Times New Roman"/>
                <w:b/>
                <w:w w:val="105"/>
                <w:sz w:val="28"/>
              </w:rPr>
              <w:t>Eliminación</w:t>
            </w:r>
            <w:r w:rsidRPr="007C57D2">
              <w:rPr>
                <w:rFonts w:ascii="Times New Roman" w:hAnsi="Times New Roman" w:cs="Times New Roman"/>
                <w:b/>
                <w:spacing w:val="-9"/>
                <w:w w:val="105"/>
                <w:sz w:val="28"/>
              </w:rPr>
              <w:t xml:space="preserve"> </w:t>
            </w:r>
            <w:r w:rsidRPr="007C57D2">
              <w:rPr>
                <w:rFonts w:ascii="Times New Roman" w:hAnsi="Times New Roman" w:cs="Times New Roman"/>
                <w:b/>
                <w:w w:val="105"/>
                <w:sz w:val="28"/>
              </w:rPr>
              <w:t>de</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Registro</w:t>
            </w:r>
            <w:r w:rsidRPr="007C57D2">
              <w:rPr>
                <w:rFonts w:ascii="Times New Roman" w:hAnsi="Times New Roman" w:cs="Times New Roman"/>
                <w:b/>
                <w:spacing w:val="80"/>
                <w:w w:val="105"/>
                <w:sz w:val="28"/>
              </w:rPr>
              <w:t xml:space="preserve"> </w:t>
            </w:r>
            <w:r w:rsidRPr="007C57D2">
              <w:rPr>
                <w:rFonts w:ascii="Times New Roman" w:hAnsi="Times New Roman" w:cs="Times New Roman"/>
                <w:b/>
                <w:w w:val="105"/>
                <w:sz w:val="28"/>
              </w:rPr>
              <w:t>de</w:t>
            </w:r>
            <w:r w:rsidRPr="007C57D2">
              <w:rPr>
                <w:rFonts w:ascii="Times New Roman" w:hAnsi="Times New Roman" w:cs="Times New Roman"/>
                <w:b/>
                <w:spacing w:val="80"/>
                <w:w w:val="105"/>
                <w:sz w:val="28"/>
              </w:rPr>
              <w:t xml:space="preserve"> </w:t>
            </w:r>
            <w:r w:rsidRPr="007C57D2">
              <w:rPr>
                <w:rFonts w:ascii="Times New Roman" w:hAnsi="Times New Roman" w:cs="Times New Roman"/>
                <w:b/>
                <w:w w:val="105"/>
                <w:sz w:val="28"/>
              </w:rPr>
              <w:t>los</w:t>
            </w:r>
            <w:r w:rsidRPr="007C57D2">
              <w:rPr>
                <w:rFonts w:ascii="Times New Roman" w:hAnsi="Times New Roman" w:cs="Times New Roman"/>
                <w:b/>
                <w:spacing w:val="79"/>
                <w:w w:val="105"/>
                <w:sz w:val="28"/>
              </w:rPr>
              <w:t xml:space="preserve"> </w:t>
            </w:r>
            <w:r w:rsidRPr="007C57D2">
              <w:rPr>
                <w:rFonts w:ascii="Times New Roman" w:hAnsi="Times New Roman" w:cs="Times New Roman"/>
                <w:b/>
                <w:w w:val="105"/>
                <w:sz w:val="28"/>
              </w:rPr>
              <w:t>datos.</w:t>
            </w:r>
            <w:r w:rsidRPr="007C57D2">
              <w:rPr>
                <w:rFonts w:ascii="Times New Roman" w:hAnsi="Times New Roman" w:cs="Times New Roman"/>
                <w:b/>
                <w:spacing w:val="40"/>
                <w:w w:val="105"/>
                <w:sz w:val="28"/>
              </w:rPr>
              <w:t xml:space="preserve"> </w:t>
            </w:r>
            <w:r w:rsidRPr="007C57D2">
              <w:rPr>
                <w:rFonts w:ascii="Times New Roman" w:hAnsi="Times New Roman" w:cs="Times New Roman"/>
                <w:w w:val="105"/>
                <w:sz w:val="28"/>
              </w:rPr>
              <w:t>Cuando</w:t>
            </w:r>
            <w:r w:rsidRPr="007C57D2">
              <w:rPr>
                <w:rFonts w:ascii="Times New Roman" w:hAnsi="Times New Roman" w:cs="Times New Roman"/>
                <w:spacing w:val="17"/>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18"/>
                <w:w w:val="105"/>
                <w:sz w:val="28"/>
              </w:rPr>
              <w:t xml:space="preserve"> </w:t>
            </w:r>
            <w:r w:rsidRPr="007C57D2">
              <w:rPr>
                <w:rFonts w:ascii="Times New Roman" w:hAnsi="Times New Roman" w:cs="Times New Roman"/>
                <w:w w:val="105"/>
                <w:sz w:val="28"/>
              </w:rPr>
              <w:t>niño</w:t>
            </w:r>
            <w:r w:rsidRPr="007C57D2">
              <w:rPr>
                <w:rFonts w:ascii="Times New Roman" w:hAnsi="Times New Roman" w:cs="Times New Roman"/>
                <w:spacing w:val="19"/>
                <w:w w:val="105"/>
                <w:sz w:val="28"/>
              </w:rPr>
              <w:t xml:space="preserve"> </w:t>
            </w:r>
            <w:r w:rsidRPr="007C57D2">
              <w:rPr>
                <w:rFonts w:ascii="Times New Roman" w:hAnsi="Times New Roman" w:cs="Times New Roman"/>
                <w:w w:val="105"/>
                <w:sz w:val="28"/>
              </w:rPr>
              <w:t>o</w:t>
            </w:r>
            <w:r w:rsidRPr="007C57D2">
              <w:rPr>
                <w:rFonts w:ascii="Times New Roman" w:hAnsi="Times New Roman" w:cs="Times New Roman"/>
                <w:spacing w:val="18"/>
                <w:w w:val="105"/>
                <w:sz w:val="28"/>
              </w:rPr>
              <w:t xml:space="preserve"> </w:t>
            </w:r>
            <w:r w:rsidRPr="007C57D2">
              <w:rPr>
                <w:rFonts w:ascii="Times New Roman" w:hAnsi="Times New Roman" w:cs="Times New Roman"/>
                <w:w w:val="105"/>
                <w:sz w:val="28"/>
              </w:rPr>
              <w:t>niña</w:t>
            </w:r>
            <w:r w:rsidRPr="007C57D2">
              <w:rPr>
                <w:rFonts w:ascii="Times New Roman" w:hAnsi="Times New Roman" w:cs="Times New Roman"/>
                <w:spacing w:val="19"/>
                <w:w w:val="105"/>
                <w:sz w:val="28"/>
              </w:rPr>
              <w:t xml:space="preserve"> </w:t>
            </w:r>
            <w:r w:rsidRPr="007C57D2">
              <w:rPr>
                <w:rFonts w:ascii="Times New Roman" w:hAnsi="Times New Roman" w:cs="Times New Roman"/>
                <w:w w:val="105"/>
                <w:sz w:val="28"/>
              </w:rPr>
              <w:t>sea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encontrado,</w:t>
            </w:r>
            <w:r w:rsidRPr="007C57D2">
              <w:rPr>
                <w:rFonts w:ascii="Times New Roman" w:hAnsi="Times New Roman" w:cs="Times New Roman"/>
                <w:spacing w:val="80"/>
                <w:w w:val="150"/>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80"/>
                <w:w w:val="150"/>
                <w:sz w:val="28"/>
              </w:rPr>
              <w:t xml:space="preserve"> </w:t>
            </w:r>
            <w:r w:rsidRPr="007C57D2">
              <w:rPr>
                <w:rFonts w:ascii="Times New Roman" w:hAnsi="Times New Roman" w:cs="Times New Roman"/>
                <w:w w:val="105"/>
                <w:sz w:val="28"/>
              </w:rPr>
              <w:t>Instituto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Colombiano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Bienestar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familiar</w:t>
            </w:r>
            <w:r w:rsidRPr="007C57D2">
              <w:rPr>
                <w:rFonts w:ascii="Times New Roman" w:hAnsi="Times New Roman" w:cs="Times New Roman"/>
                <w:spacing w:val="29"/>
                <w:w w:val="105"/>
                <w:sz w:val="28"/>
              </w:rPr>
              <w:t xml:space="preserve"> </w:t>
            </w:r>
            <w:r w:rsidRPr="007C57D2">
              <w:rPr>
                <w:rFonts w:ascii="Times New Roman" w:hAnsi="Times New Roman" w:cs="Times New Roman"/>
                <w:w w:val="105"/>
                <w:sz w:val="28"/>
              </w:rPr>
              <w:t>(ICBF)</w:t>
            </w:r>
            <w:r w:rsidRPr="007C57D2">
              <w:rPr>
                <w:rFonts w:ascii="Times New Roman" w:hAnsi="Times New Roman" w:cs="Times New Roman"/>
                <w:spacing w:val="29"/>
                <w:w w:val="105"/>
                <w:sz w:val="28"/>
              </w:rPr>
              <w:t xml:space="preserve"> </w:t>
            </w:r>
            <w:r w:rsidRPr="007C57D2">
              <w:rPr>
                <w:rFonts w:ascii="Times New Roman" w:hAnsi="Times New Roman" w:cs="Times New Roman"/>
                <w:w w:val="105"/>
                <w:sz w:val="28"/>
              </w:rPr>
              <w:t>comunicará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 los proveedores de redes</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10"/>
                <w:w w:val="105"/>
                <w:sz w:val="28"/>
              </w:rPr>
              <w:t xml:space="preserve">y </w:t>
            </w:r>
            <w:r w:rsidRPr="007C57D2">
              <w:rPr>
                <w:rFonts w:ascii="Times New Roman" w:hAnsi="Times New Roman" w:cs="Times New Roman"/>
                <w:spacing w:val="-2"/>
                <w:w w:val="105"/>
                <w:sz w:val="28"/>
              </w:rPr>
              <w:t xml:space="preserve">servicios </w:t>
            </w:r>
            <w:r w:rsidRPr="007C57D2">
              <w:rPr>
                <w:rFonts w:ascii="Times New Roman" w:hAnsi="Times New Roman" w:cs="Times New Roman"/>
                <w:spacing w:val="-6"/>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telecomunicaciones</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móviles, quienes eliminarán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forma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inmediata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tanto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datos</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personales</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como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biométricos</w:t>
            </w:r>
            <w:r w:rsidRPr="007C57D2">
              <w:rPr>
                <w:rFonts w:ascii="Times New Roman" w:hAnsi="Times New Roman" w:cs="Times New Roman"/>
                <w:spacing w:val="27"/>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27"/>
                <w:w w:val="105"/>
                <w:sz w:val="28"/>
              </w:rPr>
              <w:t xml:space="preserve"> </w:t>
            </w:r>
            <w:r w:rsidRPr="007C57D2">
              <w:rPr>
                <w:rFonts w:ascii="Times New Roman" w:hAnsi="Times New Roman" w:cs="Times New Roman"/>
                <w:w w:val="105"/>
                <w:sz w:val="28"/>
              </w:rPr>
              <w:t>los</w:t>
            </w:r>
            <w:r w:rsidRPr="007C57D2">
              <w:rPr>
                <w:rFonts w:ascii="Times New Roman" w:hAnsi="Times New Roman" w:cs="Times New Roman"/>
                <w:spacing w:val="25"/>
                <w:w w:val="105"/>
                <w:sz w:val="28"/>
              </w:rPr>
              <w:t xml:space="preserve"> </w:t>
            </w:r>
            <w:r w:rsidRPr="007C57D2">
              <w:rPr>
                <w:rFonts w:ascii="Times New Roman" w:hAnsi="Times New Roman" w:cs="Times New Roman"/>
                <w:w w:val="105"/>
                <w:sz w:val="28"/>
              </w:rPr>
              <w:t>niños</w:t>
            </w:r>
            <w:r w:rsidRPr="007C57D2">
              <w:rPr>
                <w:rFonts w:ascii="Times New Roman" w:hAnsi="Times New Roman" w:cs="Times New Roman"/>
                <w:spacing w:val="27"/>
                <w:w w:val="105"/>
                <w:sz w:val="28"/>
              </w:rPr>
              <w:t xml:space="preserve"> </w:t>
            </w:r>
            <w:r w:rsidRPr="007C57D2">
              <w:rPr>
                <w:rFonts w:ascii="Times New Roman" w:hAnsi="Times New Roman" w:cs="Times New Roman"/>
                <w:w w:val="105"/>
                <w:sz w:val="28"/>
              </w:rPr>
              <w:t>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sus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bases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datos.</w:t>
            </w:r>
          </w:p>
          <w:p w:rsidR="00F22616"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F22616"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F22616" w:rsidRPr="007C57D2" w:rsidRDefault="007C57D2" w:rsidP="007C57D2">
            <w:pPr>
              <w:pStyle w:val="TableParagraph"/>
              <w:jc w:val="both"/>
              <w:rPr>
                <w:rFonts w:ascii="Times New Roman" w:hAnsi="Times New Roman" w:cs="Times New Roman"/>
                <w:b/>
                <w:sz w:val="28"/>
              </w:rPr>
            </w:pPr>
            <w:r w:rsidRPr="007C57D2">
              <w:rPr>
                <w:rFonts w:ascii="Times New Roman" w:hAnsi="Times New Roman" w:cs="Times New Roman"/>
                <w:b/>
                <w:w w:val="105"/>
                <w:sz w:val="28"/>
              </w:rPr>
              <w:t xml:space="preserve">Parágrafo. </w:t>
            </w:r>
            <w:r w:rsidRPr="007C57D2">
              <w:rPr>
                <w:rFonts w:ascii="Times New Roman" w:hAnsi="Times New Roman" w:cs="Times New Roman"/>
                <w:w w:val="105"/>
                <w:sz w:val="28"/>
              </w:rPr>
              <w:t>Por una sola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vez, los proveedores</w:t>
            </w:r>
            <w:r w:rsidRPr="007C57D2">
              <w:rPr>
                <w:rFonts w:ascii="Times New Roman" w:hAnsi="Times New Roman" w:cs="Times New Roman"/>
                <w:w w:val="105"/>
                <w:sz w:val="28"/>
              </w:rPr>
              <w:t xml:space="preserve">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redes y servicios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telecomunicaciones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móviles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enviarán</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una alerta</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éxito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anunciando que el niño 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w:t>
            </w:r>
            <w:r w:rsidRPr="007C57D2">
              <w:rPr>
                <w:rFonts w:ascii="Times New Roman" w:hAnsi="Times New Roman" w:cs="Times New Roman"/>
                <w:spacing w:val="62"/>
                <w:w w:val="105"/>
                <w:sz w:val="28"/>
              </w:rPr>
              <w:t xml:space="preserve"> </w:t>
            </w:r>
            <w:r w:rsidRPr="007C57D2">
              <w:rPr>
                <w:rFonts w:ascii="Times New Roman" w:hAnsi="Times New Roman" w:cs="Times New Roman"/>
                <w:w w:val="105"/>
                <w:sz w:val="28"/>
              </w:rPr>
              <w:t>extraviado</w:t>
            </w:r>
            <w:r w:rsidRPr="007C57D2">
              <w:rPr>
                <w:rFonts w:ascii="Times New Roman" w:hAnsi="Times New Roman" w:cs="Times New Roman"/>
                <w:spacing w:val="62"/>
                <w:w w:val="105"/>
                <w:sz w:val="28"/>
              </w:rPr>
              <w:t xml:space="preserve"> </w:t>
            </w:r>
            <w:r w:rsidRPr="007C57D2">
              <w:rPr>
                <w:rFonts w:ascii="Times New Roman" w:hAnsi="Times New Roman" w:cs="Times New Roman"/>
                <w:spacing w:val="-5"/>
                <w:w w:val="105"/>
                <w:sz w:val="28"/>
              </w:rPr>
              <w:t xml:space="preserve">fue </w:t>
            </w:r>
            <w:r w:rsidRPr="007C57D2">
              <w:rPr>
                <w:rFonts w:ascii="Times New Roman" w:hAnsi="Times New Roman" w:cs="Times New Roman"/>
                <w:spacing w:val="-2"/>
                <w:w w:val="105"/>
                <w:sz w:val="28"/>
              </w:rPr>
              <w:t>encontrado.</w:t>
            </w:r>
          </w:p>
        </w:tc>
        <w:tc>
          <w:tcPr>
            <w:tcW w:w="2185" w:type="dxa"/>
            <w:shd w:val="clear" w:color="auto" w:fill="auto"/>
            <w:vAlign w:val="center"/>
          </w:tcPr>
          <w:p w:rsidR="00F22616" w:rsidRPr="007C57D2" w:rsidRDefault="007C57D2" w:rsidP="007C57D2">
            <w:pPr>
              <w:tabs>
                <w:tab w:val="left" w:pos="567"/>
              </w:tabs>
              <w:spacing w:after="0" w:line="240" w:lineRule="auto"/>
              <w:jc w:val="center"/>
              <w:rPr>
                <w:rFonts w:ascii="Times New Roman" w:hAnsi="Times New Roman"/>
                <w:b/>
                <w:sz w:val="28"/>
                <w:lang w:val="es-ES" w:eastAsia="es-ES"/>
              </w:rPr>
            </w:pPr>
            <w:r w:rsidRPr="007C57D2">
              <w:rPr>
                <w:rFonts w:ascii="Times New Roman" w:hAnsi="Times New Roman"/>
                <w:b/>
                <w:w w:val="105"/>
                <w:sz w:val="28"/>
              </w:rPr>
              <w:t>Se</w:t>
            </w:r>
            <w:r w:rsidRPr="007C57D2">
              <w:rPr>
                <w:rFonts w:ascii="Times New Roman" w:hAnsi="Times New Roman"/>
                <w:b/>
                <w:spacing w:val="18"/>
                <w:w w:val="105"/>
                <w:sz w:val="28"/>
              </w:rPr>
              <w:t xml:space="preserve"> </w:t>
            </w:r>
            <w:r w:rsidRPr="007C57D2">
              <w:rPr>
                <w:rFonts w:ascii="Times New Roman" w:hAnsi="Times New Roman"/>
                <w:b/>
                <w:w w:val="105"/>
                <w:sz w:val="28"/>
              </w:rPr>
              <w:t>acoge</w:t>
            </w:r>
            <w:r w:rsidRPr="007C57D2">
              <w:rPr>
                <w:rFonts w:ascii="Times New Roman" w:hAnsi="Times New Roman"/>
                <w:b/>
                <w:spacing w:val="18"/>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F22616" w:rsidRPr="007C57D2" w:rsidRDefault="007C57D2" w:rsidP="007C57D2">
            <w:pPr>
              <w:spacing w:after="0" w:line="240" w:lineRule="auto"/>
              <w:jc w:val="both"/>
              <w:rPr>
                <w:rFonts w:ascii="Times New Roman" w:hAnsi="Times New Roman"/>
                <w:spacing w:val="-2"/>
                <w:w w:val="105"/>
                <w:sz w:val="28"/>
              </w:rPr>
            </w:pPr>
            <w:r w:rsidRPr="007C57D2">
              <w:rPr>
                <w:rFonts w:ascii="Times New Roman" w:hAnsi="Times New Roman"/>
                <w:b/>
                <w:w w:val="105"/>
                <w:sz w:val="28"/>
              </w:rPr>
              <w:t>Artículo 9. Activación de la</w:t>
            </w:r>
            <w:r w:rsidRPr="007C57D2">
              <w:rPr>
                <w:rFonts w:ascii="Times New Roman" w:hAnsi="Times New Roman"/>
                <w:b/>
                <w:spacing w:val="40"/>
                <w:w w:val="105"/>
                <w:sz w:val="28"/>
              </w:rPr>
              <w:t xml:space="preserve"> </w:t>
            </w:r>
            <w:r w:rsidRPr="007C57D2">
              <w:rPr>
                <w:rFonts w:ascii="Times New Roman" w:hAnsi="Times New Roman"/>
                <w:b/>
                <w:w w:val="105"/>
                <w:sz w:val="28"/>
              </w:rPr>
              <w:t xml:space="preserve">Alerta Colombia. </w:t>
            </w:r>
            <w:r w:rsidRPr="007C57D2">
              <w:rPr>
                <w:rFonts w:ascii="Times New Roman" w:hAnsi="Times New Roman"/>
                <w:w w:val="105"/>
                <w:sz w:val="28"/>
              </w:rPr>
              <w:t>Para activar</w:t>
            </w:r>
            <w:r w:rsidRPr="007C57D2">
              <w:rPr>
                <w:rFonts w:ascii="Times New Roman" w:hAnsi="Times New Roman"/>
                <w:spacing w:val="40"/>
                <w:w w:val="105"/>
                <w:sz w:val="28"/>
              </w:rPr>
              <w:t xml:space="preserve"> </w:t>
            </w:r>
            <w:r w:rsidRPr="007C57D2">
              <w:rPr>
                <w:rFonts w:ascii="Times New Roman" w:hAnsi="Times New Roman"/>
                <w:w w:val="105"/>
                <w:sz w:val="28"/>
              </w:rPr>
              <w:t>la alerta Colombia deberán</w:t>
            </w:r>
            <w:r w:rsidRPr="007C57D2">
              <w:rPr>
                <w:rFonts w:ascii="Times New Roman" w:hAnsi="Times New Roman"/>
                <w:spacing w:val="40"/>
                <w:w w:val="105"/>
                <w:sz w:val="28"/>
              </w:rPr>
              <w:t xml:space="preserve"> </w:t>
            </w:r>
            <w:r w:rsidRPr="007C57D2">
              <w:rPr>
                <w:rFonts w:ascii="Times New Roman" w:hAnsi="Times New Roman"/>
                <w:w w:val="105"/>
                <w:sz w:val="28"/>
              </w:rPr>
              <w:t>cumplirse los siguientes</w:t>
            </w:r>
            <w:r w:rsidRPr="007C57D2">
              <w:rPr>
                <w:rFonts w:ascii="Times New Roman" w:hAnsi="Times New Roman"/>
                <w:spacing w:val="40"/>
                <w:w w:val="105"/>
                <w:sz w:val="28"/>
              </w:rPr>
              <w:t xml:space="preserve"> </w:t>
            </w:r>
            <w:r w:rsidRPr="007C57D2">
              <w:rPr>
                <w:rFonts w:ascii="Times New Roman" w:hAnsi="Times New Roman"/>
                <w:spacing w:val="-2"/>
                <w:w w:val="105"/>
                <w:sz w:val="28"/>
              </w:rPr>
              <w:t>requisitos:</w:t>
            </w:r>
          </w:p>
          <w:p w:rsidR="00F22616" w:rsidRPr="007C57D2" w:rsidRDefault="007C57D2" w:rsidP="007C57D2">
            <w:pPr>
              <w:spacing w:after="0" w:line="240" w:lineRule="auto"/>
              <w:jc w:val="both"/>
              <w:rPr>
                <w:rFonts w:ascii="Times New Roman" w:hAnsi="Times New Roman"/>
                <w:spacing w:val="-2"/>
                <w:w w:val="105"/>
                <w:sz w:val="28"/>
              </w:rPr>
            </w:pPr>
          </w:p>
          <w:p w:rsidR="00F22616" w:rsidRPr="007C57D2" w:rsidRDefault="007C57D2" w:rsidP="007C57D2">
            <w:pPr>
              <w:spacing w:after="0" w:line="240" w:lineRule="auto"/>
              <w:jc w:val="both"/>
              <w:rPr>
                <w:rFonts w:ascii="Times New Roman" w:hAnsi="Times New Roman"/>
                <w:sz w:val="28"/>
              </w:rPr>
            </w:pPr>
            <w:r w:rsidRPr="007C57D2">
              <w:rPr>
                <w:rFonts w:ascii="Times New Roman" w:hAnsi="Times New Roman"/>
                <w:b/>
                <w:w w:val="105"/>
                <w:sz w:val="28"/>
              </w:rPr>
              <w:t>a)</w:t>
            </w:r>
            <w:r w:rsidRPr="007C57D2">
              <w:rPr>
                <w:rFonts w:ascii="Times New Roman" w:hAnsi="Times New Roman"/>
                <w:b/>
                <w:spacing w:val="-6"/>
                <w:w w:val="105"/>
                <w:sz w:val="28"/>
              </w:rPr>
              <w:t xml:space="preserve"> </w:t>
            </w:r>
            <w:r w:rsidRPr="007C57D2">
              <w:rPr>
                <w:rFonts w:ascii="Times New Roman" w:hAnsi="Times New Roman"/>
                <w:w w:val="105"/>
                <w:sz w:val="28"/>
              </w:rPr>
              <w:t>Al</w:t>
            </w:r>
            <w:r w:rsidRPr="007C57D2">
              <w:rPr>
                <w:rFonts w:ascii="Times New Roman" w:hAnsi="Times New Roman"/>
                <w:spacing w:val="-6"/>
                <w:w w:val="105"/>
                <w:sz w:val="28"/>
              </w:rPr>
              <w:t xml:space="preserve"> </w:t>
            </w:r>
            <w:r w:rsidRPr="007C57D2">
              <w:rPr>
                <w:rFonts w:ascii="Times New Roman" w:hAnsi="Times New Roman"/>
                <w:w w:val="105"/>
                <w:sz w:val="28"/>
              </w:rPr>
              <w:t>momento</w:t>
            </w:r>
            <w:r w:rsidRPr="007C57D2">
              <w:rPr>
                <w:rFonts w:ascii="Times New Roman" w:hAnsi="Times New Roman"/>
                <w:spacing w:val="-5"/>
                <w:w w:val="105"/>
                <w:sz w:val="28"/>
              </w:rPr>
              <w:t xml:space="preserve"> </w:t>
            </w:r>
            <w:r w:rsidRPr="007C57D2">
              <w:rPr>
                <w:rFonts w:ascii="Times New Roman" w:hAnsi="Times New Roman"/>
                <w:w w:val="105"/>
                <w:sz w:val="28"/>
              </w:rPr>
              <w:t>de</w:t>
            </w:r>
            <w:r w:rsidRPr="007C57D2">
              <w:rPr>
                <w:rFonts w:ascii="Times New Roman" w:hAnsi="Times New Roman"/>
                <w:spacing w:val="-5"/>
                <w:w w:val="105"/>
                <w:sz w:val="28"/>
              </w:rPr>
              <w:t xml:space="preserve"> </w:t>
            </w:r>
            <w:r w:rsidRPr="007C57D2">
              <w:rPr>
                <w:rFonts w:ascii="Times New Roman" w:hAnsi="Times New Roman"/>
                <w:w w:val="105"/>
                <w:sz w:val="28"/>
              </w:rPr>
              <w:t>extraviarse</w:t>
            </w:r>
            <w:r w:rsidRPr="007C57D2">
              <w:rPr>
                <w:rFonts w:ascii="Times New Roman" w:hAnsi="Times New Roman"/>
                <w:spacing w:val="-4"/>
                <w:w w:val="105"/>
                <w:sz w:val="28"/>
              </w:rPr>
              <w:t xml:space="preserve"> </w:t>
            </w:r>
            <w:r w:rsidRPr="007C57D2">
              <w:rPr>
                <w:rFonts w:ascii="Times New Roman" w:hAnsi="Times New Roman"/>
                <w:spacing w:val="-5"/>
                <w:w w:val="105"/>
                <w:sz w:val="28"/>
              </w:rPr>
              <w:t xml:space="preserve">el </w:t>
            </w:r>
            <w:r w:rsidRPr="007C57D2">
              <w:rPr>
                <w:rFonts w:ascii="Times New Roman" w:hAnsi="Times New Roman"/>
                <w:sz w:val="28"/>
              </w:rPr>
              <w:t>niño</w:t>
            </w:r>
            <w:r w:rsidRPr="007C57D2">
              <w:rPr>
                <w:rFonts w:ascii="Times New Roman" w:hAnsi="Times New Roman"/>
                <w:spacing w:val="8"/>
                <w:sz w:val="28"/>
              </w:rPr>
              <w:t xml:space="preserve"> </w:t>
            </w:r>
            <w:r w:rsidRPr="007C57D2">
              <w:rPr>
                <w:rFonts w:ascii="Times New Roman" w:hAnsi="Times New Roman"/>
                <w:sz w:val="28"/>
              </w:rPr>
              <w:t>o niña</w:t>
            </w:r>
            <w:r w:rsidRPr="007C57D2">
              <w:rPr>
                <w:rFonts w:ascii="Times New Roman" w:hAnsi="Times New Roman"/>
                <w:spacing w:val="8"/>
                <w:sz w:val="28"/>
              </w:rPr>
              <w:t xml:space="preserve"> </w:t>
            </w:r>
            <w:r w:rsidRPr="007C57D2">
              <w:rPr>
                <w:rFonts w:ascii="Times New Roman" w:hAnsi="Times New Roman"/>
                <w:sz w:val="28"/>
              </w:rPr>
              <w:t>deberá</w:t>
            </w:r>
            <w:r w:rsidRPr="007C57D2">
              <w:rPr>
                <w:rFonts w:ascii="Times New Roman" w:hAnsi="Times New Roman"/>
                <w:spacing w:val="8"/>
                <w:sz w:val="28"/>
              </w:rPr>
              <w:t xml:space="preserve"> </w:t>
            </w:r>
            <w:r w:rsidRPr="007C57D2">
              <w:rPr>
                <w:rFonts w:ascii="Times New Roman" w:hAnsi="Times New Roman"/>
                <w:sz w:val="28"/>
              </w:rPr>
              <w:t>ser menor</w:t>
            </w:r>
            <w:r w:rsidRPr="007C57D2">
              <w:rPr>
                <w:rFonts w:ascii="Times New Roman" w:hAnsi="Times New Roman"/>
                <w:spacing w:val="40"/>
                <w:sz w:val="28"/>
              </w:rPr>
              <w:t xml:space="preserve"> </w:t>
            </w:r>
            <w:r w:rsidRPr="007C57D2">
              <w:rPr>
                <w:rFonts w:ascii="Times New Roman" w:hAnsi="Times New Roman"/>
                <w:sz w:val="28"/>
              </w:rPr>
              <w:t>de 12 años.</w:t>
            </w:r>
          </w:p>
          <w:p w:rsidR="00F22616" w:rsidRPr="007C57D2" w:rsidRDefault="007C57D2" w:rsidP="007C57D2">
            <w:pPr>
              <w:spacing w:after="0" w:line="240" w:lineRule="auto"/>
              <w:jc w:val="both"/>
              <w:rPr>
                <w:rFonts w:ascii="Times New Roman" w:hAnsi="Times New Roman"/>
                <w:sz w:val="28"/>
              </w:rPr>
            </w:pPr>
            <w:r w:rsidRPr="007C57D2">
              <w:rPr>
                <w:rFonts w:ascii="Times New Roman" w:hAnsi="Times New Roman"/>
                <w:b/>
                <w:sz w:val="28"/>
              </w:rPr>
              <w:t>b)</w:t>
            </w:r>
            <w:r w:rsidRPr="007C57D2">
              <w:rPr>
                <w:rFonts w:ascii="Times New Roman" w:hAnsi="Times New Roman"/>
                <w:b/>
                <w:spacing w:val="-5"/>
                <w:sz w:val="28"/>
              </w:rPr>
              <w:t xml:space="preserve"> </w:t>
            </w:r>
            <w:r w:rsidRPr="007C57D2">
              <w:rPr>
                <w:rFonts w:ascii="Times New Roman" w:hAnsi="Times New Roman"/>
                <w:sz w:val="28"/>
              </w:rPr>
              <w:t>El</w:t>
            </w:r>
            <w:r w:rsidRPr="007C57D2">
              <w:rPr>
                <w:rFonts w:ascii="Times New Roman" w:hAnsi="Times New Roman"/>
                <w:spacing w:val="-5"/>
                <w:sz w:val="28"/>
              </w:rPr>
              <w:t xml:space="preserve"> </w:t>
            </w:r>
            <w:r w:rsidRPr="007C57D2">
              <w:rPr>
                <w:rFonts w:ascii="Times New Roman" w:hAnsi="Times New Roman"/>
                <w:sz w:val="28"/>
              </w:rPr>
              <w:t>tiempo</w:t>
            </w:r>
            <w:r w:rsidRPr="007C57D2">
              <w:rPr>
                <w:rFonts w:ascii="Times New Roman" w:hAnsi="Times New Roman"/>
                <w:spacing w:val="-4"/>
                <w:sz w:val="28"/>
              </w:rPr>
              <w:t xml:space="preserve"> </w:t>
            </w:r>
            <w:r w:rsidRPr="007C57D2">
              <w:rPr>
                <w:rFonts w:ascii="Times New Roman" w:hAnsi="Times New Roman"/>
                <w:sz w:val="28"/>
              </w:rPr>
              <w:t>transcurrido</w:t>
            </w:r>
            <w:r w:rsidRPr="007C57D2">
              <w:rPr>
                <w:rFonts w:ascii="Times New Roman" w:hAnsi="Times New Roman"/>
                <w:spacing w:val="-4"/>
                <w:sz w:val="28"/>
              </w:rPr>
              <w:t xml:space="preserve"> </w:t>
            </w:r>
            <w:r w:rsidRPr="007C57D2">
              <w:rPr>
                <w:rFonts w:ascii="Times New Roman" w:hAnsi="Times New Roman"/>
                <w:sz w:val="28"/>
              </w:rPr>
              <w:t>entre</w:t>
            </w:r>
            <w:r w:rsidRPr="007C57D2">
              <w:rPr>
                <w:rFonts w:ascii="Times New Roman" w:hAnsi="Times New Roman"/>
                <w:spacing w:val="40"/>
                <w:sz w:val="28"/>
              </w:rPr>
              <w:t xml:space="preserve"> </w:t>
            </w:r>
            <w:r w:rsidRPr="007C57D2">
              <w:rPr>
                <w:rFonts w:ascii="Times New Roman" w:hAnsi="Times New Roman"/>
                <w:spacing w:val="-2"/>
                <w:sz w:val="28"/>
              </w:rPr>
              <w:t>el</w:t>
            </w:r>
            <w:r w:rsidRPr="007C57D2">
              <w:rPr>
                <w:rFonts w:ascii="Times New Roman" w:hAnsi="Times New Roman"/>
                <w:spacing w:val="-6"/>
                <w:sz w:val="28"/>
              </w:rPr>
              <w:t xml:space="preserve"> </w:t>
            </w:r>
            <w:r w:rsidRPr="007C57D2">
              <w:rPr>
                <w:rFonts w:ascii="Times New Roman" w:hAnsi="Times New Roman"/>
                <w:spacing w:val="-2"/>
                <w:sz w:val="28"/>
              </w:rPr>
              <w:t>reporte</w:t>
            </w:r>
            <w:r w:rsidRPr="007C57D2">
              <w:rPr>
                <w:rFonts w:ascii="Times New Roman" w:hAnsi="Times New Roman"/>
                <w:spacing w:val="-7"/>
                <w:sz w:val="28"/>
              </w:rPr>
              <w:t xml:space="preserve"> </w:t>
            </w:r>
            <w:r w:rsidRPr="007C57D2">
              <w:rPr>
                <w:rFonts w:ascii="Times New Roman" w:hAnsi="Times New Roman"/>
                <w:spacing w:val="-2"/>
                <w:sz w:val="28"/>
              </w:rPr>
              <w:t>de</w:t>
            </w:r>
            <w:r w:rsidRPr="007C57D2">
              <w:rPr>
                <w:rFonts w:ascii="Times New Roman" w:hAnsi="Times New Roman"/>
                <w:spacing w:val="-7"/>
                <w:sz w:val="28"/>
              </w:rPr>
              <w:t xml:space="preserve"> </w:t>
            </w:r>
            <w:r w:rsidRPr="007C57D2">
              <w:rPr>
                <w:rFonts w:ascii="Times New Roman" w:hAnsi="Times New Roman"/>
                <w:spacing w:val="-2"/>
                <w:sz w:val="28"/>
              </w:rPr>
              <w:t>alerta</w:t>
            </w:r>
            <w:r w:rsidRPr="007C57D2">
              <w:rPr>
                <w:rFonts w:ascii="Times New Roman" w:hAnsi="Times New Roman"/>
                <w:spacing w:val="-7"/>
                <w:sz w:val="28"/>
              </w:rPr>
              <w:t xml:space="preserve"> </w:t>
            </w:r>
            <w:r w:rsidRPr="007C57D2">
              <w:rPr>
                <w:rFonts w:ascii="Times New Roman" w:hAnsi="Times New Roman"/>
                <w:spacing w:val="-2"/>
                <w:sz w:val="28"/>
              </w:rPr>
              <w:t>en</w:t>
            </w:r>
            <w:r w:rsidRPr="007C57D2">
              <w:rPr>
                <w:rFonts w:ascii="Times New Roman" w:hAnsi="Times New Roman"/>
                <w:spacing w:val="-7"/>
                <w:sz w:val="28"/>
              </w:rPr>
              <w:t xml:space="preserve"> </w:t>
            </w:r>
            <w:r w:rsidRPr="007C57D2">
              <w:rPr>
                <w:rFonts w:ascii="Times New Roman" w:hAnsi="Times New Roman"/>
                <w:spacing w:val="-2"/>
                <w:sz w:val="28"/>
              </w:rPr>
              <w:t>la</w:t>
            </w:r>
            <w:r w:rsidRPr="007C57D2">
              <w:rPr>
                <w:rFonts w:ascii="Times New Roman" w:hAnsi="Times New Roman"/>
                <w:spacing w:val="-5"/>
                <w:sz w:val="28"/>
              </w:rPr>
              <w:t xml:space="preserve"> </w:t>
            </w:r>
            <w:r w:rsidRPr="007C57D2">
              <w:rPr>
                <w:rFonts w:ascii="Times New Roman" w:hAnsi="Times New Roman"/>
                <w:spacing w:val="-2"/>
                <w:sz w:val="28"/>
              </w:rPr>
              <w:t>Policía</w:t>
            </w:r>
            <w:r w:rsidRPr="007C57D2">
              <w:rPr>
                <w:rFonts w:ascii="Times New Roman" w:hAnsi="Times New Roman"/>
                <w:spacing w:val="40"/>
                <w:sz w:val="28"/>
              </w:rPr>
              <w:t xml:space="preserve"> </w:t>
            </w:r>
            <w:r w:rsidRPr="007C57D2">
              <w:rPr>
                <w:rFonts w:ascii="Times New Roman" w:hAnsi="Times New Roman"/>
                <w:sz w:val="28"/>
              </w:rPr>
              <w:t>Nacional, o de manera</w:t>
            </w:r>
            <w:r w:rsidRPr="007C57D2">
              <w:rPr>
                <w:rFonts w:ascii="Times New Roman" w:hAnsi="Times New Roman"/>
                <w:spacing w:val="40"/>
                <w:sz w:val="28"/>
              </w:rPr>
              <w:t xml:space="preserve"> </w:t>
            </w:r>
            <w:r w:rsidRPr="007C57D2">
              <w:rPr>
                <w:rFonts w:ascii="Times New Roman" w:hAnsi="Times New Roman"/>
                <w:sz w:val="28"/>
              </w:rPr>
              <w:t>personal ante el CAI, estación</w:t>
            </w:r>
            <w:r w:rsidRPr="007C57D2">
              <w:rPr>
                <w:rFonts w:ascii="Times New Roman" w:hAnsi="Times New Roman"/>
                <w:spacing w:val="40"/>
                <w:sz w:val="28"/>
              </w:rPr>
              <w:t xml:space="preserve"> </w:t>
            </w:r>
            <w:r w:rsidRPr="007C57D2">
              <w:rPr>
                <w:rFonts w:ascii="Times New Roman" w:hAnsi="Times New Roman"/>
                <w:sz w:val="28"/>
              </w:rPr>
              <w:t>de</w:t>
            </w:r>
            <w:r w:rsidRPr="007C57D2">
              <w:rPr>
                <w:rFonts w:ascii="Times New Roman" w:hAnsi="Times New Roman"/>
                <w:spacing w:val="-4"/>
                <w:sz w:val="28"/>
              </w:rPr>
              <w:t xml:space="preserve"> </w:t>
            </w:r>
            <w:r w:rsidRPr="007C57D2">
              <w:rPr>
                <w:rFonts w:ascii="Times New Roman" w:hAnsi="Times New Roman"/>
                <w:sz w:val="28"/>
              </w:rPr>
              <w:t>policía</w:t>
            </w:r>
            <w:r w:rsidRPr="007C57D2">
              <w:rPr>
                <w:rFonts w:ascii="Times New Roman" w:hAnsi="Times New Roman"/>
                <w:spacing w:val="-4"/>
                <w:sz w:val="28"/>
              </w:rPr>
              <w:t xml:space="preserve"> </w:t>
            </w:r>
            <w:r w:rsidRPr="007C57D2">
              <w:rPr>
                <w:rFonts w:ascii="Times New Roman" w:hAnsi="Times New Roman"/>
                <w:sz w:val="28"/>
              </w:rPr>
              <w:t>o</w:t>
            </w:r>
            <w:r w:rsidRPr="007C57D2">
              <w:rPr>
                <w:rFonts w:ascii="Times New Roman" w:hAnsi="Times New Roman"/>
                <w:spacing w:val="-5"/>
                <w:sz w:val="28"/>
              </w:rPr>
              <w:t xml:space="preserve"> </w:t>
            </w:r>
            <w:r w:rsidRPr="007C57D2">
              <w:rPr>
                <w:rFonts w:ascii="Times New Roman" w:hAnsi="Times New Roman"/>
                <w:sz w:val="28"/>
              </w:rPr>
              <w:t>unidad</w:t>
            </w:r>
            <w:r w:rsidRPr="007C57D2">
              <w:rPr>
                <w:rFonts w:ascii="Times New Roman" w:hAnsi="Times New Roman"/>
                <w:spacing w:val="-5"/>
                <w:sz w:val="28"/>
              </w:rPr>
              <w:t xml:space="preserve"> </w:t>
            </w:r>
            <w:r w:rsidRPr="007C57D2">
              <w:rPr>
                <w:rFonts w:ascii="Times New Roman" w:hAnsi="Times New Roman"/>
                <w:sz w:val="28"/>
              </w:rPr>
              <w:t>policial</w:t>
            </w:r>
            <w:r w:rsidRPr="007C57D2">
              <w:rPr>
                <w:rFonts w:ascii="Times New Roman" w:hAnsi="Times New Roman"/>
                <w:spacing w:val="-5"/>
                <w:sz w:val="28"/>
              </w:rPr>
              <w:t xml:space="preserve"> </w:t>
            </w:r>
            <w:r w:rsidRPr="007C57D2">
              <w:rPr>
                <w:rFonts w:ascii="Times New Roman" w:hAnsi="Times New Roman"/>
                <w:sz w:val="28"/>
              </w:rPr>
              <w:t>y</w:t>
            </w:r>
            <w:r w:rsidRPr="007C57D2">
              <w:rPr>
                <w:rFonts w:ascii="Times New Roman" w:hAnsi="Times New Roman"/>
                <w:spacing w:val="-4"/>
                <w:sz w:val="28"/>
              </w:rPr>
              <w:t xml:space="preserve"> </w:t>
            </w:r>
            <w:r w:rsidRPr="007C57D2">
              <w:rPr>
                <w:rFonts w:ascii="Times New Roman" w:hAnsi="Times New Roman"/>
                <w:sz w:val="28"/>
              </w:rPr>
              <w:t>la</w:t>
            </w:r>
            <w:r w:rsidRPr="007C57D2">
              <w:rPr>
                <w:rFonts w:ascii="Times New Roman" w:hAnsi="Times New Roman"/>
                <w:spacing w:val="40"/>
                <w:sz w:val="28"/>
              </w:rPr>
              <w:t xml:space="preserve"> </w:t>
            </w:r>
            <w:r w:rsidRPr="007C57D2">
              <w:rPr>
                <w:rFonts w:ascii="Times New Roman" w:hAnsi="Times New Roman"/>
                <w:sz w:val="28"/>
              </w:rPr>
              <w:t>activación</w:t>
            </w:r>
            <w:r w:rsidRPr="007C57D2">
              <w:rPr>
                <w:rFonts w:ascii="Times New Roman" w:hAnsi="Times New Roman"/>
                <w:spacing w:val="-10"/>
                <w:sz w:val="28"/>
              </w:rPr>
              <w:t xml:space="preserve"> </w:t>
            </w:r>
            <w:r w:rsidRPr="007C57D2">
              <w:rPr>
                <w:rFonts w:ascii="Times New Roman" w:hAnsi="Times New Roman"/>
                <w:sz w:val="28"/>
              </w:rPr>
              <w:t>de</w:t>
            </w:r>
            <w:r w:rsidRPr="007C57D2">
              <w:rPr>
                <w:rFonts w:ascii="Times New Roman" w:hAnsi="Times New Roman"/>
                <w:spacing w:val="-9"/>
                <w:sz w:val="28"/>
              </w:rPr>
              <w:t xml:space="preserve"> </w:t>
            </w:r>
            <w:r w:rsidRPr="007C57D2">
              <w:rPr>
                <w:rFonts w:ascii="Times New Roman" w:hAnsi="Times New Roman"/>
                <w:sz w:val="28"/>
              </w:rPr>
              <w:t>la</w:t>
            </w:r>
            <w:r w:rsidRPr="007C57D2">
              <w:rPr>
                <w:rFonts w:ascii="Times New Roman" w:hAnsi="Times New Roman"/>
                <w:spacing w:val="-9"/>
                <w:sz w:val="28"/>
              </w:rPr>
              <w:t xml:space="preserve"> </w:t>
            </w:r>
            <w:r w:rsidRPr="007C57D2">
              <w:rPr>
                <w:rFonts w:ascii="Times New Roman" w:hAnsi="Times New Roman"/>
                <w:sz w:val="28"/>
              </w:rPr>
              <w:t>alerta</w:t>
            </w:r>
            <w:r w:rsidRPr="007C57D2">
              <w:rPr>
                <w:rFonts w:ascii="Times New Roman" w:hAnsi="Times New Roman"/>
                <w:spacing w:val="-9"/>
                <w:sz w:val="28"/>
              </w:rPr>
              <w:t xml:space="preserve"> </w:t>
            </w:r>
            <w:r w:rsidRPr="007C57D2">
              <w:rPr>
                <w:rFonts w:ascii="Times New Roman" w:hAnsi="Times New Roman"/>
                <w:sz w:val="28"/>
              </w:rPr>
              <w:t>no</w:t>
            </w:r>
            <w:r w:rsidRPr="007C57D2">
              <w:rPr>
                <w:rFonts w:ascii="Times New Roman" w:hAnsi="Times New Roman"/>
                <w:spacing w:val="-9"/>
                <w:sz w:val="28"/>
              </w:rPr>
              <w:t xml:space="preserve"> </w:t>
            </w:r>
            <w:r w:rsidRPr="007C57D2">
              <w:rPr>
                <w:rFonts w:ascii="Times New Roman" w:hAnsi="Times New Roman"/>
                <w:sz w:val="28"/>
              </w:rPr>
              <w:t>podrá</w:t>
            </w:r>
            <w:r w:rsidRPr="007C57D2">
              <w:rPr>
                <w:rFonts w:ascii="Times New Roman" w:hAnsi="Times New Roman"/>
                <w:spacing w:val="40"/>
                <w:sz w:val="28"/>
              </w:rPr>
              <w:t xml:space="preserve"> </w:t>
            </w:r>
            <w:r w:rsidRPr="007C57D2">
              <w:rPr>
                <w:rFonts w:ascii="Times New Roman" w:hAnsi="Times New Roman"/>
                <w:sz w:val="28"/>
              </w:rPr>
              <w:t>ser</w:t>
            </w:r>
            <w:r w:rsidRPr="007C57D2">
              <w:rPr>
                <w:rFonts w:ascii="Times New Roman" w:hAnsi="Times New Roman"/>
                <w:spacing w:val="-2"/>
                <w:sz w:val="28"/>
              </w:rPr>
              <w:t xml:space="preserve"> </w:t>
            </w:r>
            <w:r w:rsidRPr="007C57D2">
              <w:rPr>
                <w:rFonts w:ascii="Times New Roman" w:hAnsi="Times New Roman"/>
                <w:sz w:val="28"/>
              </w:rPr>
              <w:t>superior</w:t>
            </w:r>
            <w:r w:rsidRPr="007C57D2">
              <w:rPr>
                <w:rFonts w:ascii="Times New Roman" w:hAnsi="Times New Roman"/>
                <w:spacing w:val="-4"/>
                <w:sz w:val="28"/>
              </w:rPr>
              <w:t xml:space="preserve"> </w:t>
            </w:r>
            <w:r w:rsidRPr="007C57D2">
              <w:rPr>
                <w:rFonts w:ascii="Times New Roman" w:hAnsi="Times New Roman"/>
                <w:sz w:val="28"/>
              </w:rPr>
              <w:t>a</w:t>
            </w:r>
            <w:r w:rsidRPr="007C57D2">
              <w:rPr>
                <w:rFonts w:ascii="Times New Roman" w:hAnsi="Times New Roman"/>
                <w:spacing w:val="-2"/>
                <w:sz w:val="28"/>
              </w:rPr>
              <w:t xml:space="preserve"> </w:t>
            </w:r>
            <w:r w:rsidRPr="007C57D2">
              <w:rPr>
                <w:rFonts w:ascii="Times New Roman" w:hAnsi="Times New Roman"/>
                <w:sz w:val="28"/>
              </w:rPr>
              <w:t>una</w:t>
            </w:r>
            <w:r w:rsidRPr="007C57D2">
              <w:rPr>
                <w:rFonts w:ascii="Times New Roman" w:hAnsi="Times New Roman"/>
                <w:spacing w:val="-2"/>
                <w:sz w:val="28"/>
              </w:rPr>
              <w:t xml:space="preserve"> </w:t>
            </w:r>
            <w:r w:rsidRPr="007C57D2">
              <w:rPr>
                <w:rFonts w:ascii="Times New Roman" w:hAnsi="Times New Roman"/>
                <w:sz w:val="28"/>
              </w:rPr>
              <w:t>(1)</w:t>
            </w:r>
            <w:r w:rsidRPr="007C57D2">
              <w:rPr>
                <w:rFonts w:ascii="Times New Roman" w:hAnsi="Times New Roman"/>
                <w:spacing w:val="-4"/>
                <w:sz w:val="28"/>
              </w:rPr>
              <w:t xml:space="preserve"> </w:t>
            </w:r>
            <w:r w:rsidRPr="007C57D2">
              <w:rPr>
                <w:rFonts w:ascii="Times New Roman" w:hAnsi="Times New Roman"/>
                <w:sz w:val="28"/>
              </w:rPr>
              <w:t>hora.</w:t>
            </w:r>
            <w:r w:rsidRPr="007C57D2">
              <w:rPr>
                <w:rFonts w:ascii="Times New Roman" w:hAnsi="Times New Roman"/>
                <w:spacing w:val="-3"/>
                <w:sz w:val="28"/>
              </w:rPr>
              <w:t xml:space="preserve"> </w:t>
            </w:r>
            <w:r w:rsidRPr="007C57D2">
              <w:rPr>
                <w:rFonts w:ascii="Times New Roman" w:hAnsi="Times New Roman"/>
                <w:sz w:val="28"/>
              </w:rPr>
              <w:t>La</w:t>
            </w:r>
            <w:r w:rsidRPr="007C57D2">
              <w:rPr>
                <w:rFonts w:ascii="Times New Roman" w:hAnsi="Times New Roman"/>
                <w:spacing w:val="40"/>
                <w:sz w:val="28"/>
              </w:rPr>
              <w:t xml:space="preserve"> </w:t>
            </w:r>
            <w:r w:rsidRPr="007C57D2">
              <w:rPr>
                <w:rFonts w:ascii="Times New Roman" w:hAnsi="Times New Roman"/>
                <w:sz w:val="28"/>
              </w:rPr>
              <w:t>autorización</w:t>
            </w:r>
            <w:r w:rsidRPr="007C57D2">
              <w:rPr>
                <w:rFonts w:ascii="Times New Roman" w:hAnsi="Times New Roman"/>
                <w:spacing w:val="-5"/>
                <w:sz w:val="28"/>
              </w:rPr>
              <w:t xml:space="preserve"> </w:t>
            </w:r>
            <w:r w:rsidRPr="007C57D2">
              <w:rPr>
                <w:rFonts w:ascii="Times New Roman" w:hAnsi="Times New Roman"/>
                <w:sz w:val="28"/>
              </w:rPr>
              <w:t>para</w:t>
            </w:r>
            <w:r w:rsidRPr="007C57D2">
              <w:rPr>
                <w:rFonts w:ascii="Times New Roman" w:hAnsi="Times New Roman"/>
                <w:spacing w:val="-5"/>
                <w:sz w:val="28"/>
              </w:rPr>
              <w:t xml:space="preserve"> </w:t>
            </w:r>
            <w:r w:rsidRPr="007C57D2">
              <w:rPr>
                <w:rFonts w:ascii="Times New Roman" w:hAnsi="Times New Roman"/>
                <w:sz w:val="28"/>
              </w:rPr>
              <w:t>el</w:t>
            </w:r>
            <w:r w:rsidRPr="007C57D2">
              <w:rPr>
                <w:rFonts w:ascii="Times New Roman" w:hAnsi="Times New Roman"/>
                <w:spacing w:val="-6"/>
                <w:sz w:val="28"/>
              </w:rPr>
              <w:t xml:space="preserve"> </w:t>
            </w:r>
            <w:r w:rsidRPr="007C57D2">
              <w:rPr>
                <w:rFonts w:ascii="Times New Roman" w:hAnsi="Times New Roman"/>
                <w:sz w:val="28"/>
              </w:rPr>
              <w:t>uso</w:t>
            </w:r>
            <w:r w:rsidRPr="007C57D2">
              <w:rPr>
                <w:rFonts w:ascii="Times New Roman" w:hAnsi="Times New Roman"/>
                <w:spacing w:val="-5"/>
                <w:sz w:val="28"/>
              </w:rPr>
              <w:t xml:space="preserve"> </w:t>
            </w:r>
            <w:r w:rsidRPr="007C57D2">
              <w:rPr>
                <w:rFonts w:ascii="Times New Roman" w:hAnsi="Times New Roman"/>
                <w:sz w:val="28"/>
              </w:rPr>
              <w:t>de</w:t>
            </w:r>
            <w:r w:rsidRPr="007C57D2">
              <w:rPr>
                <w:rFonts w:ascii="Times New Roman" w:hAnsi="Times New Roman"/>
                <w:spacing w:val="-5"/>
                <w:sz w:val="28"/>
              </w:rPr>
              <w:t xml:space="preserve"> </w:t>
            </w:r>
            <w:r w:rsidRPr="007C57D2">
              <w:rPr>
                <w:rFonts w:ascii="Times New Roman" w:hAnsi="Times New Roman"/>
                <w:sz w:val="28"/>
              </w:rPr>
              <w:t>los</w:t>
            </w:r>
            <w:r w:rsidRPr="007C57D2">
              <w:rPr>
                <w:rFonts w:ascii="Times New Roman" w:hAnsi="Times New Roman"/>
                <w:spacing w:val="40"/>
                <w:sz w:val="28"/>
              </w:rPr>
              <w:t xml:space="preserve"> </w:t>
            </w:r>
            <w:r w:rsidRPr="007C57D2">
              <w:rPr>
                <w:rFonts w:ascii="Times New Roman" w:hAnsi="Times New Roman"/>
                <w:sz w:val="28"/>
              </w:rPr>
              <w:t>datos</w:t>
            </w:r>
            <w:r w:rsidRPr="007C57D2">
              <w:rPr>
                <w:rFonts w:ascii="Times New Roman" w:hAnsi="Times New Roman"/>
                <w:spacing w:val="-10"/>
                <w:sz w:val="28"/>
              </w:rPr>
              <w:t xml:space="preserve"> </w:t>
            </w:r>
            <w:r w:rsidRPr="007C57D2">
              <w:rPr>
                <w:rFonts w:ascii="Times New Roman" w:hAnsi="Times New Roman"/>
                <w:sz w:val="28"/>
              </w:rPr>
              <w:t>biométricos</w:t>
            </w:r>
            <w:r w:rsidRPr="007C57D2">
              <w:rPr>
                <w:rFonts w:ascii="Times New Roman" w:hAnsi="Times New Roman"/>
                <w:spacing w:val="-9"/>
                <w:sz w:val="28"/>
              </w:rPr>
              <w:t xml:space="preserve"> </w:t>
            </w:r>
            <w:r w:rsidRPr="007C57D2">
              <w:rPr>
                <w:rFonts w:ascii="Times New Roman" w:hAnsi="Times New Roman"/>
                <w:sz w:val="28"/>
              </w:rPr>
              <w:t>y</w:t>
            </w:r>
            <w:r w:rsidRPr="007C57D2">
              <w:rPr>
                <w:rFonts w:ascii="Times New Roman" w:hAnsi="Times New Roman"/>
                <w:spacing w:val="-9"/>
                <w:sz w:val="28"/>
              </w:rPr>
              <w:t xml:space="preserve"> </w:t>
            </w:r>
            <w:r w:rsidRPr="007C57D2">
              <w:rPr>
                <w:rFonts w:ascii="Times New Roman" w:hAnsi="Times New Roman"/>
                <w:sz w:val="28"/>
              </w:rPr>
              <w:t>personales</w:t>
            </w:r>
            <w:r w:rsidRPr="007C57D2">
              <w:rPr>
                <w:rFonts w:ascii="Times New Roman" w:hAnsi="Times New Roman"/>
                <w:spacing w:val="40"/>
                <w:sz w:val="28"/>
              </w:rPr>
              <w:t xml:space="preserve"> </w:t>
            </w:r>
            <w:r w:rsidRPr="007C57D2">
              <w:rPr>
                <w:rFonts w:ascii="Times New Roman" w:hAnsi="Times New Roman"/>
                <w:spacing w:val="-2"/>
                <w:sz w:val="28"/>
              </w:rPr>
              <w:t>de</w:t>
            </w:r>
            <w:r w:rsidRPr="007C57D2">
              <w:rPr>
                <w:rFonts w:ascii="Times New Roman" w:hAnsi="Times New Roman"/>
                <w:spacing w:val="-8"/>
                <w:sz w:val="28"/>
              </w:rPr>
              <w:t xml:space="preserve"> </w:t>
            </w:r>
            <w:r w:rsidRPr="007C57D2">
              <w:rPr>
                <w:rFonts w:ascii="Times New Roman" w:hAnsi="Times New Roman"/>
                <w:spacing w:val="-2"/>
                <w:sz w:val="28"/>
              </w:rPr>
              <w:t>los</w:t>
            </w:r>
            <w:r w:rsidRPr="007C57D2">
              <w:rPr>
                <w:rFonts w:ascii="Times New Roman" w:hAnsi="Times New Roman"/>
                <w:spacing w:val="-7"/>
                <w:sz w:val="28"/>
              </w:rPr>
              <w:t xml:space="preserve"> </w:t>
            </w:r>
            <w:r w:rsidRPr="007C57D2">
              <w:rPr>
                <w:rFonts w:ascii="Times New Roman" w:hAnsi="Times New Roman"/>
                <w:spacing w:val="-2"/>
                <w:sz w:val="28"/>
              </w:rPr>
              <w:t>niños</w:t>
            </w:r>
            <w:r w:rsidRPr="007C57D2">
              <w:rPr>
                <w:rFonts w:ascii="Times New Roman" w:hAnsi="Times New Roman"/>
                <w:spacing w:val="-7"/>
                <w:sz w:val="28"/>
              </w:rPr>
              <w:t xml:space="preserve"> </w:t>
            </w:r>
            <w:r w:rsidRPr="007C57D2">
              <w:rPr>
                <w:rFonts w:ascii="Times New Roman" w:hAnsi="Times New Roman"/>
                <w:spacing w:val="-2"/>
                <w:sz w:val="28"/>
              </w:rPr>
              <w:t>y</w:t>
            </w:r>
            <w:r w:rsidRPr="007C57D2">
              <w:rPr>
                <w:rFonts w:ascii="Times New Roman" w:hAnsi="Times New Roman"/>
                <w:spacing w:val="-7"/>
                <w:sz w:val="28"/>
              </w:rPr>
              <w:t xml:space="preserve"> </w:t>
            </w:r>
            <w:r w:rsidRPr="007C57D2">
              <w:rPr>
                <w:rFonts w:ascii="Times New Roman" w:hAnsi="Times New Roman"/>
                <w:spacing w:val="-2"/>
                <w:sz w:val="28"/>
              </w:rPr>
              <w:t>niñas</w:t>
            </w:r>
            <w:r w:rsidRPr="007C57D2">
              <w:rPr>
                <w:rFonts w:ascii="Times New Roman" w:hAnsi="Times New Roman"/>
                <w:spacing w:val="-7"/>
                <w:sz w:val="28"/>
              </w:rPr>
              <w:t xml:space="preserve"> </w:t>
            </w:r>
            <w:r w:rsidRPr="007C57D2">
              <w:rPr>
                <w:rFonts w:ascii="Times New Roman" w:hAnsi="Times New Roman"/>
                <w:spacing w:val="-2"/>
                <w:sz w:val="28"/>
              </w:rPr>
              <w:t>extraviados</w:t>
            </w:r>
            <w:r w:rsidRPr="007C57D2">
              <w:rPr>
                <w:rFonts w:ascii="Times New Roman" w:hAnsi="Times New Roman"/>
                <w:spacing w:val="40"/>
                <w:sz w:val="28"/>
              </w:rPr>
              <w:t xml:space="preserve"> </w:t>
            </w:r>
            <w:r w:rsidRPr="007C57D2">
              <w:rPr>
                <w:rFonts w:ascii="Times New Roman" w:hAnsi="Times New Roman"/>
                <w:sz w:val="28"/>
              </w:rPr>
              <w:t>debe realizarse conforme al</w:t>
            </w:r>
            <w:r w:rsidRPr="007C57D2">
              <w:rPr>
                <w:rFonts w:ascii="Times New Roman" w:hAnsi="Times New Roman"/>
                <w:spacing w:val="40"/>
                <w:sz w:val="28"/>
              </w:rPr>
              <w:t xml:space="preserve"> </w:t>
            </w:r>
            <w:r w:rsidRPr="007C57D2">
              <w:rPr>
                <w:rFonts w:ascii="Times New Roman" w:hAnsi="Times New Roman"/>
                <w:sz w:val="28"/>
              </w:rPr>
              <w:t>artículo 3° de la presente ley.</w:t>
            </w: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spacing w:after="0" w:line="240" w:lineRule="auto"/>
              <w:jc w:val="both"/>
              <w:rPr>
                <w:rFonts w:ascii="Times New Roman" w:hAnsi="Times New Roman"/>
                <w:sz w:val="28"/>
              </w:rPr>
            </w:pPr>
          </w:p>
          <w:p w:rsidR="00F22616" w:rsidRPr="007C57D2" w:rsidRDefault="007C57D2" w:rsidP="007C57D2">
            <w:pPr>
              <w:pStyle w:val="TableParagraph"/>
              <w:tabs>
                <w:tab w:val="left" w:pos="956"/>
                <w:tab w:val="left" w:pos="1690"/>
              </w:tabs>
              <w:jc w:val="both"/>
              <w:rPr>
                <w:rFonts w:ascii="Times New Roman" w:hAnsi="Times New Roman" w:cs="Times New Roman"/>
                <w:b/>
                <w:sz w:val="28"/>
              </w:rPr>
            </w:pPr>
            <w:r w:rsidRPr="007C57D2">
              <w:rPr>
                <w:rFonts w:ascii="Times New Roman" w:hAnsi="Times New Roman" w:cs="Times New Roman"/>
                <w:b/>
                <w:sz w:val="28"/>
              </w:rPr>
              <w:t>c)</w:t>
            </w:r>
            <w:r w:rsidRPr="007C57D2">
              <w:rPr>
                <w:rFonts w:ascii="Times New Roman" w:hAnsi="Times New Roman" w:cs="Times New Roman"/>
                <w:b/>
                <w:spacing w:val="-10"/>
                <w:sz w:val="28"/>
              </w:rPr>
              <w:t xml:space="preserve"> </w:t>
            </w:r>
            <w:r w:rsidRPr="007C57D2">
              <w:rPr>
                <w:rFonts w:ascii="Times New Roman" w:hAnsi="Times New Roman" w:cs="Times New Roman"/>
                <w:sz w:val="28"/>
              </w:rPr>
              <w:t>Los</w:t>
            </w:r>
            <w:r w:rsidRPr="007C57D2">
              <w:rPr>
                <w:rFonts w:ascii="Times New Roman" w:hAnsi="Times New Roman" w:cs="Times New Roman"/>
                <w:spacing w:val="-9"/>
                <w:sz w:val="28"/>
              </w:rPr>
              <w:t xml:space="preserve"> </w:t>
            </w:r>
            <w:r w:rsidRPr="007C57D2">
              <w:rPr>
                <w:rFonts w:ascii="Times New Roman" w:hAnsi="Times New Roman" w:cs="Times New Roman"/>
                <w:sz w:val="28"/>
              </w:rPr>
              <w:t>padres,</w:t>
            </w:r>
            <w:r w:rsidRPr="007C57D2">
              <w:rPr>
                <w:rFonts w:ascii="Times New Roman" w:hAnsi="Times New Roman" w:cs="Times New Roman"/>
                <w:spacing w:val="-9"/>
                <w:sz w:val="28"/>
              </w:rPr>
              <w:t xml:space="preserve"> </w:t>
            </w:r>
            <w:r w:rsidRPr="007C57D2">
              <w:rPr>
                <w:rFonts w:ascii="Times New Roman" w:hAnsi="Times New Roman" w:cs="Times New Roman"/>
                <w:sz w:val="28"/>
              </w:rPr>
              <w:t>familiares,</w:t>
            </w:r>
            <w:r w:rsidRPr="007C57D2">
              <w:rPr>
                <w:rFonts w:ascii="Times New Roman" w:hAnsi="Times New Roman" w:cs="Times New Roman"/>
                <w:spacing w:val="-9"/>
                <w:sz w:val="28"/>
              </w:rPr>
              <w:t xml:space="preserve"> </w:t>
            </w:r>
            <w:r w:rsidRPr="007C57D2">
              <w:rPr>
                <w:rFonts w:ascii="Times New Roman" w:hAnsi="Times New Roman" w:cs="Times New Roman"/>
                <w:sz w:val="28"/>
              </w:rPr>
              <w:t>el/los representante(s)</w:t>
            </w:r>
            <w:r w:rsidRPr="007C57D2">
              <w:rPr>
                <w:rFonts w:ascii="Times New Roman" w:hAnsi="Times New Roman" w:cs="Times New Roman"/>
                <w:spacing w:val="-1"/>
                <w:sz w:val="28"/>
              </w:rPr>
              <w:t xml:space="preserve"> </w:t>
            </w:r>
            <w:r w:rsidRPr="007C57D2">
              <w:rPr>
                <w:rFonts w:ascii="Times New Roman" w:hAnsi="Times New Roman" w:cs="Times New Roman"/>
                <w:sz w:val="28"/>
              </w:rPr>
              <w:t>legal(s), o</w:t>
            </w:r>
            <w:r w:rsidRPr="007C57D2">
              <w:rPr>
                <w:rFonts w:ascii="Times New Roman" w:hAnsi="Times New Roman" w:cs="Times New Roman"/>
                <w:spacing w:val="-1"/>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oficio, familiares hasta en</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segundo grado </w:t>
            </w:r>
            <w:r w:rsidRPr="007C57D2">
              <w:rPr>
                <w:rFonts w:ascii="Times New Roman" w:hAnsi="Times New Roman" w:cs="Times New Roman"/>
                <w:spacing w:val="-6"/>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consanguinidad, con motivos</w:t>
            </w:r>
            <w:r w:rsidRPr="007C57D2">
              <w:rPr>
                <w:rFonts w:ascii="Times New Roman" w:hAnsi="Times New Roman" w:cs="Times New Roman"/>
                <w:spacing w:val="40"/>
                <w:sz w:val="28"/>
              </w:rPr>
              <w:t xml:space="preserve"> </w:t>
            </w:r>
            <w:r w:rsidRPr="007C57D2">
              <w:rPr>
                <w:rFonts w:ascii="Times New Roman" w:hAnsi="Times New Roman" w:cs="Times New Roman"/>
                <w:sz w:val="28"/>
              </w:rPr>
              <w:t>fundados,</w:t>
            </w:r>
            <w:r w:rsidRPr="007C57D2">
              <w:rPr>
                <w:rFonts w:ascii="Times New Roman" w:hAnsi="Times New Roman" w:cs="Times New Roman"/>
                <w:spacing w:val="59"/>
                <w:sz w:val="28"/>
              </w:rPr>
              <w:t xml:space="preserve"> </w:t>
            </w:r>
            <w:r w:rsidRPr="007C57D2">
              <w:rPr>
                <w:rFonts w:ascii="Times New Roman" w:hAnsi="Times New Roman" w:cs="Times New Roman"/>
                <w:sz w:val="28"/>
              </w:rPr>
              <w:t>o</w:t>
            </w:r>
            <w:r w:rsidRPr="007C57D2">
              <w:rPr>
                <w:rFonts w:ascii="Times New Roman" w:hAnsi="Times New Roman" w:cs="Times New Roman"/>
                <w:spacing w:val="60"/>
                <w:sz w:val="28"/>
              </w:rPr>
              <w:t xml:space="preserve"> </w:t>
            </w:r>
            <w:r w:rsidRPr="007C57D2">
              <w:rPr>
                <w:rFonts w:ascii="Times New Roman" w:hAnsi="Times New Roman" w:cs="Times New Roman"/>
                <w:sz w:val="28"/>
              </w:rPr>
              <w:t>el</w:t>
            </w:r>
            <w:r w:rsidRPr="007C57D2">
              <w:rPr>
                <w:rFonts w:ascii="Times New Roman" w:hAnsi="Times New Roman" w:cs="Times New Roman"/>
                <w:spacing w:val="59"/>
                <w:sz w:val="28"/>
              </w:rPr>
              <w:t xml:space="preserve"> </w:t>
            </w:r>
            <w:r w:rsidRPr="007C57D2">
              <w:rPr>
                <w:rFonts w:ascii="Times New Roman" w:hAnsi="Times New Roman" w:cs="Times New Roman"/>
                <w:spacing w:val="-2"/>
                <w:sz w:val="28"/>
              </w:rPr>
              <w:t xml:space="preserve">Instituto </w:t>
            </w:r>
            <w:r w:rsidRPr="007C57D2">
              <w:rPr>
                <w:rFonts w:ascii="Times New Roman" w:hAnsi="Times New Roman" w:cs="Times New Roman"/>
                <w:sz w:val="28"/>
              </w:rPr>
              <w:t>Colombiano de</w:t>
            </w:r>
            <w:r w:rsidRPr="007C57D2">
              <w:rPr>
                <w:rFonts w:ascii="Times New Roman" w:hAnsi="Times New Roman" w:cs="Times New Roman"/>
                <w:spacing w:val="60"/>
                <w:sz w:val="28"/>
              </w:rPr>
              <w:t xml:space="preserve"> </w:t>
            </w:r>
            <w:r w:rsidRPr="007C57D2">
              <w:rPr>
                <w:rFonts w:ascii="Times New Roman" w:hAnsi="Times New Roman" w:cs="Times New Roman"/>
                <w:spacing w:val="-2"/>
                <w:sz w:val="28"/>
              </w:rPr>
              <w:t xml:space="preserve">Bienestar </w:t>
            </w:r>
            <w:r w:rsidRPr="007C57D2">
              <w:rPr>
                <w:rFonts w:ascii="Times New Roman" w:hAnsi="Times New Roman" w:cs="Times New Roman"/>
                <w:sz w:val="28"/>
              </w:rPr>
              <w:t>Familiar como las autoridades</w:t>
            </w:r>
            <w:r w:rsidRPr="007C57D2">
              <w:rPr>
                <w:rFonts w:ascii="Times New Roman" w:hAnsi="Times New Roman" w:cs="Times New Roman"/>
                <w:spacing w:val="40"/>
                <w:sz w:val="28"/>
              </w:rPr>
              <w:t xml:space="preserve"> </w:t>
            </w:r>
            <w:r w:rsidRPr="007C57D2">
              <w:rPr>
                <w:rFonts w:ascii="Times New Roman" w:hAnsi="Times New Roman" w:cs="Times New Roman"/>
                <w:sz w:val="28"/>
              </w:rPr>
              <w:t>deben</w:t>
            </w:r>
            <w:r w:rsidRPr="007C57D2">
              <w:rPr>
                <w:rFonts w:ascii="Times New Roman" w:hAnsi="Times New Roman" w:cs="Times New Roman"/>
                <w:spacing w:val="-10"/>
                <w:sz w:val="28"/>
              </w:rPr>
              <w:t xml:space="preserve"> </w:t>
            </w:r>
            <w:r w:rsidRPr="007C57D2">
              <w:rPr>
                <w:rFonts w:ascii="Times New Roman" w:hAnsi="Times New Roman" w:cs="Times New Roman"/>
                <w:sz w:val="28"/>
              </w:rPr>
              <w:t>disponer</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información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suficiente </w:t>
            </w:r>
            <w:r w:rsidRPr="007C57D2">
              <w:rPr>
                <w:rFonts w:ascii="Times New Roman" w:hAnsi="Times New Roman" w:cs="Times New Roman"/>
                <w:sz w:val="28"/>
              </w:rPr>
              <w:t>sobre el niño o niña</w:t>
            </w:r>
            <w:r w:rsidRPr="007C57D2">
              <w:rPr>
                <w:rFonts w:ascii="Times New Roman" w:hAnsi="Times New Roman" w:cs="Times New Roman"/>
                <w:spacing w:val="40"/>
                <w:sz w:val="28"/>
              </w:rPr>
              <w:t xml:space="preserve"> </w:t>
            </w:r>
            <w:r w:rsidRPr="007C57D2">
              <w:rPr>
                <w:rFonts w:ascii="Times New Roman" w:hAnsi="Times New Roman" w:cs="Times New Roman"/>
                <w:sz w:val="28"/>
              </w:rPr>
              <w:t>extraviado para qué al</w:t>
            </w:r>
            <w:r w:rsidRPr="007C57D2">
              <w:rPr>
                <w:rFonts w:ascii="Times New Roman" w:hAnsi="Times New Roman" w:cs="Times New Roman"/>
                <w:spacing w:val="40"/>
                <w:sz w:val="28"/>
              </w:rPr>
              <w:t xml:space="preserve"> </w:t>
            </w:r>
            <w:r w:rsidRPr="007C57D2">
              <w:rPr>
                <w:rFonts w:ascii="Times New Roman" w:hAnsi="Times New Roman" w:cs="Times New Roman"/>
                <w:sz w:val="28"/>
              </w:rPr>
              <w:t>momento</w:t>
            </w:r>
            <w:r w:rsidRPr="007C57D2">
              <w:rPr>
                <w:rFonts w:ascii="Times New Roman" w:hAnsi="Times New Roman" w:cs="Times New Roman"/>
                <w:spacing w:val="-1"/>
                <w:sz w:val="28"/>
              </w:rPr>
              <w:t xml:space="preserve"> </w:t>
            </w:r>
            <w:r w:rsidRPr="007C57D2">
              <w:rPr>
                <w:rFonts w:ascii="Times New Roman" w:hAnsi="Times New Roman" w:cs="Times New Roman"/>
                <w:sz w:val="28"/>
              </w:rPr>
              <w:t>de</w:t>
            </w:r>
            <w:r w:rsidRPr="007C57D2">
              <w:rPr>
                <w:rFonts w:ascii="Times New Roman" w:hAnsi="Times New Roman" w:cs="Times New Roman"/>
                <w:spacing w:val="-1"/>
                <w:sz w:val="28"/>
              </w:rPr>
              <w:t xml:space="preserve"> </w:t>
            </w:r>
            <w:r w:rsidRPr="007C57D2">
              <w:rPr>
                <w:rFonts w:ascii="Times New Roman" w:hAnsi="Times New Roman" w:cs="Times New Roman"/>
                <w:sz w:val="28"/>
              </w:rPr>
              <w:t>emitir</w:t>
            </w:r>
            <w:r w:rsidRPr="007C57D2">
              <w:rPr>
                <w:rFonts w:ascii="Times New Roman" w:hAnsi="Times New Roman" w:cs="Times New Roman"/>
                <w:spacing w:val="-2"/>
                <w:sz w:val="28"/>
              </w:rPr>
              <w:t xml:space="preserve"> </w:t>
            </w:r>
            <w:r w:rsidRPr="007C57D2">
              <w:rPr>
                <w:rFonts w:ascii="Times New Roman" w:hAnsi="Times New Roman" w:cs="Times New Roman"/>
                <w:sz w:val="28"/>
              </w:rPr>
              <w:t>la</w:t>
            </w:r>
            <w:r w:rsidRPr="007C57D2">
              <w:rPr>
                <w:rFonts w:ascii="Times New Roman" w:hAnsi="Times New Roman" w:cs="Times New Roman"/>
                <w:spacing w:val="-1"/>
                <w:sz w:val="28"/>
              </w:rPr>
              <w:t xml:space="preserve"> </w:t>
            </w:r>
            <w:r w:rsidRPr="007C57D2">
              <w:rPr>
                <w:rFonts w:ascii="Times New Roman" w:hAnsi="Times New Roman" w:cs="Times New Roman"/>
                <w:sz w:val="28"/>
              </w:rPr>
              <w:t>alerta,</w:t>
            </w:r>
            <w:r w:rsidRPr="007C57D2">
              <w:rPr>
                <w:rFonts w:ascii="Times New Roman" w:hAnsi="Times New Roman" w:cs="Times New Roman"/>
                <w:spacing w:val="-2"/>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z w:val="28"/>
              </w:rPr>
              <w:t>colaboración de la sociedad</w:t>
            </w:r>
            <w:r w:rsidRPr="007C57D2">
              <w:rPr>
                <w:rFonts w:ascii="Times New Roman" w:hAnsi="Times New Roman" w:cs="Times New Roman"/>
                <w:spacing w:val="40"/>
                <w:sz w:val="28"/>
              </w:rPr>
              <w:t xml:space="preserve"> </w:t>
            </w:r>
            <w:r w:rsidRPr="007C57D2">
              <w:rPr>
                <w:rFonts w:ascii="Times New Roman" w:hAnsi="Times New Roman" w:cs="Times New Roman"/>
                <w:sz w:val="28"/>
              </w:rPr>
              <w:t>puede arrojar</w:t>
            </w:r>
            <w:r w:rsidRPr="007C57D2">
              <w:rPr>
                <w:rFonts w:ascii="Times New Roman" w:hAnsi="Times New Roman" w:cs="Times New Roman"/>
                <w:spacing w:val="74"/>
                <w:sz w:val="28"/>
              </w:rPr>
              <w:t xml:space="preserve"> </w:t>
            </w:r>
            <w:r w:rsidRPr="007C57D2">
              <w:rPr>
                <w:rFonts w:ascii="Times New Roman" w:hAnsi="Times New Roman" w:cs="Times New Roman"/>
                <w:spacing w:val="-2"/>
                <w:sz w:val="28"/>
              </w:rPr>
              <w:t>resultados positivos.</w:t>
            </w:r>
          </w:p>
        </w:tc>
        <w:tc>
          <w:tcPr>
            <w:tcW w:w="3657" w:type="dxa"/>
            <w:shd w:val="clear" w:color="auto" w:fill="auto"/>
          </w:tcPr>
          <w:p w:rsidR="00F22616" w:rsidRPr="007C57D2" w:rsidRDefault="007C57D2" w:rsidP="007C57D2">
            <w:pPr>
              <w:pStyle w:val="TableParagraph"/>
              <w:tabs>
                <w:tab w:val="left" w:pos="994"/>
                <w:tab w:val="left" w:pos="1483"/>
              </w:tabs>
              <w:jc w:val="both"/>
              <w:rPr>
                <w:rFonts w:ascii="Times New Roman" w:hAnsi="Times New Roman" w:cs="Times New Roman"/>
                <w:w w:val="105"/>
                <w:sz w:val="28"/>
              </w:rPr>
            </w:pPr>
            <w:r w:rsidRPr="007C57D2">
              <w:rPr>
                <w:rFonts w:ascii="Times New Roman" w:hAnsi="Times New Roman" w:cs="Times New Roman"/>
                <w:b/>
                <w:w w:val="105"/>
                <w:sz w:val="28"/>
              </w:rPr>
              <w:t>Artículo 9. Activación de</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 xml:space="preserve">la Alerta Colombia. </w:t>
            </w:r>
            <w:r w:rsidRPr="007C57D2">
              <w:rPr>
                <w:rFonts w:ascii="Times New Roman" w:hAnsi="Times New Roman" w:cs="Times New Roman"/>
                <w:w w:val="105"/>
                <w:sz w:val="28"/>
              </w:rPr>
              <w:t>Para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activar la alerta Colombia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deberán cumplirse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siguientes</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requisitos:</w:t>
            </w:r>
          </w:p>
          <w:p w:rsidR="00F22616" w:rsidRPr="007C57D2" w:rsidRDefault="007C57D2" w:rsidP="007C57D2">
            <w:pPr>
              <w:pStyle w:val="TableParagraph"/>
              <w:tabs>
                <w:tab w:val="left" w:pos="994"/>
                <w:tab w:val="left" w:pos="1483"/>
              </w:tabs>
              <w:jc w:val="both"/>
              <w:rPr>
                <w:rFonts w:ascii="Times New Roman" w:hAnsi="Times New Roman" w:cs="Times New Roman"/>
                <w:w w:val="105"/>
                <w:sz w:val="28"/>
              </w:rPr>
            </w:pPr>
          </w:p>
          <w:p w:rsidR="00F22616" w:rsidRPr="007C57D2" w:rsidRDefault="007C57D2" w:rsidP="007C57D2">
            <w:pPr>
              <w:pStyle w:val="TableParagraph"/>
              <w:tabs>
                <w:tab w:val="left" w:pos="994"/>
                <w:tab w:val="left" w:pos="1483"/>
              </w:tabs>
              <w:jc w:val="both"/>
              <w:rPr>
                <w:rFonts w:ascii="Times New Roman" w:hAnsi="Times New Roman" w:cs="Times New Roman"/>
                <w:spacing w:val="-2"/>
                <w:sz w:val="28"/>
              </w:rPr>
            </w:pPr>
            <w:r w:rsidRPr="007C57D2">
              <w:rPr>
                <w:rFonts w:ascii="Times New Roman" w:hAnsi="Times New Roman" w:cs="Times New Roman"/>
                <w:b/>
                <w:spacing w:val="-5"/>
                <w:w w:val="105"/>
                <w:sz w:val="28"/>
              </w:rPr>
              <w:t xml:space="preserve">a. </w:t>
            </w:r>
            <w:r w:rsidRPr="007C57D2">
              <w:rPr>
                <w:rFonts w:ascii="Times New Roman" w:hAnsi="Times New Roman" w:cs="Times New Roman"/>
                <w:spacing w:val="-7"/>
                <w:w w:val="105"/>
                <w:sz w:val="28"/>
              </w:rPr>
              <w:t xml:space="preserve">Al </w:t>
            </w:r>
            <w:r w:rsidRPr="007C57D2">
              <w:rPr>
                <w:rFonts w:ascii="Times New Roman" w:hAnsi="Times New Roman" w:cs="Times New Roman"/>
                <w:spacing w:val="-2"/>
                <w:w w:val="105"/>
                <w:sz w:val="28"/>
              </w:rPr>
              <w:t xml:space="preserve">momento </w:t>
            </w:r>
            <w:r w:rsidRPr="007C57D2">
              <w:rPr>
                <w:rFonts w:ascii="Times New Roman" w:hAnsi="Times New Roman" w:cs="Times New Roman"/>
                <w:spacing w:val="-5"/>
                <w:w w:val="105"/>
                <w:sz w:val="28"/>
              </w:rPr>
              <w:t>de</w:t>
            </w:r>
            <w:r w:rsidRPr="007C57D2">
              <w:rPr>
                <w:rFonts w:ascii="Times New Roman" w:hAnsi="Times New Roman" w:cs="Times New Roman"/>
                <w:sz w:val="28"/>
              </w:rPr>
              <w:t xml:space="preserve"> extraviarse el niño o niña</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 tener entre 0 y 12</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años. </w:t>
            </w:r>
          </w:p>
          <w:p w:rsidR="00F22616" w:rsidRPr="007C57D2" w:rsidRDefault="007C57D2" w:rsidP="007C57D2">
            <w:pPr>
              <w:pStyle w:val="TableParagraph"/>
              <w:tabs>
                <w:tab w:val="left" w:pos="994"/>
                <w:tab w:val="left" w:pos="1483"/>
              </w:tabs>
              <w:jc w:val="both"/>
              <w:rPr>
                <w:rFonts w:ascii="Times New Roman" w:hAnsi="Times New Roman" w:cs="Times New Roman"/>
                <w:spacing w:val="-4"/>
                <w:sz w:val="28"/>
              </w:rPr>
            </w:pPr>
            <w:r w:rsidRPr="007C57D2">
              <w:rPr>
                <w:rFonts w:ascii="Times New Roman" w:hAnsi="Times New Roman" w:cs="Times New Roman"/>
                <w:b/>
                <w:sz w:val="28"/>
              </w:rPr>
              <w:t xml:space="preserve">b. </w:t>
            </w:r>
            <w:r w:rsidRPr="007C57D2">
              <w:rPr>
                <w:rFonts w:ascii="Times New Roman" w:hAnsi="Times New Roman" w:cs="Times New Roman"/>
                <w:sz w:val="28"/>
              </w:rPr>
              <w:t>El tiempo transcurrido</w:t>
            </w:r>
            <w:r w:rsidRPr="007C57D2">
              <w:rPr>
                <w:rFonts w:ascii="Times New Roman" w:hAnsi="Times New Roman" w:cs="Times New Roman"/>
                <w:spacing w:val="40"/>
                <w:sz w:val="28"/>
              </w:rPr>
              <w:t xml:space="preserve"> </w:t>
            </w:r>
            <w:r w:rsidRPr="007C57D2">
              <w:rPr>
                <w:rFonts w:ascii="Times New Roman" w:hAnsi="Times New Roman" w:cs="Times New Roman"/>
                <w:sz w:val="28"/>
              </w:rPr>
              <w:t>entre</w:t>
            </w:r>
            <w:r w:rsidRPr="007C57D2">
              <w:rPr>
                <w:rFonts w:ascii="Times New Roman" w:hAnsi="Times New Roman" w:cs="Times New Roman"/>
                <w:spacing w:val="-9"/>
                <w:sz w:val="28"/>
              </w:rPr>
              <w:t xml:space="preserve"> </w:t>
            </w:r>
            <w:r w:rsidRPr="007C57D2">
              <w:rPr>
                <w:rFonts w:ascii="Times New Roman" w:hAnsi="Times New Roman" w:cs="Times New Roman"/>
                <w:sz w:val="28"/>
              </w:rPr>
              <w:t>el</w:t>
            </w:r>
            <w:r w:rsidRPr="007C57D2">
              <w:rPr>
                <w:rFonts w:ascii="Times New Roman" w:hAnsi="Times New Roman" w:cs="Times New Roman"/>
                <w:spacing w:val="-9"/>
                <w:sz w:val="28"/>
              </w:rPr>
              <w:t xml:space="preserve"> </w:t>
            </w:r>
            <w:r w:rsidRPr="007C57D2">
              <w:rPr>
                <w:rFonts w:ascii="Times New Roman" w:hAnsi="Times New Roman" w:cs="Times New Roman"/>
                <w:sz w:val="28"/>
              </w:rPr>
              <w:t>reporte</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en</w:t>
            </w:r>
            <w:r w:rsidRPr="007C57D2">
              <w:rPr>
                <w:rFonts w:ascii="Times New Roman" w:hAnsi="Times New Roman" w:cs="Times New Roman"/>
                <w:spacing w:val="40"/>
                <w:sz w:val="28"/>
              </w:rPr>
              <w:t xml:space="preserve"> </w:t>
            </w:r>
            <w:r w:rsidRPr="007C57D2">
              <w:rPr>
                <w:rFonts w:ascii="Times New Roman" w:hAnsi="Times New Roman" w:cs="Times New Roman"/>
                <w:sz w:val="28"/>
              </w:rPr>
              <w:t>la ventana especial de la</w:t>
            </w:r>
            <w:r w:rsidRPr="007C57D2">
              <w:rPr>
                <w:rFonts w:ascii="Times New Roman" w:hAnsi="Times New Roman" w:cs="Times New Roman"/>
                <w:spacing w:val="40"/>
                <w:sz w:val="28"/>
              </w:rPr>
              <w:t xml:space="preserve"> </w:t>
            </w:r>
            <w:r w:rsidRPr="007C57D2">
              <w:rPr>
                <w:rFonts w:ascii="Times New Roman" w:hAnsi="Times New Roman" w:cs="Times New Roman"/>
                <w:sz w:val="28"/>
              </w:rPr>
              <w:t>página web oficial del</w:t>
            </w:r>
            <w:r w:rsidRPr="007C57D2">
              <w:rPr>
                <w:rFonts w:ascii="Times New Roman" w:hAnsi="Times New Roman" w:cs="Times New Roman"/>
                <w:spacing w:val="40"/>
                <w:sz w:val="28"/>
              </w:rPr>
              <w:t xml:space="preserve"> </w:t>
            </w:r>
            <w:r w:rsidRPr="007C57D2">
              <w:rPr>
                <w:rFonts w:ascii="Times New Roman" w:hAnsi="Times New Roman" w:cs="Times New Roman"/>
                <w:sz w:val="28"/>
              </w:rPr>
              <w:t>Instituto Colombiano de</w:t>
            </w:r>
            <w:r w:rsidRPr="007C57D2">
              <w:rPr>
                <w:rFonts w:ascii="Times New Roman" w:hAnsi="Times New Roman" w:cs="Times New Roman"/>
                <w:spacing w:val="40"/>
                <w:sz w:val="28"/>
              </w:rPr>
              <w:t xml:space="preserve"> </w:t>
            </w:r>
            <w:r w:rsidRPr="007C57D2">
              <w:rPr>
                <w:rFonts w:ascii="Times New Roman" w:hAnsi="Times New Roman" w:cs="Times New Roman"/>
                <w:sz w:val="28"/>
              </w:rPr>
              <w:t>Bienestar Familiar ICBF, o</w:t>
            </w:r>
            <w:r w:rsidRPr="007C57D2">
              <w:rPr>
                <w:rFonts w:ascii="Times New Roman" w:hAnsi="Times New Roman" w:cs="Times New Roman"/>
                <w:spacing w:val="40"/>
                <w:sz w:val="28"/>
              </w:rPr>
              <w:t xml:space="preserve"> </w:t>
            </w:r>
            <w:r w:rsidRPr="007C57D2">
              <w:rPr>
                <w:rFonts w:ascii="Times New Roman" w:hAnsi="Times New Roman" w:cs="Times New Roman"/>
                <w:sz w:val="28"/>
              </w:rPr>
              <w:t>el</w:t>
            </w:r>
            <w:r w:rsidRPr="007C57D2">
              <w:rPr>
                <w:rFonts w:ascii="Times New Roman" w:hAnsi="Times New Roman" w:cs="Times New Roman"/>
                <w:spacing w:val="-10"/>
                <w:sz w:val="28"/>
              </w:rPr>
              <w:t xml:space="preserve"> </w:t>
            </w:r>
            <w:r w:rsidRPr="007C57D2">
              <w:rPr>
                <w:rFonts w:ascii="Times New Roman" w:hAnsi="Times New Roman" w:cs="Times New Roman"/>
                <w:sz w:val="28"/>
              </w:rPr>
              <w:t>reporte</w:t>
            </w:r>
            <w:r w:rsidRPr="007C57D2">
              <w:rPr>
                <w:rFonts w:ascii="Times New Roman" w:hAnsi="Times New Roman" w:cs="Times New Roman"/>
                <w:spacing w:val="-9"/>
                <w:sz w:val="28"/>
              </w:rPr>
              <w:t xml:space="preserve"> </w:t>
            </w:r>
            <w:r w:rsidRPr="007C57D2">
              <w:rPr>
                <w:rFonts w:ascii="Times New Roman" w:hAnsi="Times New Roman" w:cs="Times New Roman"/>
                <w:sz w:val="28"/>
              </w:rPr>
              <w:t>presencial</w:t>
            </w:r>
            <w:r w:rsidRPr="007C57D2">
              <w:rPr>
                <w:rFonts w:ascii="Times New Roman" w:hAnsi="Times New Roman" w:cs="Times New Roman"/>
                <w:spacing w:val="-9"/>
                <w:sz w:val="28"/>
              </w:rPr>
              <w:t xml:space="preserve"> </w:t>
            </w:r>
            <w:r w:rsidRPr="007C57D2">
              <w:rPr>
                <w:rFonts w:ascii="Times New Roman" w:hAnsi="Times New Roman" w:cs="Times New Roman"/>
                <w:sz w:val="28"/>
              </w:rPr>
              <w:t>ante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z w:val="28"/>
              </w:rPr>
              <w:t>Policía Nacional o las</w:t>
            </w:r>
            <w:r w:rsidRPr="007C57D2">
              <w:rPr>
                <w:rFonts w:ascii="Times New Roman" w:hAnsi="Times New Roman" w:cs="Times New Roman"/>
                <w:spacing w:val="40"/>
                <w:sz w:val="28"/>
              </w:rPr>
              <w:t xml:space="preserve"> </w:t>
            </w:r>
            <w:r w:rsidRPr="007C57D2">
              <w:rPr>
                <w:rFonts w:ascii="Times New Roman" w:hAnsi="Times New Roman" w:cs="Times New Roman"/>
                <w:sz w:val="28"/>
              </w:rPr>
              <w:t>Entidades del Sistema</w:t>
            </w:r>
            <w:r w:rsidRPr="007C57D2">
              <w:rPr>
                <w:rFonts w:ascii="Times New Roman" w:hAnsi="Times New Roman" w:cs="Times New Roman"/>
                <w:spacing w:val="40"/>
                <w:sz w:val="28"/>
              </w:rPr>
              <w:t xml:space="preserve"> </w:t>
            </w:r>
            <w:r w:rsidRPr="007C57D2">
              <w:rPr>
                <w:rFonts w:ascii="Times New Roman" w:hAnsi="Times New Roman" w:cs="Times New Roman"/>
                <w:sz w:val="28"/>
              </w:rPr>
              <w:t>Nacional de Bienestar</w:t>
            </w:r>
            <w:r w:rsidRPr="007C57D2">
              <w:rPr>
                <w:rFonts w:ascii="Times New Roman" w:hAnsi="Times New Roman" w:cs="Times New Roman"/>
                <w:spacing w:val="40"/>
                <w:sz w:val="28"/>
              </w:rPr>
              <w:t xml:space="preserve"> </w:t>
            </w:r>
            <w:r w:rsidRPr="007C57D2">
              <w:rPr>
                <w:rFonts w:ascii="Times New Roman" w:hAnsi="Times New Roman" w:cs="Times New Roman"/>
                <w:sz w:val="28"/>
              </w:rPr>
              <w:t>Familiar en cualquiera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sus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instalaciones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cuando</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no</w:t>
            </w:r>
            <w:r w:rsidRPr="007C57D2">
              <w:rPr>
                <w:rFonts w:ascii="Times New Roman" w:hAnsi="Times New Roman" w:cs="Times New Roman"/>
                <w:spacing w:val="40"/>
                <w:sz w:val="28"/>
              </w:rPr>
              <w:t xml:space="preserve"> </w:t>
            </w:r>
            <w:r w:rsidRPr="007C57D2">
              <w:rPr>
                <w:rFonts w:ascii="Times New Roman" w:hAnsi="Times New Roman" w:cs="Times New Roman"/>
                <w:sz w:val="28"/>
              </w:rPr>
              <w:t>se cuente con los medios</w:t>
            </w:r>
            <w:r w:rsidRPr="007C57D2">
              <w:rPr>
                <w:rFonts w:ascii="Times New Roman" w:hAnsi="Times New Roman" w:cs="Times New Roman"/>
                <w:spacing w:val="40"/>
                <w:sz w:val="28"/>
              </w:rPr>
              <w:t xml:space="preserve"> </w:t>
            </w:r>
            <w:r w:rsidRPr="007C57D2">
              <w:rPr>
                <w:rFonts w:ascii="Times New Roman" w:hAnsi="Times New Roman" w:cs="Times New Roman"/>
                <w:sz w:val="28"/>
              </w:rPr>
              <w:t>tecnológicos disponibles</w:t>
            </w:r>
            <w:r w:rsidRPr="007C57D2">
              <w:rPr>
                <w:rFonts w:ascii="Times New Roman" w:hAnsi="Times New Roman" w:cs="Times New Roman"/>
                <w:spacing w:val="40"/>
                <w:sz w:val="28"/>
              </w:rPr>
              <w:t xml:space="preserve"> </w:t>
            </w:r>
            <w:r w:rsidRPr="007C57D2">
              <w:rPr>
                <w:rFonts w:ascii="Times New Roman" w:hAnsi="Times New Roman" w:cs="Times New Roman"/>
                <w:sz w:val="28"/>
              </w:rPr>
              <w:t>para interponer el reporte</w:t>
            </w:r>
            <w:r w:rsidRPr="007C57D2">
              <w:rPr>
                <w:rFonts w:ascii="Times New Roman" w:hAnsi="Times New Roman" w:cs="Times New Roman"/>
                <w:spacing w:val="40"/>
                <w:sz w:val="28"/>
              </w:rPr>
              <w:t xml:space="preserve"> </w:t>
            </w:r>
            <w:r w:rsidRPr="007C57D2">
              <w:rPr>
                <w:rFonts w:ascii="Times New Roman" w:hAnsi="Times New Roman" w:cs="Times New Roman"/>
                <w:sz w:val="28"/>
              </w:rPr>
              <w:t>por</w:t>
            </w:r>
            <w:r w:rsidRPr="007C57D2">
              <w:rPr>
                <w:rFonts w:ascii="Times New Roman" w:hAnsi="Times New Roman" w:cs="Times New Roman"/>
                <w:spacing w:val="-8"/>
                <w:sz w:val="28"/>
              </w:rPr>
              <w:t xml:space="preserve"> </w:t>
            </w:r>
            <w:r w:rsidRPr="007C57D2">
              <w:rPr>
                <w:rFonts w:ascii="Times New Roman" w:hAnsi="Times New Roman" w:cs="Times New Roman"/>
                <w:sz w:val="28"/>
              </w:rPr>
              <w:t>medio</w:t>
            </w:r>
            <w:r w:rsidRPr="007C57D2">
              <w:rPr>
                <w:rFonts w:ascii="Times New Roman" w:hAnsi="Times New Roman" w:cs="Times New Roman"/>
                <w:spacing w:val="-8"/>
                <w:sz w:val="28"/>
              </w:rPr>
              <w:t xml:space="preserve"> </w:t>
            </w:r>
            <w:r w:rsidRPr="007C57D2">
              <w:rPr>
                <w:rFonts w:ascii="Times New Roman" w:hAnsi="Times New Roman" w:cs="Times New Roman"/>
                <w:sz w:val="28"/>
              </w:rPr>
              <w:t>de</w:t>
            </w:r>
            <w:r w:rsidRPr="007C57D2">
              <w:rPr>
                <w:rFonts w:ascii="Times New Roman" w:hAnsi="Times New Roman" w:cs="Times New Roman"/>
                <w:spacing w:val="-8"/>
                <w:sz w:val="28"/>
              </w:rPr>
              <w:t xml:space="preserve"> </w:t>
            </w:r>
            <w:r w:rsidRPr="007C57D2">
              <w:rPr>
                <w:rFonts w:ascii="Times New Roman" w:hAnsi="Times New Roman" w:cs="Times New Roman"/>
                <w:sz w:val="28"/>
              </w:rPr>
              <w:t>la</w:t>
            </w:r>
            <w:r w:rsidRPr="007C57D2">
              <w:rPr>
                <w:rFonts w:ascii="Times New Roman" w:hAnsi="Times New Roman" w:cs="Times New Roman"/>
                <w:spacing w:val="-8"/>
                <w:sz w:val="28"/>
              </w:rPr>
              <w:t xml:space="preserve"> </w:t>
            </w:r>
            <w:r w:rsidRPr="007C57D2">
              <w:rPr>
                <w:rFonts w:ascii="Times New Roman" w:hAnsi="Times New Roman" w:cs="Times New Roman"/>
                <w:sz w:val="28"/>
              </w:rPr>
              <w:t>página</w:t>
            </w:r>
            <w:r w:rsidRPr="007C57D2">
              <w:rPr>
                <w:rFonts w:ascii="Times New Roman" w:hAnsi="Times New Roman" w:cs="Times New Roman"/>
                <w:spacing w:val="-8"/>
                <w:sz w:val="28"/>
              </w:rPr>
              <w:t xml:space="preserve"> </w:t>
            </w:r>
            <w:r w:rsidRPr="007C57D2">
              <w:rPr>
                <w:rFonts w:ascii="Times New Roman" w:hAnsi="Times New Roman" w:cs="Times New Roman"/>
                <w:sz w:val="28"/>
              </w:rPr>
              <w:t>web</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oficial, y </w:t>
            </w:r>
            <w:r w:rsidRPr="007C57D2">
              <w:rPr>
                <w:rFonts w:ascii="Times New Roman" w:hAnsi="Times New Roman" w:cs="Times New Roman"/>
                <w:sz w:val="28"/>
              </w:rPr>
              <w:t>la activación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inmediata de la alerta y no</w:t>
            </w:r>
            <w:r w:rsidRPr="007C57D2">
              <w:rPr>
                <w:rFonts w:ascii="Times New Roman" w:hAnsi="Times New Roman" w:cs="Times New Roman"/>
                <w:spacing w:val="40"/>
                <w:sz w:val="28"/>
              </w:rPr>
              <w:t xml:space="preserve"> </w:t>
            </w:r>
            <w:r w:rsidRPr="007C57D2">
              <w:rPr>
                <w:rFonts w:ascii="Times New Roman" w:hAnsi="Times New Roman" w:cs="Times New Roman"/>
                <w:sz w:val="28"/>
              </w:rPr>
              <w:t>podrá</w:t>
            </w:r>
            <w:r w:rsidRPr="007C57D2">
              <w:rPr>
                <w:rFonts w:ascii="Times New Roman" w:hAnsi="Times New Roman" w:cs="Times New Roman"/>
                <w:spacing w:val="-10"/>
                <w:sz w:val="28"/>
              </w:rPr>
              <w:t xml:space="preserve"> </w:t>
            </w:r>
            <w:r w:rsidRPr="007C57D2">
              <w:rPr>
                <w:rFonts w:ascii="Times New Roman" w:hAnsi="Times New Roman" w:cs="Times New Roman"/>
                <w:sz w:val="28"/>
              </w:rPr>
              <w:t>ser</w:t>
            </w:r>
            <w:r w:rsidRPr="007C57D2">
              <w:rPr>
                <w:rFonts w:ascii="Times New Roman" w:hAnsi="Times New Roman" w:cs="Times New Roman"/>
                <w:spacing w:val="-9"/>
                <w:sz w:val="28"/>
              </w:rPr>
              <w:t xml:space="preserve"> </w:t>
            </w:r>
            <w:r w:rsidRPr="007C57D2">
              <w:rPr>
                <w:rFonts w:ascii="Times New Roman" w:hAnsi="Times New Roman" w:cs="Times New Roman"/>
                <w:sz w:val="28"/>
              </w:rPr>
              <w:t>superior</w:t>
            </w:r>
            <w:r w:rsidRPr="007C57D2">
              <w:rPr>
                <w:rFonts w:ascii="Times New Roman" w:hAnsi="Times New Roman" w:cs="Times New Roman"/>
                <w:spacing w:val="-9"/>
                <w:sz w:val="28"/>
              </w:rPr>
              <w:t xml:space="preserve"> </w:t>
            </w:r>
            <w:r w:rsidRPr="007C57D2">
              <w:rPr>
                <w:rFonts w:ascii="Times New Roman" w:hAnsi="Times New Roman" w:cs="Times New Roman"/>
                <w:sz w:val="28"/>
              </w:rPr>
              <w:t>a</w:t>
            </w:r>
            <w:r w:rsidRPr="007C57D2">
              <w:rPr>
                <w:rFonts w:ascii="Times New Roman" w:hAnsi="Times New Roman" w:cs="Times New Roman"/>
                <w:spacing w:val="-9"/>
                <w:sz w:val="28"/>
              </w:rPr>
              <w:t xml:space="preserve"> </w:t>
            </w:r>
            <w:r w:rsidRPr="007C57D2">
              <w:rPr>
                <w:rFonts w:ascii="Times New Roman" w:hAnsi="Times New Roman" w:cs="Times New Roman"/>
                <w:sz w:val="28"/>
              </w:rPr>
              <w:t>una</w:t>
            </w:r>
            <w:r w:rsidRPr="007C57D2">
              <w:rPr>
                <w:rFonts w:ascii="Times New Roman" w:hAnsi="Times New Roman" w:cs="Times New Roman"/>
                <w:spacing w:val="-9"/>
                <w:sz w:val="28"/>
              </w:rPr>
              <w:t xml:space="preserve"> </w:t>
            </w:r>
            <w:r w:rsidRPr="007C57D2">
              <w:rPr>
                <w:rFonts w:ascii="Times New Roman" w:hAnsi="Times New Roman" w:cs="Times New Roman"/>
                <w:sz w:val="28"/>
              </w:rPr>
              <w:t>(1)</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hora.</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La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autorización</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para</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el</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uso</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de</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los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datos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biométricos</w:t>
            </w:r>
            <w:r w:rsidRPr="007C57D2">
              <w:rPr>
                <w:rFonts w:ascii="Times New Roman" w:hAnsi="Times New Roman" w:cs="Times New Roman"/>
                <w:spacing w:val="40"/>
                <w:sz w:val="28"/>
              </w:rPr>
              <w:t xml:space="preserve"> </w:t>
            </w:r>
            <w:r w:rsidRPr="007C57D2">
              <w:rPr>
                <w:rFonts w:ascii="Times New Roman" w:hAnsi="Times New Roman" w:cs="Times New Roman"/>
                <w:sz w:val="28"/>
              </w:rPr>
              <w:t>y</w:t>
            </w:r>
            <w:r w:rsidRPr="007C57D2">
              <w:rPr>
                <w:rFonts w:ascii="Times New Roman" w:hAnsi="Times New Roman" w:cs="Times New Roman"/>
                <w:spacing w:val="-2"/>
                <w:sz w:val="28"/>
              </w:rPr>
              <w:t xml:space="preserve"> </w:t>
            </w:r>
            <w:r w:rsidRPr="007C57D2">
              <w:rPr>
                <w:rFonts w:ascii="Times New Roman" w:hAnsi="Times New Roman" w:cs="Times New Roman"/>
                <w:sz w:val="28"/>
              </w:rPr>
              <w:t>personales</w:t>
            </w:r>
            <w:r w:rsidRPr="007C57D2">
              <w:rPr>
                <w:rFonts w:ascii="Times New Roman" w:hAnsi="Times New Roman" w:cs="Times New Roman"/>
                <w:spacing w:val="-3"/>
                <w:sz w:val="28"/>
              </w:rPr>
              <w:t xml:space="preserve"> </w:t>
            </w:r>
            <w:r w:rsidRPr="007C57D2">
              <w:rPr>
                <w:rFonts w:ascii="Times New Roman" w:hAnsi="Times New Roman" w:cs="Times New Roman"/>
                <w:sz w:val="28"/>
              </w:rPr>
              <w:t>de</w:t>
            </w:r>
            <w:r w:rsidRPr="007C57D2">
              <w:rPr>
                <w:rFonts w:ascii="Times New Roman" w:hAnsi="Times New Roman" w:cs="Times New Roman"/>
                <w:spacing w:val="-2"/>
                <w:sz w:val="28"/>
              </w:rPr>
              <w:t xml:space="preserve"> </w:t>
            </w:r>
            <w:r w:rsidRPr="007C57D2">
              <w:rPr>
                <w:rFonts w:ascii="Times New Roman" w:hAnsi="Times New Roman" w:cs="Times New Roman"/>
                <w:sz w:val="28"/>
              </w:rPr>
              <w:t>los</w:t>
            </w:r>
            <w:r w:rsidRPr="007C57D2">
              <w:rPr>
                <w:rFonts w:ascii="Times New Roman" w:hAnsi="Times New Roman" w:cs="Times New Roman"/>
                <w:spacing w:val="-2"/>
                <w:sz w:val="28"/>
              </w:rPr>
              <w:t xml:space="preserve"> </w:t>
            </w:r>
            <w:r w:rsidRPr="007C57D2">
              <w:rPr>
                <w:rFonts w:ascii="Times New Roman" w:hAnsi="Times New Roman" w:cs="Times New Roman"/>
                <w:sz w:val="28"/>
              </w:rPr>
              <w:t>niños</w:t>
            </w:r>
            <w:r w:rsidRPr="007C57D2">
              <w:rPr>
                <w:rFonts w:ascii="Times New Roman" w:hAnsi="Times New Roman" w:cs="Times New Roman"/>
                <w:spacing w:val="-2"/>
                <w:sz w:val="28"/>
              </w:rPr>
              <w:t xml:space="preserve"> </w:t>
            </w:r>
            <w:r w:rsidRPr="007C57D2">
              <w:rPr>
                <w:rFonts w:ascii="Times New Roman" w:hAnsi="Times New Roman" w:cs="Times New Roman"/>
                <w:sz w:val="28"/>
              </w:rPr>
              <w:t>y</w:t>
            </w:r>
            <w:r w:rsidRPr="007C57D2">
              <w:rPr>
                <w:rFonts w:ascii="Times New Roman" w:hAnsi="Times New Roman" w:cs="Times New Roman"/>
                <w:spacing w:val="40"/>
                <w:sz w:val="28"/>
              </w:rPr>
              <w:t xml:space="preserve"> </w:t>
            </w:r>
            <w:r w:rsidRPr="007C57D2">
              <w:rPr>
                <w:rFonts w:ascii="Times New Roman" w:hAnsi="Times New Roman" w:cs="Times New Roman"/>
                <w:sz w:val="28"/>
              </w:rPr>
              <w:t>niñas extraviados debe</w:t>
            </w:r>
            <w:r w:rsidRPr="007C57D2">
              <w:rPr>
                <w:rFonts w:ascii="Times New Roman" w:hAnsi="Times New Roman" w:cs="Times New Roman"/>
                <w:spacing w:val="40"/>
                <w:sz w:val="28"/>
              </w:rPr>
              <w:t xml:space="preserve"> </w:t>
            </w:r>
            <w:r w:rsidRPr="007C57D2">
              <w:rPr>
                <w:rFonts w:ascii="Times New Roman" w:hAnsi="Times New Roman" w:cs="Times New Roman"/>
                <w:sz w:val="28"/>
              </w:rPr>
              <w:t>realizarse conforme al</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artículo</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3</w:t>
            </w:r>
            <w:r w:rsidRPr="007C57D2">
              <w:rPr>
                <w:rFonts w:ascii="Times New Roman" w:hAnsi="Times New Roman" w:cs="Times New Roman"/>
                <w:spacing w:val="-1"/>
                <w:sz w:val="28"/>
              </w:rPr>
              <w:t xml:space="preserve"> </w:t>
            </w:r>
            <w:r w:rsidRPr="007C57D2">
              <w:rPr>
                <w:rFonts w:ascii="Times New Roman" w:hAnsi="Times New Roman" w:cs="Times New Roman"/>
                <w:spacing w:val="-2"/>
                <w:sz w:val="28"/>
              </w:rPr>
              <w:t>de</w:t>
            </w:r>
            <w:r w:rsidRPr="007C57D2">
              <w:rPr>
                <w:rFonts w:ascii="Times New Roman" w:hAnsi="Times New Roman" w:cs="Times New Roman"/>
                <w:sz w:val="28"/>
              </w:rPr>
              <w:t xml:space="preserve"> </w:t>
            </w:r>
            <w:r w:rsidRPr="007C57D2">
              <w:rPr>
                <w:rFonts w:ascii="Times New Roman" w:hAnsi="Times New Roman" w:cs="Times New Roman"/>
                <w:spacing w:val="-2"/>
                <w:sz w:val="28"/>
              </w:rPr>
              <w:t>la presente</w:t>
            </w:r>
            <w:r w:rsidRPr="007C57D2">
              <w:rPr>
                <w:rFonts w:ascii="Times New Roman" w:hAnsi="Times New Roman" w:cs="Times New Roman"/>
                <w:sz w:val="28"/>
              </w:rPr>
              <w:t xml:space="preserve"> </w:t>
            </w:r>
            <w:r w:rsidRPr="007C57D2">
              <w:rPr>
                <w:rFonts w:ascii="Times New Roman" w:hAnsi="Times New Roman" w:cs="Times New Roman"/>
                <w:spacing w:val="-4"/>
                <w:sz w:val="28"/>
              </w:rPr>
              <w:t>ley.</w:t>
            </w:r>
          </w:p>
          <w:p w:rsidR="00F22616" w:rsidRPr="007C57D2" w:rsidRDefault="007C57D2" w:rsidP="007C57D2">
            <w:pPr>
              <w:pStyle w:val="TableParagraph"/>
              <w:tabs>
                <w:tab w:val="left" w:pos="591"/>
                <w:tab w:val="left" w:pos="1225"/>
              </w:tabs>
              <w:jc w:val="both"/>
              <w:rPr>
                <w:rFonts w:ascii="Times New Roman" w:hAnsi="Times New Roman" w:cs="Times New Roman"/>
                <w:b/>
                <w:sz w:val="28"/>
              </w:rPr>
            </w:pPr>
            <w:r w:rsidRPr="007C57D2">
              <w:rPr>
                <w:rFonts w:ascii="Times New Roman" w:hAnsi="Times New Roman" w:cs="Times New Roman"/>
                <w:b/>
                <w:spacing w:val="-6"/>
                <w:sz w:val="28"/>
              </w:rPr>
              <w:t xml:space="preserve">c. </w:t>
            </w:r>
            <w:r w:rsidRPr="007C57D2">
              <w:rPr>
                <w:rFonts w:ascii="Times New Roman" w:hAnsi="Times New Roman" w:cs="Times New Roman"/>
                <w:spacing w:val="-4"/>
                <w:sz w:val="28"/>
              </w:rPr>
              <w:t xml:space="preserve">Los </w:t>
            </w:r>
            <w:r w:rsidRPr="007C57D2">
              <w:rPr>
                <w:rFonts w:ascii="Times New Roman" w:hAnsi="Times New Roman" w:cs="Times New Roman"/>
                <w:spacing w:val="-2"/>
                <w:sz w:val="28"/>
              </w:rPr>
              <w:t>padres,</w:t>
            </w:r>
            <w:r w:rsidRPr="007C57D2">
              <w:rPr>
                <w:rFonts w:ascii="Times New Roman" w:hAnsi="Times New Roman" w:cs="Times New Roman"/>
                <w:spacing w:val="40"/>
                <w:sz w:val="28"/>
              </w:rPr>
              <w:t xml:space="preserve"> </w:t>
            </w:r>
            <w:r w:rsidRPr="007C57D2">
              <w:rPr>
                <w:rFonts w:ascii="Times New Roman" w:hAnsi="Times New Roman" w:cs="Times New Roman"/>
                <w:sz w:val="28"/>
              </w:rPr>
              <w:t>representantes legales,</w:t>
            </w:r>
            <w:r w:rsidRPr="007C57D2">
              <w:rPr>
                <w:rFonts w:ascii="Times New Roman" w:hAnsi="Times New Roman" w:cs="Times New Roman"/>
                <w:spacing w:val="40"/>
                <w:sz w:val="28"/>
              </w:rPr>
              <w:t xml:space="preserve"> </w:t>
            </w:r>
            <w:r w:rsidRPr="007C57D2">
              <w:rPr>
                <w:rFonts w:ascii="Times New Roman" w:hAnsi="Times New Roman" w:cs="Times New Roman"/>
                <w:sz w:val="28"/>
              </w:rPr>
              <w:t>quien ostente la custodia,</w:t>
            </w:r>
            <w:r w:rsidRPr="007C57D2">
              <w:rPr>
                <w:rFonts w:ascii="Times New Roman" w:hAnsi="Times New Roman" w:cs="Times New Roman"/>
                <w:spacing w:val="40"/>
                <w:sz w:val="28"/>
              </w:rPr>
              <w:t xml:space="preserve"> </w:t>
            </w:r>
            <w:r w:rsidRPr="007C57D2">
              <w:rPr>
                <w:rFonts w:ascii="Times New Roman" w:hAnsi="Times New Roman" w:cs="Times New Roman"/>
                <w:sz w:val="28"/>
              </w:rPr>
              <w:t>cuidadores, o el Instituto</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Colombiano de Bienestar</w:t>
            </w:r>
            <w:r w:rsidRPr="007C57D2">
              <w:rPr>
                <w:rFonts w:ascii="Times New Roman" w:hAnsi="Times New Roman" w:cs="Times New Roman"/>
                <w:spacing w:val="40"/>
                <w:sz w:val="28"/>
              </w:rPr>
              <w:t xml:space="preserve"> </w:t>
            </w:r>
            <w:r w:rsidRPr="007C57D2">
              <w:rPr>
                <w:rFonts w:ascii="Times New Roman" w:hAnsi="Times New Roman" w:cs="Times New Roman"/>
                <w:sz w:val="28"/>
              </w:rPr>
              <w:t>Familiar</w:t>
            </w:r>
            <w:r w:rsidRPr="007C57D2">
              <w:rPr>
                <w:rFonts w:ascii="Times New Roman" w:hAnsi="Times New Roman" w:cs="Times New Roman"/>
                <w:spacing w:val="31"/>
                <w:sz w:val="28"/>
              </w:rPr>
              <w:t xml:space="preserve"> </w:t>
            </w:r>
            <w:r w:rsidRPr="007C57D2">
              <w:rPr>
                <w:rFonts w:ascii="Times New Roman" w:hAnsi="Times New Roman" w:cs="Times New Roman"/>
                <w:sz w:val="28"/>
              </w:rPr>
              <w:t>o</w:t>
            </w:r>
            <w:r w:rsidRPr="007C57D2">
              <w:rPr>
                <w:rFonts w:ascii="Times New Roman" w:hAnsi="Times New Roman" w:cs="Times New Roman"/>
                <w:spacing w:val="32"/>
                <w:sz w:val="28"/>
              </w:rPr>
              <w:t xml:space="preserve"> </w:t>
            </w:r>
            <w:r w:rsidRPr="007C57D2">
              <w:rPr>
                <w:rFonts w:ascii="Times New Roman" w:hAnsi="Times New Roman" w:cs="Times New Roman"/>
                <w:sz w:val="28"/>
              </w:rPr>
              <w:t>quien</w:t>
            </w:r>
            <w:r w:rsidRPr="007C57D2">
              <w:rPr>
                <w:rFonts w:ascii="Times New Roman" w:hAnsi="Times New Roman" w:cs="Times New Roman"/>
                <w:spacing w:val="33"/>
                <w:sz w:val="28"/>
              </w:rPr>
              <w:t xml:space="preserve"> </w:t>
            </w:r>
            <w:r w:rsidRPr="007C57D2">
              <w:rPr>
                <w:rFonts w:ascii="Times New Roman" w:hAnsi="Times New Roman" w:cs="Times New Roman"/>
                <w:spacing w:val="-2"/>
                <w:sz w:val="28"/>
              </w:rPr>
              <w:t xml:space="preserve">tenga </w:t>
            </w:r>
            <w:r w:rsidRPr="007C57D2">
              <w:rPr>
                <w:rFonts w:ascii="Times New Roman" w:hAnsi="Times New Roman" w:cs="Times New Roman"/>
                <w:sz w:val="28"/>
              </w:rPr>
              <w:t>conocimiento sobre</w:t>
            </w:r>
            <w:r w:rsidRPr="007C57D2">
              <w:rPr>
                <w:rFonts w:ascii="Times New Roman" w:hAnsi="Times New Roman" w:cs="Times New Roman"/>
                <w:spacing w:val="-1"/>
                <w:sz w:val="28"/>
              </w:rPr>
              <w:t xml:space="preserve"> </w:t>
            </w:r>
            <w:r w:rsidRPr="007C57D2">
              <w:rPr>
                <w:rFonts w:ascii="Times New Roman" w:hAnsi="Times New Roman" w:cs="Times New Roman"/>
                <w:sz w:val="28"/>
              </w:rPr>
              <w:t>un</w:t>
            </w:r>
            <w:r w:rsidRPr="007C57D2">
              <w:rPr>
                <w:rFonts w:ascii="Times New Roman" w:hAnsi="Times New Roman" w:cs="Times New Roman"/>
                <w:spacing w:val="-2"/>
                <w:sz w:val="28"/>
              </w:rPr>
              <w:t xml:space="preserve"> </w:t>
            </w:r>
            <w:r w:rsidRPr="007C57D2">
              <w:rPr>
                <w:rFonts w:ascii="Times New Roman" w:hAnsi="Times New Roman" w:cs="Times New Roman"/>
                <w:spacing w:val="-4"/>
                <w:sz w:val="28"/>
              </w:rPr>
              <w:t xml:space="preserve">niño </w:t>
            </w:r>
            <w:r w:rsidRPr="007C57D2">
              <w:rPr>
                <w:rFonts w:ascii="Times New Roman" w:hAnsi="Times New Roman" w:cs="Times New Roman"/>
                <w:sz w:val="28"/>
              </w:rPr>
              <w:t>o niña extraviado deben</w:t>
            </w:r>
            <w:r w:rsidRPr="007C57D2">
              <w:rPr>
                <w:rFonts w:ascii="Times New Roman" w:hAnsi="Times New Roman" w:cs="Times New Roman"/>
                <w:spacing w:val="40"/>
                <w:sz w:val="28"/>
              </w:rPr>
              <w:t xml:space="preserve"> </w:t>
            </w:r>
            <w:r w:rsidRPr="007C57D2">
              <w:rPr>
                <w:rFonts w:ascii="Times New Roman" w:hAnsi="Times New Roman" w:cs="Times New Roman"/>
                <w:sz w:val="28"/>
              </w:rPr>
              <w:t>disponer de información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suficiente para qué al</w:t>
            </w:r>
            <w:r w:rsidRPr="007C57D2">
              <w:rPr>
                <w:rFonts w:ascii="Times New Roman" w:hAnsi="Times New Roman" w:cs="Times New Roman"/>
                <w:spacing w:val="40"/>
                <w:sz w:val="28"/>
              </w:rPr>
              <w:t xml:space="preserve"> </w:t>
            </w:r>
            <w:r w:rsidRPr="007C57D2">
              <w:rPr>
                <w:rFonts w:ascii="Times New Roman" w:hAnsi="Times New Roman" w:cs="Times New Roman"/>
                <w:sz w:val="28"/>
              </w:rPr>
              <w:t>momento</w:t>
            </w:r>
            <w:r w:rsidRPr="007C57D2">
              <w:rPr>
                <w:rFonts w:ascii="Times New Roman" w:hAnsi="Times New Roman" w:cs="Times New Roman"/>
                <w:spacing w:val="-10"/>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emitir</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la </w:t>
            </w:r>
            <w:r w:rsidRPr="007C57D2">
              <w:rPr>
                <w:rFonts w:ascii="Times New Roman" w:hAnsi="Times New Roman" w:cs="Times New Roman"/>
                <w:sz w:val="28"/>
              </w:rPr>
              <w:t>colaboración de la</w:t>
            </w:r>
            <w:r w:rsidRPr="007C57D2">
              <w:rPr>
                <w:rFonts w:ascii="Times New Roman" w:hAnsi="Times New Roman" w:cs="Times New Roman"/>
                <w:spacing w:val="40"/>
                <w:sz w:val="28"/>
              </w:rPr>
              <w:t xml:space="preserve"> </w:t>
            </w:r>
            <w:r w:rsidRPr="007C57D2">
              <w:rPr>
                <w:rFonts w:ascii="Times New Roman" w:hAnsi="Times New Roman" w:cs="Times New Roman"/>
                <w:sz w:val="28"/>
              </w:rPr>
              <w:t>sociedad pueda arrojar</w:t>
            </w:r>
            <w:r w:rsidRPr="007C57D2">
              <w:rPr>
                <w:rFonts w:ascii="Times New Roman" w:hAnsi="Times New Roman" w:cs="Times New Roman"/>
                <w:spacing w:val="40"/>
                <w:sz w:val="28"/>
              </w:rPr>
              <w:t xml:space="preserve"> </w:t>
            </w:r>
            <w:r w:rsidRPr="007C57D2">
              <w:rPr>
                <w:rFonts w:ascii="Times New Roman" w:hAnsi="Times New Roman" w:cs="Times New Roman"/>
                <w:sz w:val="28"/>
              </w:rPr>
              <w:t>resultados</w:t>
            </w:r>
            <w:r w:rsidRPr="007C57D2">
              <w:rPr>
                <w:rFonts w:ascii="Times New Roman" w:hAnsi="Times New Roman" w:cs="Times New Roman"/>
                <w:spacing w:val="-7"/>
                <w:sz w:val="28"/>
              </w:rPr>
              <w:t xml:space="preserve"> </w:t>
            </w:r>
            <w:r w:rsidRPr="007C57D2">
              <w:rPr>
                <w:rFonts w:ascii="Times New Roman" w:hAnsi="Times New Roman" w:cs="Times New Roman"/>
                <w:sz w:val="28"/>
              </w:rPr>
              <w:t>positivos.</w:t>
            </w:r>
          </w:p>
        </w:tc>
        <w:tc>
          <w:tcPr>
            <w:tcW w:w="2185" w:type="dxa"/>
            <w:shd w:val="clear" w:color="auto" w:fill="auto"/>
            <w:vAlign w:val="center"/>
          </w:tcPr>
          <w:p w:rsidR="00F22616"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w w:val="105"/>
                <w:sz w:val="28"/>
              </w:rPr>
              <w:t>Se</w:t>
            </w:r>
            <w:r w:rsidRPr="007C57D2">
              <w:rPr>
                <w:rFonts w:ascii="Times New Roman" w:hAnsi="Times New Roman"/>
                <w:b/>
                <w:spacing w:val="-9"/>
                <w:w w:val="105"/>
                <w:sz w:val="28"/>
              </w:rPr>
              <w:t xml:space="preserve"> </w:t>
            </w:r>
            <w:r w:rsidRPr="007C57D2">
              <w:rPr>
                <w:rFonts w:ascii="Times New Roman" w:hAnsi="Times New Roman"/>
                <w:b/>
                <w:w w:val="105"/>
                <w:sz w:val="28"/>
              </w:rPr>
              <w:t>acoge</w:t>
            </w:r>
            <w:r w:rsidRPr="007C57D2">
              <w:rPr>
                <w:rFonts w:ascii="Times New Roman" w:hAnsi="Times New Roman"/>
                <w:b/>
                <w:spacing w:val="-9"/>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0A1A60"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sz w:val="28"/>
              </w:rPr>
              <w:t>Artículo 10. Procedimiento</w:t>
            </w:r>
            <w:r w:rsidRPr="007C57D2">
              <w:rPr>
                <w:rFonts w:ascii="Times New Roman" w:hAnsi="Times New Roman" w:cs="Times New Roman"/>
                <w:b/>
                <w:spacing w:val="40"/>
                <w:sz w:val="28"/>
              </w:rPr>
              <w:t xml:space="preserve"> </w:t>
            </w:r>
            <w:r w:rsidRPr="007C57D2">
              <w:rPr>
                <w:rFonts w:ascii="Times New Roman" w:hAnsi="Times New Roman" w:cs="Times New Roman"/>
                <w:b/>
                <w:sz w:val="28"/>
              </w:rPr>
              <w:t>para la difusión de la alerta.</w:t>
            </w:r>
            <w:r w:rsidRPr="007C57D2">
              <w:rPr>
                <w:rFonts w:ascii="Times New Roman" w:hAnsi="Times New Roman" w:cs="Times New Roman"/>
                <w:b/>
                <w:spacing w:val="40"/>
                <w:sz w:val="28"/>
              </w:rPr>
              <w:t xml:space="preserve"> </w:t>
            </w:r>
            <w:r w:rsidRPr="007C57D2">
              <w:rPr>
                <w:rFonts w:ascii="Times New Roman" w:hAnsi="Times New Roman" w:cs="Times New Roman"/>
                <w:sz w:val="28"/>
              </w:rPr>
              <w:t>El procedimiento para la</w:t>
            </w:r>
            <w:r w:rsidRPr="007C57D2">
              <w:rPr>
                <w:rFonts w:ascii="Times New Roman" w:hAnsi="Times New Roman" w:cs="Times New Roman"/>
                <w:spacing w:val="40"/>
                <w:sz w:val="28"/>
              </w:rPr>
              <w:t xml:space="preserve"> </w:t>
            </w:r>
            <w:r w:rsidRPr="007C57D2">
              <w:rPr>
                <w:rFonts w:ascii="Times New Roman" w:hAnsi="Times New Roman" w:cs="Times New Roman"/>
                <w:sz w:val="28"/>
              </w:rPr>
              <w:t>difusión de la Alerta Colombia</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 regirse por los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principios de celeridad,</w:t>
            </w:r>
            <w:r w:rsidRPr="007C57D2">
              <w:rPr>
                <w:rFonts w:ascii="Times New Roman" w:hAnsi="Times New Roman" w:cs="Times New Roman"/>
                <w:spacing w:val="-3"/>
                <w:sz w:val="28"/>
              </w:rPr>
              <w:t xml:space="preserve"> </w:t>
            </w:r>
            <w:r w:rsidRPr="007C57D2">
              <w:rPr>
                <w:rFonts w:ascii="Times New Roman" w:hAnsi="Times New Roman" w:cs="Times New Roman"/>
                <w:spacing w:val="-2"/>
                <w:sz w:val="28"/>
              </w:rPr>
              <w:t>eficacia</w:t>
            </w:r>
            <w:r w:rsidRPr="007C57D2">
              <w:rPr>
                <w:rFonts w:ascii="Times New Roman" w:hAnsi="Times New Roman" w:cs="Times New Roman"/>
                <w:spacing w:val="40"/>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publicidad.</w:t>
            </w:r>
            <w:r w:rsidRPr="007C57D2">
              <w:rPr>
                <w:rFonts w:ascii="Times New Roman" w:hAnsi="Times New Roman" w:cs="Times New Roman"/>
                <w:spacing w:val="-9"/>
                <w:sz w:val="28"/>
              </w:rPr>
              <w:t xml:space="preserve"> </w:t>
            </w:r>
            <w:r w:rsidRPr="007C57D2">
              <w:rPr>
                <w:rFonts w:ascii="Times New Roman" w:hAnsi="Times New Roman" w:cs="Times New Roman"/>
                <w:sz w:val="28"/>
              </w:rPr>
              <w:t>Esto</w:t>
            </w:r>
            <w:r w:rsidRPr="007C57D2">
              <w:rPr>
                <w:rFonts w:ascii="Times New Roman" w:hAnsi="Times New Roman" w:cs="Times New Roman"/>
                <w:spacing w:val="-9"/>
                <w:sz w:val="28"/>
              </w:rPr>
              <w:t xml:space="preserve"> </w:t>
            </w:r>
            <w:r w:rsidRPr="007C57D2">
              <w:rPr>
                <w:rFonts w:ascii="Times New Roman" w:hAnsi="Times New Roman" w:cs="Times New Roman"/>
                <w:sz w:val="28"/>
              </w:rPr>
              <w:t>significa</w:t>
            </w:r>
            <w:r w:rsidRPr="007C57D2">
              <w:rPr>
                <w:rFonts w:ascii="Times New Roman" w:hAnsi="Times New Roman" w:cs="Times New Roman"/>
                <w:spacing w:val="-9"/>
                <w:sz w:val="28"/>
              </w:rPr>
              <w:t xml:space="preserve"> </w:t>
            </w:r>
            <w:r w:rsidRPr="007C57D2">
              <w:rPr>
                <w:rFonts w:ascii="Times New Roman" w:hAnsi="Times New Roman" w:cs="Times New Roman"/>
                <w:sz w:val="28"/>
              </w:rPr>
              <w:t>que</w:t>
            </w:r>
            <w:r w:rsidRPr="007C57D2">
              <w:rPr>
                <w:rFonts w:ascii="Times New Roman" w:hAnsi="Times New Roman" w:cs="Times New Roman"/>
                <w:spacing w:val="40"/>
                <w:sz w:val="28"/>
              </w:rPr>
              <w:t xml:space="preserve"> </w:t>
            </w:r>
            <w:r w:rsidRPr="007C57D2">
              <w:rPr>
                <w:rFonts w:ascii="Times New Roman" w:hAnsi="Times New Roman" w:cs="Times New Roman"/>
                <w:sz w:val="28"/>
              </w:rPr>
              <w:t>no debe existir ningún tipo de</w:t>
            </w:r>
            <w:r w:rsidRPr="007C57D2">
              <w:rPr>
                <w:rFonts w:ascii="Times New Roman" w:hAnsi="Times New Roman" w:cs="Times New Roman"/>
                <w:spacing w:val="40"/>
                <w:sz w:val="28"/>
              </w:rPr>
              <w:t xml:space="preserve"> </w:t>
            </w:r>
            <w:r w:rsidRPr="007C57D2">
              <w:rPr>
                <w:rFonts w:ascii="Times New Roman" w:hAnsi="Times New Roman" w:cs="Times New Roman"/>
                <w:sz w:val="28"/>
              </w:rPr>
              <w:t>dilaciones por parte de las</w:t>
            </w:r>
            <w:r w:rsidRPr="007C57D2">
              <w:rPr>
                <w:rFonts w:ascii="Times New Roman" w:hAnsi="Times New Roman" w:cs="Times New Roman"/>
                <w:spacing w:val="40"/>
                <w:sz w:val="28"/>
              </w:rPr>
              <w:t xml:space="preserve"> </w:t>
            </w:r>
            <w:r w:rsidRPr="007C57D2">
              <w:rPr>
                <w:rFonts w:ascii="Times New Roman" w:hAnsi="Times New Roman" w:cs="Times New Roman"/>
                <w:sz w:val="28"/>
              </w:rPr>
              <w:t>autoridades</w:t>
            </w:r>
            <w:r w:rsidRPr="007C57D2">
              <w:rPr>
                <w:rFonts w:ascii="Times New Roman" w:hAnsi="Times New Roman" w:cs="Times New Roman"/>
                <w:spacing w:val="-9"/>
                <w:sz w:val="28"/>
              </w:rPr>
              <w:t xml:space="preserve"> </w:t>
            </w:r>
            <w:r w:rsidRPr="007C57D2">
              <w:rPr>
                <w:rFonts w:ascii="Times New Roman" w:hAnsi="Times New Roman" w:cs="Times New Roman"/>
                <w:sz w:val="28"/>
              </w:rPr>
              <w:t>competentes.</w:t>
            </w:r>
          </w:p>
          <w:p w:rsidR="000A1A60"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spacing w:val="-2"/>
                <w:sz w:val="28"/>
              </w:rPr>
              <w:t>En relación,</w:t>
            </w:r>
            <w:r w:rsidRPr="007C57D2">
              <w:rPr>
                <w:rFonts w:ascii="Times New Roman" w:hAnsi="Times New Roman" w:cs="Times New Roman"/>
                <w:spacing w:val="-3"/>
                <w:sz w:val="28"/>
              </w:rPr>
              <w:t xml:space="preserve"> </w:t>
            </w:r>
            <w:r w:rsidRPr="007C57D2">
              <w:rPr>
                <w:rFonts w:ascii="Times New Roman" w:hAnsi="Times New Roman" w:cs="Times New Roman"/>
                <w:spacing w:val="-2"/>
                <w:sz w:val="28"/>
              </w:rPr>
              <w:t>los</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procedimientos</w:t>
            </w:r>
            <w:r w:rsidRPr="007C57D2">
              <w:rPr>
                <w:rFonts w:ascii="Times New Roman" w:hAnsi="Times New Roman" w:cs="Times New Roman"/>
                <w:spacing w:val="40"/>
                <w:sz w:val="28"/>
              </w:rPr>
              <w:t xml:space="preserve"> </w:t>
            </w:r>
            <w:r w:rsidRPr="007C57D2">
              <w:rPr>
                <w:rFonts w:ascii="Times New Roman" w:hAnsi="Times New Roman" w:cs="Times New Roman"/>
                <w:sz w:val="28"/>
              </w:rPr>
              <w:t>de difusión serán los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siguientes:</w:t>
            </w:r>
          </w:p>
          <w:p w:rsidR="00994FF1" w:rsidRPr="007C57D2" w:rsidRDefault="007C57D2" w:rsidP="007C57D2">
            <w:pPr>
              <w:pStyle w:val="TableParagraph"/>
              <w:tabs>
                <w:tab w:val="left" w:pos="214"/>
                <w:tab w:val="left" w:pos="1694"/>
              </w:tabs>
              <w:jc w:val="both"/>
              <w:rPr>
                <w:rFonts w:ascii="Times New Roman" w:hAnsi="Times New Roman" w:cs="Times New Roman"/>
                <w:sz w:val="28"/>
              </w:rPr>
            </w:pPr>
            <w:r w:rsidRPr="007C57D2">
              <w:rPr>
                <w:rFonts w:ascii="Times New Roman" w:hAnsi="Times New Roman" w:cs="Times New Roman"/>
                <w:b/>
                <w:bCs/>
                <w:sz w:val="28"/>
              </w:rPr>
              <w:t>a)</w:t>
            </w:r>
            <w:r w:rsidRPr="007C57D2">
              <w:rPr>
                <w:rFonts w:ascii="Times New Roman" w:hAnsi="Times New Roman" w:cs="Times New Roman"/>
                <w:sz w:val="28"/>
              </w:rPr>
              <w:t xml:space="preserve"> </w:t>
            </w:r>
            <w:r w:rsidRPr="007C57D2">
              <w:rPr>
                <w:rFonts w:ascii="Times New Roman" w:hAnsi="Times New Roman" w:cs="Times New Roman"/>
                <w:sz w:val="28"/>
              </w:rPr>
              <w:t>Los</w:t>
            </w:r>
            <w:r w:rsidRPr="007C57D2">
              <w:rPr>
                <w:rFonts w:ascii="Times New Roman" w:hAnsi="Times New Roman" w:cs="Times New Roman"/>
                <w:spacing w:val="-7"/>
                <w:sz w:val="28"/>
              </w:rPr>
              <w:t xml:space="preserve"> </w:t>
            </w:r>
            <w:r w:rsidRPr="007C57D2">
              <w:rPr>
                <w:rFonts w:ascii="Times New Roman" w:hAnsi="Times New Roman" w:cs="Times New Roman"/>
                <w:sz w:val="28"/>
              </w:rPr>
              <w:t>proveedores</w:t>
            </w:r>
            <w:r w:rsidRPr="007C57D2">
              <w:rPr>
                <w:rFonts w:ascii="Times New Roman" w:hAnsi="Times New Roman" w:cs="Times New Roman"/>
                <w:spacing w:val="-7"/>
                <w:sz w:val="28"/>
              </w:rPr>
              <w:t xml:space="preserve"> </w:t>
            </w:r>
            <w:r w:rsidRPr="007C57D2">
              <w:rPr>
                <w:rFonts w:ascii="Times New Roman" w:hAnsi="Times New Roman" w:cs="Times New Roman"/>
                <w:sz w:val="28"/>
              </w:rPr>
              <w:t>de</w:t>
            </w:r>
            <w:r w:rsidRPr="007C57D2">
              <w:rPr>
                <w:rFonts w:ascii="Times New Roman" w:hAnsi="Times New Roman" w:cs="Times New Roman"/>
                <w:spacing w:val="-7"/>
                <w:sz w:val="28"/>
              </w:rPr>
              <w:t xml:space="preserve"> </w:t>
            </w:r>
            <w:r w:rsidRPr="007C57D2">
              <w:rPr>
                <w:rFonts w:ascii="Times New Roman" w:hAnsi="Times New Roman" w:cs="Times New Roman"/>
                <w:sz w:val="28"/>
              </w:rPr>
              <w:t>redes</w:t>
            </w:r>
            <w:r w:rsidRPr="007C57D2">
              <w:rPr>
                <w:rFonts w:ascii="Times New Roman" w:hAnsi="Times New Roman" w:cs="Times New Roman"/>
                <w:spacing w:val="-6"/>
                <w:sz w:val="28"/>
              </w:rPr>
              <w:t xml:space="preserve"> </w:t>
            </w:r>
            <w:r w:rsidRPr="007C57D2">
              <w:rPr>
                <w:rFonts w:ascii="Times New Roman" w:hAnsi="Times New Roman" w:cs="Times New Roman"/>
                <w:sz w:val="28"/>
              </w:rPr>
              <w:t>y</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servicios</w:t>
            </w:r>
            <w:r w:rsidRPr="007C57D2">
              <w:rPr>
                <w:rFonts w:ascii="Times New Roman" w:hAnsi="Times New Roman" w:cs="Times New Roman"/>
                <w:spacing w:val="-2"/>
                <w:sz w:val="28"/>
              </w:rPr>
              <w:t xml:space="preserve"> </w:t>
            </w:r>
            <w:r w:rsidRPr="007C57D2">
              <w:rPr>
                <w:rFonts w:ascii="Times New Roman" w:hAnsi="Times New Roman" w:cs="Times New Roman"/>
                <w:spacing w:val="-5"/>
                <w:sz w:val="28"/>
              </w:rPr>
              <w:t>de</w:t>
            </w:r>
            <w:r w:rsidRPr="007C57D2">
              <w:rPr>
                <w:rFonts w:ascii="Times New Roman" w:hAnsi="Times New Roman" w:cs="Times New Roman"/>
                <w:spacing w:val="-5"/>
                <w:sz w:val="28"/>
              </w:rPr>
              <w:t xml:space="preserve"> </w:t>
            </w:r>
            <w:r w:rsidRPr="007C57D2">
              <w:rPr>
                <w:rFonts w:ascii="Times New Roman" w:hAnsi="Times New Roman" w:cs="Times New Roman"/>
                <w:sz w:val="28"/>
              </w:rPr>
              <w:t xml:space="preserve">telecomunicaciones </w:t>
            </w:r>
            <w:r w:rsidRPr="007C57D2">
              <w:rPr>
                <w:rFonts w:ascii="Times New Roman" w:hAnsi="Times New Roman" w:cs="Times New Roman"/>
                <w:sz w:val="28"/>
              </w:rPr>
              <w:t>móviles</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deberán emitir 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difundiendo la</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información del niño o niña</w:t>
            </w:r>
            <w:r w:rsidRPr="007C57D2">
              <w:rPr>
                <w:rFonts w:ascii="Times New Roman" w:hAnsi="Times New Roman" w:cs="Times New Roman"/>
                <w:spacing w:val="40"/>
                <w:sz w:val="28"/>
              </w:rPr>
              <w:t xml:space="preserve"> </w:t>
            </w:r>
            <w:r w:rsidRPr="007C57D2">
              <w:rPr>
                <w:rFonts w:ascii="Times New Roman" w:hAnsi="Times New Roman" w:cs="Times New Roman"/>
                <w:sz w:val="28"/>
              </w:rPr>
              <w:t>extraviado o desaparecido de</w:t>
            </w:r>
            <w:r w:rsidRPr="007C57D2">
              <w:rPr>
                <w:rFonts w:ascii="Times New Roman" w:hAnsi="Times New Roman" w:cs="Times New Roman"/>
                <w:spacing w:val="40"/>
                <w:sz w:val="28"/>
              </w:rPr>
              <w:t xml:space="preserve"> </w:t>
            </w:r>
            <w:r w:rsidRPr="007C57D2">
              <w:rPr>
                <w:rFonts w:ascii="Times New Roman" w:hAnsi="Times New Roman" w:cs="Times New Roman"/>
                <w:sz w:val="28"/>
              </w:rPr>
              <w:t>manera gratuita y oportuna</w:t>
            </w:r>
            <w:r w:rsidRPr="007C57D2">
              <w:rPr>
                <w:rFonts w:ascii="Times New Roman" w:hAnsi="Times New Roman" w:cs="Times New Roman"/>
                <w:spacing w:val="40"/>
                <w:sz w:val="28"/>
              </w:rPr>
              <w:t xml:space="preserve"> </w:t>
            </w:r>
            <w:r w:rsidRPr="007C57D2">
              <w:rPr>
                <w:rFonts w:ascii="Times New Roman" w:hAnsi="Times New Roman" w:cs="Times New Roman"/>
                <w:sz w:val="28"/>
              </w:rPr>
              <w:t>conforme al artículo 6 de la</w:t>
            </w:r>
            <w:r w:rsidRPr="007C57D2">
              <w:rPr>
                <w:rFonts w:ascii="Times New Roman" w:hAnsi="Times New Roman" w:cs="Times New Roman"/>
                <w:spacing w:val="40"/>
                <w:sz w:val="28"/>
              </w:rPr>
              <w:t xml:space="preserve"> </w:t>
            </w:r>
            <w:r w:rsidRPr="007C57D2">
              <w:rPr>
                <w:rFonts w:ascii="Times New Roman" w:hAnsi="Times New Roman" w:cs="Times New Roman"/>
                <w:sz w:val="28"/>
              </w:rPr>
              <w:t>presente</w:t>
            </w:r>
            <w:r w:rsidRPr="007C57D2">
              <w:rPr>
                <w:rFonts w:ascii="Times New Roman" w:hAnsi="Times New Roman" w:cs="Times New Roman"/>
                <w:spacing w:val="-5"/>
                <w:sz w:val="28"/>
              </w:rPr>
              <w:t xml:space="preserve"> </w:t>
            </w:r>
            <w:r w:rsidRPr="007C57D2">
              <w:rPr>
                <w:rFonts w:ascii="Times New Roman" w:hAnsi="Times New Roman" w:cs="Times New Roman"/>
                <w:sz w:val="28"/>
              </w:rPr>
              <w:t>ley.</w:t>
            </w:r>
          </w:p>
          <w:p w:rsidR="000A1A60" w:rsidRPr="007C57D2" w:rsidRDefault="007C57D2" w:rsidP="007C57D2">
            <w:pPr>
              <w:pStyle w:val="TableParagraph"/>
              <w:tabs>
                <w:tab w:val="left" w:pos="218"/>
                <w:tab w:val="left" w:pos="1694"/>
              </w:tabs>
              <w:jc w:val="both"/>
              <w:rPr>
                <w:rFonts w:ascii="Times New Roman" w:hAnsi="Times New Roman" w:cs="Times New Roman"/>
                <w:sz w:val="28"/>
              </w:rPr>
            </w:pPr>
            <w:r w:rsidRPr="007C57D2">
              <w:rPr>
                <w:rFonts w:ascii="Times New Roman" w:hAnsi="Times New Roman" w:cs="Times New Roman"/>
                <w:b/>
                <w:bCs/>
                <w:sz w:val="28"/>
              </w:rPr>
              <w:t>b)</w:t>
            </w:r>
            <w:r w:rsidRPr="007C57D2">
              <w:rPr>
                <w:rFonts w:ascii="Times New Roman" w:hAnsi="Times New Roman" w:cs="Times New Roman"/>
                <w:sz w:val="28"/>
              </w:rPr>
              <w:t xml:space="preserve"> </w:t>
            </w:r>
            <w:r w:rsidRPr="007C57D2">
              <w:rPr>
                <w:rFonts w:ascii="Times New Roman" w:hAnsi="Times New Roman" w:cs="Times New Roman"/>
                <w:sz w:val="28"/>
              </w:rPr>
              <w:t>Los</w:t>
            </w:r>
            <w:r w:rsidRPr="007C57D2">
              <w:rPr>
                <w:rFonts w:ascii="Times New Roman" w:hAnsi="Times New Roman" w:cs="Times New Roman"/>
                <w:spacing w:val="-8"/>
                <w:sz w:val="28"/>
              </w:rPr>
              <w:t xml:space="preserve"> </w:t>
            </w:r>
            <w:r w:rsidRPr="007C57D2">
              <w:rPr>
                <w:rFonts w:ascii="Times New Roman" w:hAnsi="Times New Roman" w:cs="Times New Roman"/>
                <w:sz w:val="28"/>
              </w:rPr>
              <w:t>proveedores</w:t>
            </w:r>
            <w:r w:rsidRPr="007C57D2">
              <w:rPr>
                <w:rFonts w:ascii="Times New Roman" w:hAnsi="Times New Roman" w:cs="Times New Roman"/>
                <w:spacing w:val="-8"/>
                <w:sz w:val="28"/>
              </w:rPr>
              <w:t xml:space="preserve"> </w:t>
            </w:r>
            <w:r w:rsidRPr="007C57D2">
              <w:rPr>
                <w:rFonts w:ascii="Times New Roman" w:hAnsi="Times New Roman" w:cs="Times New Roman"/>
                <w:sz w:val="28"/>
              </w:rPr>
              <w:t>de</w:t>
            </w:r>
            <w:r w:rsidRPr="007C57D2">
              <w:rPr>
                <w:rFonts w:ascii="Times New Roman" w:hAnsi="Times New Roman" w:cs="Times New Roman"/>
                <w:spacing w:val="-8"/>
                <w:sz w:val="28"/>
              </w:rPr>
              <w:t xml:space="preserve"> </w:t>
            </w:r>
            <w:r w:rsidRPr="007C57D2">
              <w:rPr>
                <w:rFonts w:ascii="Times New Roman" w:hAnsi="Times New Roman" w:cs="Times New Roman"/>
                <w:sz w:val="28"/>
              </w:rPr>
              <w:t>redes</w:t>
            </w:r>
            <w:r w:rsidRPr="007C57D2">
              <w:rPr>
                <w:rFonts w:ascii="Times New Roman" w:hAnsi="Times New Roman" w:cs="Times New Roman"/>
                <w:spacing w:val="-8"/>
                <w:sz w:val="28"/>
              </w:rPr>
              <w:t xml:space="preserve"> </w:t>
            </w:r>
            <w:r w:rsidRPr="007C57D2">
              <w:rPr>
                <w:rFonts w:ascii="Times New Roman" w:hAnsi="Times New Roman" w:cs="Times New Roman"/>
                <w:sz w:val="28"/>
              </w:rPr>
              <w:t>y</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servicios</w:t>
            </w:r>
            <w:r w:rsidRPr="007C57D2">
              <w:rPr>
                <w:rFonts w:ascii="Times New Roman" w:hAnsi="Times New Roman" w:cs="Times New Roman"/>
                <w:spacing w:val="-2"/>
                <w:sz w:val="28"/>
              </w:rPr>
              <w:t xml:space="preserve"> </w:t>
            </w:r>
            <w:r w:rsidRPr="007C57D2">
              <w:rPr>
                <w:rFonts w:ascii="Times New Roman" w:hAnsi="Times New Roman" w:cs="Times New Roman"/>
                <w:spacing w:val="-5"/>
                <w:sz w:val="28"/>
              </w:rPr>
              <w:t>de</w:t>
            </w:r>
            <w:r w:rsidRPr="007C57D2">
              <w:rPr>
                <w:rFonts w:ascii="Times New Roman" w:hAnsi="Times New Roman" w:cs="Times New Roman"/>
                <w:spacing w:val="-5"/>
                <w:sz w:val="28"/>
              </w:rPr>
              <w:t xml:space="preserve"> </w:t>
            </w:r>
            <w:r w:rsidRPr="007C57D2">
              <w:rPr>
                <w:rFonts w:ascii="Times New Roman" w:hAnsi="Times New Roman" w:cs="Times New Roman"/>
                <w:sz w:val="28"/>
              </w:rPr>
              <w:t>telecomunicaciones</w:t>
            </w:r>
            <w:r w:rsidRPr="007C57D2">
              <w:rPr>
                <w:rFonts w:ascii="Times New Roman" w:hAnsi="Times New Roman" w:cs="Times New Roman"/>
                <w:spacing w:val="59"/>
                <w:sz w:val="28"/>
              </w:rPr>
              <w:t xml:space="preserve"> </w:t>
            </w:r>
            <w:r w:rsidRPr="007C57D2">
              <w:rPr>
                <w:rFonts w:ascii="Times New Roman" w:hAnsi="Times New Roman" w:cs="Times New Roman"/>
                <w:spacing w:val="-2"/>
                <w:sz w:val="28"/>
              </w:rPr>
              <w:t xml:space="preserve">móviles </w:t>
            </w:r>
            <w:r w:rsidRPr="007C57D2">
              <w:rPr>
                <w:rFonts w:ascii="Times New Roman" w:hAnsi="Times New Roman" w:cs="Times New Roman"/>
                <w:w w:val="105"/>
                <w:sz w:val="28"/>
              </w:rPr>
              <w:t>que prestan sus servicios en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país deberán, en un tiempo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máximo de dos (2) horas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posteriores</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a</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activación</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 Colombia, difundir dicha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 a todos los usuarios que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se</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encuentren</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registrados</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zona en la que se presentó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extravío del </w:t>
            </w:r>
            <w:r w:rsidRPr="007C57D2">
              <w:rPr>
                <w:rFonts w:ascii="Times New Roman" w:hAnsi="Times New Roman" w:cs="Times New Roman"/>
                <w:w w:val="105"/>
                <w:sz w:val="28"/>
              </w:rPr>
              <w:t>niño o niña. 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todo</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caso,</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si</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existen</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indicios</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que el niño o niña ha sido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trasladado a otra ciudad 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municipio, la alerta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ampliarse</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progresivamente.</w:t>
            </w:r>
          </w:p>
          <w:p w:rsidR="000A1A60" w:rsidRPr="007C57D2" w:rsidRDefault="007C57D2" w:rsidP="007C57D2">
            <w:pPr>
              <w:spacing w:after="0" w:line="240" w:lineRule="auto"/>
              <w:jc w:val="both"/>
              <w:rPr>
                <w:rFonts w:ascii="Times New Roman" w:hAnsi="Times New Roman"/>
                <w:w w:val="105"/>
                <w:sz w:val="28"/>
              </w:rPr>
            </w:pPr>
            <w:r w:rsidRPr="007C57D2">
              <w:rPr>
                <w:rFonts w:ascii="Times New Roman" w:hAnsi="Times New Roman"/>
                <w:b/>
                <w:w w:val="105"/>
                <w:sz w:val="28"/>
              </w:rPr>
              <w:t xml:space="preserve">c) </w:t>
            </w:r>
            <w:r w:rsidRPr="007C57D2">
              <w:rPr>
                <w:rFonts w:ascii="Times New Roman" w:hAnsi="Times New Roman"/>
                <w:w w:val="105"/>
                <w:sz w:val="28"/>
              </w:rPr>
              <w:t>Dicha alerta deberá ser</w:t>
            </w:r>
            <w:r w:rsidRPr="007C57D2">
              <w:rPr>
                <w:rFonts w:ascii="Times New Roman" w:hAnsi="Times New Roman"/>
                <w:spacing w:val="40"/>
                <w:w w:val="105"/>
                <w:sz w:val="28"/>
              </w:rPr>
              <w:t xml:space="preserve"> </w:t>
            </w:r>
            <w:r w:rsidRPr="007C57D2">
              <w:rPr>
                <w:rFonts w:ascii="Times New Roman" w:hAnsi="Times New Roman"/>
                <w:w w:val="105"/>
                <w:sz w:val="28"/>
              </w:rPr>
              <w:t>emitida de manera ágil e</w:t>
            </w:r>
            <w:r w:rsidRPr="007C57D2">
              <w:rPr>
                <w:rFonts w:ascii="Times New Roman" w:hAnsi="Times New Roman"/>
                <w:spacing w:val="40"/>
                <w:w w:val="105"/>
                <w:sz w:val="28"/>
              </w:rPr>
              <w:t xml:space="preserve"> </w:t>
            </w:r>
            <w:r w:rsidRPr="007C57D2">
              <w:rPr>
                <w:rFonts w:ascii="Times New Roman" w:hAnsi="Times New Roman"/>
                <w:w w:val="105"/>
                <w:sz w:val="28"/>
              </w:rPr>
              <w:t>inmediata al Ministerio de</w:t>
            </w:r>
            <w:r w:rsidRPr="007C57D2">
              <w:rPr>
                <w:rFonts w:ascii="Times New Roman" w:hAnsi="Times New Roman"/>
                <w:spacing w:val="40"/>
                <w:w w:val="105"/>
                <w:sz w:val="28"/>
              </w:rPr>
              <w:t xml:space="preserve"> </w:t>
            </w:r>
            <w:r w:rsidRPr="007C57D2">
              <w:rPr>
                <w:rFonts w:ascii="Times New Roman" w:hAnsi="Times New Roman"/>
                <w:spacing w:val="-2"/>
                <w:w w:val="105"/>
                <w:sz w:val="28"/>
              </w:rPr>
              <w:t>Relaciones</w:t>
            </w:r>
            <w:r w:rsidRPr="007C57D2">
              <w:rPr>
                <w:rFonts w:ascii="Times New Roman" w:hAnsi="Times New Roman"/>
                <w:spacing w:val="-2"/>
                <w:w w:val="105"/>
                <w:sz w:val="28"/>
              </w:rPr>
              <w:t xml:space="preserve"> </w:t>
            </w:r>
            <w:r w:rsidRPr="007C57D2">
              <w:rPr>
                <w:rFonts w:ascii="Times New Roman" w:hAnsi="Times New Roman"/>
                <w:spacing w:val="-2"/>
                <w:w w:val="105"/>
                <w:sz w:val="28"/>
              </w:rPr>
              <w:t>Exteriores,</w:t>
            </w:r>
            <w:r w:rsidRPr="007C57D2">
              <w:rPr>
                <w:rFonts w:ascii="Times New Roman" w:hAnsi="Times New Roman"/>
                <w:spacing w:val="40"/>
                <w:w w:val="105"/>
                <w:sz w:val="28"/>
              </w:rPr>
              <w:t xml:space="preserve"> </w:t>
            </w:r>
            <w:r w:rsidRPr="007C57D2">
              <w:rPr>
                <w:rFonts w:ascii="Times New Roman" w:hAnsi="Times New Roman"/>
                <w:w w:val="105"/>
                <w:sz w:val="28"/>
              </w:rPr>
              <w:t>Migración Colombia y a todas</w:t>
            </w:r>
            <w:r w:rsidRPr="007C57D2">
              <w:rPr>
                <w:rFonts w:ascii="Times New Roman" w:hAnsi="Times New Roman"/>
                <w:spacing w:val="40"/>
                <w:w w:val="105"/>
                <w:sz w:val="28"/>
              </w:rPr>
              <w:t xml:space="preserve"> </w:t>
            </w:r>
            <w:r w:rsidRPr="007C57D2">
              <w:rPr>
                <w:rFonts w:ascii="Times New Roman" w:hAnsi="Times New Roman"/>
                <w:w w:val="105"/>
                <w:sz w:val="28"/>
              </w:rPr>
              <w:t>las demás autoridades en las</w:t>
            </w:r>
            <w:r w:rsidRPr="007C57D2">
              <w:rPr>
                <w:rFonts w:ascii="Times New Roman" w:hAnsi="Times New Roman"/>
                <w:spacing w:val="40"/>
                <w:w w:val="105"/>
                <w:sz w:val="28"/>
              </w:rPr>
              <w:t xml:space="preserve"> </w:t>
            </w:r>
            <w:r w:rsidRPr="007C57D2">
              <w:rPr>
                <w:rFonts w:ascii="Times New Roman" w:hAnsi="Times New Roman"/>
                <w:spacing w:val="-2"/>
                <w:w w:val="105"/>
                <w:sz w:val="28"/>
              </w:rPr>
              <w:t>fronteras,</w:t>
            </w:r>
            <w:r w:rsidRPr="007C57D2">
              <w:rPr>
                <w:rFonts w:ascii="Times New Roman" w:hAnsi="Times New Roman"/>
                <w:spacing w:val="-2"/>
                <w:w w:val="105"/>
                <w:sz w:val="28"/>
              </w:rPr>
              <w:t xml:space="preserve"> </w:t>
            </w:r>
            <w:r w:rsidRPr="007C57D2">
              <w:rPr>
                <w:rFonts w:ascii="Times New Roman" w:hAnsi="Times New Roman"/>
                <w:spacing w:val="-2"/>
                <w:w w:val="105"/>
                <w:sz w:val="28"/>
              </w:rPr>
              <w:t>puertos</w:t>
            </w:r>
            <w:r w:rsidRPr="007C57D2">
              <w:rPr>
                <w:rFonts w:ascii="Times New Roman" w:hAnsi="Times New Roman"/>
                <w:spacing w:val="-2"/>
                <w:w w:val="105"/>
                <w:sz w:val="28"/>
              </w:rPr>
              <w:t xml:space="preserve"> </w:t>
            </w:r>
            <w:r w:rsidRPr="007C57D2">
              <w:rPr>
                <w:rFonts w:ascii="Times New Roman" w:hAnsi="Times New Roman"/>
                <w:spacing w:val="-10"/>
                <w:w w:val="105"/>
                <w:sz w:val="28"/>
              </w:rPr>
              <w:t>y</w:t>
            </w:r>
            <w:r w:rsidRPr="007C57D2">
              <w:rPr>
                <w:rFonts w:ascii="Times New Roman" w:hAnsi="Times New Roman"/>
                <w:spacing w:val="40"/>
                <w:w w:val="105"/>
                <w:sz w:val="28"/>
              </w:rPr>
              <w:t xml:space="preserve"> </w:t>
            </w:r>
            <w:r w:rsidRPr="007C57D2">
              <w:rPr>
                <w:rFonts w:ascii="Times New Roman" w:hAnsi="Times New Roman"/>
                <w:w w:val="105"/>
                <w:sz w:val="28"/>
              </w:rPr>
              <w:t>aeropuertos</w:t>
            </w:r>
            <w:r w:rsidRPr="007C57D2">
              <w:rPr>
                <w:rFonts w:ascii="Times New Roman" w:hAnsi="Times New Roman"/>
                <w:spacing w:val="-11"/>
                <w:w w:val="105"/>
                <w:sz w:val="28"/>
              </w:rPr>
              <w:t xml:space="preserve"> </w:t>
            </w:r>
            <w:r w:rsidRPr="007C57D2">
              <w:rPr>
                <w:rFonts w:ascii="Times New Roman" w:hAnsi="Times New Roman"/>
                <w:w w:val="105"/>
                <w:sz w:val="28"/>
              </w:rPr>
              <w:t>con</w:t>
            </w:r>
            <w:r w:rsidRPr="007C57D2">
              <w:rPr>
                <w:rFonts w:ascii="Times New Roman" w:hAnsi="Times New Roman"/>
                <w:spacing w:val="-9"/>
                <w:w w:val="105"/>
                <w:sz w:val="28"/>
              </w:rPr>
              <w:t xml:space="preserve"> </w:t>
            </w:r>
            <w:r w:rsidRPr="007C57D2">
              <w:rPr>
                <w:rFonts w:ascii="Times New Roman" w:hAnsi="Times New Roman"/>
                <w:w w:val="105"/>
                <w:sz w:val="28"/>
              </w:rPr>
              <w:t>el</w:t>
            </w:r>
            <w:r w:rsidRPr="007C57D2">
              <w:rPr>
                <w:rFonts w:ascii="Times New Roman" w:hAnsi="Times New Roman"/>
                <w:spacing w:val="-9"/>
                <w:w w:val="105"/>
                <w:sz w:val="28"/>
              </w:rPr>
              <w:t xml:space="preserve"> </w:t>
            </w:r>
            <w:r w:rsidRPr="007C57D2">
              <w:rPr>
                <w:rFonts w:ascii="Times New Roman" w:hAnsi="Times New Roman"/>
                <w:w w:val="105"/>
                <w:sz w:val="28"/>
              </w:rPr>
              <w:t>propósito</w:t>
            </w:r>
            <w:r w:rsidRPr="007C57D2">
              <w:rPr>
                <w:rFonts w:ascii="Times New Roman" w:hAnsi="Times New Roman"/>
                <w:spacing w:val="-8"/>
                <w:w w:val="105"/>
                <w:sz w:val="28"/>
              </w:rPr>
              <w:t xml:space="preserve"> </w:t>
            </w:r>
            <w:r w:rsidRPr="007C57D2">
              <w:rPr>
                <w:rFonts w:ascii="Times New Roman" w:hAnsi="Times New Roman"/>
                <w:w w:val="105"/>
                <w:sz w:val="28"/>
              </w:rPr>
              <w:t>de</w:t>
            </w:r>
            <w:r w:rsidRPr="007C57D2">
              <w:rPr>
                <w:rFonts w:ascii="Times New Roman" w:hAnsi="Times New Roman"/>
                <w:spacing w:val="40"/>
                <w:w w:val="105"/>
                <w:sz w:val="28"/>
              </w:rPr>
              <w:t xml:space="preserve"> </w:t>
            </w:r>
            <w:r w:rsidRPr="007C57D2">
              <w:rPr>
                <w:rFonts w:ascii="Times New Roman" w:hAnsi="Times New Roman"/>
                <w:w w:val="105"/>
                <w:sz w:val="28"/>
              </w:rPr>
              <w:t>evitar que el niño o niña</w:t>
            </w:r>
            <w:r w:rsidRPr="007C57D2">
              <w:rPr>
                <w:rFonts w:ascii="Times New Roman" w:hAnsi="Times New Roman"/>
                <w:spacing w:val="40"/>
                <w:w w:val="105"/>
                <w:sz w:val="28"/>
              </w:rPr>
              <w:t xml:space="preserve"> </w:t>
            </w:r>
            <w:r w:rsidRPr="007C57D2">
              <w:rPr>
                <w:rFonts w:ascii="Times New Roman" w:hAnsi="Times New Roman"/>
                <w:w w:val="105"/>
                <w:sz w:val="28"/>
              </w:rPr>
              <w:t>extraviado o desaparecido</w:t>
            </w:r>
            <w:r w:rsidRPr="007C57D2">
              <w:rPr>
                <w:rFonts w:ascii="Times New Roman" w:hAnsi="Times New Roman"/>
                <w:spacing w:val="40"/>
                <w:w w:val="105"/>
                <w:sz w:val="28"/>
              </w:rPr>
              <w:t xml:space="preserve"> </w:t>
            </w:r>
            <w:r w:rsidRPr="007C57D2">
              <w:rPr>
                <w:rFonts w:ascii="Times New Roman" w:hAnsi="Times New Roman"/>
                <w:w w:val="105"/>
                <w:sz w:val="28"/>
              </w:rPr>
              <w:t>salga del país. Los operadores</w:t>
            </w:r>
            <w:r w:rsidRPr="007C57D2">
              <w:rPr>
                <w:rFonts w:ascii="Times New Roman" w:hAnsi="Times New Roman"/>
                <w:spacing w:val="40"/>
                <w:w w:val="105"/>
                <w:sz w:val="28"/>
              </w:rPr>
              <w:t xml:space="preserve"> </w:t>
            </w:r>
            <w:r w:rsidRPr="007C57D2">
              <w:rPr>
                <w:rFonts w:ascii="Times New Roman" w:hAnsi="Times New Roman"/>
                <w:w w:val="105"/>
                <w:sz w:val="28"/>
              </w:rPr>
              <w:t>logísticos de los aeropuertos</w:t>
            </w:r>
            <w:r w:rsidRPr="007C57D2">
              <w:rPr>
                <w:rFonts w:ascii="Times New Roman" w:hAnsi="Times New Roman"/>
                <w:spacing w:val="40"/>
                <w:w w:val="105"/>
                <w:sz w:val="28"/>
              </w:rPr>
              <w:t xml:space="preserve"> </w:t>
            </w:r>
            <w:r w:rsidRPr="007C57D2">
              <w:rPr>
                <w:rFonts w:ascii="Times New Roman" w:hAnsi="Times New Roman"/>
                <w:spacing w:val="-2"/>
                <w:w w:val="105"/>
                <w:sz w:val="28"/>
              </w:rPr>
              <w:t>internacionales</w:t>
            </w:r>
            <w:r w:rsidRPr="007C57D2">
              <w:rPr>
                <w:rFonts w:ascii="Times New Roman" w:hAnsi="Times New Roman"/>
                <w:spacing w:val="-2"/>
                <w:w w:val="105"/>
                <w:sz w:val="28"/>
              </w:rPr>
              <w:t xml:space="preserve"> </w:t>
            </w:r>
            <w:r w:rsidRPr="007C57D2">
              <w:rPr>
                <w:rFonts w:ascii="Times New Roman" w:hAnsi="Times New Roman"/>
                <w:spacing w:val="-2"/>
                <w:w w:val="105"/>
                <w:sz w:val="28"/>
              </w:rPr>
              <w:t>deberán</w:t>
            </w:r>
            <w:r w:rsidRPr="007C57D2">
              <w:rPr>
                <w:rFonts w:ascii="Times New Roman" w:hAnsi="Times New Roman"/>
                <w:spacing w:val="40"/>
                <w:w w:val="105"/>
                <w:sz w:val="28"/>
              </w:rPr>
              <w:t xml:space="preserve"> </w:t>
            </w:r>
            <w:r w:rsidRPr="007C57D2">
              <w:rPr>
                <w:rFonts w:ascii="Times New Roman" w:hAnsi="Times New Roman"/>
                <w:w w:val="105"/>
                <w:sz w:val="28"/>
              </w:rPr>
              <w:t>difundir la alerta en sus</w:t>
            </w:r>
            <w:r w:rsidRPr="007C57D2">
              <w:rPr>
                <w:rFonts w:ascii="Times New Roman" w:hAnsi="Times New Roman"/>
                <w:spacing w:val="40"/>
                <w:w w:val="105"/>
                <w:sz w:val="28"/>
              </w:rPr>
              <w:t xml:space="preserve"> </w:t>
            </w:r>
            <w:r w:rsidRPr="007C57D2">
              <w:rPr>
                <w:rFonts w:ascii="Times New Roman" w:hAnsi="Times New Roman"/>
                <w:w w:val="105"/>
                <w:sz w:val="28"/>
              </w:rPr>
              <w:t>instalaciones cuando un niño o</w:t>
            </w:r>
            <w:r w:rsidRPr="007C57D2">
              <w:rPr>
                <w:rFonts w:ascii="Times New Roman" w:hAnsi="Times New Roman"/>
                <w:spacing w:val="40"/>
                <w:w w:val="105"/>
                <w:sz w:val="28"/>
              </w:rPr>
              <w:t xml:space="preserve"> </w:t>
            </w:r>
            <w:r w:rsidRPr="007C57D2">
              <w:rPr>
                <w:rFonts w:ascii="Times New Roman" w:hAnsi="Times New Roman"/>
                <w:w w:val="105"/>
                <w:sz w:val="28"/>
              </w:rPr>
              <w:t>niña se haya extraviado en su</w:t>
            </w:r>
            <w:r w:rsidRPr="007C57D2">
              <w:rPr>
                <w:rFonts w:ascii="Times New Roman" w:hAnsi="Times New Roman"/>
                <w:spacing w:val="40"/>
                <w:w w:val="105"/>
                <w:sz w:val="28"/>
              </w:rPr>
              <w:t xml:space="preserve"> </w:t>
            </w:r>
            <w:r w:rsidRPr="007C57D2">
              <w:rPr>
                <w:rFonts w:ascii="Times New Roman" w:hAnsi="Times New Roman"/>
                <w:w w:val="105"/>
                <w:sz w:val="28"/>
              </w:rPr>
              <w:t>ciudad o municipio.</w:t>
            </w:r>
          </w:p>
          <w:p w:rsidR="000A1A60" w:rsidRPr="007C57D2" w:rsidRDefault="007C57D2" w:rsidP="007C57D2">
            <w:pPr>
              <w:pStyle w:val="TableParagraph"/>
              <w:tabs>
                <w:tab w:val="left" w:pos="306"/>
              </w:tabs>
              <w:jc w:val="both"/>
              <w:rPr>
                <w:rFonts w:ascii="Times New Roman" w:hAnsi="Times New Roman" w:cs="Times New Roman"/>
                <w:sz w:val="28"/>
              </w:rPr>
            </w:pPr>
            <w:r w:rsidRPr="007C57D2">
              <w:rPr>
                <w:rFonts w:ascii="Times New Roman" w:hAnsi="Times New Roman" w:cs="Times New Roman"/>
                <w:b/>
                <w:bCs/>
                <w:w w:val="105"/>
                <w:sz w:val="28"/>
              </w:rPr>
              <w:t>d)</w:t>
            </w:r>
            <w:r w:rsidRPr="007C57D2">
              <w:rPr>
                <w:rFonts w:ascii="Times New Roman" w:hAnsi="Times New Roman" w:cs="Times New Roman"/>
                <w:w w:val="105"/>
                <w:sz w:val="28"/>
              </w:rPr>
              <w:t xml:space="preserve"> </w:t>
            </w:r>
            <w:r w:rsidRPr="007C57D2">
              <w:rPr>
                <w:rFonts w:ascii="Times New Roman" w:hAnsi="Times New Roman" w:cs="Times New Roman"/>
                <w:w w:val="105"/>
                <w:sz w:val="28"/>
              </w:rPr>
              <w:t>Así mismo, se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comunicar e informar a 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países fronterizos con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Colombia sobre la alerta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emitida, con el fin de articular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esfuerzos</w:t>
            </w:r>
            <w:r w:rsidRPr="007C57D2">
              <w:rPr>
                <w:rFonts w:ascii="Times New Roman" w:hAnsi="Times New Roman" w:cs="Times New Roman"/>
                <w:w w:val="105"/>
                <w:sz w:val="28"/>
              </w:rPr>
              <w:t xml:space="preserve"> para recuperar al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 o niña.</w:t>
            </w:r>
          </w:p>
          <w:p w:rsidR="000A1A60" w:rsidRPr="007C57D2" w:rsidRDefault="007C57D2" w:rsidP="007C57D2">
            <w:pPr>
              <w:spacing w:after="0" w:line="240" w:lineRule="auto"/>
              <w:jc w:val="both"/>
              <w:rPr>
                <w:rFonts w:ascii="Times New Roman" w:hAnsi="Times New Roman"/>
                <w:w w:val="105"/>
                <w:sz w:val="28"/>
              </w:rPr>
            </w:pPr>
            <w:r w:rsidRPr="007C57D2">
              <w:rPr>
                <w:rFonts w:ascii="Times New Roman" w:hAnsi="Times New Roman"/>
                <w:b/>
                <w:bCs/>
                <w:w w:val="105"/>
                <w:sz w:val="28"/>
              </w:rPr>
              <w:t>e)</w:t>
            </w:r>
            <w:r w:rsidRPr="007C57D2">
              <w:rPr>
                <w:rFonts w:ascii="Times New Roman" w:hAnsi="Times New Roman"/>
                <w:w w:val="105"/>
                <w:sz w:val="28"/>
              </w:rPr>
              <w:t xml:space="preserve"> </w:t>
            </w:r>
            <w:r w:rsidRPr="007C57D2">
              <w:rPr>
                <w:rFonts w:ascii="Times New Roman" w:hAnsi="Times New Roman"/>
                <w:w w:val="105"/>
                <w:sz w:val="28"/>
              </w:rPr>
              <w:t>La Alerta deberá cubrir toda</w:t>
            </w:r>
            <w:r w:rsidRPr="007C57D2">
              <w:rPr>
                <w:rFonts w:ascii="Times New Roman" w:hAnsi="Times New Roman"/>
                <w:spacing w:val="40"/>
                <w:w w:val="105"/>
                <w:sz w:val="28"/>
              </w:rPr>
              <w:t xml:space="preserve"> </w:t>
            </w:r>
            <w:r w:rsidRPr="007C57D2">
              <w:rPr>
                <w:rFonts w:ascii="Times New Roman" w:hAnsi="Times New Roman"/>
                <w:w w:val="105"/>
                <w:sz w:val="28"/>
              </w:rPr>
              <w:t>la pantalla mínimo por 10</w:t>
            </w:r>
            <w:r w:rsidRPr="007C57D2">
              <w:rPr>
                <w:rFonts w:ascii="Times New Roman" w:hAnsi="Times New Roman"/>
                <w:spacing w:val="40"/>
                <w:w w:val="105"/>
                <w:sz w:val="28"/>
              </w:rPr>
              <w:t xml:space="preserve"> </w:t>
            </w:r>
            <w:r w:rsidRPr="007C57D2">
              <w:rPr>
                <w:rFonts w:ascii="Times New Roman" w:hAnsi="Times New Roman"/>
                <w:w w:val="105"/>
                <w:sz w:val="28"/>
              </w:rPr>
              <w:t>segundos en donde estará la</w:t>
            </w:r>
            <w:r w:rsidRPr="007C57D2">
              <w:rPr>
                <w:rFonts w:ascii="Times New Roman" w:hAnsi="Times New Roman"/>
                <w:spacing w:val="40"/>
                <w:w w:val="105"/>
                <w:sz w:val="28"/>
              </w:rPr>
              <w:t xml:space="preserve"> </w:t>
            </w:r>
            <w:r w:rsidRPr="007C57D2">
              <w:rPr>
                <w:rFonts w:ascii="Times New Roman" w:hAnsi="Times New Roman"/>
                <w:w w:val="105"/>
                <w:sz w:val="28"/>
              </w:rPr>
              <w:t>información del niño o niña. La</w:t>
            </w:r>
            <w:r w:rsidRPr="007C57D2">
              <w:rPr>
                <w:rFonts w:ascii="Times New Roman" w:hAnsi="Times New Roman"/>
                <w:spacing w:val="40"/>
                <w:w w:val="105"/>
                <w:sz w:val="28"/>
              </w:rPr>
              <w:t xml:space="preserve"> </w:t>
            </w:r>
            <w:r w:rsidRPr="007C57D2">
              <w:rPr>
                <w:rFonts w:ascii="Times New Roman" w:hAnsi="Times New Roman"/>
                <w:w w:val="105"/>
                <w:sz w:val="28"/>
              </w:rPr>
              <w:t>fotografía deberá ocupar por lo</w:t>
            </w:r>
            <w:r w:rsidRPr="007C57D2">
              <w:rPr>
                <w:rFonts w:ascii="Times New Roman" w:hAnsi="Times New Roman"/>
                <w:spacing w:val="40"/>
                <w:w w:val="105"/>
                <w:sz w:val="28"/>
              </w:rPr>
              <w:t xml:space="preserve"> </w:t>
            </w:r>
            <w:r w:rsidRPr="007C57D2">
              <w:rPr>
                <w:rFonts w:ascii="Times New Roman" w:hAnsi="Times New Roman"/>
                <w:w w:val="105"/>
                <w:sz w:val="28"/>
              </w:rPr>
              <w:t>menos</w:t>
            </w:r>
            <w:r w:rsidRPr="007C57D2">
              <w:rPr>
                <w:rFonts w:ascii="Times New Roman" w:hAnsi="Times New Roman"/>
                <w:spacing w:val="-9"/>
                <w:w w:val="105"/>
                <w:sz w:val="28"/>
              </w:rPr>
              <w:t xml:space="preserve"> </w:t>
            </w:r>
            <w:r w:rsidRPr="007C57D2">
              <w:rPr>
                <w:rFonts w:ascii="Times New Roman" w:hAnsi="Times New Roman"/>
                <w:w w:val="105"/>
                <w:sz w:val="28"/>
              </w:rPr>
              <w:t>el</w:t>
            </w:r>
            <w:r w:rsidRPr="007C57D2">
              <w:rPr>
                <w:rFonts w:ascii="Times New Roman" w:hAnsi="Times New Roman"/>
                <w:spacing w:val="-9"/>
                <w:w w:val="105"/>
                <w:sz w:val="28"/>
              </w:rPr>
              <w:t xml:space="preserve"> </w:t>
            </w:r>
            <w:r w:rsidRPr="007C57D2">
              <w:rPr>
                <w:rFonts w:ascii="Times New Roman" w:hAnsi="Times New Roman"/>
                <w:w w:val="105"/>
                <w:sz w:val="28"/>
              </w:rPr>
              <w:t>70%</w:t>
            </w:r>
            <w:r w:rsidRPr="007C57D2">
              <w:rPr>
                <w:rFonts w:ascii="Times New Roman" w:hAnsi="Times New Roman"/>
                <w:spacing w:val="-7"/>
                <w:w w:val="105"/>
                <w:sz w:val="28"/>
              </w:rPr>
              <w:t xml:space="preserve"> </w:t>
            </w:r>
            <w:r w:rsidRPr="007C57D2">
              <w:rPr>
                <w:rFonts w:ascii="Times New Roman" w:hAnsi="Times New Roman"/>
                <w:w w:val="105"/>
                <w:sz w:val="28"/>
              </w:rPr>
              <w:t>de</w:t>
            </w:r>
            <w:r w:rsidRPr="007C57D2">
              <w:rPr>
                <w:rFonts w:ascii="Times New Roman" w:hAnsi="Times New Roman"/>
                <w:spacing w:val="-8"/>
                <w:w w:val="105"/>
                <w:sz w:val="28"/>
              </w:rPr>
              <w:t xml:space="preserve"> </w:t>
            </w:r>
            <w:r w:rsidRPr="007C57D2">
              <w:rPr>
                <w:rFonts w:ascii="Times New Roman" w:hAnsi="Times New Roman"/>
                <w:w w:val="105"/>
                <w:sz w:val="28"/>
              </w:rPr>
              <w:t>la</w:t>
            </w:r>
            <w:r w:rsidRPr="007C57D2">
              <w:rPr>
                <w:rFonts w:ascii="Times New Roman" w:hAnsi="Times New Roman"/>
                <w:spacing w:val="-9"/>
                <w:w w:val="105"/>
                <w:sz w:val="28"/>
              </w:rPr>
              <w:t xml:space="preserve"> </w:t>
            </w:r>
            <w:r w:rsidRPr="007C57D2">
              <w:rPr>
                <w:rFonts w:ascii="Times New Roman" w:hAnsi="Times New Roman"/>
                <w:w w:val="105"/>
                <w:sz w:val="28"/>
              </w:rPr>
              <w:t>pantalla</w:t>
            </w:r>
            <w:r w:rsidRPr="007C57D2">
              <w:rPr>
                <w:rFonts w:ascii="Times New Roman" w:hAnsi="Times New Roman"/>
                <w:spacing w:val="-8"/>
                <w:w w:val="105"/>
                <w:sz w:val="28"/>
              </w:rPr>
              <w:t xml:space="preserve"> </w:t>
            </w:r>
            <w:r w:rsidRPr="007C57D2">
              <w:rPr>
                <w:rFonts w:ascii="Times New Roman" w:hAnsi="Times New Roman"/>
                <w:w w:val="105"/>
                <w:sz w:val="28"/>
              </w:rPr>
              <w:t>del</w:t>
            </w:r>
            <w:r w:rsidRPr="007C57D2">
              <w:rPr>
                <w:rFonts w:ascii="Times New Roman" w:hAnsi="Times New Roman"/>
                <w:spacing w:val="40"/>
                <w:w w:val="105"/>
                <w:sz w:val="28"/>
              </w:rPr>
              <w:t xml:space="preserve"> </w:t>
            </w:r>
            <w:r w:rsidRPr="007C57D2">
              <w:rPr>
                <w:rFonts w:ascii="Times New Roman" w:hAnsi="Times New Roman"/>
                <w:w w:val="105"/>
                <w:sz w:val="28"/>
              </w:rPr>
              <w:t>dispositivo celular y deberá</w:t>
            </w:r>
            <w:r w:rsidRPr="007C57D2">
              <w:rPr>
                <w:rFonts w:ascii="Times New Roman" w:hAnsi="Times New Roman"/>
                <w:spacing w:val="40"/>
                <w:w w:val="105"/>
                <w:sz w:val="28"/>
              </w:rPr>
              <w:t xml:space="preserve"> </w:t>
            </w:r>
            <w:r w:rsidRPr="007C57D2">
              <w:rPr>
                <w:rFonts w:ascii="Times New Roman" w:hAnsi="Times New Roman"/>
                <w:w w:val="105"/>
                <w:sz w:val="28"/>
              </w:rPr>
              <w:t xml:space="preserve">vibrar. La </w:t>
            </w:r>
            <w:r w:rsidRPr="007C57D2">
              <w:rPr>
                <w:rFonts w:ascii="Times New Roman" w:hAnsi="Times New Roman"/>
                <w:w w:val="105"/>
                <w:sz w:val="28"/>
              </w:rPr>
              <w:t>señal de alerta será</w:t>
            </w:r>
            <w:r w:rsidRPr="007C57D2">
              <w:rPr>
                <w:rFonts w:ascii="Times New Roman" w:hAnsi="Times New Roman"/>
                <w:spacing w:val="40"/>
                <w:w w:val="105"/>
                <w:sz w:val="28"/>
              </w:rPr>
              <w:t xml:space="preserve"> </w:t>
            </w:r>
            <w:r w:rsidRPr="007C57D2">
              <w:rPr>
                <w:rFonts w:ascii="Times New Roman" w:hAnsi="Times New Roman"/>
                <w:w w:val="105"/>
                <w:sz w:val="28"/>
              </w:rPr>
              <w:t>en color rojo de peligro y no se</w:t>
            </w:r>
            <w:r w:rsidRPr="007C57D2">
              <w:rPr>
                <w:rFonts w:ascii="Times New Roman" w:hAnsi="Times New Roman"/>
                <w:spacing w:val="40"/>
                <w:w w:val="105"/>
                <w:sz w:val="28"/>
              </w:rPr>
              <w:t xml:space="preserve"> </w:t>
            </w:r>
            <w:r w:rsidRPr="007C57D2">
              <w:rPr>
                <w:rFonts w:ascii="Times New Roman" w:hAnsi="Times New Roman"/>
                <w:w w:val="105"/>
                <w:sz w:val="28"/>
              </w:rPr>
              <w:t>permitirá que el usuario del</w:t>
            </w:r>
            <w:r w:rsidRPr="007C57D2">
              <w:rPr>
                <w:rFonts w:ascii="Times New Roman" w:hAnsi="Times New Roman"/>
                <w:spacing w:val="40"/>
                <w:w w:val="105"/>
                <w:sz w:val="28"/>
              </w:rPr>
              <w:t xml:space="preserve"> </w:t>
            </w:r>
            <w:r w:rsidRPr="007C57D2">
              <w:rPr>
                <w:rFonts w:ascii="Times New Roman" w:hAnsi="Times New Roman"/>
                <w:w w:val="105"/>
                <w:sz w:val="28"/>
              </w:rPr>
              <w:t>dispositivo móvil elimine la</w:t>
            </w:r>
            <w:r w:rsidRPr="007C57D2">
              <w:rPr>
                <w:rFonts w:ascii="Times New Roman" w:hAnsi="Times New Roman"/>
                <w:spacing w:val="40"/>
                <w:w w:val="105"/>
                <w:sz w:val="28"/>
              </w:rPr>
              <w:t xml:space="preserve"> </w:t>
            </w:r>
            <w:r w:rsidRPr="007C57D2">
              <w:rPr>
                <w:rFonts w:ascii="Times New Roman" w:hAnsi="Times New Roman"/>
                <w:w w:val="105"/>
                <w:sz w:val="28"/>
              </w:rPr>
              <w:t>alerta antes de cumplido dicho</w:t>
            </w:r>
            <w:r w:rsidRPr="007C57D2">
              <w:rPr>
                <w:rFonts w:ascii="Times New Roman" w:hAnsi="Times New Roman"/>
                <w:spacing w:val="40"/>
                <w:w w:val="105"/>
                <w:sz w:val="28"/>
              </w:rPr>
              <w:t xml:space="preserve"> </w:t>
            </w:r>
            <w:r w:rsidRPr="007C57D2">
              <w:rPr>
                <w:rFonts w:ascii="Times New Roman" w:hAnsi="Times New Roman"/>
                <w:w w:val="105"/>
                <w:sz w:val="28"/>
              </w:rPr>
              <w:t>tiempo de duración.</w:t>
            </w:r>
          </w:p>
          <w:p w:rsidR="000A1A60" w:rsidRPr="007C57D2" w:rsidRDefault="007C57D2" w:rsidP="007C57D2">
            <w:pPr>
              <w:spacing w:after="0" w:line="240" w:lineRule="auto"/>
              <w:jc w:val="both"/>
              <w:rPr>
                <w:rFonts w:ascii="Times New Roman" w:hAnsi="Times New Roman"/>
                <w:spacing w:val="-2"/>
                <w:w w:val="105"/>
                <w:sz w:val="28"/>
              </w:rPr>
            </w:pPr>
            <w:r w:rsidRPr="007C57D2">
              <w:rPr>
                <w:rFonts w:ascii="Times New Roman" w:hAnsi="Times New Roman"/>
                <w:b/>
                <w:w w:val="105"/>
                <w:sz w:val="28"/>
              </w:rPr>
              <w:t xml:space="preserve">f) </w:t>
            </w:r>
            <w:r w:rsidRPr="007C57D2">
              <w:rPr>
                <w:rFonts w:ascii="Times New Roman" w:hAnsi="Times New Roman"/>
                <w:w w:val="105"/>
                <w:sz w:val="28"/>
              </w:rPr>
              <w:t>Además de la difusión</w:t>
            </w:r>
            <w:r w:rsidRPr="007C57D2">
              <w:rPr>
                <w:rFonts w:ascii="Times New Roman" w:hAnsi="Times New Roman"/>
                <w:spacing w:val="40"/>
                <w:w w:val="105"/>
                <w:sz w:val="28"/>
              </w:rPr>
              <w:t xml:space="preserve"> </w:t>
            </w:r>
            <w:r w:rsidRPr="007C57D2">
              <w:rPr>
                <w:rFonts w:ascii="Times New Roman" w:hAnsi="Times New Roman"/>
                <w:w w:val="105"/>
                <w:sz w:val="28"/>
              </w:rPr>
              <w:t>mediante dispositivos móviles,</w:t>
            </w:r>
            <w:r w:rsidRPr="007C57D2">
              <w:rPr>
                <w:rFonts w:ascii="Times New Roman" w:hAnsi="Times New Roman"/>
                <w:spacing w:val="40"/>
                <w:w w:val="105"/>
                <w:sz w:val="28"/>
              </w:rPr>
              <w:t xml:space="preserve"> </w:t>
            </w:r>
            <w:r w:rsidRPr="007C57D2">
              <w:rPr>
                <w:rFonts w:ascii="Times New Roman" w:hAnsi="Times New Roman"/>
                <w:w w:val="105"/>
                <w:sz w:val="28"/>
              </w:rPr>
              <w:t>se implementará la difusión de</w:t>
            </w:r>
            <w:r w:rsidRPr="007C57D2">
              <w:rPr>
                <w:rFonts w:ascii="Times New Roman" w:hAnsi="Times New Roman"/>
                <w:spacing w:val="40"/>
                <w:w w:val="105"/>
                <w:sz w:val="28"/>
              </w:rPr>
              <w:t xml:space="preserve"> </w:t>
            </w:r>
            <w:r w:rsidRPr="007C57D2">
              <w:rPr>
                <w:rFonts w:ascii="Times New Roman" w:hAnsi="Times New Roman"/>
                <w:w w:val="105"/>
                <w:sz w:val="28"/>
              </w:rPr>
              <w:t xml:space="preserve">la </w:t>
            </w:r>
            <w:r w:rsidRPr="007C57D2">
              <w:rPr>
                <w:rFonts w:ascii="Times New Roman" w:hAnsi="Times New Roman"/>
                <w:w w:val="105"/>
                <w:sz w:val="28"/>
              </w:rPr>
              <w:t>alerta a través de otros</w:t>
            </w:r>
            <w:r w:rsidRPr="007C57D2">
              <w:rPr>
                <w:rFonts w:ascii="Times New Roman" w:hAnsi="Times New Roman"/>
                <w:spacing w:val="40"/>
                <w:w w:val="105"/>
                <w:sz w:val="28"/>
              </w:rPr>
              <w:t xml:space="preserve"> </w:t>
            </w:r>
            <w:r w:rsidRPr="007C57D2">
              <w:rPr>
                <w:rFonts w:ascii="Times New Roman" w:hAnsi="Times New Roman"/>
                <w:w w:val="105"/>
                <w:sz w:val="28"/>
              </w:rPr>
              <w:t>medios de comunicación de</w:t>
            </w:r>
            <w:r w:rsidRPr="007C57D2">
              <w:rPr>
                <w:rFonts w:ascii="Times New Roman" w:hAnsi="Times New Roman"/>
                <w:spacing w:val="40"/>
                <w:w w:val="105"/>
                <w:sz w:val="28"/>
              </w:rPr>
              <w:t xml:space="preserve"> </w:t>
            </w:r>
            <w:r w:rsidRPr="007C57D2">
              <w:rPr>
                <w:rFonts w:ascii="Times New Roman" w:hAnsi="Times New Roman"/>
                <w:w w:val="105"/>
                <w:sz w:val="28"/>
              </w:rPr>
              <w:t>amplia cobertura, como la</w:t>
            </w:r>
            <w:r w:rsidRPr="007C57D2">
              <w:rPr>
                <w:rFonts w:ascii="Times New Roman" w:hAnsi="Times New Roman"/>
                <w:spacing w:val="40"/>
                <w:w w:val="105"/>
                <w:sz w:val="28"/>
              </w:rPr>
              <w:t xml:space="preserve"> </w:t>
            </w:r>
            <w:r w:rsidRPr="007C57D2">
              <w:rPr>
                <w:rFonts w:ascii="Times New Roman" w:hAnsi="Times New Roman"/>
                <w:w w:val="105"/>
                <w:sz w:val="28"/>
              </w:rPr>
              <w:t>radio,</w:t>
            </w:r>
            <w:r w:rsidRPr="007C57D2">
              <w:rPr>
                <w:rFonts w:ascii="Times New Roman" w:hAnsi="Times New Roman"/>
                <w:spacing w:val="-1"/>
                <w:w w:val="105"/>
                <w:sz w:val="28"/>
              </w:rPr>
              <w:t xml:space="preserve"> </w:t>
            </w:r>
            <w:r w:rsidRPr="007C57D2">
              <w:rPr>
                <w:rFonts w:ascii="Times New Roman" w:hAnsi="Times New Roman"/>
                <w:w w:val="105"/>
                <w:sz w:val="28"/>
              </w:rPr>
              <w:t>la</w:t>
            </w:r>
            <w:r w:rsidRPr="007C57D2">
              <w:rPr>
                <w:rFonts w:ascii="Times New Roman" w:hAnsi="Times New Roman"/>
                <w:spacing w:val="-1"/>
                <w:w w:val="105"/>
                <w:sz w:val="28"/>
              </w:rPr>
              <w:t xml:space="preserve"> </w:t>
            </w:r>
            <w:r w:rsidRPr="007C57D2">
              <w:rPr>
                <w:rFonts w:ascii="Times New Roman" w:hAnsi="Times New Roman"/>
                <w:w w:val="105"/>
                <w:sz w:val="28"/>
              </w:rPr>
              <w:t>televisión</w:t>
            </w:r>
            <w:r w:rsidRPr="007C57D2">
              <w:rPr>
                <w:rFonts w:ascii="Times New Roman" w:hAnsi="Times New Roman"/>
                <w:spacing w:val="-1"/>
                <w:w w:val="105"/>
                <w:sz w:val="28"/>
              </w:rPr>
              <w:t xml:space="preserve"> </w:t>
            </w:r>
            <w:r w:rsidRPr="007C57D2">
              <w:rPr>
                <w:rFonts w:ascii="Times New Roman" w:hAnsi="Times New Roman"/>
                <w:w w:val="105"/>
                <w:sz w:val="28"/>
              </w:rPr>
              <w:t>y</w:t>
            </w:r>
            <w:r w:rsidRPr="007C57D2">
              <w:rPr>
                <w:rFonts w:ascii="Times New Roman" w:hAnsi="Times New Roman"/>
                <w:spacing w:val="-1"/>
                <w:w w:val="105"/>
                <w:sz w:val="28"/>
              </w:rPr>
              <w:t xml:space="preserve"> </w:t>
            </w:r>
            <w:r w:rsidRPr="007C57D2">
              <w:rPr>
                <w:rFonts w:ascii="Times New Roman" w:hAnsi="Times New Roman"/>
                <w:w w:val="105"/>
                <w:sz w:val="28"/>
              </w:rPr>
              <w:t>los</w:t>
            </w:r>
            <w:r w:rsidRPr="007C57D2">
              <w:rPr>
                <w:rFonts w:ascii="Times New Roman" w:hAnsi="Times New Roman"/>
                <w:spacing w:val="-1"/>
                <w:w w:val="105"/>
                <w:sz w:val="28"/>
              </w:rPr>
              <w:t xml:space="preserve"> </w:t>
            </w:r>
            <w:r w:rsidRPr="007C57D2">
              <w:rPr>
                <w:rFonts w:ascii="Times New Roman" w:hAnsi="Times New Roman"/>
                <w:w w:val="105"/>
                <w:sz w:val="28"/>
              </w:rPr>
              <w:t>medios</w:t>
            </w:r>
            <w:r w:rsidRPr="007C57D2">
              <w:rPr>
                <w:rFonts w:ascii="Times New Roman" w:hAnsi="Times New Roman"/>
                <w:spacing w:val="40"/>
                <w:w w:val="105"/>
                <w:sz w:val="28"/>
              </w:rPr>
              <w:t xml:space="preserve"> </w:t>
            </w:r>
            <w:r w:rsidRPr="007C57D2">
              <w:rPr>
                <w:rFonts w:ascii="Times New Roman" w:hAnsi="Times New Roman"/>
                <w:w w:val="105"/>
                <w:sz w:val="28"/>
              </w:rPr>
              <w:t>digitales, con el fin de alcanzar</w:t>
            </w:r>
            <w:r w:rsidRPr="007C57D2">
              <w:rPr>
                <w:rFonts w:ascii="Times New Roman" w:hAnsi="Times New Roman"/>
                <w:spacing w:val="40"/>
                <w:w w:val="105"/>
                <w:sz w:val="28"/>
              </w:rPr>
              <w:t xml:space="preserve"> </w:t>
            </w:r>
            <w:r w:rsidRPr="007C57D2">
              <w:rPr>
                <w:rFonts w:ascii="Times New Roman" w:hAnsi="Times New Roman"/>
                <w:w w:val="105"/>
                <w:sz w:val="28"/>
              </w:rPr>
              <w:t>la mayor cantidad posible de</w:t>
            </w:r>
            <w:r w:rsidRPr="007C57D2">
              <w:rPr>
                <w:rFonts w:ascii="Times New Roman" w:hAnsi="Times New Roman"/>
                <w:spacing w:val="40"/>
                <w:w w:val="105"/>
                <w:sz w:val="28"/>
              </w:rPr>
              <w:t xml:space="preserve"> </w:t>
            </w:r>
            <w:r w:rsidRPr="007C57D2">
              <w:rPr>
                <w:rFonts w:ascii="Times New Roman" w:hAnsi="Times New Roman"/>
                <w:w w:val="105"/>
                <w:sz w:val="28"/>
              </w:rPr>
              <w:t>personas en el menor tiempo</w:t>
            </w:r>
            <w:r w:rsidRPr="007C57D2">
              <w:rPr>
                <w:rFonts w:ascii="Times New Roman" w:hAnsi="Times New Roman"/>
                <w:spacing w:val="40"/>
                <w:w w:val="105"/>
                <w:sz w:val="28"/>
              </w:rPr>
              <w:t xml:space="preserve"> </w:t>
            </w:r>
            <w:r w:rsidRPr="007C57D2">
              <w:rPr>
                <w:rFonts w:ascii="Times New Roman" w:hAnsi="Times New Roman"/>
                <w:spacing w:val="-2"/>
                <w:w w:val="105"/>
                <w:sz w:val="28"/>
              </w:rPr>
              <w:t>posible.</w:t>
            </w:r>
          </w:p>
          <w:p w:rsidR="00994FF1" w:rsidRPr="007C57D2" w:rsidRDefault="007C57D2" w:rsidP="007C57D2">
            <w:pPr>
              <w:spacing w:after="0" w:line="240" w:lineRule="auto"/>
              <w:jc w:val="both"/>
              <w:rPr>
                <w:rFonts w:ascii="Times New Roman" w:hAnsi="Times New Roman"/>
                <w:spacing w:val="-2"/>
                <w:w w:val="105"/>
                <w:sz w:val="28"/>
              </w:rPr>
            </w:pPr>
          </w:p>
          <w:p w:rsidR="000A1A60" w:rsidRPr="007C57D2" w:rsidRDefault="007C57D2" w:rsidP="007C57D2">
            <w:pPr>
              <w:spacing w:after="0" w:line="240" w:lineRule="auto"/>
              <w:jc w:val="both"/>
              <w:rPr>
                <w:rFonts w:ascii="Times New Roman" w:hAnsi="Times New Roman"/>
                <w:spacing w:val="-2"/>
                <w:sz w:val="28"/>
              </w:rPr>
            </w:pPr>
            <w:r w:rsidRPr="007C57D2">
              <w:rPr>
                <w:rFonts w:ascii="Times New Roman" w:hAnsi="Times New Roman"/>
                <w:b/>
                <w:sz w:val="28"/>
              </w:rPr>
              <w:t xml:space="preserve">Parágrafo 1. </w:t>
            </w:r>
            <w:r w:rsidRPr="007C57D2">
              <w:rPr>
                <w:rFonts w:ascii="Times New Roman" w:hAnsi="Times New Roman"/>
                <w:sz w:val="28"/>
              </w:rPr>
              <w:t>En cualquier</w:t>
            </w:r>
            <w:r w:rsidRPr="007C57D2">
              <w:rPr>
                <w:rFonts w:ascii="Times New Roman" w:hAnsi="Times New Roman"/>
                <w:spacing w:val="40"/>
                <w:sz w:val="28"/>
              </w:rPr>
              <w:t xml:space="preserve"> </w:t>
            </w:r>
            <w:r w:rsidRPr="007C57D2">
              <w:rPr>
                <w:rFonts w:ascii="Times New Roman" w:hAnsi="Times New Roman"/>
                <w:sz w:val="28"/>
              </w:rPr>
              <w:t xml:space="preserve">momento, el </w:t>
            </w:r>
            <w:r w:rsidRPr="007C57D2">
              <w:rPr>
                <w:rFonts w:ascii="Times New Roman" w:hAnsi="Times New Roman"/>
                <w:sz w:val="28"/>
              </w:rPr>
              <w:t>contenido de la</w:t>
            </w:r>
            <w:r w:rsidRPr="007C57D2">
              <w:rPr>
                <w:rFonts w:ascii="Times New Roman" w:hAnsi="Times New Roman"/>
                <w:spacing w:val="40"/>
                <w:sz w:val="28"/>
              </w:rPr>
              <w:t xml:space="preserve"> </w:t>
            </w:r>
            <w:r w:rsidRPr="007C57D2">
              <w:rPr>
                <w:rFonts w:ascii="Times New Roman" w:hAnsi="Times New Roman"/>
                <w:sz w:val="28"/>
              </w:rPr>
              <w:t>alerta podrá variar conforme a</w:t>
            </w:r>
            <w:r w:rsidRPr="007C57D2">
              <w:rPr>
                <w:rFonts w:ascii="Times New Roman" w:hAnsi="Times New Roman"/>
                <w:spacing w:val="40"/>
                <w:sz w:val="28"/>
              </w:rPr>
              <w:t xml:space="preserve"> </w:t>
            </w:r>
            <w:r w:rsidRPr="007C57D2">
              <w:rPr>
                <w:rFonts w:ascii="Times New Roman" w:hAnsi="Times New Roman"/>
                <w:sz w:val="28"/>
              </w:rPr>
              <w:t>la información que reciban las</w:t>
            </w:r>
            <w:r w:rsidRPr="007C57D2">
              <w:rPr>
                <w:rFonts w:ascii="Times New Roman" w:hAnsi="Times New Roman"/>
                <w:spacing w:val="40"/>
                <w:sz w:val="28"/>
              </w:rPr>
              <w:t xml:space="preserve"> </w:t>
            </w:r>
            <w:r w:rsidRPr="007C57D2">
              <w:rPr>
                <w:rFonts w:ascii="Times New Roman" w:hAnsi="Times New Roman"/>
                <w:sz w:val="28"/>
              </w:rPr>
              <w:t>autoridades y que sirva para</w:t>
            </w:r>
            <w:r w:rsidRPr="007C57D2">
              <w:rPr>
                <w:rFonts w:ascii="Times New Roman" w:hAnsi="Times New Roman"/>
                <w:spacing w:val="40"/>
                <w:sz w:val="28"/>
              </w:rPr>
              <w:t xml:space="preserve"> </w:t>
            </w:r>
            <w:r w:rsidRPr="007C57D2">
              <w:rPr>
                <w:rFonts w:ascii="Times New Roman" w:hAnsi="Times New Roman"/>
                <w:sz w:val="28"/>
              </w:rPr>
              <w:t>localizar y recuperar al niño o</w:t>
            </w:r>
            <w:r w:rsidRPr="007C57D2">
              <w:rPr>
                <w:rFonts w:ascii="Times New Roman" w:hAnsi="Times New Roman"/>
                <w:spacing w:val="40"/>
                <w:sz w:val="28"/>
              </w:rPr>
              <w:t xml:space="preserve"> </w:t>
            </w:r>
            <w:r w:rsidRPr="007C57D2">
              <w:rPr>
                <w:rFonts w:ascii="Times New Roman" w:hAnsi="Times New Roman"/>
                <w:spacing w:val="-4"/>
                <w:sz w:val="28"/>
              </w:rPr>
              <w:t>niña</w:t>
            </w:r>
            <w:r w:rsidRPr="007C57D2">
              <w:rPr>
                <w:rFonts w:ascii="Times New Roman" w:hAnsi="Times New Roman"/>
                <w:spacing w:val="-4"/>
                <w:sz w:val="28"/>
              </w:rPr>
              <w:t xml:space="preserve"> </w:t>
            </w:r>
            <w:r w:rsidRPr="007C57D2">
              <w:rPr>
                <w:rFonts w:ascii="Times New Roman" w:hAnsi="Times New Roman"/>
                <w:spacing w:val="-2"/>
                <w:sz w:val="28"/>
              </w:rPr>
              <w:t>extraviado</w:t>
            </w:r>
            <w:r w:rsidRPr="007C57D2">
              <w:rPr>
                <w:rFonts w:ascii="Times New Roman" w:hAnsi="Times New Roman"/>
                <w:spacing w:val="-2"/>
                <w:sz w:val="28"/>
              </w:rPr>
              <w:t xml:space="preserve"> o</w:t>
            </w:r>
            <w:r w:rsidRPr="007C57D2">
              <w:rPr>
                <w:rFonts w:ascii="Times New Roman" w:hAnsi="Times New Roman"/>
                <w:spacing w:val="40"/>
                <w:sz w:val="28"/>
              </w:rPr>
              <w:t xml:space="preserve"> </w:t>
            </w:r>
            <w:r w:rsidRPr="007C57D2">
              <w:rPr>
                <w:rFonts w:ascii="Times New Roman" w:hAnsi="Times New Roman"/>
                <w:spacing w:val="-2"/>
                <w:sz w:val="28"/>
              </w:rPr>
              <w:t>desaparecido.</w:t>
            </w:r>
          </w:p>
          <w:p w:rsidR="000A1A60" w:rsidRPr="007C57D2" w:rsidRDefault="007C57D2" w:rsidP="007C57D2">
            <w:pPr>
              <w:spacing w:after="0" w:line="240" w:lineRule="auto"/>
              <w:jc w:val="both"/>
              <w:rPr>
                <w:rFonts w:ascii="Times New Roman" w:hAnsi="Times New Roman"/>
                <w:spacing w:val="-2"/>
                <w:sz w:val="28"/>
              </w:rPr>
            </w:pPr>
            <w:r w:rsidRPr="007C57D2">
              <w:rPr>
                <w:rFonts w:ascii="Times New Roman" w:hAnsi="Times New Roman"/>
                <w:b/>
                <w:sz w:val="28"/>
              </w:rPr>
              <w:t xml:space="preserve">Parágrafo 2. </w:t>
            </w:r>
            <w:r w:rsidRPr="007C57D2">
              <w:rPr>
                <w:rFonts w:ascii="Times New Roman" w:hAnsi="Times New Roman"/>
                <w:sz w:val="28"/>
              </w:rPr>
              <w:t>La Alerta</w:t>
            </w:r>
            <w:r w:rsidRPr="007C57D2">
              <w:rPr>
                <w:rFonts w:ascii="Times New Roman" w:hAnsi="Times New Roman"/>
                <w:spacing w:val="40"/>
                <w:sz w:val="28"/>
              </w:rPr>
              <w:t xml:space="preserve"> </w:t>
            </w:r>
            <w:r w:rsidRPr="007C57D2">
              <w:rPr>
                <w:rFonts w:ascii="Times New Roman" w:hAnsi="Times New Roman"/>
                <w:sz w:val="28"/>
              </w:rPr>
              <w:t>Colombia integrará también el</w:t>
            </w:r>
            <w:r w:rsidRPr="007C57D2">
              <w:rPr>
                <w:rFonts w:ascii="Times New Roman" w:hAnsi="Times New Roman"/>
                <w:spacing w:val="40"/>
                <w:sz w:val="28"/>
              </w:rPr>
              <w:t xml:space="preserve"> </w:t>
            </w:r>
            <w:r w:rsidRPr="007C57D2">
              <w:rPr>
                <w:rFonts w:ascii="Times New Roman" w:hAnsi="Times New Roman"/>
                <w:sz w:val="28"/>
              </w:rPr>
              <w:t>gran Sistema de Alertas</w:t>
            </w:r>
            <w:r w:rsidRPr="007C57D2">
              <w:rPr>
                <w:rFonts w:ascii="Times New Roman" w:hAnsi="Times New Roman"/>
                <w:spacing w:val="40"/>
                <w:sz w:val="28"/>
              </w:rPr>
              <w:t xml:space="preserve"> </w:t>
            </w:r>
            <w:r w:rsidRPr="007C57D2">
              <w:rPr>
                <w:rFonts w:ascii="Times New Roman" w:hAnsi="Times New Roman"/>
                <w:sz w:val="28"/>
              </w:rPr>
              <w:t>tempranas sobre la niñez</w:t>
            </w:r>
            <w:r w:rsidRPr="007C57D2">
              <w:rPr>
                <w:rFonts w:ascii="Times New Roman" w:hAnsi="Times New Roman"/>
                <w:spacing w:val="40"/>
                <w:sz w:val="28"/>
              </w:rPr>
              <w:t xml:space="preserve"> </w:t>
            </w:r>
            <w:r w:rsidRPr="007C57D2">
              <w:rPr>
                <w:rFonts w:ascii="Times New Roman" w:hAnsi="Times New Roman"/>
                <w:sz w:val="28"/>
              </w:rPr>
              <w:t>colombiana creado por el</w:t>
            </w:r>
            <w:r w:rsidRPr="007C57D2">
              <w:rPr>
                <w:rFonts w:ascii="Times New Roman" w:hAnsi="Times New Roman"/>
                <w:spacing w:val="40"/>
                <w:sz w:val="28"/>
              </w:rPr>
              <w:t xml:space="preserve"> </w:t>
            </w:r>
            <w:r w:rsidRPr="007C57D2">
              <w:rPr>
                <w:rFonts w:ascii="Times New Roman" w:hAnsi="Times New Roman"/>
                <w:sz w:val="28"/>
              </w:rPr>
              <w:t>artículo 4° de la Ley 2242 de</w:t>
            </w:r>
            <w:r w:rsidRPr="007C57D2">
              <w:rPr>
                <w:rFonts w:ascii="Times New Roman" w:hAnsi="Times New Roman"/>
                <w:spacing w:val="40"/>
                <w:sz w:val="28"/>
              </w:rPr>
              <w:t xml:space="preserve"> </w:t>
            </w:r>
            <w:r w:rsidRPr="007C57D2">
              <w:rPr>
                <w:rFonts w:ascii="Times New Roman" w:hAnsi="Times New Roman"/>
                <w:sz w:val="28"/>
              </w:rPr>
              <w:t>2022, o cualquier Ley que la</w:t>
            </w:r>
            <w:r w:rsidRPr="007C57D2">
              <w:rPr>
                <w:rFonts w:ascii="Times New Roman" w:hAnsi="Times New Roman"/>
                <w:spacing w:val="40"/>
                <w:sz w:val="28"/>
              </w:rPr>
              <w:t xml:space="preserve"> </w:t>
            </w:r>
            <w:r w:rsidRPr="007C57D2">
              <w:rPr>
                <w:rFonts w:ascii="Times New Roman" w:hAnsi="Times New Roman"/>
                <w:spacing w:val="-2"/>
                <w:sz w:val="28"/>
              </w:rPr>
              <w:t>sustituya, modifique o</w:t>
            </w:r>
            <w:r w:rsidRPr="007C57D2">
              <w:rPr>
                <w:rFonts w:ascii="Times New Roman" w:hAnsi="Times New Roman"/>
                <w:spacing w:val="-3"/>
                <w:sz w:val="28"/>
              </w:rPr>
              <w:t xml:space="preserve"> </w:t>
            </w:r>
            <w:r w:rsidRPr="007C57D2">
              <w:rPr>
                <w:rFonts w:ascii="Times New Roman" w:hAnsi="Times New Roman"/>
                <w:spacing w:val="-2"/>
                <w:sz w:val="28"/>
              </w:rPr>
              <w:t>adicione,</w:t>
            </w:r>
            <w:r w:rsidRPr="007C57D2">
              <w:rPr>
                <w:rFonts w:ascii="Times New Roman" w:hAnsi="Times New Roman"/>
                <w:spacing w:val="40"/>
                <w:sz w:val="28"/>
              </w:rPr>
              <w:t xml:space="preserve"> </w:t>
            </w:r>
            <w:r w:rsidRPr="007C57D2">
              <w:rPr>
                <w:rFonts w:ascii="Times New Roman" w:hAnsi="Times New Roman"/>
                <w:sz w:val="28"/>
              </w:rPr>
              <w:t>sin</w:t>
            </w:r>
            <w:r w:rsidRPr="007C57D2">
              <w:rPr>
                <w:rFonts w:ascii="Times New Roman" w:hAnsi="Times New Roman"/>
                <w:spacing w:val="-1"/>
                <w:sz w:val="28"/>
              </w:rPr>
              <w:t xml:space="preserve"> </w:t>
            </w:r>
            <w:r w:rsidRPr="007C57D2">
              <w:rPr>
                <w:rFonts w:ascii="Times New Roman" w:hAnsi="Times New Roman"/>
                <w:sz w:val="28"/>
              </w:rPr>
              <w:t>perder</w:t>
            </w:r>
            <w:r w:rsidRPr="007C57D2">
              <w:rPr>
                <w:rFonts w:ascii="Times New Roman" w:hAnsi="Times New Roman"/>
                <w:spacing w:val="-2"/>
                <w:sz w:val="28"/>
              </w:rPr>
              <w:t xml:space="preserve"> </w:t>
            </w:r>
            <w:r w:rsidRPr="007C57D2">
              <w:rPr>
                <w:rFonts w:ascii="Times New Roman" w:hAnsi="Times New Roman"/>
                <w:sz w:val="28"/>
              </w:rPr>
              <w:t>su</w:t>
            </w:r>
            <w:r w:rsidRPr="007C57D2">
              <w:rPr>
                <w:rFonts w:ascii="Times New Roman" w:hAnsi="Times New Roman"/>
                <w:spacing w:val="-1"/>
                <w:sz w:val="28"/>
              </w:rPr>
              <w:t xml:space="preserve"> </w:t>
            </w:r>
            <w:r w:rsidRPr="007C57D2">
              <w:rPr>
                <w:rFonts w:ascii="Times New Roman" w:hAnsi="Times New Roman"/>
                <w:sz w:val="28"/>
              </w:rPr>
              <w:t>autonomía</w:t>
            </w:r>
            <w:r w:rsidRPr="007C57D2">
              <w:rPr>
                <w:rFonts w:ascii="Times New Roman" w:hAnsi="Times New Roman"/>
                <w:spacing w:val="-1"/>
                <w:sz w:val="28"/>
              </w:rPr>
              <w:t xml:space="preserve"> </w:t>
            </w:r>
            <w:r w:rsidRPr="007C57D2">
              <w:rPr>
                <w:rFonts w:ascii="Times New Roman" w:hAnsi="Times New Roman"/>
                <w:sz w:val="28"/>
              </w:rPr>
              <w:t>en</w:t>
            </w:r>
            <w:r w:rsidRPr="007C57D2">
              <w:rPr>
                <w:rFonts w:ascii="Times New Roman" w:hAnsi="Times New Roman"/>
                <w:spacing w:val="-1"/>
                <w:sz w:val="28"/>
              </w:rPr>
              <w:t xml:space="preserve"> </w:t>
            </w:r>
            <w:r w:rsidRPr="007C57D2">
              <w:rPr>
                <w:rFonts w:ascii="Times New Roman" w:hAnsi="Times New Roman"/>
                <w:sz w:val="28"/>
              </w:rPr>
              <w:t>su</w:t>
            </w:r>
            <w:r w:rsidRPr="007C57D2">
              <w:rPr>
                <w:rFonts w:ascii="Times New Roman" w:hAnsi="Times New Roman"/>
                <w:spacing w:val="40"/>
                <w:sz w:val="28"/>
              </w:rPr>
              <w:t xml:space="preserve"> </w:t>
            </w:r>
            <w:r w:rsidRPr="007C57D2">
              <w:rPr>
                <w:rFonts w:ascii="Times New Roman" w:hAnsi="Times New Roman"/>
                <w:spacing w:val="-2"/>
                <w:sz w:val="28"/>
              </w:rPr>
              <w:t>modalidad.</w:t>
            </w:r>
          </w:p>
          <w:p w:rsidR="00994FF1" w:rsidRPr="007C57D2" w:rsidRDefault="007C57D2" w:rsidP="007C57D2">
            <w:pPr>
              <w:spacing w:after="0" w:line="240" w:lineRule="auto"/>
              <w:jc w:val="both"/>
              <w:rPr>
                <w:rFonts w:ascii="Times New Roman" w:hAnsi="Times New Roman"/>
                <w:spacing w:val="-2"/>
                <w:sz w:val="28"/>
              </w:rPr>
            </w:pPr>
          </w:p>
          <w:p w:rsidR="000A1A60" w:rsidRPr="007C57D2" w:rsidRDefault="007C57D2" w:rsidP="007C57D2">
            <w:pPr>
              <w:pStyle w:val="TableParagraph"/>
              <w:jc w:val="both"/>
              <w:rPr>
                <w:rFonts w:ascii="Times New Roman" w:hAnsi="Times New Roman" w:cs="Times New Roman"/>
                <w:b/>
                <w:w w:val="105"/>
                <w:sz w:val="28"/>
              </w:rPr>
            </w:pPr>
            <w:r w:rsidRPr="007C57D2">
              <w:rPr>
                <w:rFonts w:ascii="Times New Roman" w:hAnsi="Times New Roman" w:cs="Times New Roman"/>
                <w:b/>
                <w:sz w:val="28"/>
              </w:rPr>
              <w:t>Parágrafo</w:t>
            </w:r>
            <w:r w:rsidRPr="007C57D2">
              <w:rPr>
                <w:rFonts w:ascii="Times New Roman" w:hAnsi="Times New Roman" w:cs="Times New Roman"/>
                <w:b/>
                <w:spacing w:val="-10"/>
                <w:sz w:val="28"/>
              </w:rPr>
              <w:t xml:space="preserve"> </w:t>
            </w:r>
            <w:r w:rsidRPr="007C57D2">
              <w:rPr>
                <w:rFonts w:ascii="Times New Roman" w:hAnsi="Times New Roman" w:cs="Times New Roman"/>
                <w:b/>
                <w:sz w:val="28"/>
              </w:rPr>
              <w:t>3.</w:t>
            </w:r>
            <w:r w:rsidRPr="007C57D2">
              <w:rPr>
                <w:rFonts w:ascii="Times New Roman" w:hAnsi="Times New Roman" w:cs="Times New Roman"/>
                <w:b/>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Alerta</w:t>
            </w:r>
            <w:r w:rsidRPr="007C57D2">
              <w:rPr>
                <w:rFonts w:ascii="Times New Roman" w:hAnsi="Times New Roman" w:cs="Times New Roman"/>
                <w:spacing w:val="-9"/>
                <w:sz w:val="28"/>
              </w:rPr>
              <w:t xml:space="preserve"> </w:t>
            </w:r>
            <w:r w:rsidRPr="007C57D2">
              <w:rPr>
                <w:rFonts w:ascii="Times New Roman" w:hAnsi="Times New Roman" w:cs="Times New Roman"/>
                <w:sz w:val="28"/>
              </w:rPr>
              <w:t>deberá</w:t>
            </w:r>
            <w:r w:rsidRPr="007C57D2">
              <w:rPr>
                <w:rFonts w:ascii="Times New Roman" w:hAnsi="Times New Roman" w:cs="Times New Roman"/>
                <w:spacing w:val="40"/>
                <w:sz w:val="28"/>
              </w:rPr>
              <w:t xml:space="preserve"> </w:t>
            </w:r>
            <w:r w:rsidRPr="007C57D2">
              <w:rPr>
                <w:rFonts w:ascii="Times New Roman" w:hAnsi="Times New Roman" w:cs="Times New Roman"/>
                <w:sz w:val="28"/>
              </w:rPr>
              <w:t>ser activada de conformidad</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con el juicio </w:t>
            </w:r>
            <w:r w:rsidRPr="007C57D2">
              <w:rPr>
                <w:rFonts w:ascii="Times New Roman" w:hAnsi="Times New Roman" w:cs="Times New Roman"/>
                <w:sz w:val="28"/>
              </w:rPr>
              <w:t>razonable de las</w:t>
            </w:r>
            <w:r w:rsidRPr="007C57D2">
              <w:rPr>
                <w:rFonts w:ascii="Times New Roman" w:hAnsi="Times New Roman" w:cs="Times New Roman"/>
                <w:spacing w:val="40"/>
                <w:sz w:val="28"/>
              </w:rPr>
              <w:t xml:space="preserve"> </w:t>
            </w:r>
            <w:r w:rsidRPr="007C57D2">
              <w:rPr>
                <w:rFonts w:ascii="Times New Roman" w:hAnsi="Times New Roman" w:cs="Times New Roman"/>
                <w:sz w:val="28"/>
              </w:rPr>
              <w:t>instancias</w:t>
            </w:r>
            <w:r w:rsidRPr="007C57D2">
              <w:rPr>
                <w:rFonts w:ascii="Times New Roman" w:hAnsi="Times New Roman" w:cs="Times New Roman"/>
                <w:spacing w:val="-10"/>
                <w:sz w:val="28"/>
              </w:rPr>
              <w:t xml:space="preserve"> </w:t>
            </w:r>
            <w:r w:rsidRPr="007C57D2">
              <w:rPr>
                <w:rFonts w:ascii="Times New Roman" w:hAnsi="Times New Roman" w:cs="Times New Roman"/>
                <w:sz w:val="28"/>
              </w:rPr>
              <w:t>competentes,</w:t>
            </w:r>
            <w:r w:rsidRPr="007C57D2">
              <w:rPr>
                <w:rFonts w:ascii="Times New Roman" w:hAnsi="Times New Roman" w:cs="Times New Roman"/>
                <w:spacing w:val="-9"/>
                <w:sz w:val="28"/>
              </w:rPr>
              <w:t xml:space="preserve"> </w:t>
            </w:r>
            <w:r w:rsidRPr="007C57D2">
              <w:rPr>
                <w:rFonts w:ascii="Times New Roman" w:hAnsi="Times New Roman" w:cs="Times New Roman"/>
                <w:sz w:val="28"/>
              </w:rPr>
              <w:t>según</w:t>
            </w:r>
            <w:r w:rsidRPr="007C57D2">
              <w:rPr>
                <w:rFonts w:ascii="Times New Roman" w:hAnsi="Times New Roman" w:cs="Times New Roman"/>
                <w:spacing w:val="40"/>
                <w:sz w:val="28"/>
              </w:rPr>
              <w:t xml:space="preserve"> </w:t>
            </w:r>
            <w:r w:rsidRPr="007C57D2">
              <w:rPr>
                <w:rFonts w:ascii="Times New Roman" w:hAnsi="Times New Roman" w:cs="Times New Roman"/>
                <w:sz w:val="28"/>
              </w:rPr>
              <w:t>el lugar donde se reporte la</w:t>
            </w:r>
            <w:r w:rsidRPr="007C57D2">
              <w:rPr>
                <w:rFonts w:ascii="Times New Roman" w:hAnsi="Times New Roman" w:cs="Times New Roman"/>
                <w:spacing w:val="40"/>
                <w:sz w:val="28"/>
              </w:rPr>
              <w:t xml:space="preserve"> </w:t>
            </w:r>
            <w:r w:rsidRPr="007C57D2">
              <w:rPr>
                <w:rFonts w:ascii="Times New Roman" w:hAnsi="Times New Roman" w:cs="Times New Roman"/>
                <w:sz w:val="28"/>
              </w:rPr>
              <w:t>desaparición,</w:t>
            </w:r>
            <w:r w:rsidRPr="007C57D2">
              <w:rPr>
                <w:rFonts w:ascii="Times New Roman" w:hAnsi="Times New Roman" w:cs="Times New Roman"/>
                <w:spacing w:val="-10"/>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deberá</w:t>
            </w:r>
            <w:r w:rsidRPr="007C57D2">
              <w:rPr>
                <w:rFonts w:ascii="Times New Roman" w:hAnsi="Times New Roman" w:cs="Times New Roman"/>
                <w:spacing w:val="-9"/>
                <w:sz w:val="28"/>
              </w:rPr>
              <w:t xml:space="preserve"> </w:t>
            </w:r>
            <w:r w:rsidRPr="007C57D2">
              <w:rPr>
                <w:rFonts w:ascii="Times New Roman" w:hAnsi="Times New Roman" w:cs="Times New Roman"/>
                <w:sz w:val="28"/>
              </w:rPr>
              <w:t>atender</w:t>
            </w:r>
            <w:r w:rsidRPr="007C57D2">
              <w:rPr>
                <w:rFonts w:ascii="Times New Roman" w:hAnsi="Times New Roman" w:cs="Times New Roman"/>
                <w:spacing w:val="40"/>
                <w:sz w:val="28"/>
              </w:rPr>
              <w:t xml:space="preserve"> </w:t>
            </w:r>
            <w:r w:rsidRPr="007C57D2">
              <w:rPr>
                <w:rFonts w:ascii="Times New Roman" w:hAnsi="Times New Roman" w:cs="Times New Roman"/>
                <w:sz w:val="28"/>
              </w:rPr>
              <w:t>al</w:t>
            </w:r>
            <w:r w:rsidRPr="007C57D2">
              <w:rPr>
                <w:rFonts w:ascii="Times New Roman" w:hAnsi="Times New Roman" w:cs="Times New Roman"/>
                <w:spacing w:val="-2"/>
                <w:sz w:val="28"/>
              </w:rPr>
              <w:t xml:space="preserve"> </w:t>
            </w:r>
            <w:r w:rsidRPr="007C57D2">
              <w:rPr>
                <w:rFonts w:ascii="Times New Roman" w:hAnsi="Times New Roman" w:cs="Times New Roman"/>
                <w:sz w:val="28"/>
              </w:rPr>
              <w:t>interés</w:t>
            </w:r>
            <w:r w:rsidRPr="007C57D2">
              <w:rPr>
                <w:rFonts w:ascii="Times New Roman" w:hAnsi="Times New Roman" w:cs="Times New Roman"/>
                <w:spacing w:val="-2"/>
                <w:sz w:val="28"/>
              </w:rPr>
              <w:t xml:space="preserve"> </w:t>
            </w:r>
            <w:r w:rsidRPr="007C57D2">
              <w:rPr>
                <w:rFonts w:ascii="Times New Roman" w:hAnsi="Times New Roman" w:cs="Times New Roman"/>
                <w:sz w:val="28"/>
              </w:rPr>
              <w:t>superior</w:t>
            </w:r>
            <w:r w:rsidRPr="007C57D2">
              <w:rPr>
                <w:rFonts w:ascii="Times New Roman" w:hAnsi="Times New Roman" w:cs="Times New Roman"/>
                <w:spacing w:val="-3"/>
                <w:sz w:val="28"/>
              </w:rPr>
              <w:t xml:space="preserve"> </w:t>
            </w:r>
            <w:r w:rsidRPr="007C57D2">
              <w:rPr>
                <w:rFonts w:ascii="Times New Roman" w:hAnsi="Times New Roman" w:cs="Times New Roman"/>
                <w:sz w:val="28"/>
              </w:rPr>
              <w:t>de</w:t>
            </w:r>
            <w:r w:rsidRPr="007C57D2">
              <w:rPr>
                <w:rFonts w:ascii="Times New Roman" w:hAnsi="Times New Roman" w:cs="Times New Roman"/>
                <w:spacing w:val="-2"/>
                <w:sz w:val="28"/>
              </w:rPr>
              <w:t xml:space="preserve"> </w:t>
            </w:r>
            <w:r w:rsidRPr="007C57D2">
              <w:rPr>
                <w:rFonts w:ascii="Times New Roman" w:hAnsi="Times New Roman" w:cs="Times New Roman"/>
                <w:sz w:val="28"/>
              </w:rPr>
              <w:t>los</w:t>
            </w:r>
            <w:r w:rsidRPr="007C57D2">
              <w:rPr>
                <w:rFonts w:ascii="Times New Roman" w:hAnsi="Times New Roman" w:cs="Times New Roman"/>
                <w:spacing w:val="-2"/>
                <w:sz w:val="28"/>
              </w:rPr>
              <w:t xml:space="preserve"> </w:t>
            </w:r>
            <w:r w:rsidRPr="007C57D2">
              <w:rPr>
                <w:rFonts w:ascii="Times New Roman" w:hAnsi="Times New Roman" w:cs="Times New Roman"/>
                <w:sz w:val="28"/>
              </w:rPr>
              <w:t>niños</w:t>
            </w:r>
            <w:r w:rsidRPr="007C57D2">
              <w:rPr>
                <w:rFonts w:ascii="Times New Roman" w:hAnsi="Times New Roman" w:cs="Times New Roman"/>
                <w:spacing w:val="40"/>
                <w:sz w:val="28"/>
              </w:rPr>
              <w:t xml:space="preserve"> </w:t>
            </w:r>
            <w:r w:rsidRPr="007C57D2">
              <w:rPr>
                <w:rFonts w:ascii="Times New Roman" w:hAnsi="Times New Roman" w:cs="Times New Roman"/>
                <w:sz w:val="28"/>
              </w:rPr>
              <w:t>y niñas involucrados. La</w:t>
            </w:r>
            <w:r w:rsidRPr="007C57D2">
              <w:rPr>
                <w:rFonts w:ascii="Times New Roman" w:hAnsi="Times New Roman" w:cs="Times New Roman"/>
                <w:spacing w:val="40"/>
                <w:sz w:val="28"/>
              </w:rPr>
              <w:t xml:space="preserve"> </w:t>
            </w:r>
            <w:r w:rsidRPr="007C57D2">
              <w:rPr>
                <w:rFonts w:ascii="Times New Roman" w:hAnsi="Times New Roman" w:cs="Times New Roman"/>
                <w:sz w:val="28"/>
              </w:rPr>
              <w:t>activación se realizará sin</w:t>
            </w:r>
            <w:r w:rsidRPr="007C57D2">
              <w:rPr>
                <w:rFonts w:ascii="Times New Roman" w:hAnsi="Times New Roman" w:cs="Times New Roman"/>
                <w:spacing w:val="40"/>
                <w:sz w:val="28"/>
              </w:rPr>
              <w:t xml:space="preserve"> </w:t>
            </w:r>
            <w:r w:rsidRPr="007C57D2">
              <w:rPr>
                <w:rFonts w:ascii="Times New Roman" w:hAnsi="Times New Roman" w:cs="Times New Roman"/>
                <w:sz w:val="28"/>
              </w:rPr>
              <w:t>anteponer prejuicios y valores</w:t>
            </w:r>
            <w:r w:rsidRPr="007C57D2">
              <w:rPr>
                <w:rFonts w:ascii="Times New Roman" w:hAnsi="Times New Roman" w:cs="Times New Roman"/>
                <w:spacing w:val="40"/>
                <w:sz w:val="28"/>
              </w:rPr>
              <w:t xml:space="preserve"> </w:t>
            </w:r>
            <w:r w:rsidRPr="007C57D2">
              <w:rPr>
                <w:rFonts w:ascii="Times New Roman" w:hAnsi="Times New Roman" w:cs="Times New Roman"/>
                <w:sz w:val="28"/>
              </w:rPr>
              <w:t>personales, o cualquier otro</w:t>
            </w:r>
            <w:r w:rsidRPr="007C57D2">
              <w:rPr>
                <w:rFonts w:ascii="Times New Roman" w:hAnsi="Times New Roman" w:cs="Times New Roman"/>
                <w:spacing w:val="40"/>
                <w:sz w:val="28"/>
              </w:rPr>
              <w:t xml:space="preserve"> </w:t>
            </w:r>
            <w:r w:rsidRPr="007C57D2">
              <w:rPr>
                <w:rFonts w:ascii="Times New Roman" w:hAnsi="Times New Roman" w:cs="Times New Roman"/>
                <w:sz w:val="28"/>
              </w:rPr>
              <w:t>act</w:t>
            </w:r>
            <w:r w:rsidRPr="007C57D2">
              <w:rPr>
                <w:rFonts w:ascii="Times New Roman" w:hAnsi="Times New Roman" w:cs="Times New Roman"/>
                <w:sz w:val="28"/>
              </w:rPr>
              <w:t>o de discriminación que</w:t>
            </w:r>
            <w:r w:rsidRPr="007C57D2">
              <w:rPr>
                <w:rFonts w:ascii="Times New Roman" w:hAnsi="Times New Roman" w:cs="Times New Roman"/>
                <w:spacing w:val="40"/>
                <w:sz w:val="28"/>
              </w:rPr>
              <w:t xml:space="preserve"> </w:t>
            </w:r>
            <w:r w:rsidRPr="007C57D2">
              <w:rPr>
                <w:rFonts w:ascii="Times New Roman" w:hAnsi="Times New Roman" w:cs="Times New Roman"/>
                <w:sz w:val="28"/>
              </w:rPr>
              <w:t>pueda</w:t>
            </w:r>
            <w:r w:rsidRPr="007C57D2">
              <w:rPr>
                <w:rFonts w:ascii="Times New Roman" w:hAnsi="Times New Roman" w:cs="Times New Roman"/>
                <w:spacing w:val="-6"/>
                <w:sz w:val="28"/>
              </w:rPr>
              <w:t xml:space="preserve"> </w:t>
            </w:r>
            <w:r w:rsidRPr="007C57D2">
              <w:rPr>
                <w:rFonts w:ascii="Times New Roman" w:hAnsi="Times New Roman" w:cs="Times New Roman"/>
                <w:sz w:val="28"/>
              </w:rPr>
              <w:t>impedir</w:t>
            </w:r>
            <w:r w:rsidRPr="007C57D2">
              <w:rPr>
                <w:rFonts w:ascii="Times New Roman" w:hAnsi="Times New Roman" w:cs="Times New Roman"/>
                <w:spacing w:val="-7"/>
                <w:sz w:val="28"/>
              </w:rPr>
              <w:t xml:space="preserve"> </w:t>
            </w:r>
            <w:r w:rsidRPr="007C57D2">
              <w:rPr>
                <w:rFonts w:ascii="Times New Roman" w:hAnsi="Times New Roman" w:cs="Times New Roman"/>
                <w:sz w:val="28"/>
              </w:rPr>
              <w:t>u</w:t>
            </w:r>
            <w:r w:rsidRPr="007C57D2">
              <w:rPr>
                <w:rFonts w:ascii="Times New Roman" w:hAnsi="Times New Roman" w:cs="Times New Roman"/>
                <w:spacing w:val="-5"/>
                <w:sz w:val="28"/>
              </w:rPr>
              <w:t xml:space="preserve"> </w:t>
            </w:r>
            <w:r w:rsidRPr="007C57D2">
              <w:rPr>
                <w:rFonts w:ascii="Times New Roman" w:hAnsi="Times New Roman" w:cs="Times New Roman"/>
                <w:sz w:val="28"/>
              </w:rPr>
              <w:t>obstaculizar</w:t>
            </w:r>
            <w:r w:rsidRPr="007C57D2">
              <w:rPr>
                <w:rFonts w:ascii="Times New Roman" w:hAnsi="Times New Roman" w:cs="Times New Roman"/>
                <w:spacing w:val="-6"/>
                <w:sz w:val="28"/>
              </w:rPr>
              <w:t xml:space="preserve"> </w:t>
            </w:r>
            <w:r w:rsidRPr="007C57D2">
              <w:rPr>
                <w:rFonts w:ascii="Times New Roman" w:hAnsi="Times New Roman" w:cs="Times New Roman"/>
                <w:spacing w:val="-5"/>
                <w:sz w:val="28"/>
              </w:rPr>
              <w:t>la</w:t>
            </w:r>
            <w:r w:rsidRPr="007C57D2">
              <w:rPr>
                <w:rFonts w:ascii="Times New Roman" w:hAnsi="Times New Roman" w:cs="Times New Roman"/>
                <w:spacing w:val="-5"/>
                <w:sz w:val="28"/>
              </w:rPr>
              <w:t xml:space="preserve"> </w:t>
            </w:r>
            <w:r w:rsidRPr="007C57D2">
              <w:rPr>
                <w:rFonts w:ascii="Times New Roman" w:hAnsi="Times New Roman" w:cs="Times New Roman"/>
                <w:sz w:val="28"/>
              </w:rPr>
              <w:t>búsqueda</w:t>
            </w:r>
            <w:r w:rsidRPr="007C57D2">
              <w:rPr>
                <w:rFonts w:ascii="Times New Roman" w:hAnsi="Times New Roman" w:cs="Times New Roman"/>
                <w:spacing w:val="22"/>
                <w:sz w:val="28"/>
              </w:rPr>
              <w:t xml:space="preserve"> </w:t>
            </w:r>
            <w:r w:rsidRPr="007C57D2">
              <w:rPr>
                <w:rFonts w:ascii="Times New Roman" w:hAnsi="Times New Roman" w:cs="Times New Roman"/>
                <w:sz w:val="28"/>
              </w:rPr>
              <w:t>del</w:t>
            </w:r>
            <w:r w:rsidRPr="007C57D2">
              <w:rPr>
                <w:rFonts w:ascii="Times New Roman" w:hAnsi="Times New Roman" w:cs="Times New Roman"/>
                <w:spacing w:val="21"/>
                <w:sz w:val="28"/>
              </w:rPr>
              <w:t xml:space="preserve"> </w:t>
            </w:r>
            <w:r w:rsidRPr="007C57D2">
              <w:rPr>
                <w:rFonts w:ascii="Times New Roman" w:hAnsi="Times New Roman" w:cs="Times New Roman"/>
                <w:sz w:val="28"/>
              </w:rPr>
              <w:t>niño</w:t>
            </w:r>
            <w:r w:rsidRPr="007C57D2">
              <w:rPr>
                <w:rFonts w:ascii="Times New Roman" w:hAnsi="Times New Roman" w:cs="Times New Roman"/>
                <w:spacing w:val="22"/>
                <w:sz w:val="28"/>
              </w:rPr>
              <w:t xml:space="preserve"> </w:t>
            </w:r>
            <w:r w:rsidRPr="007C57D2">
              <w:rPr>
                <w:rFonts w:ascii="Times New Roman" w:hAnsi="Times New Roman" w:cs="Times New Roman"/>
                <w:sz w:val="28"/>
              </w:rPr>
              <w:t>o</w:t>
            </w:r>
            <w:r w:rsidRPr="007C57D2">
              <w:rPr>
                <w:rFonts w:ascii="Times New Roman" w:hAnsi="Times New Roman" w:cs="Times New Roman"/>
                <w:spacing w:val="21"/>
                <w:sz w:val="28"/>
              </w:rPr>
              <w:t xml:space="preserve"> </w:t>
            </w:r>
            <w:r w:rsidRPr="007C57D2">
              <w:rPr>
                <w:rFonts w:ascii="Times New Roman" w:hAnsi="Times New Roman" w:cs="Times New Roman"/>
                <w:sz w:val="28"/>
              </w:rPr>
              <w:t>niña.</w:t>
            </w:r>
            <w:r w:rsidRPr="007C57D2">
              <w:rPr>
                <w:rFonts w:ascii="Times New Roman" w:hAnsi="Times New Roman" w:cs="Times New Roman"/>
                <w:spacing w:val="22"/>
                <w:sz w:val="28"/>
              </w:rPr>
              <w:t xml:space="preserve"> </w:t>
            </w:r>
            <w:r w:rsidRPr="007C57D2">
              <w:rPr>
                <w:rFonts w:ascii="Times New Roman" w:hAnsi="Times New Roman" w:cs="Times New Roman"/>
                <w:spacing w:val="-5"/>
                <w:sz w:val="28"/>
              </w:rPr>
              <w:t>La</w:t>
            </w:r>
            <w:r w:rsidRPr="007C57D2">
              <w:rPr>
                <w:rFonts w:ascii="Times New Roman" w:hAnsi="Times New Roman" w:cs="Times New Roman"/>
                <w:w w:val="105"/>
                <w:sz w:val="28"/>
              </w:rPr>
              <w:t xml:space="preserve"> información sobre los niños 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niñas extraviados, será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administrada bajo las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condiciones de seguridad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necesarias para impedir su</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consulta, uso o acceso no</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autorizado.</w:t>
            </w:r>
          </w:p>
        </w:tc>
        <w:tc>
          <w:tcPr>
            <w:tcW w:w="3657" w:type="dxa"/>
            <w:shd w:val="clear" w:color="auto" w:fill="auto"/>
          </w:tcPr>
          <w:p w:rsidR="000A1A60" w:rsidRPr="007C57D2" w:rsidRDefault="007C57D2" w:rsidP="007C57D2">
            <w:pPr>
              <w:pStyle w:val="TableParagraph"/>
              <w:tabs>
                <w:tab w:val="left" w:pos="1447"/>
              </w:tabs>
              <w:jc w:val="both"/>
              <w:rPr>
                <w:rFonts w:ascii="Times New Roman" w:hAnsi="Times New Roman" w:cs="Times New Roman"/>
                <w:sz w:val="28"/>
              </w:rPr>
            </w:pPr>
            <w:r w:rsidRPr="007C57D2">
              <w:rPr>
                <w:rFonts w:ascii="Times New Roman" w:hAnsi="Times New Roman" w:cs="Times New Roman"/>
                <w:b/>
                <w:spacing w:val="-2"/>
                <w:sz w:val="28"/>
              </w:rPr>
              <w:t>Artículo</w:t>
            </w:r>
            <w:r w:rsidRPr="007C57D2">
              <w:rPr>
                <w:rFonts w:ascii="Times New Roman" w:hAnsi="Times New Roman" w:cs="Times New Roman"/>
                <w:b/>
                <w:spacing w:val="-2"/>
                <w:sz w:val="28"/>
              </w:rPr>
              <w:t xml:space="preserve"> </w:t>
            </w:r>
            <w:r w:rsidRPr="007C57D2">
              <w:rPr>
                <w:rFonts w:ascii="Times New Roman" w:hAnsi="Times New Roman" w:cs="Times New Roman"/>
                <w:b/>
                <w:spacing w:val="-4"/>
                <w:sz w:val="28"/>
              </w:rPr>
              <w:t>10.</w:t>
            </w:r>
            <w:r w:rsidRPr="007C57D2">
              <w:rPr>
                <w:rFonts w:ascii="Times New Roman" w:hAnsi="Times New Roman" w:cs="Times New Roman"/>
                <w:b/>
                <w:spacing w:val="-4"/>
                <w:sz w:val="28"/>
              </w:rPr>
              <w:t xml:space="preserve"> </w:t>
            </w:r>
            <w:r w:rsidRPr="007C57D2">
              <w:rPr>
                <w:rFonts w:ascii="Times New Roman" w:hAnsi="Times New Roman" w:cs="Times New Roman"/>
                <w:b/>
                <w:sz w:val="28"/>
              </w:rPr>
              <w:t>Procedimiento para la</w:t>
            </w:r>
            <w:r w:rsidRPr="007C57D2">
              <w:rPr>
                <w:rFonts w:ascii="Times New Roman" w:hAnsi="Times New Roman" w:cs="Times New Roman"/>
                <w:b/>
                <w:spacing w:val="40"/>
                <w:sz w:val="28"/>
              </w:rPr>
              <w:t xml:space="preserve"> </w:t>
            </w:r>
            <w:r w:rsidRPr="007C57D2">
              <w:rPr>
                <w:rFonts w:ascii="Times New Roman" w:hAnsi="Times New Roman" w:cs="Times New Roman"/>
                <w:b/>
                <w:sz w:val="28"/>
              </w:rPr>
              <w:t>difusión de la alerta</w:t>
            </w:r>
            <w:r w:rsidRPr="007C57D2">
              <w:rPr>
                <w:rFonts w:ascii="Times New Roman" w:hAnsi="Times New Roman" w:cs="Times New Roman"/>
                <w:sz w:val="28"/>
              </w:rPr>
              <w:t>. El</w:t>
            </w:r>
            <w:r w:rsidRPr="007C57D2">
              <w:rPr>
                <w:rFonts w:ascii="Times New Roman" w:hAnsi="Times New Roman" w:cs="Times New Roman"/>
                <w:spacing w:val="40"/>
                <w:sz w:val="28"/>
              </w:rPr>
              <w:t xml:space="preserve"> </w:t>
            </w:r>
            <w:r w:rsidRPr="007C57D2">
              <w:rPr>
                <w:rFonts w:ascii="Times New Roman" w:hAnsi="Times New Roman" w:cs="Times New Roman"/>
                <w:sz w:val="28"/>
              </w:rPr>
              <w:t>procedimiento para la</w:t>
            </w:r>
            <w:r w:rsidRPr="007C57D2">
              <w:rPr>
                <w:rFonts w:ascii="Times New Roman" w:hAnsi="Times New Roman" w:cs="Times New Roman"/>
                <w:spacing w:val="40"/>
                <w:sz w:val="28"/>
              </w:rPr>
              <w:t xml:space="preserve"> </w:t>
            </w:r>
            <w:r w:rsidRPr="007C57D2">
              <w:rPr>
                <w:rFonts w:ascii="Times New Roman" w:hAnsi="Times New Roman" w:cs="Times New Roman"/>
                <w:sz w:val="28"/>
              </w:rPr>
              <w:t>difusión de 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deberá regirse</w:t>
            </w:r>
            <w:r w:rsidRPr="007C57D2">
              <w:rPr>
                <w:rFonts w:ascii="Times New Roman" w:hAnsi="Times New Roman" w:cs="Times New Roman"/>
                <w:spacing w:val="40"/>
                <w:sz w:val="28"/>
              </w:rPr>
              <w:t xml:space="preserve"> </w:t>
            </w:r>
            <w:r w:rsidRPr="007C57D2">
              <w:rPr>
                <w:rFonts w:ascii="Times New Roman" w:hAnsi="Times New Roman" w:cs="Times New Roman"/>
                <w:sz w:val="28"/>
              </w:rPr>
              <w:t>por los principios de</w:t>
            </w:r>
            <w:r w:rsidRPr="007C57D2">
              <w:rPr>
                <w:rFonts w:ascii="Times New Roman" w:hAnsi="Times New Roman" w:cs="Times New Roman"/>
                <w:spacing w:val="40"/>
                <w:sz w:val="28"/>
              </w:rPr>
              <w:t xml:space="preserve"> </w:t>
            </w:r>
            <w:r w:rsidRPr="007C57D2">
              <w:rPr>
                <w:rFonts w:ascii="Times New Roman" w:hAnsi="Times New Roman" w:cs="Times New Roman"/>
                <w:sz w:val="28"/>
              </w:rPr>
              <w:t>celeridad, eficacia y</w:t>
            </w:r>
            <w:r w:rsidRPr="007C57D2">
              <w:rPr>
                <w:rFonts w:ascii="Times New Roman" w:hAnsi="Times New Roman" w:cs="Times New Roman"/>
                <w:spacing w:val="40"/>
                <w:sz w:val="28"/>
              </w:rPr>
              <w:t xml:space="preserve"> </w:t>
            </w:r>
            <w:r w:rsidRPr="007C57D2">
              <w:rPr>
                <w:rFonts w:ascii="Times New Roman" w:hAnsi="Times New Roman" w:cs="Times New Roman"/>
                <w:sz w:val="28"/>
              </w:rPr>
              <w:t>publicidad. Esto significa</w:t>
            </w:r>
            <w:r w:rsidRPr="007C57D2">
              <w:rPr>
                <w:rFonts w:ascii="Times New Roman" w:hAnsi="Times New Roman" w:cs="Times New Roman"/>
                <w:spacing w:val="40"/>
                <w:sz w:val="28"/>
              </w:rPr>
              <w:t xml:space="preserve"> </w:t>
            </w:r>
            <w:r w:rsidRPr="007C57D2">
              <w:rPr>
                <w:rFonts w:ascii="Times New Roman" w:hAnsi="Times New Roman" w:cs="Times New Roman"/>
                <w:sz w:val="28"/>
              </w:rPr>
              <w:t>que no debe existir ningún</w:t>
            </w:r>
            <w:r w:rsidRPr="007C57D2">
              <w:rPr>
                <w:rFonts w:ascii="Times New Roman" w:hAnsi="Times New Roman" w:cs="Times New Roman"/>
                <w:spacing w:val="40"/>
                <w:sz w:val="28"/>
              </w:rPr>
              <w:t xml:space="preserve"> </w:t>
            </w:r>
            <w:r w:rsidRPr="007C57D2">
              <w:rPr>
                <w:rFonts w:ascii="Times New Roman" w:hAnsi="Times New Roman" w:cs="Times New Roman"/>
                <w:sz w:val="28"/>
              </w:rPr>
              <w:t>tipo de dilaciones por</w:t>
            </w:r>
            <w:r w:rsidRPr="007C57D2">
              <w:rPr>
                <w:rFonts w:ascii="Times New Roman" w:hAnsi="Times New Roman" w:cs="Times New Roman"/>
                <w:spacing w:val="-1"/>
                <w:sz w:val="28"/>
              </w:rPr>
              <w:t xml:space="preserve"> </w:t>
            </w:r>
            <w:r w:rsidRPr="007C57D2">
              <w:rPr>
                <w:rFonts w:ascii="Times New Roman" w:hAnsi="Times New Roman" w:cs="Times New Roman"/>
                <w:sz w:val="28"/>
              </w:rPr>
              <w:t>parte</w:t>
            </w:r>
            <w:r w:rsidRPr="007C57D2">
              <w:rPr>
                <w:rFonts w:ascii="Times New Roman" w:hAnsi="Times New Roman" w:cs="Times New Roman"/>
                <w:spacing w:val="40"/>
                <w:sz w:val="28"/>
              </w:rPr>
              <w:t xml:space="preserve"> </w:t>
            </w:r>
            <w:r w:rsidRPr="007C57D2">
              <w:rPr>
                <w:rFonts w:ascii="Times New Roman" w:hAnsi="Times New Roman" w:cs="Times New Roman"/>
                <w:sz w:val="28"/>
              </w:rPr>
              <w:t>de las autoridades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competentes.</w:t>
            </w:r>
            <w:r w:rsidRPr="007C57D2">
              <w:rPr>
                <w:rFonts w:ascii="Times New Roman" w:hAnsi="Times New Roman" w:cs="Times New Roman"/>
                <w:spacing w:val="-2"/>
                <w:sz w:val="28"/>
              </w:rPr>
              <w:t xml:space="preserve"> </w:t>
            </w:r>
            <w:r w:rsidRPr="007C57D2">
              <w:rPr>
                <w:rFonts w:ascii="Times New Roman" w:hAnsi="Times New Roman" w:cs="Times New Roman"/>
                <w:spacing w:val="-4"/>
                <w:sz w:val="28"/>
              </w:rPr>
              <w:t>Los</w:t>
            </w:r>
            <w:r w:rsidRPr="007C57D2">
              <w:rPr>
                <w:rFonts w:ascii="Times New Roman" w:hAnsi="Times New Roman" w:cs="Times New Roman"/>
                <w:spacing w:val="40"/>
                <w:sz w:val="28"/>
              </w:rPr>
              <w:t xml:space="preserve"> </w:t>
            </w:r>
            <w:r w:rsidRPr="007C57D2">
              <w:rPr>
                <w:rFonts w:ascii="Times New Roman" w:hAnsi="Times New Roman" w:cs="Times New Roman"/>
                <w:sz w:val="28"/>
              </w:rPr>
              <w:t>procedimientos de difusión</w:t>
            </w:r>
            <w:r w:rsidRPr="007C57D2">
              <w:rPr>
                <w:rFonts w:ascii="Times New Roman" w:hAnsi="Times New Roman" w:cs="Times New Roman"/>
                <w:spacing w:val="40"/>
                <w:sz w:val="28"/>
              </w:rPr>
              <w:t xml:space="preserve"> </w:t>
            </w:r>
            <w:r w:rsidRPr="007C57D2">
              <w:rPr>
                <w:rFonts w:ascii="Times New Roman" w:hAnsi="Times New Roman" w:cs="Times New Roman"/>
                <w:sz w:val="28"/>
              </w:rPr>
              <w:t>serán los siguientes:</w:t>
            </w:r>
          </w:p>
          <w:p w:rsidR="000A1A60" w:rsidRPr="007C57D2" w:rsidRDefault="007C57D2" w:rsidP="007C57D2">
            <w:pPr>
              <w:pStyle w:val="TableParagraph"/>
              <w:tabs>
                <w:tab w:val="left" w:pos="190"/>
                <w:tab w:val="left" w:pos="566"/>
                <w:tab w:val="left" w:pos="1512"/>
              </w:tabs>
              <w:jc w:val="both"/>
              <w:rPr>
                <w:rFonts w:ascii="Times New Roman" w:hAnsi="Times New Roman" w:cs="Times New Roman"/>
                <w:b/>
                <w:sz w:val="28"/>
              </w:rPr>
            </w:pPr>
            <w:r w:rsidRPr="007C57D2">
              <w:rPr>
                <w:rFonts w:ascii="Times New Roman" w:hAnsi="Times New Roman" w:cs="Times New Roman"/>
                <w:b/>
                <w:bCs/>
                <w:spacing w:val="-2"/>
                <w:sz w:val="28"/>
              </w:rPr>
              <w:t>a.</w:t>
            </w:r>
            <w:r w:rsidRPr="007C57D2">
              <w:rPr>
                <w:rFonts w:ascii="Times New Roman" w:hAnsi="Times New Roman" w:cs="Times New Roman"/>
                <w:spacing w:val="-2"/>
                <w:sz w:val="28"/>
              </w:rPr>
              <w:t xml:space="preserve"> </w:t>
            </w:r>
            <w:r w:rsidRPr="007C57D2">
              <w:rPr>
                <w:rFonts w:ascii="Times New Roman" w:hAnsi="Times New Roman" w:cs="Times New Roman"/>
                <w:spacing w:val="-2"/>
                <w:sz w:val="28"/>
              </w:rPr>
              <w:t>Los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proveedores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de</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redes</w:t>
            </w:r>
            <w:r w:rsidRPr="007C57D2">
              <w:rPr>
                <w:rFonts w:ascii="Times New Roman" w:hAnsi="Times New Roman" w:cs="Times New Roman"/>
                <w:spacing w:val="40"/>
                <w:sz w:val="28"/>
              </w:rPr>
              <w:t xml:space="preserve"> </w:t>
            </w:r>
            <w:r w:rsidRPr="007C57D2">
              <w:rPr>
                <w:rFonts w:ascii="Times New Roman" w:hAnsi="Times New Roman" w:cs="Times New Roman"/>
                <w:spacing w:val="-10"/>
                <w:sz w:val="28"/>
              </w:rPr>
              <w:t>y</w:t>
            </w:r>
            <w:r w:rsidRPr="007C57D2">
              <w:rPr>
                <w:rFonts w:ascii="Times New Roman" w:hAnsi="Times New Roman" w:cs="Times New Roman"/>
                <w:spacing w:val="-10"/>
                <w:sz w:val="28"/>
              </w:rPr>
              <w:t xml:space="preserve"> </w:t>
            </w:r>
            <w:r w:rsidRPr="007C57D2">
              <w:rPr>
                <w:rFonts w:ascii="Times New Roman" w:hAnsi="Times New Roman" w:cs="Times New Roman"/>
                <w:spacing w:val="-2"/>
                <w:sz w:val="28"/>
              </w:rPr>
              <w:t>servicios</w:t>
            </w:r>
            <w:r w:rsidRPr="007C57D2">
              <w:rPr>
                <w:rFonts w:ascii="Times New Roman" w:hAnsi="Times New Roman" w:cs="Times New Roman"/>
                <w:spacing w:val="-2"/>
                <w:sz w:val="28"/>
              </w:rPr>
              <w:t xml:space="preserve"> </w:t>
            </w:r>
            <w:r w:rsidRPr="007C57D2">
              <w:rPr>
                <w:rFonts w:ascii="Times New Roman" w:hAnsi="Times New Roman" w:cs="Times New Roman"/>
                <w:spacing w:val="-6"/>
                <w:sz w:val="28"/>
              </w:rPr>
              <w:t>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telecomunicaciones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móviles</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deberán emitir 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difundiendo la</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información del niño o niña</w:t>
            </w:r>
            <w:r w:rsidRPr="007C57D2">
              <w:rPr>
                <w:rFonts w:ascii="Times New Roman" w:hAnsi="Times New Roman" w:cs="Times New Roman"/>
                <w:spacing w:val="40"/>
                <w:sz w:val="28"/>
              </w:rPr>
              <w:t xml:space="preserve"> </w:t>
            </w:r>
            <w:r w:rsidRPr="007C57D2">
              <w:rPr>
                <w:rFonts w:ascii="Times New Roman" w:hAnsi="Times New Roman" w:cs="Times New Roman"/>
                <w:sz w:val="28"/>
              </w:rPr>
              <w:t>extraviado de manera</w:t>
            </w:r>
            <w:r w:rsidRPr="007C57D2">
              <w:rPr>
                <w:rFonts w:ascii="Times New Roman" w:hAnsi="Times New Roman" w:cs="Times New Roman"/>
                <w:spacing w:val="40"/>
                <w:sz w:val="28"/>
              </w:rPr>
              <w:t xml:space="preserve"> </w:t>
            </w:r>
            <w:r w:rsidRPr="007C57D2">
              <w:rPr>
                <w:rFonts w:ascii="Times New Roman" w:hAnsi="Times New Roman" w:cs="Times New Roman"/>
                <w:sz w:val="28"/>
              </w:rPr>
              <w:t>gratuita y oportuna</w:t>
            </w:r>
            <w:r w:rsidRPr="007C57D2">
              <w:rPr>
                <w:rFonts w:ascii="Times New Roman" w:hAnsi="Times New Roman" w:cs="Times New Roman"/>
                <w:spacing w:val="40"/>
                <w:sz w:val="28"/>
              </w:rPr>
              <w:t xml:space="preserve"> </w:t>
            </w:r>
            <w:r w:rsidRPr="007C57D2">
              <w:rPr>
                <w:rFonts w:ascii="Times New Roman" w:hAnsi="Times New Roman" w:cs="Times New Roman"/>
                <w:sz w:val="28"/>
              </w:rPr>
              <w:t>conforme</w:t>
            </w:r>
            <w:r w:rsidRPr="007C57D2">
              <w:rPr>
                <w:rFonts w:ascii="Times New Roman" w:hAnsi="Times New Roman" w:cs="Times New Roman"/>
                <w:spacing w:val="-2"/>
                <w:sz w:val="28"/>
              </w:rPr>
              <w:t xml:space="preserve"> </w:t>
            </w:r>
            <w:r w:rsidRPr="007C57D2">
              <w:rPr>
                <w:rFonts w:ascii="Times New Roman" w:hAnsi="Times New Roman" w:cs="Times New Roman"/>
                <w:sz w:val="28"/>
              </w:rPr>
              <w:t>al</w:t>
            </w:r>
            <w:r w:rsidRPr="007C57D2">
              <w:rPr>
                <w:rFonts w:ascii="Times New Roman" w:hAnsi="Times New Roman" w:cs="Times New Roman"/>
                <w:spacing w:val="-2"/>
                <w:sz w:val="28"/>
              </w:rPr>
              <w:t xml:space="preserve"> </w:t>
            </w:r>
            <w:r w:rsidRPr="007C57D2">
              <w:rPr>
                <w:rFonts w:ascii="Times New Roman" w:hAnsi="Times New Roman" w:cs="Times New Roman"/>
                <w:sz w:val="28"/>
              </w:rPr>
              <w:t>artículo</w:t>
            </w:r>
            <w:r w:rsidRPr="007C57D2">
              <w:rPr>
                <w:rFonts w:ascii="Times New Roman" w:hAnsi="Times New Roman" w:cs="Times New Roman"/>
                <w:spacing w:val="-2"/>
                <w:sz w:val="28"/>
              </w:rPr>
              <w:t xml:space="preserve"> </w:t>
            </w:r>
            <w:r w:rsidRPr="007C57D2">
              <w:rPr>
                <w:rFonts w:ascii="Times New Roman" w:hAnsi="Times New Roman" w:cs="Times New Roman"/>
                <w:sz w:val="28"/>
              </w:rPr>
              <w:t>6</w:t>
            </w:r>
            <w:r w:rsidRPr="007C57D2">
              <w:rPr>
                <w:rFonts w:ascii="Times New Roman" w:hAnsi="Times New Roman" w:cs="Times New Roman"/>
                <w:spacing w:val="-2"/>
                <w:sz w:val="28"/>
              </w:rPr>
              <w:t xml:space="preserve"> </w:t>
            </w:r>
            <w:r w:rsidRPr="007C57D2">
              <w:rPr>
                <w:rFonts w:ascii="Times New Roman" w:hAnsi="Times New Roman" w:cs="Times New Roman"/>
                <w:sz w:val="28"/>
              </w:rPr>
              <w:t>de</w:t>
            </w:r>
            <w:r w:rsidRPr="007C57D2">
              <w:rPr>
                <w:rFonts w:ascii="Times New Roman" w:hAnsi="Times New Roman" w:cs="Times New Roman"/>
                <w:spacing w:val="-1"/>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z w:val="28"/>
              </w:rPr>
              <w:t>presente</w:t>
            </w:r>
            <w:r w:rsidRPr="007C57D2">
              <w:rPr>
                <w:rFonts w:ascii="Times New Roman" w:hAnsi="Times New Roman" w:cs="Times New Roman"/>
                <w:spacing w:val="-5"/>
                <w:sz w:val="28"/>
              </w:rPr>
              <w:t xml:space="preserve"> </w:t>
            </w:r>
            <w:r w:rsidRPr="007C57D2">
              <w:rPr>
                <w:rFonts w:ascii="Times New Roman" w:hAnsi="Times New Roman" w:cs="Times New Roman"/>
                <w:sz w:val="28"/>
              </w:rPr>
              <w:t>ley.</w:t>
            </w:r>
          </w:p>
          <w:p w:rsidR="000A1A60" w:rsidRPr="007C57D2" w:rsidRDefault="007C57D2" w:rsidP="007C57D2">
            <w:pPr>
              <w:pStyle w:val="TableParagraph"/>
              <w:jc w:val="both"/>
              <w:rPr>
                <w:rFonts w:ascii="Times New Roman" w:hAnsi="Times New Roman" w:cs="Times New Roman"/>
                <w:sz w:val="28"/>
              </w:rPr>
            </w:pPr>
            <w:r w:rsidRPr="007C57D2">
              <w:rPr>
                <w:rFonts w:ascii="Times New Roman" w:hAnsi="Times New Roman" w:cs="Times New Roman"/>
                <w:b/>
                <w:bCs/>
                <w:sz w:val="28"/>
              </w:rPr>
              <w:t>b.</w:t>
            </w:r>
            <w:r w:rsidRPr="007C57D2">
              <w:rPr>
                <w:rFonts w:ascii="Times New Roman" w:hAnsi="Times New Roman" w:cs="Times New Roman"/>
                <w:sz w:val="28"/>
              </w:rPr>
              <w:t xml:space="preserve"> </w:t>
            </w:r>
            <w:r w:rsidRPr="007C57D2">
              <w:rPr>
                <w:rFonts w:ascii="Times New Roman" w:hAnsi="Times New Roman" w:cs="Times New Roman"/>
                <w:sz w:val="28"/>
              </w:rPr>
              <w:t>Los proveedores de</w:t>
            </w:r>
            <w:r w:rsidRPr="007C57D2">
              <w:rPr>
                <w:rFonts w:ascii="Times New Roman" w:hAnsi="Times New Roman" w:cs="Times New Roman"/>
                <w:spacing w:val="40"/>
                <w:sz w:val="28"/>
              </w:rPr>
              <w:t xml:space="preserve"> </w:t>
            </w:r>
            <w:r w:rsidRPr="007C57D2">
              <w:rPr>
                <w:rFonts w:ascii="Times New Roman" w:hAnsi="Times New Roman" w:cs="Times New Roman"/>
                <w:sz w:val="28"/>
              </w:rPr>
              <w:t>redes</w:t>
            </w:r>
            <w:r w:rsidRPr="007C57D2">
              <w:rPr>
                <w:rFonts w:ascii="Times New Roman" w:hAnsi="Times New Roman" w:cs="Times New Roman"/>
                <w:spacing w:val="55"/>
                <w:sz w:val="28"/>
              </w:rPr>
              <w:t xml:space="preserve"> </w:t>
            </w:r>
            <w:r w:rsidRPr="007C57D2">
              <w:rPr>
                <w:rFonts w:ascii="Times New Roman" w:hAnsi="Times New Roman" w:cs="Times New Roman"/>
                <w:sz w:val="28"/>
              </w:rPr>
              <w:t>y</w:t>
            </w:r>
            <w:r w:rsidRPr="007C57D2">
              <w:rPr>
                <w:rFonts w:ascii="Times New Roman" w:hAnsi="Times New Roman" w:cs="Times New Roman"/>
                <w:spacing w:val="55"/>
                <w:sz w:val="28"/>
              </w:rPr>
              <w:t xml:space="preserve"> </w:t>
            </w:r>
            <w:r w:rsidRPr="007C57D2">
              <w:rPr>
                <w:rFonts w:ascii="Times New Roman" w:hAnsi="Times New Roman" w:cs="Times New Roman"/>
                <w:sz w:val="28"/>
              </w:rPr>
              <w:t>servicios</w:t>
            </w:r>
            <w:r w:rsidRPr="007C57D2">
              <w:rPr>
                <w:rFonts w:ascii="Times New Roman" w:hAnsi="Times New Roman" w:cs="Times New Roman"/>
                <w:spacing w:val="54"/>
                <w:sz w:val="28"/>
              </w:rPr>
              <w:t xml:space="preserve"> </w:t>
            </w:r>
            <w:r w:rsidRPr="007C57D2">
              <w:rPr>
                <w:rFonts w:ascii="Times New Roman" w:hAnsi="Times New Roman" w:cs="Times New Roman"/>
                <w:spacing w:val="-5"/>
                <w:sz w:val="28"/>
              </w:rPr>
              <w:t>de</w:t>
            </w:r>
            <w:r w:rsidRPr="007C57D2">
              <w:rPr>
                <w:rFonts w:ascii="Times New Roman" w:hAnsi="Times New Roman" w:cs="Times New Roman"/>
                <w:w w:val="105"/>
                <w:sz w:val="28"/>
              </w:rPr>
              <w:t xml:space="preserve"> telecomunicaciones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móviles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que</w:t>
            </w:r>
            <w:r w:rsidRPr="007C57D2">
              <w:rPr>
                <w:rFonts w:ascii="Times New Roman" w:hAnsi="Times New Roman" w:cs="Times New Roman"/>
                <w:spacing w:val="-11"/>
                <w:w w:val="105"/>
                <w:sz w:val="28"/>
              </w:rPr>
              <w:t xml:space="preserve"> </w:t>
            </w:r>
            <w:r w:rsidRPr="007C57D2">
              <w:rPr>
                <w:rFonts w:ascii="Times New Roman" w:hAnsi="Times New Roman" w:cs="Times New Roman"/>
                <w:w w:val="105"/>
                <w:sz w:val="28"/>
              </w:rPr>
              <w:t>prestan</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sus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servicios</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 país deberán, en un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tiempo máximo de una (1)</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hora posterior a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activación de la Alerta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Colombia, difundir dicha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 a todos los usuarios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que se encuentren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registrados en la zona en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cual el niño o niña se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extravió. En todo caso, si</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existen indicios de que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 o niña ha sido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trasladado a otra ciudad 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municipio,</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alerta</w:t>
            </w:r>
            <w:r w:rsidRPr="007C57D2">
              <w:rPr>
                <w:rFonts w:ascii="Times New Roman" w:hAnsi="Times New Roman" w:cs="Times New Roman"/>
                <w:spacing w:val="32"/>
                <w:w w:val="105"/>
                <w:sz w:val="28"/>
              </w:rPr>
              <w:t xml:space="preserve"> </w:t>
            </w:r>
            <w:r w:rsidRPr="007C57D2">
              <w:rPr>
                <w:rFonts w:ascii="Times New Roman" w:hAnsi="Times New Roman" w:cs="Times New Roman"/>
                <w:spacing w:val="-2"/>
                <w:w w:val="105"/>
                <w:sz w:val="28"/>
              </w:rPr>
              <w:t>deberá</w:t>
            </w:r>
          </w:p>
          <w:p w:rsidR="000A1A60"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r w:rsidRPr="007C57D2">
              <w:rPr>
                <w:rFonts w:ascii="Times New Roman" w:hAnsi="Times New Roman" w:cs="Times New Roman"/>
                <w:w w:val="105"/>
                <w:sz w:val="28"/>
              </w:rPr>
              <w:t>ampl</w:t>
            </w:r>
            <w:r w:rsidRPr="007C57D2">
              <w:rPr>
                <w:rFonts w:ascii="Times New Roman" w:hAnsi="Times New Roman" w:cs="Times New Roman"/>
                <w:w w:val="105"/>
                <w:sz w:val="28"/>
              </w:rPr>
              <w:t>iarse</w:t>
            </w:r>
            <w:r w:rsidRPr="007C57D2">
              <w:rPr>
                <w:rFonts w:ascii="Times New Roman" w:hAnsi="Times New Roman" w:cs="Times New Roman"/>
                <w:spacing w:val="1"/>
                <w:w w:val="105"/>
                <w:sz w:val="28"/>
              </w:rPr>
              <w:t xml:space="preserve"> </w:t>
            </w:r>
            <w:r w:rsidRPr="007C57D2">
              <w:rPr>
                <w:rFonts w:ascii="Times New Roman" w:hAnsi="Times New Roman" w:cs="Times New Roman"/>
                <w:spacing w:val="-2"/>
                <w:w w:val="105"/>
                <w:sz w:val="28"/>
              </w:rPr>
              <w:t>progresivamente.</w:t>
            </w:r>
          </w:p>
          <w:p w:rsidR="00994FF1" w:rsidRPr="007C57D2" w:rsidRDefault="007C57D2" w:rsidP="007C57D2">
            <w:pPr>
              <w:pStyle w:val="TableParagraph"/>
              <w:tabs>
                <w:tab w:val="left" w:pos="734"/>
                <w:tab w:val="left" w:pos="962"/>
                <w:tab w:val="left" w:pos="1262"/>
                <w:tab w:val="left" w:pos="1483"/>
              </w:tabs>
              <w:jc w:val="both"/>
              <w:rPr>
                <w:rFonts w:ascii="Times New Roman" w:hAnsi="Times New Roman" w:cs="Times New Roman"/>
                <w:spacing w:val="-2"/>
                <w:w w:val="105"/>
                <w:sz w:val="28"/>
              </w:rPr>
            </w:pPr>
            <w:r w:rsidRPr="007C57D2">
              <w:rPr>
                <w:rFonts w:ascii="Times New Roman" w:hAnsi="Times New Roman" w:cs="Times New Roman"/>
                <w:b/>
                <w:w w:val="105"/>
                <w:sz w:val="28"/>
              </w:rPr>
              <w:t xml:space="preserve">c. </w:t>
            </w:r>
            <w:r w:rsidRPr="007C57D2">
              <w:rPr>
                <w:rFonts w:ascii="Times New Roman" w:hAnsi="Times New Roman" w:cs="Times New Roman"/>
                <w:w w:val="105"/>
                <w:sz w:val="28"/>
              </w:rPr>
              <w:t>Dicha alerta deberá ser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emitida de manera ágil 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inmediata al Ministerio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Relaciones Exteriores,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Migración Colombia y a</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todas</w:t>
            </w:r>
            <w:r w:rsidRPr="007C57D2">
              <w:rPr>
                <w:rFonts w:ascii="Times New Roman" w:hAnsi="Times New Roman" w:cs="Times New Roman"/>
                <w:spacing w:val="-2"/>
                <w:w w:val="105"/>
                <w:sz w:val="28"/>
              </w:rPr>
              <w:t xml:space="preserve"> </w:t>
            </w:r>
            <w:r w:rsidRPr="007C57D2">
              <w:rPr>
                <w:rFonts w:ascii="Times New Roman" w:hAnsi="Times New Roman" w:cs="Times New Roman"/>
                <w:spacing w:val="-4"/>
                <w:w w:val="105"/>
                <w:sz w:val="28"/>
              </w:rPr>
              <w:t>las</w:t>
            </w:r>
            <w:r w:rsidRPr="007C57D2">
              <w:rPr>
                <w:rFonts w:ascii="Times New Roman" w:hAnsi="Times New Roman" w:cs="Times New Roman"/>
                <w:spacing w:val="-4"/>
                <w:w w:val="105"/>
                <w:sz w:val="28"/>
              </w:rPr>
              <w:t xml:space="preserve"> </w:t>
            </w:r>
            <w:r w:rsidRPr="007C57D2">
              <w:rPr>
                <w:rFonts w:ascii="Times New Roman" w:hAnsi="Times New Roman" w:cs="Times New Roman"/>
                <w:spacing w:val="-2"/>
                <w:w w:val="105"/>
                <w:sz w:val="28"/>
              </w:rPr>
              <w:t>demás</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autoridades en las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fronteras, puertos 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aeropuertos con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propósito de evitar que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o</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niña</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extraviado</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salga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del país. Los operadores</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logísticos</w:t>
            </w:r>
            <w:r w:rsidRPr="007C57D2">
              <w:rPr>
                <w:rFonts w:ascii="Times New Roman" w:hAnsi="Times New Roman" w:cs="Times New Roman"/>
                <w:spacing w:val="-2"/>
                <w:w w:val="105"/>
                <w:sz w:val="28"/>
              </w:rPr>
              <w:t xml:space="preserve"> </w:t>
            </w:r>
            <w:r w:rsidRPr="007C57D2">
              <w:rPr>
                <w:rFonts w:ascii="Times New Roman" w:hAnsi="Times New Roman" w:cs="Times New Roman"/>
                <w:spacing w:val="-6"/>
                <w:w w:val="105"/>
                <w:sz w:val="28"/>
              </w:rPr>
              <w:t>de</w:t>
            </w:r>
            <w:r w:rsidRPr="007C57D2">
              <w:rPr>
                <w:rFonts w:ascii="Times New Roman" w:hAnsi="Times New Roman" w:cs="Times New Roman"/>
                <w:spacing w:val="-6"/>
                <w:w w:val="105"/>
                <w:sz w:val="28"/>
              </w:rPr>
              <w:t xml:space="preserve"> </w:t>
            </w:r>
            <w:r w:rsidRPr="007C57D2">
              <w:rPr>
                <w:rFonts w:ascii="Times New Roman" w:hAnsi="Times New Roman" w:cs="Times New Roman"/>
                <w:spacing w:val="-4"/>
                <w:w w:val="105"/>
                <w:sz w:val="28"/>
              </w:rPr>
              <w:t>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aeropuertos</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internacionales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deberán</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difundir</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alerta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sus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instalaciones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cuando</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un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 o niña se haya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extraviado</w:t>
            </w:r>
            <w:r w:rsidRPr="007C57D2">
              <w:rPr>
                <w:rFonts w:ascii="Times New Roman" w:hAnsi="Times New Roman" w:cs="Times New Roman"/>
                <w:spacing w:val="35"/>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36"/>
                <w:w w:val="105"/>
                <w:sz w:val="28"/>
              </w:rPr>
              <w:t xml:space="preserve"> </w:t>
            </w:r>
            <w:r w:rsidRPr="007C57D2">
              <w:rPr>
                <w:rFonts w:ascii="Times New Roman" w:hAnsi="Times New Roman" w:cs="Times New Roman"/>
                <w:w w:val="105"/>
                <w:sz w:val="28"/>
              </w:rPr>
              <w:t>su</w:t>
            </w:r>
            <w:r w:rsidRPr="007C57D2">
              <w:rPr>
                <w:rFonts w:ascii="Times New Roman" w:hAnsi="Times New Roman" w:cs="Times New Roman"/>
                <w:spacing w:val="36"/>
                <w:w w:val="105"/>
                <w:sz w:val="28"/>
              </w:rPr>
              <w:t xml:space="preserve"> </w:t>
            </w:r>
            <w:r w:rsidRPr="007C57D2">
              <w:rPr>
                <w:rFonts w:ascii="Times New Roman" w:hAnsi="Times New Roman" w:cs="Times New Roman"/>
                <w:w w:val="105"/>
                <w:sz w:val="28"/>
              </w:rPr>
              <w:t>ciudad</w:t>
            </w:r>
            <w:r w:rsidRPr="007C57D2">
              <w:rPr>
                <w:rFonts w:ascii="Times New Roman" w:hAnsi="Times New Roman" w:cs="Times New Roman"/>
                <w:spacing w:val="36"/>
                <w:w w:val="105"/>
                <w:sz w:val="28"/>
              </w:rPr>
              <w:t xml:space="preserve"> </w:t>
            </w:r>
            <w:r w:rsidRPr="007C57D2">
              <w:rPr>
                <w:rFonts w:ascii="Times New Roman" w:hAnsi="Times New Roman" w:cs="Times New Roman"/>
                <w:spacing w:val="-10"/>
                <w:w w:val="105"/>
                <w:sz w:val="28"/>
              </w:rPr>
              <w:t>o</w:t>
            </w:r>
            <w:r w:rsidRPr="007C57D2">
              <w:rPr>
                <w:rFonts w:ascii="Times New Roman" w:hAnsi="Times New Roman" w:cs="Times New Roman"/>
                <w:spacing w:val="-10"/>
                <w:w w:val="105"/>
                <w:sz w:val="28"/>
              </w:rPr>
              <w:t xml:space="preserve"> </w:t>
            </w:r>
            <w:r w:rsidRPr="007C57D2">
              <w:rPr>
                <w:rFonts w:ascii="Times New Roman" w:hAnsi="Times New Roman" w:cs="Times New Roman"/>
                <w:spacing w:val="-2"/>
                <w:w w:val="105"/>
                <w:sz w:val="28"/>
              </w:rPr>
              <w:t>municipio.</w:t>
            </w:r>
          </w:p>
          <w:p w:rsidR="000A1A60" w:rsidRPr="007C57D2" w:rsidRDefault="007C57D2" w:rsidP="007C57D2">
            <w:pPr>
              <w:pStyle w:val="TableParagraph"/>
              <w:tabs>
                <w:tab w:val="left" w:pos="734"/>
                <w:tab w:val="left" w:pos="962"/>
                <w:tab w:val="left" w:pos="1262"/>
                <w:tab w:val="left" w:pos="1483"/>
              </w:tabs>
              <w:jc w:val="both"/>
              <w:rPr>
                <w:rFonts w:ascii="Times New Roman" w:hAnsi="Times New Roman" w:cs="Times New Roman"/>
                <w:sz w:val="28"/>
              </w:rPr>
            </w:pPr>
            <w:r w:rsidRPr="007C57D2">
              <w:rPr>
                <w:rFonts w:ascii="Times New Roman" w:hAnsi="Times New Roman" w:cs="Times New Roman"/>
                <w:b/>
                <w:w w:val="105"/>
                <w:sz w:val="28"/>
              </w:rPr>
              <w:t xml:space="preserve">d. </w:t>
            </w:r>
            <w:r w:rsidRPr="007C57D2">
              <w:rPr>
                <w:rFonts w:ascii="Times New Roman" w:hAnsi="Times New Roman" w:cs="Times New Roman"/>
                <w:w w:val="105"/>
                <w:sz w:val="28"/>
              </w:rPr>
              <w:t>Así mismo, se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comunicar e informar a </w:t>
            </w:r>
            <w:r w:rsidRPr="007C57D2">
              <w:rPr>
                <w:rFonts w:ascii="Times New Roman" w:hAnsi="Times New Roman" w:cs="Times New Roman"/>
                <w:w w:val="105"/>
                <w:sz w:val="28"/>
              </w:rPr>
              <w:t>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países fronterizos con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Colombia sobre la alerta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emitida, con el fin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articular esfuerzos para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recuperar al niño o niña.</w:t>
            </w:r>
          </w:p>
          <w:p w:rsidR="000A1A60" w:rsidRPr="007C57D2" w:rsidRDefault="007C57D2" w:rsidP="007C57D2">
            <w:pPr>
              <w:pStyle w:val="TableParagraph"/>
              <w:jc w:val="both"/>
              <w:rPr>
                <w:rFonts w:ascii="Times New Roman" w:hAnsi="Times New Roman" w:cs="Times New Roman"/>
                <w:spacing w:val="-2"/>
                <w:w w:val="105"/>
                <w:sz w:val="28"/>
              </w:rPr>
            </w:pPr>
            <w:r w:rsidRPr="007C57D2">
              <w:rPr>
                <w:rFonts w:ascii="Times New Roman" w:hAnsi="Times New Roman" w:cs="Times New Roman"/>
                <w:b/>
                <w:w w:val="105"/>
                <w:sz w:val="28"/>
              </w:rPr>
              <w:t xml:space="preserve">e. </w:t>
            </w:r>
            <w:r w:rsidRPr="007C57D2">
              <w:rPr>
                <w:rFonts w:ascii="Times New Roman" w:hAnsi="Times New Roman" w:cs="Times New Roman"/>
                <w:w w:val="105"/>
                <w:sz w:val="28"/>
              </w:rPr>
              <w:t>La Alerta deberá cubrir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toda</w:t>
            </w:r>
            <w:r w:rsidRPr="007C57D2">
              <w:rPr>
                <w:rFonts w:ascii="Times New Roman" w:hAnsi="Times New Roman" w:cs="Times New Roman"/>
                <w:spacing w:val="13"/>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13"/>
                <w:w w:val="105"/>
                <w:sz w:val="28"/>
              </w:rPr>
              <w:t xml:space="preserve"> </w:t>
            </w:r>
            <w:r w:rsidRPr="007C57D2">
              <w:rPr>
                <w:rFonts w:ascii="Times New Roman" w:hAnsi="Times New Roman" w:cs="Times New Roman"/>
                <w:w w:val="105"/>
                <w:sz w:val="28"/>
              </w:rPr>
              <w:t>pantalla</w:t>
            </w:r>
            <w:r w:rsidRPr="007C57D2">
              <w:rPr>
                <w:rFonts w:ascii="Times New Roman" w:hAnsi="Times New Roman" w:cs="Times New Roman"/>
                <w:spacing w:val="14"/>
                <w:w w:val="105"/>
                <w:sz w:val="28"/>
              </w:rPr>
              <w:t xml:space="preserve"> </w:t>
            </w:r>
            <w:r w:rsidRPr="007C57D2">
              <w:rPr>
                <w:rFonts w:ascii="Times New Roman" w:hAnsi="Times New Roman" w:cs="Times New Roman"/>
                <w:w w:val="105"/>
                <w:sz w:val="28"/>
              </w:rPr>
              <w:t>mínimo</w:t>
            </w:r>
            <w:r w:rsidRPr="007C57D2">
              <w:rPr>
                <w:rFonts w:ascii="Times New Roman" w:hAnsi="Times New Roman" w:cs="Times New Roman"/>
                <w:spacing w:val="14"/>
                <w:w w:val="105"/>
                <w:sz w:val="28"/>
              </w:rPr>
              <w:t xml:space="preserve"> </w:t>
            </w:r>
            <w:r w:rsidRPr="007C57D2">
              <w:rPr>
                <w:rFonts w:ascii="Times New Roman" w:hAnsi="Times New Roman" w:cs="Times New Roman"/>
                <w:spacing w:val="-5"/>
                <w:w w:val="105"/>
                <w:sz w:val="28"/>
              </w:rPr>
              <w:t>por</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10 segundos en donde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estará la información del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niño o niña. La fotografía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w:t>
            </w:r>
            <w:r w:rsidRPr="007C57D2">
              <w:rPr>
                <w:rFonts w:ascii="Times New Roman" w:hAnsi="Times New Roman" w:cs="Times New Roman"/>
                <w:w w:val="105"/>
                <w:sz w:val="28"/>
              </w:rPr>
              <w:t>eberá</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ocupar</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por</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lo</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menos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 70% de la pantalla del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dispositivo celular y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vibrar. La señal de alerta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será</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color</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rojo</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3"/>
                <w:w w:val="105"/>
                <w:sz w:val="28"/>
              </w:rPr>
              <w:t xml:space="preserve"> </w:t>
            </w:r>
            <w:r w:rsidRPr="007C57D2">
              <w:rPr>
                <w:rFonts w:ascii="Times New Roman" w:hAnsi="Times New Roman" w:cs="Times New Roman"/>
                <w:w w:val="105"/>
                <w:sz w:val="28"/>
              </w:rPr>
              <w:t>peligro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y no se permitirá que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usuario</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del</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dispositivo</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móvil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elimine la alerta antes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cumplido dicho tiempo 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duración.</w:t>
            </w:r>
          </w:p>
          <w:p w:rsidR="000A1A60" w:rsidRPr="007C57D2" w:rsidRDefault="007C57D2" w:rsidP="007C57D2">
            <w:pPr>
              <w:pStyle w:val="TableParagraph"/>
              <w:tabs>
                <w:tab w:val="left" w:pos="994"/>
                <w:tab w:val="left" w:pos="1483"/>
              </w:tabs>
              <w:jc w:val="both"/>
              <w:rPr>
                <w:rFonts w:ascii="Times New Roman" w:hAnsi="Times New Roman" w:cs="Times New Roman"/>
                <w:w w:val="105"/>
                <w:sz w:val="28"/>
              </w:rPr>
            </w:pPr>
            <w:r w:rsidRPr="007C57D2">
              <w:rPr>
                <w:rFonts w:ascii="Times New Roman" w:hAnsi="Times New Roman" w:cs="Times New Roman"/>
                <w:b/>
                <w:w w:val="105"/>
                <w:sz w:val="28"/>
              </w:rPr>
              <w:t xml:space="preserve">f. </w:t>
            </w:r>
            <w:r w:rsidRPr="007C57D2">
              <w:rPr>
                <w:rFonts w:ascii="Times New Roman" w:hAnsi="Times New Roman" w:cs="Times New Roman"/>
                <w:w w:val="105"/>
                <w:sz w:val="28"/>
              </w:rPr>
              <w:t>Además de la difusión</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mediante</w:t>
            </w:r>
            <w:r w:rsidRPr="007C57D2">
              <w:rPr>
                <w:rFonts w:ascii="Times New Roman" w:hAnsi="Times New Roman" w:cs="Times New Roman"/>
                <w:spacing w:val="-2"/>
                <w:w w:val="105"/>
                <w:sz w:val="28"/>
              </w:rPr>
              <w:t xml:space="preserve"> </w:t>
            </w:r>
            <w:r w:rsidRPr="007C57D2">
              <w:rPr>
                <w:rFonts w:ascii="Times New Roman" w:hAnsi="Times New Roman" w:cs="Times New Roman"/>
                <w:spacing w:val="-2"/>
                <w:w w:val="105"/>
                <w:sz w:val="28"/>
              </w:rPr>
              <w:t>dispositivos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móviles,</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se</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implementará</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difusión</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alerta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a</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través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 otros medios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comunicación de amplia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cobertura, como la radio,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televisión y los medios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digitales, con el fin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alcanzar la mayor cantidad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posible de personas en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menor tiempo posible.</w:t>
            </w:r>
          </w:p>
          <w:p w:rsidR="00994FF1" w:rsidRPr="007C57D2" w:rsidRDefault="007C57D2" w:rsidP="007C57D2">
            <w:pPr>
              <w:pStyle w:val="TableParagraph"/>
              <w:tabs>
                <w:tab w:val="left" w:pos="994"/>
                <w:tab w:val="left" w:pos="1483"/>
              </w:tabs>
              <w:jc w:val="both"/>
              <w:rPr>
                <w:rFonts w:ascii="Times New Roman" w:hAnsi="Times New Roman" w:cs="Times New Roman"/>
                <w:w w:val="105"/>
                <w:sz w:val="28"/>
              </w:rPr>
            </w:pPr>
          </w:p>
          <w:p w:rsidR="005B0B4E" w:rsidRPr="007C57D2" w:rsidRDefault="007C57D2" w:rsidP="007C57D2">
            <w:pPr>
              <w:pStyle w:val="TableParagraph"/>
              <w:tabs>
                <w:tab w:val="left" w:pos="994"/>
                <w:tab w:val="left" w:pos="1483"/>
              </w:tabs>
              <w:jc w:val="both"/>
              <w:rPr>
                <w:rFonts w:ascii="Times New Roman" w:hAnsi="Times New Roman" w:cs="Times New Roman"/>
                <w:w w:val="105"/>
                <w:sz w:val="28"/>
              </w:rPr>
            </w:pPr>
          </w:p>
          <w:p w:rsidR="000A1A60" w:rsidRPr="007C57D2" w:rsidRDefault="007C57D2" w:rsidP="007C57D2">
            <w:pPr>
              <w:pStyle w:val="TableParagraph"/>
              <w:tabs>
                <w:tab w:val="left" w:pos="994"/>
                <w:tab w:val="left" w:pos="1483"/>
              </w:tabs>
              <w:jc w:val="both"/>
              <w:rPr>
                <w:rFonts w:ascii="Times New Roman" w:hAnsi="Times New Roman" w:cs="Times New Roman"/>
                <w:sz w:val="28"/>
              </w:rPr>
            </w:pPr>
            <w:r w:rsidRPr="007C57D2">
              <w:rPr>
                <w:rFonts w:ascii="Times New Roman" w:hAnsi="Times New Roman" w:cs="Times New Roman"/>
                <w:b/>
                <w:sz w:val="28"/>
              </w:rPr>
              <w:t xml:space="preserve">Parágrafo 1. </w:t>
            </w:r>
            <w:r w:rsidRPr="007C57D2">
              <w:rPr>
                <w:rFonts w:ascii="Times New Roman" w:hAnsi="Times New Roman" w:cs="Times New Roman"/>
                <w:sz w:val="28"/>
              </w:rPr>
              <w:t>En cualquier</w:t>
            </w:r>
            <w:r w:rsidRPr="007C57D2">
              <w:rPr>
                <w:rFonts w:ascii="Times New Roman" w:hAnsi="Times New Roman" w:cs="Times New Roman"/>
                <w:spacing w:val="40"/>
                <w:sz w:val="28"/>
              </w:rPr>
              <w:t xml:space="preserve"> </w:t>
            </w:r>
            <w:r w:rsidRPr="007C57D2">
              <w:rPr>
                <w:rFonts w:ascii="Times New Roman" w:hAnsi="Times New Roman" w:cs="Times New Roman"/>
                <w:sz w:val="28"/>
              </w:rPr>
              <w:t>momento,</w:t>
            </w:r>
            <w:r w:rsidRPr="007C57D2">
              <w:rPr>
                <w:rFonts w:ascii="Times New Roman" w:hAnsi="Times New Roman" w:cs="Times New Roman"/>
                <w:spacing w:val="-10"/>
                <w:sz w:val="28"/>
              </w:rPr>
              <w:t xml:space="preserve"> </w:t>
            </w:r>
            <w:r w:rsidRPr="007C57D2">
              <w:rPr>
                <w:rFonts w:ascii="Times New Roman" w:hAnsi="Times New Roman" w:cs="Times New Roman"/>
                <w:sz w:val="28"/>
              </w:rPr>
              <w:t>el</w:t>
            </w:r>
            <w:r w:rsidRPr="007C57D2">
              <w:rPr>
                <w:rFonts w:ascii="Times New Roman" w:hAnsi="Times New Roman" w:cs="Times New Roman"/>
                <w:spacing w:val="-9"/>
                <w:sz w:val="28"/>
              </w:rPr>
              <w:t xml:space="preserve"> </w:t>
            </w:r>
            <w:r w:rsidRPr="007C57D2">
              <w:rPr>
                <w:rFonts w:ascii="Times New Roman" w:hAnsi="Times New Roman" w:cs="Times New Roman"/>
                <w:sz w:val="28"/>
              </w:rPr>
              <w:t>contenido</w:t>
            </w:r>
            <w:r w:rsidRPr="007C57D2">
              <w:rPr>
                <w:rFonts w:ascii="Times New Roman" w:hAnsi="Times New Roman" w:cs="Times New Roman"/>
                <w:spacing w:val="-9"/>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alerta</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podrá</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variar</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conforme</w:t>
            </w:r>
            <w:r w:rsidRPr="007C57D2">
              <w:rPr>
                <w:rFonts w:ascii="Times New Roman" w:hAnsi="Times New Roman" w:cs="Times New Roman"/>
                <w:spacing w:val="40"/>
                <w:sz w:val="28"/>
              </w:rPr>
              <w:t xml:space="preserve"> </w:t>
            </w:r>
            <w:r w:rsidRPr="007C57D2">
              <w:rPr>
                <w:rFonts w:ascii="Times New Roman" w:hAnsi="Times New Roman" w:cs="Times New Roman"/>
                <w:sz w:val="28"/>
              </w:rPr>
              <w:t>a</w:t>
            </w:r>
            <w:r w:rsidRPr="007C57D2">
              <w:rPr>
                <w:rFonts w:ascii="Times New Roman" w:hAnsi="Times New Roman" w:cs="Times New Roman"/>
                <w:spacing w:val="-10"/>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información</w:t>
            </w:r>
            <w:r w:rsidRPr="007C57D2">
              <w:rPr>
                <w:rFonts w:ascii="Times New Roman" w:hAnsi="Times New Roman" w:cs="Times New Roman"/>
                <w:spacing w:val="-9"/>
                <w:sz w:val="28"/>
              </w:rPr>
              <w:t xml:space="preserve"> </w:t>
            </w:r>
            <w:r w:rsidRPr="007C57D2">
              <w:rPr>
                <w:rFonts w:ascii="Times New Roman" w:hAnsi="Times New Roman" w:cs="Times New Roman"/>
                <w:sz w:val="28"/>
              </w:rPr>
              <w:t>que</w:t>
            </w:r>
            <w:r w:rsidRPr="007C57D2">
              <w:rPr>
                <w:rFonts w:ascii="Times New Roman" w:hAnsi="Times New Roman" w:cs="Times New Roman"/>
                <w:spacing w:val="-9"/>
                <w:sz w:val="28"/>
              </w:rPr>
              <w:t xml:space="preserve"> </w:t>
            </w:r>
            <w:r w:rsidRPr="007C57D2">
              <w:rPr>
                <w:rFonts w:ascii="Times New Roman" w:hAnsi="Times New Roman" w:cs="Times New Roman"/>
                <w:sz w:val="28"/>
              </w:rPr>
              <w:t>reciban</w:t>
            </w:r>
            <w:r w:rsidRPr="007C57D2">
              <w:rPr>
                <w:rFonts w:ascii="Times New Roman" w:hAnsi="Times New Roman" w:cs="Times New Roman"/>
                <w:spacing w:val="40"/>
                <w:sz w:val="28"/>
              </w:rPr>
              <w:t xml:space="preserve"> </w:t>
            </w:r>
            <w:r w:rsidRPr="007C57D2">
              <w:rPr>
                <w:rFonts w:ascii="Times New Roman" w:hAnsi="Times New Roman" w:cs="Times New Roman"/>
                <w:sz w:val="28"/>
              </w:rPr>
              <w:t>las autoridades y que sirva</w:t>
            </w:r>
            <w:r w:rsidRPr="007C57D2">
              <w:rPr>
                <w:rFonts w:ascii="Times New Roman" w:hAnsi="Times New Roman" w:cs="Times New Roman"/>
                <w:spacing w:val="40"/>
                <w:sz w:val="28"/>
              </w:rPr>
              <w:t xml:space="preserve"> </w:t>
            </w:r>
            <w:r w:rsidRPr="007C57D2">
              <w:rPr>
                <w:rFonts w:ascii="Times New Roman" w:hAnsi="Times New Roman" w:cs="Times New Roman"/>
                <w:sz w:val="28"/>
              </w:rPr>
              <w:t>para</w:t>
            </w:r>
            <w:r w:rsidRPr="007C57D2">
              <w:rPr>
                <w:rFonts w:ascii="Times New Roman" w:hAnsi="Times New Roman" w:cs="Times New Roman"/>
                <w:spacing w:val="-9"/>
                <w:sz w:val="28"/>
              </w:rPr>
              <w:t xml:space="preserve"> </w:t>
            </w:r>
            <w:r w:rsidRPr="007C57D2">
              <w:rPr>
                <w:rFonts w:ascii="Times New Roman" w:hAnsi="Times New Roman" w:cs="Times New Roman"/>
                <w:sz w:val="28"/>
              </w:rPr>
              <w:t>localizar</w:t>
            </w:r>
            <w:r w:rsidRPr="007C57D2">
              <w:rPr>
                <w:rFonts w:ascii="Times New Roman" w:hAnsi="Times New Roman" w:cs="Times New Roman"/>
                <w:spacing w:val="-9"/>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recuperar</w:t>
            </w:r>
            <w:r w:rsidRPr="007C57D2">
              <w:rPr>
                <w:rFonts w:ascii="Times New Roman" w:hAnsi="Times New Roman" w:cs="Times New Roman"/>
                <w:spacing w:val="-9"/>
                <w:sz w:val="28"/>
              </w:rPr>
              <w:t xml:space="preserve"> </w:t>
            </w:r>
            <w:r w:rsidRPr="007C57D2">
              <w:rPr>
                <w:rFonts w:ascii="Times New Roman" w:hAnsi="Times New Roman" w:cs="Times New Roman"/>
                <w:sz w:val="28"/>
              </w:rPr>
              <w:t>al</w:t>
            </w:r>
            <w:r w:rsidRPr="007C57D2">
              <w:rPr>
                <w:rFonts w:ascii="Times New Roman" w:hAnsi="Times New Roman" w:cs="Times New Roman"/>
                <w:spacing w:val="40"/>
                <w:sz w:val="28"/>
              </w:rPr>
              <w:t xml:space="preserve"> </w:t>
            </w:r>
            <w:r w:rsidRPr="007C57D2">
              <w:rPr>
                <w:rFonts w:ascii="Times New Roman" w:hAnsi="Times New Roman" w:cs="Times New Roman"/>
                <w:sz w:val="28"/>
              </w:rPr>
              <w:t>niño o niña extraviado.</w:t>
            </w:r>
          </w:p>
          <w:p w:rsidR="000A1A60" w:rsidRPr="007C57D2" w:rsidRDefault="007C57D2" w:rsidP="007C57D2">
            <w:pPr>
              <w:pStyle w:val="TableParagraph"/>
              <w:jc w:val="both"/>
              <w:rPr>
                <w:rFonts w:ascii="Times New Roman" w:hAnsi="Times New Roman" w:cs="Times New Roman"/>
                <w:spacing w:val="-2"/>
                <w:sz w:val="28"/>
              </w:rPr>
            </w:pPr>
            <w:r w:rsidRPr="007C57D2">
              <w:rPr>
                <w:rFonts w:ascii="Times New Roman" w:hAnsi="Times New Roman" w:cs="Times New Roman"/>
                <w:b/>
                <w:sz w:val="28"/>
              </w:rPr>
              <w:t xml:space="preserve">Parágrafo 2. </w:t>
            </w:r>
            <w:r w:rsidRPr="007C57D2">
              <w:rPr>
                <w:rFonts w:ascii="Times New Roman" w:hAnsi="Times New Roman" w:cs="Times New Roman"/>
                <w:sz w:val="28"/>
              </w:rPr>
              <w:t>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w:t>
            </w:r>
            <w:r w:rsidRPr="007C57D2">
              <w:rPr>
                <w:rFonts w:ascii="Times New Roman" w:hAnsi="Times New Roman" w:cs="Times New Roman"/>
                <w:spacing w:val="-10"/>
                <w:sz w:val="28"/>
              </w:rPr>
              <w:t xml:space="preserve"> </w:t>
            </w:r>
            <w:r w:rsidRPr="007C57D2">
              <w:rPr>
                <w:rFonts w:ascii="Times New Roman" w:hAnsi="Times New Roman" w:cs="Times New Roman"/>
                <w:sz w:val="28"/>
              </w:rPr>
              <w:t>integrará</w:t>
            </w:r>
            <w:r w:rsidRPr="007C57D2">
              <w:rPr>
                <w:rFonts w:ascii="Times New Roman" w:hAnsi="Times New Roman" w:cs="Times New Roman"/>
                <w:spacing w:val="-9"/>
                <w:sz w:val="28"/>
              </w:rPr>
              <w:t xml:space="preserve"> </w:t>
            </w:r>
            <w:r w:rsidRPr="007C57D2">
              <w:rPr>
                <w:rFonts w:ascii="Times New Roman" w:hAnsi="Times New Roman" w:cs="Times New Roman"/>
                <w:sz w:val="28"/>
              </w:rPr>
              <w:t>también</w:t>
            </w:r>
            <w:r w:rsidRPr="007C57D2">
              <w:rPr>
                <w:rFonts w:ascii="Times New Roman" w:hAnsi="Times New Roman" w:cs="Times New Roman"/>
                <w:spacing w:val="40"/>
                <w:sz w:val="28"/>
              </w:rPr>
              <w:t xml:space="preserve"> </w:t>
            </w:r>
            <w:r w:rsidRPr="007C57D2">
              <w:rPr>
                <w:rFonts w:ascii="Times New Roman" w:hAnsi="Times New Roman" w:cs="Times New Roman"/>
                <w:sz w:val="28"/>
              </w:rPr>
              <w:t>el gran Sistema de Alertas</w:t>
            </w:r>
            <w:r w:rsidRPr="007C57D2">
              <w:rPr>
                <w:rFonts w:ascii="Times New Roman" w:hAnsi="Times New Roman" w:cs="Times New Roman"/>
                <w:spacing w:val="40"/>
                <w:sz w:val="28"/>
              </w:rPr>
              <w:t xml:space="preserve"> </w:t>
            </w:r>
            <w:r w:rsidRPr="007C57D2">
              <w:rPr>
                <w:rFonts w:ascii="Times New Roman" w:hAnsi="Times New Roman" w:cs="Times New Roman"/>
                <w:sz w:val="28"/>
              </w:rPr>
              <w:t>Tempranas sobre la niñez</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colombiana creado por el</w:t>
            </w:r>
            <w:r w:rsidRPr="007C57D2">
              <w:rPr>
                <w:rFonts w:ascii="Times New Roman" w:hAnsi="Times New Roman" w:cs="Times New Roman"/>
                <w:spacing w:val="40"/>
                <w:sz w:val="28"/>
              </w:rPr>
              <w:t xml:space="preserve"> </w:t>
            </w:r>
            <w:r w:rsidRPr="007C57D2">
              <w:rPr>
                <w:rFonts w:ascii="Times New Roman" w:hAnsi="Times New Roman" w:cs="Times New Roman"/>
                <w:sz w:val="28"/>
              </w:rPr>
              <w:t>artículo</w:t>
            </w:r>
            <w:r w:rsidRPr="007C57D2">
              <w:rPr>
                <w:rFonts w:ascii="Times New Roman" w:hAnsi="Times New Roman" w:cs="Times New Roman"/>
                <w:spacing w:val="-7"/>
                <w:sz w:val="28"/>
              </w:rPr>
              <w:t xml:space="preserve"> </w:t>
            </w:r>
            <w:r w:rsidRPr="007C57D2">
              <w:rPr>
                <w:rFonts w:ascii="Times New Roman" w:hAnsi="Times New Roman" w:cs="Times New Roman"/>
                <w:sz w:val="28"/>
              </w:rPr>
              <w:t>4</w:t>
            </w:r>
            <w:r w:rsidRPr="007C57D2">
              <w:rPr>
                <w:rFonts w:ascii="Times New Roman" w:hAnsi="Times New Roman" w:cs="Times New Roman"/>
                <w:spacing w:val="-6"/>
                <w:sz w:val="28"/>
              </w:rPr>
              <w:t xml:space="preserve"> </w:t>
            </w:r>
            <w:r w:rsidRPr="007C57D2">
              <w:rPr>
                <w:rFonts w:ascii="Times New Roman" w:hAnsi="Times New Roman" w:cs="Times New Roman"/>
                <w:sz w:val="28"/>
              </w:rPr>
              <w:t>de</w:t>
            </w:r>
            <w:r w:rsidRPr="007C57D2">
              <w:rPr>
                <w:rFonts w:ascii="Times New Roman" w:hAnsi="Times New Roman" w:cs="Times New Roman"/>
                <w:spacing w:val="-5"/>
                <w:sz w:val="28"/>
              </w:rPr>
              <w:t xml:space="preserve"> </w:t>
            </w:r>
            <w:r w:rsidRPr="007C57D2">
              <w:rPr>
                <w:rFonts w:ascii="Times New Roman" w:hAnsi="Times New Roman" w:cs="Times New Roman"/>
                <w:sz w:val="28"/>
              </w:rPr>
              <w:t>la</w:t>
            </w:r>
            <w:r w:rsidRPr="007C57D2">
              <w:rPr>
                <w:rFonts w:ascii="Times New Roman" w:hAnsi="Times New Roman" w:cs="Times New Roman"/>
                <w:spacing w:val="-7"/>
                <w:sz w:val="28"/>
              </w:rPr>
              <w:t xml:space="preserve"> </w:t>
            </w:r>
            <w:r w:rsidRPr="007C57D2">
              <w:rPr>
                <w:rFonts w:ascii="Times New Roman" w:hAnsi="Times New Roman" w:cs="Times New Roman"/>
                <w:sz w:val="28"/>
              </w:rPr>
              <w:t>Ley</w:t>
            </w:r>
            <w:r w:rsidRPr="007C57D2">
              <w:rPr>
                <w:rFonts w:ascii="Times New Roman" w:hAnsi="Times New Roman" w:cs="Times New Roman"/>
                <w:spacing w:val="-7"/>
                <w:sz w:val="28"/>
              </w:rPr>
              <w:t xml:space="preserve"> </w:t>
            </w:r>
            <w:r w:rsidRPr="007C57D2">
              <w:rPr>
                <w:rFonts w:ascii="Times New Roman" w:hAnsi="Times New Roman" w:cs="Times New Roman"/>
                <w:sz w:val="28"/>
              </w:rPr>
              <w:t>2242</w:t>
            </w:r>
            <w:r w:rsidRPr="007C57D2">
              <w:rPr>
                <w:rFonts w:ascii="Times New Roman" w:hAnsi="Times New Roman" w:cs="Times New Roman"/>
                <w:spacing w:val="-6"/>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2022 con el apoyo de la</w:t>
            </w:r>
            <w:r w:rsidRPr="007C57D2">
              <w:rPr>
                <w:rFonts w:ascii="Times New Roman" w:hAnsi="Times New Roman" w:cs="Times New Roman"/>
                <w:spacing w:val="40"/>
                <w:sz w:val="28"/>
              </w:rPr>
              <w:t xml:space="preserve"> </w:t>
            </w:r>
            <w:r w:rsidRPr="007C57D2">
              <w:rPr>
                <w:rFonts w:ascii="Times New Roman" w:hAnsi="Times New Roman" w:cs="Times New Roman"/>
                <w:sz w:val="28"/>
              </w:rPr>
              <w:t>Agencia Nacional Digital, o</w:t>
            </w:r>
            <w:r w:rsidRPr="007C57D2">
              <w:rPr>
                <w:rFonts w:ascii="Times New Roman" w:hAnsi="Times New Roman" w:cs="Times New Roman"/>
                <w:spacing w:val="40"/>
                <w:sz w:val="28"/>
              </w:rPr>
              <w:t xml:space="preserve"> </w:t>
            </w:r>
            <w:r w:rsidRPr="007C57D2">
              <w:rPr>
                <w:rFonts w:ascii="Times New Roman" w:hAnsi="Times New Roman" w:cs="Times New Roman"/>
                <w:sz w:val="28"/>
              </w:rPr>
              <w:t>cualquier Ley que la</w:t>
            </w:r>
            <w:r w:rsidRPr="007C57D2">
              <w:rPr>
                <w:rFonts w:ascii="Times New Roman" w:hAnsi="Times New Roman" w:cs="Times New Roman"/>
                <w:spacing w:val="40"/>
                <w:sz w:val="28"/>
              </w:rPr>
              <w:t xml:space="preserve"> </w:t>
            </w:r>
            <w:r w:rsidRPr="007C57D2">
              <w:rPr>
                <w:rFonts w:ascii="Times New Roman" w:hAnsi="Times New Roman" w:cs="Times New Roman"/>
                <w:sz w:val="28"/>
              </w:rPr>
              <w:t>sustituya, modifique o</w:t>
            </w:r>
            <w:r w:rsidRPr="007C57D2">
              <w:rPr>
                <w:rFonts w:ascii="Times New Roman" w:hAnsi="Times New Roman" w:cs="Times New Roman"/>
                <w:spacing w:val="40"/>
                <w:sz w:val="28"/>
              </w:rPr>
              <w:t xml:space="preserve"> </w:t>
            </w:r>
            <w:r w:rsidRPr="007C57D2">
              <w:rPr>
                <w:rFonts w:ascii="Times New Roman" w:hAnsi="Times New Roman" w:cs="Times New Roman"/>
                <w:sz w:val="28"/>
              </w:rPr>
              <w:t>adicione,</w:t>
            </w:r>
            <w:r w:rsidRPr="007C57D2">
              <w:rPr>
                <w:rFonts w:ascii="Times New Roman" w:hAnsi="Times New Roman" w:cs="Times New Roman"/>
                <w:spacing w:val="30"/>
                <w:sz w:val="28"/>
              </w:rPr>
              <w:t xml:space="preserve"> </w:t>
            </w:r>
            <w:r w:rsidRPr="007C57D2">
              <w:rPr>
                <w:rFonts w:ascii="Times New Roman" w:hAnsi="Times New Roman" w:cs="Times New Roman"/>
                <w:sz w:val="28"/>
              </w:rPr>
              <w:t>sin</w:t>
            </w:r>
            <w:r w:rsidRPr="007C57D2">
              <w:rPr>
                <w:rFonts w:ascii="Times New Roman" w:hAnsi="Times New Roman" w:cs="Times New Roman"/>
                <w:spacing w:val="31"/>
                <w:sz w:val="28"/>
              </w:rPr>
              <w:t xml:space="preserve"> </w:t>
            </w:r>
            <w:r w:rsidRPr="007C57D2">
              <w:rPr>
                <w:rFonts w:ascii="Times New Roman" w:hAnsi="Times New Roman" w:cs="Times New Roman"/>
                <w:sz w:val="28"/>
              </w:rPr>
              <w:t>perder</w:t>
            </w:r>
            <w:r w:rsidRPr="007C57D2">
              <w:rPr>
                <w:rFonts w:ascii="Times New Roman" w:hAnsi="Times New Roman" w:cs="Times New Roman"/>
                <w:spacing w:val="79"/>
                <w:w w:val="150"/>
                <w:sz w:val="28"/>
              </w:rPr>
              <w:t xml:space="preserve"> </w:t>
            </w:r>
            <w:r w:rsidRPr="007C57D2">
              <w:rPr>
                <w:rFonts w:ascii="Times New Roman" w:hAnsi="Times New Roman" w:cs="Times New Roman"/>
                <w:spacing w:val="-5"/>
                <w:sz w:val="28"/>
              </w:rPr>
              <w:t>su</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autonomía</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en</w:t>
            </w:r>
            <w:r w:rsidRPr="007C57D2">
              <w:rPr>
                <w:rFonts w:ascii="Times New Roman" w:hAnsi="Times New Roman" w:cs="Times New Roman"/>
                <w:spacing w:val="-1"/>
                <w:sz w:val="28"/>
              </w:rPr>
              <w:t xml:space="preserve"> </w:t>
            </w:r>
            <w:r w:rsidRPr="007C57D2">
              <w:rPr>
                <w:rFonts w:ascii="Times New Roman" w:hAnsi="Times New Roman" w:cs="Times New Roman"/>
                <w:spacing w:val="-2"/>
                <w:sz w:val="28"/>
              </w:rPr>
              <w:t>su</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modalidad.</w:t>
            </w:r>
          </w:p>
          <w:p w:rsidR="000A1A60" w:rsidRPr="007C57D2" w:rsidRDefault="007C57D2" w:rsidP="007C57D2">
            <w:pPr>
              <w:pStyle w:val="TableParagraph"/>
              <w:tabs>
                <w:tab w:val="left" w:pos="786"/>
                <w:tab w:val="left" w:pos="1577"/>
              </w:tabs>
              <w:jc w:val="both"/>
              <w:rPr>
                <w:rFonts w:ascii="Times New Roman" w:hAnsi="Times New Roman" w:cs="Times New Roman"/>
                <w:b/>
                <w:w w:val="105"/>
                <w:sz w:val="28"/>
              </w:rPr>
            </w:pPr>
            <w:r w:rsidRPr="007C57D2">
              <w:rPr>
                <w:rFonts w:ascii="Times New Roman" w:hAnsi="Times New Roman" w:cs="Times New Roman"/>
                <w:b/>
                <w:sz w:val="28"/>
              </w:rPr>
              <w:t xml:space="preserve">Parágrafo 3. </w:t>
            </w:r>
            <w:r w:rsidRPr="007C57D2">
              <w:rPr>
                <w:rFonts w:ascii="Times New Roman" w:hAnsi="Times New Roman" w:cs="Times New Roman"/>
                <w:sz w:val="28"/>
              </w:rPr>
              <w:t>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deberá ser activada de</w:t>
            </w:r>
            <w:r w:rsidRPr="007C57D2">
              <w:rPr>
                <w:rFonts w:ascii="Times New Roman" w:hAnsi="Times New Roman" w:cs="Times New Roman"/>
                <w:spacing w:val="40"/>
                <w:sz w:val="28"/>
              </w:rPr>
              <w:t xml:space="preserve"> </w:t>
            </w:r>
            <w:r w:rsidRPr="007C57D2">
              <w:rPr>
                <w:rFonts w:ascii="Times New Roman" w:hAnsi="Times New Roman" w:cs="Times New Roman"/>
                <w:sz w:val="28"/>
              </w:rPr>
              <w:t>conformidad con el juicio</w:t>
            </w:r>
            <w:r w:rsidRPr="007C57D2">
              <w:rPr>
                <w:rFonts w:ascii="Times New Roman" w:hAnsi="Times New Roman" w:cs="Times New Roman"/>
                <w:spacing w:val="40"/>
                <w:sz w:val="28"/>
              </w:rPr>
              <w:t xml:space="preserve"> </w:t>
            </w:r>
            <w:r w:rsidRPr="007C57D2">
              <w:rPr>
                <w:rFonts w:ascii="Times New Roman" w:hAnsi="Times New Roman" w:cs="Times New Roman"/>
                <w:sz w:val="28"/>
              </w:rPr>
              <w:t>razonable de las instancias</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competentes,</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según</w:t>
            </w:r>
            <w:r w:rsidRPr="007C57D2">
              <w:rPr>
                <w:rFonts w:ascii="Times New Roman" w:hAnsi="Times New Roman" w:cs="Times New Roman"/>
                <w:spacing w:val="-5"/>
                <w:sz w:val="28"/>
              </w:rPr>
              <w:t xml:space="preserve"> </w:t>
            </w:r>
            <w:r w:rsidRPr="007C57D2">
              <w:rPr>
                <w:rFonts w:ascii="Times New Roman" w:hAnsi="Times New Roman" w:cs="Times New Roman"/>
                <w:spacing w:val="-2"/>
                <w:sz w:val="28"/>
              </w:rPr>
              <w:t>el</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lugar</w:t>
            </w:r>
            <w:r w:rsidRPr="007C57D2">
              <w:rPr>
                <w:rFonts w:ascii="Times New Roman" w:hAnsi="Times New Roman" w:cs="Times New Roman"/>
                <w:spacing w:val="40"/>
                <w:sz w:val="28"/>
              </w:rPr>
              <w:t xml:space="preserve"> </w:t>
            </w:r>
            <w:r w:rsidRPr="007C57D2">
              <w:rPr>
                <w:rFonts w:ascii="Times New Roman" w:hAnsi="Times New Roman" w:cs="Times New Roman"/>
                <w:sz w:val="28"/>
              </w:rPr>
              <w:t>donde se reportó el niño o</w:t>
            </w:r>
            <w:r w:rsidRPr="007C57D2">
              <w:rPr>
                <w:rFonts w:ascii="Times New Roman" w:hAnsi="Times New Roman" w:cs="Times New Roman"/>
                <w:spacing w:val="40"/>
                <w:sz w:val="28"/>
              </w:rPr>
              <w:t xml:space="preserve"> </w:t>
            </w:r>
            <w:r w:rsidRPr="007C57D2">
              <w:rPr>
                <w:rFonts w:ascii="Times New Roman" w:hAnsi="Times New Roman" w:cs="Times New Roman"/>
                <w:sz w:val="28"/>
              </w:rPr>
              <w:t>niña extraviado, y deberá</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atender al interés </w:t>
            </w:r>
            <w:r w:rsidRPr="007C57D2">
              <w:rPr>
                <w:rFonts w:ascii="Times New Roman" w:hAnsi="Times New Roman" w:cs="Times New Roman"/>
                <w:sz w:val="28"/>
              </w:rPr>
              <w:t>superior</w:t>
            </w:r>
            <w:r w:rsidRPr="007C57D2">
              <w:rPr>
                <w:rFonts w:ascii="Times New Roman" w:hAnsi="Times New Roman" w:cs="Times New Roman"/>
                <w:spacing w:val="40"/>
                <w:sz w:val="28"/>
              </w:rPr>
              <w:t xml:space="preserve"> </w:t>
            </w:r>
            <w:r w:rsidRPr="007C57D2">
              <w:rPr>
                <w:rFonts w:ascii="Times New Roman" w:hAnsi="Times New Roman" w:cs="Times New Roman"/>
                <w:sz w:val="28"/>
              </w:rPr>
              <w:t>de los niños y niñas</w:t>
            </w:r>
            <w:r w:rsidRPr="007C57D2">
              <w:rPr>
                <w:rFonts w:ascii="Times New Roman" w:hAnsi="Times New Roman" w:cs="Times New Roman"/>
                <w:spacing w:val="40"/>
                <w:sz w:val="28"/>
              </w:rPr>
              <w:t xml:space="preserve"> </w:t>
            </w:r>
            <w:r w:rsidRPr="007C57D2">
              <w:rPr>
                <w:rFonts w:ascii="Times New Roman" w:hAnsi="Times New Roman" w:cs="Times New Roman"/>
                <w:sz w:val="28"/>
              </w:rPr>
              <w:t>involucrados. La activación</w:t>
            </w:r>
            <w:r w:rsidRPr="007C57D2">
              <w:rPr>
                <w:rFonts w:ascii="Times New Roman" w:hAnsi="Times New Roman" w:cs="Times New Roman"/>
                <w:spacing w:val="40"/>
                <w:sz w:val="28"/>
              </w:rPr>
              <w:t xml:space="preserve"> </w:t>
            </w:r>
            <w:r w:rsidRPr="007C57D2">
              <w:rPr>
                <w:rFonts w:ascii="Times New Roman" w:hAnsi="Times New Roman" w:cs="Times New Roman"/>
                <w:sz w:val="28"/>
              </w:rPr>
              <w:t>se realizará sin anteponer</w:t>
            </w:r>
            <w:r w:rsidRPr="007C57D2">
              <w:rPr>
                <w:rFonts w:ascii="Times New Roman" w:hAnsi="Times New Roman" w:cs="Times New Roman"/>
                <w:spacing w:val="40"/>
                <w:sz w:val="28"/>
              </w:rPr>
              <w:t xml:space="preserve"> </w:t>
            </w:r>
            <w:r w:rsidRPr="007C57D2">
              <w:rPr>
                <w:rFonts w:ascii="Times New Roman" w:hAnsi="Times New Roman" w:cs="Times New Roman"/>
                <w:sz w:val="28"/>
              </w:rPr>
              <w:t>prejuicios y valores</w:t>
            </w:r>
            <w:r w:rsidRPr="007C57D2">
              <w:rPr>
                <w:rFonts w:ascii="Times New Roman" w:hAnsi="Times New Roman" w:cs="Times New Roman"/>
                <w:spacing w:val="40"/>
                <w:sz w:val="28"/>
              </w:rPr>
              <w:t xml:space="preserve"> </w:t>
            </w:r>
            <w:r w:rsidRPr="007C57D2">
              <w:rPr>
                <w:rFonts w:ascii="Times New Roman" w:hAnsi="Times New Roman" w:cs="Times New Roman"/>
                <w:sz w:val="28"/>
              </w:rPr>
              <w:t>personales,</w:t>
            </w:r>
            <w:r w:rsidRPr="007C57D2">
              <w:rPr>
                <w:rFonts w:ascii="Times New Roman" w:hAnsi="Times New Roman" w:cs="Times New Roman"/>
                <w:spacing w:val="-3"/>
                <w:sz w:val="28"/>
              </w:rPr>
              <w:t xml:space="preserve"> </w:t>
            </w:r>
            <w:r w:rsidRPr="007C57D2">
              <w:rPr>
                <w:rFonts w:ascii="Times New Roman" w:hAnsi="Times New Roman" w:cs="Times New Roman"/>
                <w:sz w:val="28"/>
              </w:rPr>
              <w:t>o</w:t>
            </w:r>
            <w:r w:rsidRPr="007C57D2">
              <w:rPr>
                <w:rFonts w:ascii="Times New Roman" w:hAnsi="Times New Roman" w:cs="Times New Roman"/>
                <w:spacing w:val="-2"/>
                <w:sz w:val="28"/>
              </w:rPr>
              <w:t xml:space="preserve"> </w:t>
            </w:r>
            <w:r w:rsidRPr="007C57D2">
              <w:rPr>
                <w:rFonts w:ascii="Times New Roman" w:hAnsi="Times New Roman" w:cs="Times New Roman"/>
                <w:sz w:val="28"/>
              </w:rPr>
              <w:t>cualquier</w:t>
            </w:r>
            <w:r w:rsidRPr="007C57D2">
              <w:rPr>
                <w:rFonts w:ascii="Times New Roman" w:hAnsi="Times New Roman" w:cs="Times New Roman"/>
                <w:spacing w:val="-2"/>
                <w:sz w:val="28"/>
              </w:rPr>
              <w:t xml:space="preserve"> </w:t>
            </w:r>
            <w:r w:rsidRPr="007C57D2">
              <w:rPr>
                <w:rFonts w:ascii="Times New Roman" w:hAnsi="Times New Roman" w:cs="Times New Roman"/>
                <w:spacing w:val="-4"/>
                <w:sz w:val="28"/>
              </w:rPr>
              <w:t xml:space="preserve">otro </w:t>
            </w:r>
            <w:r w:rsidRPr="007C57D2">
              <w:rPr>
                <w:rFonts w:ascii="Times New Roman" w:hAnsi="Times New Roman" w:cs="Times New Roman"/>
                <w:w w:val="105"/>
                <w:sz w:val="28"/>
              </w:rPr>
              <w:t>acto de discriminación que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pueda</w:t>
            </w:r>
            <w:r w:rsidRPr="007C57D2">
              <w:rPr>
                <w:rFonts w:ascii="Times New Roman" w:hAnsi="Times New Roman" w:cs="Times New Roman"/>
                <w:spacing w:val="-2"/>
                <w:w w:val="105"/>
                <w:sz w:val="28"/>
              </w:rPr>
              <w:t xml:space="preserve"> </w:t>
            </w:r>
            <w:r w:rsidRPr="007C57D2">
              <w:rPr>
                <w:rFonts w:ascii="Times New Roman" w:hAnsi="Times New Roman" w:cs="Times New Roman"/>
                <w:spacing w:val="-2"/>
                <w:w w:val="105"/>
                <w:sz w:val="28"/>
              </w:rPr>
              <w:t>impedir</w:t>
            </w:r>
            <w:r w:rsidRPr="007C57D2">
              <w:rPr>
                <w:rFonts w:ascii="Times New Roman" w:hAnsi="Times New Roman" w:cs="Times New Roman"/>
                <w:spacing w:val="-2"/>
                <w:w w:val="105"/>
                <w:sz w:val="28"/>
              </w:rPr>
              <w:t xml:space="preserve"> </w:t>
            </w:r>
            <w:r w:rsidRPr="007C57D2">
              <w:rPr>
                <w:rFonts w:ascii="Times New Roman" w:hAnsi="Times New Roman" w:cs="Times New Roman"/>
                <w:spacing w:val="-12"/>
                <w:w w:val="105"/>
                <w:sz w:val="28"/>
              </w:rPr>
              <w:t>u</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obstaculizar la búsqueda</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del niño o niña.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información sobre los niños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y </w:t>
            </w:r>
            <w:r w:rsidRPr="007C57D2">
              <w:rPr>
                <w:rFonts w:ascii="Times New Roman" w:hAnsi="Times New Roman" w:cs="Times New Roman"/>
                <w:w w:val="105"/>
                <w:sz w:val="28"/>
              </w:rPr>
              <w:t>niñas extraviados, será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administrada bajo las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condiciones de seguridad</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necesarias para impedir su</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consulta,</w:t>
            </w:r>
            <w:r w:rsidRPr="007C57D2">
              <w:rPr>
                <w:rFonts w:ascii="Times New Roman" w:hAnsi="Times New Roman" w:cs="Times New Roman"/>
                <w:spacing w:val="30"/>
                <w:w w:val="105"/>
                <w:sz w:val="28"/>
              </w:rPr>
              <w:t xml:space="preserve"> </w:t>
            </w:r>
            <w:r w:rsidRPr="007C57D2">
              <w:rPr>
                <w:rFonts w:ascii="Times New Roman" w:hAnsi="Times New Roman" w:cs="Times New Roman"/>
                <w:w w:val="105"/>
                <w:sz w:val="28"/>
              </w:rPr>
              <w:t>uso</w:t>
            </w:r>
            <w:r w:rsidRPr="007C57D2">
              <w:rPr>
                <w:rFonts w:ascii="Times New Roman" w:hAnsi="Times New Roman" w:cs="Times New Roman"/>
                <w:spacing w:val="30"/>
                <w:w w:val="105"/>
                <w:sz w:val="28"/>
              </w:rPr>
              <w:t xml:space="preserve"> </w:t>
            </w:r>
            <w:r w:rsidRPr="007C57D2">
              <w:rPr>
                <w:rFonts w:ascii="Times New Roman" w:hAnsi="Times New Roman" w:cs="Times New Roman"/>
                <w:w w:val="105"/>
                <w:sz w:val="28"/>
              </w:rPr>
              <w:t>o</w:t>
            </w:r>
            <w:r w:rsidRPr="007C57D2">
              <w:rPr>
                <w:rFonts w:ascii="Times New Roman" w:hAnsi="Times New Roman" w:cs="Times New Roman"/>
                <w:spacing w:val="30"/>
                <w:w w:val="105"/>
                <w:sz w:val="28"/>
              </w:rPr>
              <w:t xml:space="preserve"> </w:t>
            </w:r>
            <w:r w:rsidRPr="007C57D2">
              <w:rPr>
                <w:rFonts w:ascii="Times New Roman" w:hAnsi="Times New Roman" w:cs="Times New Roman"/>
                <w:w w:val="105"/>
                <w:sz w:val="28"/>
              </w:rPr>
              <w:t>acceso</w:t>
            </w:r>
            <w:r w:rsidRPr="007C57D2">
              <w:rPr>
                <w:rFonts w:ascii="Times New Roman" w:hAnsi="Times New Roman" w:cs="Times New Roman"/>
                <w:spacing w:val="31"/>
                <w:w w:val="105"/>
                <w:sz w:val="28"/>
              </w:rPr>
              <w:t xml:space="preserve"> </w:t>
            </w:r>
            <w:r w:rsidRPr="007C57D2">
              <w:rPr>
                <w:rFonts w:ascii="Times New Roman" w:hAnsi="Times New Roman" w:cs="Times New Roman"/>
                <w:spacing w:val="-5"/>
                <w:w w:val="105"/>
                <w:sz w:val="28"/>
              </w:rPr>
              <w:t>no</w:t>
            </w:r>
            <w:r w:rsidRPr="007C57D2">
              <w:rPr>
                <w:rFonts w:ascii="Times New Roman" w:hAnsi="Times New Roman" w:cs="Times New Roman"/>
                <w:spacing w:val="-5"/>
                <w:w w:val="105"/>
                <w:sz w:val="28"/>
              </w:rPr>
              <w:t xml:space="preserve"> </w:t>
            </w:r>
            <w:r w:rsidRPr="007C57D2">
              <w:rPr>
                <w:rFonts w:ascii="Times New Roman" w:hAnsi="Times New Roman" w:cs="Times New Roman"/>
                <w:spacing w:val="-2"/>
                <w:w w:val="105"/>
                <w:sz w:val="28"/>
              </w:rPr>
              <w:t>autorizado</w:t>
            </w:r>
          </w:p>
        </w:tc>
        <w:tc>
          <w:tcPr>
            <w:tcW w:w="2185" w:type="dxa"/>
            <w:shd w:val="clear" w:color="auto" w:fill="auto"/>
            <w:vAlign w:val="center"/>
          </w:tcPr>
          <w:p w:rsidR="000A1A60"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spacing w:val="-2"/>
                <w:sz w:val="28"/>
              </w:rPr>
              <w:t>Se</w:t>
            </w:r>
            <w:r w:rsidRPr="007C57D2">
              <w:rPr>
                <w:rFonts w:ascii="Times New Roman" w:hAnsi="Times New Roman"/>
                <w:b/>
                <w:spacing w:val="-8"/>
                <w:sz w:val="28"/>
              </w:rPr>
              <w:t xml:space="preserve"> </w:t>
            </w:r>
            <w:r w:rsidRPr="007C57D2">
              <w:rPr>
                <w:rFonts w:ascii="Times New Roman" w:hAnsi="Times New Roman"/>
                <w:b/>
                <w:spacing w:val="-2"/>
                <w:sz w:val="28"/>
              </w:rPr>
              <w:t>acoge</w:t>
            </w:r>
            <w:r w:rsidRPr="007C57D2">
              <w:rPr>
                <w:rFonts w:ascii="Times New Roman" w:hAnsi="Times New Roman"/>
                <w:b/>
                <w:spacing w:val="-7"/>
                <w:sz w:val="28"/>
              </w:rPr>
              <w:t xml:space="preserve"> </w:t>
            </w:r>
            <w:r w:rsidRPr="007C57D2">
              <w:rPr>
                <w:rFonts w:ascii="Times New Roman" w:hAnsi="Times New Roman"/>
                <w:b/>
                <w:spacing w:val="-2"/>
                <w:sz w:val="28"/>
              </w:rPr>
              <w:t>texto</w:t>
            </w:r>
            <w:r w:rsidRPr="007C57D2">
              <w:rPr>
                <w:rFonts w:ascii="Times New Roman" w:hAnsi="Times New Roman"/>
                <w:b/>
                <w:spacing w:val="40"/>
                <w:sz w:val="28"/>
              </w:rPr>
              <w:t xml:space="preserve"> </w:t>
            </w:r>
            <w:r w:rsidRPr="007C57D2">
              <w:rPr>
                <w:rFonts w:ascii="Times New Roman" w:hAnsi="Times New Roman"/>
                <w:b/>
                <w:sz w:val="28"/>
              </w:rPr>
              <w:t>de</w:t>
            </w:r>
            <w:r w:rsidRPr="007C57D2">
              <w:rPr>
                <w:rFonts w:ascii="Times New Roman" w:hAnsi="Times New Roman"/>
                <w:b/>
                <w:spacing w:val="-5"/>
                <w:sz w:val="28"/>
              </w:rPr>
              <w:t xml:space="preserve"> </w:t>
            </w:r>
            <w:r w:rsidRPr="007C57D2">
              <w:rPr>
                <w:rFonts w:ascii="Times New Roman" w:hAnsi="Times New Roman"/>
                <w:b/>
                <w:sz w:val="28"/>
              </w:rPr>
              <w:t>Senado</w:t>
            </w:r>
          </w:p>
        </w:tc>
      </w:tr>
      <w:tr w:rsidR="00685F32" w:rsidRPr="007C57D2" w:rsidTr="007C57D2">
        <w:tc>
          <w:tcPr>
            <w:tcW w:w="2947" w:type="dxa"/>
            <w:shd w:val="clear" w:color="auto" w:fill="auto"/>
          </w:tcPr>
          <w:p w:rsidR="000A1A60" w:rsidRPr="007C57D2" w:rsidRDefault="007C57D2" w:rsidP="007C57D2">
            <w:pPr>
              <w:spacing w:after="0" w:line="240" w:lineRule="auto"/>
              <w:jc w:val="both"/>
              <w:rPr>
                <w:rFonts w:ascii="Times New Roman" w:hAnsi="Times New Roman"/>
                <w:w w:val="105"/>
                <w:sz w:val="28"/>
              </w:rPr>
            </w:pPr>
            <w:r w:rsidRPr="007C57D2">
              <w:rPr>
                <w:rFonts w:ascii="Times New Roman" w:hAnsi="Times New Roman"/>
                <w:b/>
                <w:w w:val="105"/>
                <w:sz w:val="28"/>
              </w:rPr>
              <w:t xml:space="preserve">Artículo 11. </w:t>
            </w:r>
            <w:r w:rsidRPr="007C57D2">
              <w:rPr>
                <w:rFonts w:ascii="Times New Roman" w:hAnsi="Times New Roman"/>
                <w:b/>
                <w:iCs/>
                <w:w w:val="105"/>
                <w:sz w:val="28"/>
              </w:rPr>
              <w:t>Zona de</w:t>
            </w:r>
            <w:r w:rsidRPr="007C57D2">
              <w:rPr>
                <w:rFonts w:ascii="Times New Roman" w:hAnsi="Times New Roman"/>
                <w:b/>
                <w:iCs/>
                <w:spacing w:val="40"/>
                <w:w w:val="105"/>
                <w:sz w:val="28"/>
              </w:rPr>
              <w:t xml:space="preserve"> </w:t>
            </w:r>
            <w:r w:rsidRPr="007C57D2">
              <w:rPr>
                <w:rFonts w:ascii="Times New Roman" w:hAnsi="Times New Roman"/>
                <w:b/>
                <w:iCs/>
                <w:w w:val="105"/>
                <w:sz w:val="28"/>
              </w:rPr>
              <w:t>difusión.</w:t>
            </w:r>
            <w:r w:rsidRPr="007C57D2">
              <w:rPr>
                <w:rFonts w:ascii="Times New Roman" w:hAnsi="Times New Roman"/>
                <w:b/>
                <w:w w:val="105"/>
                <w:sz w:val="28"/>
              </w:rPr>
              <w:t xml:space="preserve"> </w:t>
            </w:r>
            <w:r w:rsidRPr="007C57D2">
              <w:rPr>
                <w:rFonts w:ascii="Times New Roman" w:hAnsi="Times New Roman"/>
                <w:w w:val="105"/>
                <w:sz w:val="28"/>
              </w:rPr>
              <w:t>Conforme a la</w:t>
            </w:r>
            <w:r w:rsidRPr="007C57D2">
              <w:rPr>
                <w:rFonts w:ascii="Times New Roman" w:hAnsi="Times New Roman"/>
                <w:spacing w:val="40"/>
                <w:w w:val="105"/>
                <w:sz w:val="28"/>
              </w:rPr>
              <w:t xml:space="preserve"> </w:t>
            </w:r>
            <w:r w:rsidRPr="007C57D2">
              <w:rPr>
                <w:rFonts w:ascii="Times New Roman" w:hAnsi="Times New Roman"/>
                <w:w w:val="105"/>
                <w:sz w:val="28"/>
              </w:rPr>
              <w:t>situación particular de cada</w:t>
            </w:r>
            <w:r w:rsidRPr="007C57D2">
              <w:rPr>
                <w:rFonts w:ascii="Times New Roman" w:hAnsi="Times New Roman"/>
                <w:spacing w:val="40"/>
                <w:w w:val="105"/>
                <w:sz w:val="28"/>
              </w:rPr>
              <w:t xml:space="preserve"> </w:t>
            </w:r>
            <w:r w:rsidRPr="007C57D2">
              <w:rPr>
                <w:rFonts w:ascii="Times New Roman" w:hAnsi="Times New Roman"/>
                <w:w w:val="105"/>
                <w:sz w:val="28"/>
              </w:rPr>
              <w:t xml:space="preserve">caso de extravío de </w:t>
            </w:r>
            <w:r w:rsidRPr="007C57D2">
              <w:rPr>
                <w:rFonts w:ascii="Times New Roman" w:hAnsi="Times New Roman"/>
                <w:w w:val="105"/>
                <w:sz w:val="28"/>
              </w:rPr>
              <w:t>niños y</w:t>
            </w:r>
            <w:r w:rsidRPr="007C57D2">
              <w:rPr>
                <w:rFonts w:ascii="Times New Roman" w:hAnsi="Times New Roman"/>
                <w:spacing w:val="40"/>
                <w:w w:val="105"/>
                <w:sz w:val="28"/>
              </w:rPr>
              <w:t xml:space="preserve"> </w:t>
            </w:r>
            <w:r w:rsidRPr="007C57D2">
              <w:rPr>
                <w:rFonts w:ascii="Times New Roman" w:hAnsi="Times New Roman"/>
                <w:w w:val="105"/>
                <w:sz w:val="28"/>
              </w:rPr>
              <w:t>niñas,</w:t>
            </w:r>
            <w:r w:rsidRPr="007C57D2">
              <w:rPr>
                <w:rFonts w:ascii="Times New Roman" w:hAnsi="Times New Roman"/>
                <w:spacing w:val="-9"/>
                <w:w w:val="105"/>
                <w:sz w:val="28"/>
              </w:rPr>
              <w:t xml:space="preserve"> </w:t>
            </w:r>
            <w:r w:rsidRPr="007C57D2">
              <w:rPr>
                <w:rFonts w:ascii="Times New Roman" w:hAnsi="Times New Roman"/>
                <w:w w:val="105"/>
                <w:sz w:val="28"/>
              </w:rPr>
              <w:t>la</w:t>
            </w:r>
            <w:r w:rsidRPr="007C57D2">
              <w:rPr>
                <w:rFonts w:ascii="Times New Roman" w:hAnsi="Times New Roman"/>
                <w:spacing w:val="-8"/>
                <w:w w:val="105"/>
                <w:sz w:val="28"/>
              </w:rPr>
              <w:t xml:space="preserve"> </w:t>
            </w:r>
            <w:r w:rsidRPr="007C57D2">
              <w:rPr>
                <w:rFonts w:ascii="Times New Roman" w:hAnsi="Times New Roman"/>
                <w:w w:val="105"/>
                <w:sz w:val="28"/>
              </w:rPr>
              <w:t>zona</w:t>
            </w:r>
            <w:r w:rsidRPr="007C57D2">
              <w:rPr>
                <w:rFonts w:ascii="Times New Roman" w:hAnsi="Times New Roman"/>
                <w:spacing w:val="-9"/>
                <w:w w:val="105"/>
                <w:sz w:val="28"/>
              </w:rPr>
              <w:t xml:space="preserve"> </w:t>
            </w:r>
            <w:r w:rsidRPr="007C57D2">
              <w:rPr>
                <w:rFonts w:ascii="Times New Roman" w:hAnsi="Times New Roman"/>
                <w:w w:val="105"/>
                <w:sz w:val="28"/>
              </w:rPr>
              <w:t>de</w:t>
            </w:r>
            <w:r w:rsidRPr="007C57D2">
              <w:rPr>
                <w:rFonts w:ascii="Times New Roman" w:hAnsi="Times New Roman"/>
                <w:spacing w:val="-9"/>
                <w:w w:val="105"/>
                <w:sz w:val="28"/>
              </w:rPr>
              <w:t xml:space="preserve"> </w:t>
            </w:r>
            <w:r w:rsidRPr="007C57D2">
              <w:rPr>
                <w:rFonts w:ascii="Times New Roman" w:hAnsi="Times New Roman"/>
                <w:w w:val="105"/>
                <w:sz w:val="28"/>
              </w:rPr>
              <w:t>difusión</w:t>
            </w:r>
            <w:r w:rsidRPr="007C57D2">
              <w:rPr>
                <w:rFonts w:ascii="Times New Roman" w:hAnsi="Times New Roman"/>
                <w:spacing w:val="-8"/>
                <w:w w:val="105"/>
                <w:sz w:val="28"/>
              </w:rPr>
              <w:t xml:space="preserve"> </w:t>
            </w:r>
            <w:r w:rsidRPr="007C57D2">
              <w:rPr>
                <w:rFonts w:ascii="Times New Roman" w:hAnsi="Times New Roman"/>
                <w:w w:val="105"/>
                <w:sz w:val="28"/>
              </w:rPr>
              <w:t>podrá</w:t>
            </w:r>
            <w:r w:rsidRPr="007C57D2">
              <w:rPr>
                <w:rFonts w:ascii="Times New Roman" w:hAnsi="Times New Roman"/>
                <w:spacing w:val="40"/>
                <w:w w:val="105"/>
                <w:sz w:val="28"/>
              </w:rPr>
              <w:t xml:space="preserve"> </w:t>
            </w:r>
            <w:r w:rsidRPr="007C57D2">
              <w:rPr>
                <w:rFonts w:ascii="Times New Roman" w:hAnsi="Times New Roman"/>
                <w:spacing w:val="-4"/>
                <w:w w:val="105"/>
                <w:sz w:val="28"/>
              </w:rPr>
              <w:t>ser</w:t>
            </w:r>
            <w:r w:rsidRPr="007C57D2">
              <w:rPr>
                <w:rFonts w:ascii="Times New Roman" w:hAnsi="Times New Roman"/>
                <w:spacing w:val="-4"/>
                <w:w w:val="105"/>
                <w:sz w:val="28"/>
              </w:rPr>
              <w:t xml:space="preserve"> </w:t>
            </w:r>
            <w:r w:rsidRPr="007C57D2">
              <w:rPr>
                <w:rFonts w:ascii="Times New Roman" w:hAnsi="Times New Roman"/>
                <w:spacing w:val="-2"/>
                <w:w w:val="105"/>
                <w:sz w:val="28"/>
              </w:rPr>
              <w:t>local,</w:t>
            </w:r>
            <w:r w:rsidRPr="007C57D2">
              <w:rPr>
                <w:rFonts w:ascii="Times New Roman" w:hAnsi="Times New Roman"/>
                <w:spacing w:val="-2"/>
                <w:w w:val="105"/>
                <w:sz w:val="28"/>
              </w:rPr>
              <w:t xml:space="preserve"> </w:t>
            </w:r>
            <w:r w:rsidRPr="007C57D2">
              <w:rPr>
                <w:rFonts w:ascii="Times New Roman" w:hAnsi="Times New Roman"/>
                <w:spacing w:val="-2"/>
                <w:w w:val="105"/>
                <w:sz w:val="28"/>
              </w:rPr>
              <w:t>municipal,</w:t>
            </w:r>
            <w:r w:rsidRPr="007C57D2">
              <w:rPr>
                <w:rFonts w:ascii="Times New Roman" w:hAnsi="Times New Roman"/>
                <w:spacing w:val="40"/>
                <w:w w:val="105"/>
                <w:sz w:val="28"/>
              </w:rPr>
              <w:t xml:space="preserve"> </w:t>
            </w:r>
            <w:r w:rsidRPr="007C57D2">
              <w:rPr>
                <w:rFonts w:ascii="Times New Roman" w:hAnsi="Times New Roman"/>
                <w:w w:val="105"/>
                <w:sz w:val="28"/>
              </w:rPr>
              <w:t>departamental, regional o</w:t>
            </w:r>
            <w:r w:rsidRPr="007C57D2">
              <w:rPr>
                <w:rFonts w:ascii="Times New Roman" w:hAnsi="Times New Roman"/>
                <w:spacing w:val="40"/>
                <w:w w:val="105"/>
                <w:sz w:val="28"/>
              </w:rPr>
              <w:t xml:space="preserve"> </w:t>
            </w:r>
            <w:r w:rsidRPr="007C57D2">
              <w:rPr>
                <w:rFonts w:ascii="Times New Roman" w:hAnsi="Times New Roman"/>
                <w:w w:val="105"/>
                <w:sz w:val="28"/>
              </w:rPr>
              <w:t>nacional. De no aparecer el</w:t>
            </w:r>
            <w:r w:rsidRPr="007C57D2">
              <w:rPr>
                <w:rFonts w:ascii="Times New Roman" w:hAnsi="Times New Roman"/>
                <w:spacing w:val="40"/>
                <w:w w:val="105"/>
                <w:sz w:val="28"/>
              </w:rPr>
              <w:t xml:space="preserve"> </w:t>
            </w:r>
            <w:r w:rsidRPr="007C57D2">
              <w:rPr>
                <w:rFonts w:ascii="Times New Roman" w:hAnsi="Times New Roman"/>
                <w:w w:val="105"/>
                <w:sz w:val="28"/>
              </w:rPr>
              <w:t>niño o niña, ésta se irá</w:t>
            </w:r>
            <w:r w:rsidRPr="007C57D2">
              <w:rPr>
                <w:rFonts w:ascii="Times New Roman" w:hAnsi="Times New Roman"/>
                <w:spacing w:val="40"/>
                <w:w w:val="105"/>
                <w:sz w:val="28"/>
              </w:rPr>
              <w:t xml:space="preserve"> </w:t>
            </w:r>
            <w:r w:rsidRPr="007C57D2">
              <w:rPr>
                <w:rFonts w:ascii="Times New Roman" w:hAnsi="Times New Roman"/>
                <w:w w:val="105"/>
                <w:sz w:val="28"/>
              </w:rPr>
              <w:t>ampliando</w:t>
            </w:r>
            <w:r w:rsidRPr="007C57D2">
              <w:rPr>
                <w:rFonts w:ascii="Times New Roman" w:hAnsi="Times New Roman"/>
                <w:spacing w:val="-5"/>
                <w:w w:val="105"/>
                <w:sz w:val="28"/>
              </w:rPr>
              <w:t xml:space="preserve"> </w:t>
            </w:r>
            <w:r w:rsidRPr="007C57D2">
              <w:rPr>
                <w:rFonts w:ascii="Times New Roman" w:hAnsi="Times New Roman"/>
                <w:w w:val="105"/>
                <w:sz w:val="28"/>
              </w:rPr>
              <w:t>progresivamente.</w:t>
            </w:r>
          </w:p>
          <w:p w:rsidR="00994FF1" w:rsidRPr="007C57D2" w:rsidRDefault="007C57D2" w:rsidP="007C57D2">
            <w:pPr>
              <w:spacing w:after="0" w:line="240" w:lineRule="auto"/>
              <w:jc w:val="both"/>
              <w:rPr>
                <w:rFonts w:ascii="Times New Roman" w:hAnsi="Times New Roman"/>
                <w:w w:val="105"/>
                <w:sz w:val="28"/>
              </w:rPr>
            </w:pPr>
          </w:p>
          <w:p w:rsidR="000A1A60" w:rsidRPr="007C57D2" w:rsidRDefault="007C57D2" w:rsidP="007C57D2">
            <w:pPr>
              <w:spacing w:after="0" w:line="240" w:lineRule="auto"/>
              <w:jc w:val="both"/>
              <w:rPr>
                <w:rFonts w:ascii="Times New Roman" w:hAnsi="Times New Roman"/>
                <w:b/>
                <w:w w:val="105"/>
                <w:sz w:val="28"/>
              </w:rPr>
            </w:pPr>
            <w:r w:rsidRPr="007C57D2">
              <w:rPr>
                <w:rFonts w:ascii="Times New Roman" w:hAnsi="Times New Roman"/>
                <w:b/>
                <w:w w:val="105"/>
                <w:sz w:val="28"/>
              </w:rPr>
              <w:t>Parágrafo</w:t>
            </w:r>
            <w:r w:rsidRPr="007C57D2">
              <w:rPr>
                <w:rFonts w:ascii="Times New Roman" w:hAnsi="Times New Roman"/>
                <w:w w:val="105"/>
                <w:sz w:val="28"/>
              </w:rPr>
              <w:t>. El Ministerio de las</w:t>
            </w:r>
            <w:r w:rsidRPr="007C57D2">
              <w:rPr>
                <w:rFonts w:ascii="Times New Roman" w:hAnsi="Times New Roman"/>
                <w:spacing w:val="40"/>
                <w:w w:val="105"/>
                <w:sz w:val="28"/>
              </w:rPr>
              <w:t xml:space="preserve"> </w:t>
            </w:r>
            <w:r w:rsidRPr="007C57D2">
              <w:rPr>
                <w:rFonts w:ascii="Times New Roman" w:hAnsi="Times New Roman"/>
                <w:w w:val="105"/>
                <w:sz w:val="28"/>
              </w:rPr>
              <w:t>Tecnologías de la Información</w:t>
            </w:r>
            <w:r w:rsidRPr="007C57D2">
              <w:rPr>
                <w:rFonts w:ascii="Times New Roman" w:hAnsi="Times New Roman"/>
                <w:spacing w:val="40"/>
                <w:w w:val="105"/>
                <w:sz w:val="28"/>
              </w:rPr>
              <w:t xml:space="preserve"> </w:t>
            </w:r>
            <w:r w:rsidRPr="007C57D2">
              <w:rPr>
                <w:rFonts w:ascii="Times New Roman" w:hAnsi="Times New Roman"/>
                <w:w w:val="105"/>
                <w:sz w:val="28"/>
              </w:rPr>
              <w:t>y las Comunicaciones en</w:t>
            </w:r>
            <w:r w:rsidRPr="007C57D2">
              <w:rPr>
                <w:rFonts w:ascii="Times New Roman" w:hAnsi="Times New Roman"/>
                <w:spacing w:val="40"/>
                <w:w w:val="105"/>
                <w:sz w:val="28"/>
              </w:rPr>
              <w:t xml:space="preserve"> </w:t>
            </w:r>
            <w:r w:rsidRPr="007C57D2">
              <w:rPr>
                <w:rFonts w:ascii="Times New Roman" w:hAnsi="Times New Roman"/>
                <w:w w:val="105"/>
                <w:sz w:val="28"/>
              </w:rPr>
              <w:t>Coordinación con la Policía</w:t>
            </w:r>
            <w:r w:rsidRPr="007C57D2">
              <w:rPr>
                <w:rFonts w:ascii="Times New Roman" w:hAnsi="Times New Roman"/>
                <w:spacing w:val="40"/>
                <w:w w:val="105"/>
                <w:sz w:val="28"/>
              </w:rPr>
              <w:t xml:space="preserve"> </w:t>
            </w:r>
            <w:r w:rsidRPr="007C57D2">
              <w:rPr>
                <w:rFonts w:ascii="Times New Roman" w:hAnsi="Times New Roman"/>
                <w:w w:val="105"/>
                <w:sz w:val="28"/>
              </w:rPr>
              <w:t>Nacional deberá articular con</w:t>
            </w:r>
            <w:r w:rsidRPr="007C57D2">
              <w:rPr>
                <w:rFonts w:ascii="Times New Roman" w:hAnsi="Times New Roman"/>
                <w:spacing w:val="40"/>
                <w:w w:val="105"/>
                <w:sz w:val="28"/>
              </w:rPr>
              <w:t xml:space="preserve"> </w:t>
            </w:r>
            <w:r w:rsidRPr="007C57D2">
              <w:rPr>
                <w:rFonts w:ascii="Times New Roman" w:hAnsi="Times New Roman"/>
                <w:w w:val="105"/>
                <w:sz w:val="28"/>
              </w:rPr>
              <w:t>los sujetos descritos en el</w:t>
            </w:r>
            <w:r w:rsidRPr="007C57D2">
              <w:rPr>
                <w:rFonts w:ascii="Times New Roman" w:hAnsi="Times New Roman"/>
                <w:spacing w:val="40"/>
                <w:w w:val="105"/>
                <w:sz w:val="28"/>
              </w:rPr>
              <w:t xml:space="preserve"> </w:t>
            </w:r>
            <w:r w:rsidRPr="007C57D2">
              <w:rPr>
                <w:rFonts w:ascii="Times New Roman" w:hAnsi="Times New Roman"/>
                <w:w w:val="105"/>
                <w:sz w:val="28"/>
              </w:rPr>
              <w:t>artículo 6° de esta Ley el</w:t>
            </w:r>
            <w:r w:rsidRPr="007C57D2">
              <w:rPr>
                <w:rFonts w:ascii="Times New Roman" w:hAnsi="Times New Roman"/>
                <w:spacing w:val="40"/>
                <w:w w:val="105"/>
                <w:sz w:val="28"/>
              </w:rPr>
              <w:t xml:space="preserve"> </w:t>
            </w:r>
            <w:r w:rsidRPr="007C57D2">
              <w:rPr>
                <w:rFonts w:ascii="Times New Roman" w:hAnsi="Times New Roman"/>
                <w:w w:val="105"/>
                <w:sz w:val="28"/>
              </w:rPr>
              <w:t>protocolo de difusión de la</w:t>
            </w:r>
            <w:r w:rsidRPr="007C57D2">
              <w:rPr>
                <w:rFonts w:ascii="Times New Roman" w:hAnsi="Times New Roman"/>
                <w:spacing w:val="40"/>
                <w:w w:val="105"/>
                <w:sz w:val="28"/>
              </w:rPr>
              <w:t xml:space="preserve"> </w:t>
            </w:r>
            <w:r w:rsidRPr="007C57D2">
              <w:rPr>
                <w:rFonts w:ascii="Times New Roman" w:hAnsi="Times New Roman"/>
                <w:w w:val="105"/>
                <w:sz w:val="28"/>
              </w:rPr>
              <w:t>Alerta Colombia en el país.</w:t>
            </w:r>
          </w:p>
        </w:tc>
        <w:tc>
          <w:tcPr>
            <w:tcW w:w="3657" w:type="dxa"/>
            <w:shd w:val="clear" w:color="auto" w:fill="auto"/>
          </w:tcPr>
          <w:p w:rsidR="000A1A60"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r w:rsidRPr="007C57D2">
              <w:rPr>
                <w:rFonts w:ascii="Times New Roman" w:hAnsi="Times New Roman" w:cs="Times New Roman"/>
                <w:b/>
                <w:w w:val="105"/>
                <w:sz w:val="28"/>
              </w:rPr>
              <w:t>Artículo 11. Zona de</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 xml:space="preserve">difusión. </w:t>
            </w:r>
            <w:r w:rsidRPr="007C57D2">
              <w:rPr>
                <w:rFonts w:ascii="Times New Roman" w:hAnsi="Times New Roman" w:cs="Times New Roman"/>
                <w:w w:val="105"/>
                <w:sz w:val="28"/>
              </w:rPr>
              <w:t>Conforme a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situación particular de cada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caso de niños</w:t>
            </w:r>
            <w:r w:rsidRPr="007C57D2">
              <w:rPr>
                <w:rFonts w:ascii="Times New Roman" w:hAnsi="Times New Roman" w:cs="Times New Roman"/>
                <w:w w:val="105"/>
                <w:sz w:val="28"/>
              </w:rPr>
              <w:t xml:space="preserve"> o niñas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extraviados, la zona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difusión podrá ser local,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municipal, departamental,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regional o nacional. De no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aparecer</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niño</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o</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niña,</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ésta</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6"/>
                <w:w w:val="105"/>
                <w:sz w:val="28"/>
              </w:rPr>
              <w:t>se</w:t>
            </w:r>
            <w:r w:rsidRPr="007C57D2">
              <w:rPr>
                <w:rFonts w:ascii="Times New Roman" w:hAnsi="Times New Roman" w:cs="Times New Roman"/>
                <w:spacing w:val="-6"/>
                <w:w w:val="105"/>
                <w:sz w:val="28"/>
              </w:rPr>
              <w:t xml:space="preserve"> </w:t>
            </w:r>
            <w:r w:rsidRPr="007C57D2">
              <w:rPr>
                <w:rFonts w:ascii="Times New Roman" w:hAnsi="Times New Roman" w:cs="Times New Roman"/>
                <w:spacing w:val="-4"/>
                <w:w w:val="105"/>
                <w:sz w:val="28"/>
              </w:rPr>
              <w:t>irá</w:t>
            </w:r>
            <w:r w:rsidRPr="007C57D2">
              <w:rPr>
                <w:rFonts w:ascii="Times New Roman" w:hAnsi="Times New Roman" w:cs="Times New Roman"/>
                <w:spacing w:val="-4"/>
                <w:w w:val="105"/>
                <w:sz w:val="28"/>
              </w:rPr>
              <w:t xml:space="preserve"> </w:t>
            </w:r>
            <w:r w:rsidRPr="007C57D2">
              <w:rPr>
                <w:rFonts w:ascii="Times New Roman" w:hAnsi="Times New Roman" w:cs="Times New Roman"/>
                <w:spacing w:val="-2"/>
                <w:w w:val="105"/>
                <w:sz w:val="28"/>
              </w:rPr>
              <w:t>ampliando</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progresivamente.</w:t>
            </w:r>
          </w:p>
          <w:p w:rsidR="00994FF1" w:rsidRPr="007C57D2" w:rsidRDefault="007C57D2" w:rsidP="007C57D2">
            <w:pPr>
              <w:pStyle w:val="TableParagraph"/>
              <w:tabs>
                <w:tab w:val="left" w:pos="994"/>
                <w:tab w:val="left" w:pos="1483"/>
              </w:tabs>
              <w:jc w:val="both"/>
              <w:rPr>
                <w:rFonts w:ascii="Times New Roman" w:hAnsi="Times New Roman" w:cs="Times New Roman"/>
                <w:spacing w:val="-2"/>
                <w:w w:val="105"/>
                <w:sz w:val="28"/>
              </w:rPr>
            </w:pPr>
          </w:p>
          <w:p w:rsidR="000A1A60" w:rsidRPr="007C57D2" w:rsidRDefault="007C57D2" w:rsidP="007C57D2">
            <w:pPr>
              <w:pStyle w:val="TableParagraph"/>
              <w:jc w:val="both"/>
              <w:rPr>
                <w:rFonts w:ascii="Times New Roman" w:hAnsi="Times New Roman" w:cs="Times New Roman"/>
                <w:b/>
                <w:w w:val="105"/>
                <w:sz w:val="28"/>
              </w:rPr>
            </w:pPr>
            <w:r w:rsidRPr="007C57D2">
              <w:rPr>
                <w:rFonts w:ascii="Times New Roman" w:hAnsi="Times New Roman" w:cs="Times New Roman"/>
                <w:b/>
                <w:w w:val="105"/>
                <w:sz w:val="28"/>
              </w:rPr>
              <w:t xml:space="preserve">Parágrafo. </w:t>
            </w:r>
            <w:r w:rsidRPr="007C57D2">
              <w:rPr>
                <w:rFonts w:ascii="Times New Roman" w:hAnsi="Times New Roman" w:cs="Times New Roman"/>
                <w:w w:val="105"/>
                <w:sz w:val="28"/>
              </w:rPr>
              <w:t>El Ministerio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las Tecnologías de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Información</w:t>
            </w:r>
            <w:r w:rsidRPr="007C57D2">
              <w:rPr>
                <w:rFonts w:ascii="Times New Roman" w:hAnsi="Times New Roman" w:cs="Times New Roman"/>
                <w:w w:val="105"/>
                <w:sz w:val="28"/>
              </w:rPr>
              <w:t xml:space="preserve"> </w:t>
            </w:r>
            <w:r w:rsidRPr="007C57D2">
              <w:rPr>
                <w:rFonts w:ascii="Times New Roman" w:hAnsi="Times New Roman" w:cs="Times New Roman"/>
                <w:w w:val="105"/>
                <w:sz w:val="28"/>
              </w:rPr>
              <w:t>y</w:t>
            </w:r>
            <w:r w:rsidRPr="007C57D2">
              <w:rPr>
                <w:rFonts w:ascii="Times New Roman" w:hAnsi="Times New Roman" w:cs="Times New Roman"/>
                <w:spacing w:val="67"/>
                <w:w w:val="150"/>
                <w:sz w:val="28"/>
              </w:rPr>
              <w:t xml:space="preserve"> </w:t>
            </w:r>
            <w:r w:rsidRPr="007C57D2">
              <w:rPr>
                <w:rFonts w:ascii="Times New Roman" w:hAnsi="Times New Roman" w:cs="Times New Roman"/>
                <w:spacing w:val="-5"/>
                <w:w w:val="105"/>
                <w:sz w:val="28"/>
              </w:rPr>
              <w:t>las</w:t>
            </w:r>
            <w:r w:rsidRPr="007C57D2">
              <w:rPr>
                <w:rFonts w:ascii="Times New Roman" w:hAnsi="Times New Roman" w:cs="Times New Roman"/>
                <w:spacing w:val="-5"/>
                <w:w w:val="105"/>
                <w:sz w:val="28"/>
              </w:rPr>
              <w:t xml:space="preserve"> </w:t>
            </w:r>
            <w:r w:rsidRPr="007C57D2">
              <w:rPr>
                <w:rFonts w:ascii="Times New Roman" w:hAnsi="Times New Roman" w:cs="Times New Roman"/>
                <w:spacing w:val="-2"/>
                <w:w w:val="105"/>
                <w:sz w:val="28"/>
              </w:rPr>
              <w:t>Comunicaciones</w:t>
            </w:r>
            <w:r w:rsidRPr="007C57D2">
              <w:rPr>
                <w:rFonts w:ascii="Times New Roman" w:hAnsi="Times New Roman" w:cs="Times New Roman"/>
                <w:spacing w:val="-2"/>
                <w:w w:val="105"/>
                <w:sz w:val="28"/>
              </w:rPr>
              <w:t xml:space="preserve"> </w:t>
            </w:r>
            <w:r w:rsidRPr="007C57D2">
              <w:rPr>
                <w:rFonts w:ascii="Times New Roman" w:hAnsi="Times New Roman" w:cs="Times New Roman"/>
                <w:spacing w:val="-6"/>
                <w:w w:val="105"/>
                <w:sz w:val="28"/>
              </w:rPr>
              <w:t>en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coordinación con 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Institución Colombiano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Bienestar Familiar y 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Policía Nacional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articular con los sujetos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descritos en el artículo 6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esta ley el protocolo 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difusión</w:t>
            </w:r>
            <w:r w:rsidRPr="007C57D2">
              <w:rPr>
                <w:rFonts w:ascii="Times New Roman" w:hAnsi="Times New Roman" w:cs="Times New Roman"/>
                <w:spacing w:val="61"/>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61"/>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62"/>
                <w:w w:val="105"/>
                <w:sz w:val="28"/>
              </w:rPr>
              <w:t xml:space="preserve"> </w:t>
            </w:r>
            <w:r w:rsidRPr="007C57D2">
              <w:rPr>
                <w:rFonts w:ascii="Times New Roman" w:hAnsi="Times New Roman" w:cs="Times New Roman"/>
                <w:spacing w:val="-2"/>
                <w:w w:val="105"/>
                <w:sz w:val="28"/>
              </w:rPr>
              <w:t>Alerta</w:t>
            </w:r>
            <w:r w:rsidRPr="007C57D2">
              <w:rPr>
                <w:rFonts w:ascii="Times New Roman" w:hAnsi="Times New Roman" w:cs="Times New Roman"/>
                <w:spacing w:val="-2"/>
                <w:w w:val="105"/>
                <w:sz w:val="28"/>
              </w:rPr>
              <w:t xml:space="preserve"> </w:t>
            </w:r>
            <w:r w:rsidRPr="007C57D2">
              <w:rPr>
                <w:rFonts w:ascii="Times New Roman" w:hAnsi="Times New Roman" w:cs="Times New Roman"/>
                <w:w w:val="105"/>
                <w:sz w:val="28"/>
              </w:rPr>
              <w:t>Colombia</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1"/>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1"/>
                <w:w w:val="105"/>
                <w:sz w:val="28"/>
              </w:rPr>
              <w:t xml:space="preserve"> </w:t>
            </w:r>
            <w:r w:rsidRPr="007C57D2">
              <w:rPr>
                <w:rFonts w:ascii="Times New Roman" w:hAnsi="Times New Roman" w:cs="Times New Roman"/>
                <w:spacing w:val="-2"/>
                <w:w w:val="105"/>
                <w:sz w:val="28"/>
              </w:rPr>
              <w:t>país.</w:t>
            </w:r>
          </w:p>
        </w:tc>
        <w:tc>
          <w:tcPr>
            <w:tcW w:w="2185" w:type="dxa"/>
            <w:shd w:val="clear" w:color="auto" w:fill="auto"/>
            <w:vAlign w:val="center"/>
          </w:tcPr>
          <w:p w:rsidR="000A1A60"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w w:val="105"/>
                <w:sz w:val="28"/>
              </w:rPr>
              <w:t>Se</w:t>
            </w:r>
            <w:r w:rsidRPr="007C57D2">
              <w:rPr>
                <w:rFonts w:ascii="Times New Roman" w:hAnsi="Times New Roman"/>
                <w:b/>
                <w:spacing w:val="18"/>
                <w:w w:val="105"/>
                <w:sz w:val="28"/>
              </w:rPr>
              <w:t xml:space="preserve"> </w:t>
            </w:r>
            <w:r w:rsidRPr="007C57D2">
              <w:rPr>
                <w:rFonts w:ascii="Times New Roman" w:hAnsi="Times New Roman"/>
                <w:b/>
                <w:w w:val="105"/>
                <w:sz w:val="28"/>
              </w:rPr>
              <w:t>acoge</w:t>
            </w:r>
            <w:r w:rsidRPr="007C57D2">
              <w:rPr>
                <w:rFonts w:ascii="Times New Roman" w:hAnsi="Times New Roman"/>
                <w:b/>
                <w:spacing w:val="18"/>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0A1A60" w:rsidRPr="007C57D2" w:rsidRDefault="007C57D2" w:rsidP="007C57D2">
            <w:pPr>
              <w:spacing w:after="0" w:line="240" w:lineRule="auto"/>
              <w:jc w:val="both"/>
              <w:rPr>
                <w:rFonts w:ascii="Times New Roman" w:hAnsi="Times New Roman"/>
                <w:spacing w:val="-2"/>
                <w:sz w:val="28"/>
              </w:rPr>
            </w:pPr>
            <w:r w:rsidRPr="007C57D2">
              <w:rPr>
                <w:rFonts w:ascii="Times New Roman" w:hAnsi="Times New Roman"/>
                <w:b/>
                <w:w w:val="105"/>
                <w:sz w:val="28"/>
              </w:rPr>
              <w:t>Artículo</w:t>
            </w:r>
            <w:r w:rsidRPr="007C57D2">
              <w:rPr>
                <w:rFonts w:ascii="Times New Roman" w:hAnsi="Times New Roman"/>
                <w:b/>
                <w:spacing w:val="32"/>
                <w:w w:val="105"/>
                <w:sz w:val="28"/>
              </w:rPr>
              <w:t xml:space="preserve"> </w:t>
            </w:r>
            <w:r w:rsidRPr="007C57D2">
              <w:rPr>
                <w:rFonts w:ascii="Times New Roman" w:hAnsi="Times New Roman"/>
                <w:b/>
                <w:w w:val="105"/>
                <w:sz w:val="28"/>
              </w:rPr>
              <w:t>12.</w:t>
            </w:r>
            <w:r w:rsidRPr="007C57D2">
              <w:rPr>
                <w:rFonts w:ascii="Times New Roman" w:hAnsi="Times New Roman"/>
                <w:b/>
                <w:spacing w:val="33"/>
                <w:w w:val="105"/>
                <w:sz w:val="28"/>
              </w:rPr>
              <w:t xml:space="preserve"> </w:t>
            </w:r>
            <w:r w:rsidRPr="007C57D2">
              <w:rPr>
                <w:rFonts w:ascii="Times New Roman" w:hAnsi="Times New Roman"/>
                <w:b/>
                <w:w w:val="105"/>
                <w:sz w:val="28"/>
              </w:rPr>
              <w:t>Mecanismos</w:t>
            </w:r>
            <w:r w:rsidRPr="007C57D2">
              <w:rPr>
                <w:rFonts w:ascii="Times New Roman" w:hAnsi="Times New Roman"/>
                <w:b/>
                <w:spacing w:val="33"/>
                <w:w w:val="105"/>
                <w:sz w:val="28"/>
              </w:rPr>
              <w:t xml:space="preserve"> </w:t>
            </w:r>
            <w:r w:rsidRPr="007C57D2">
              <w:rPr>
                <w:rFonts w:ascii="Times New Roman" w:hAnsi="Times New Roman"/>
                <w:b/>
                <w:spacing w:val="-5"/>
                <w:w w:val="105"/>
                <w:sz w:val="28"/>
              </w:rPr>
              <w:t xml:space="preserve">de </w:t>
            </w:r>
            <w:r w:rsidRPr="007C57D2">
              <w:rPr>
                <w:rFonts w:ascii="Times New Roman" w:hAnsi="Times New Roman"/>
                <w:b/>
                <w:sz w:val="28"/>
              </w:rPr>
              <w:t>búsqueda</w:t>
            </w:r>
            <w:r w:rsidRPr="007C57D2">
              <w:rPr>
                <w:rFonts w:ascii="Times New Roman" w:hAnsi="Times New Roman"/>
                <w:sz w:val="28"/>
              </w:rPr>
              <w:t>. Durante la</w:t>
            </w:r>
            <w:r w:rsidRPr="007C57D2">
              <w:rPr>
                <w:rFonts w:ascii="Times New Roman" w:hAnsi="Times New Roman"/>
                <w:spacing w:val="40"/>
                <w:sz w:val="28"/>
              </w:rPr>
              <w:t xml:space="preserve"> </w:t>
            </w:r>
            <w:r w:rsidRPr="007C57D2">
              <w:rPr>
                <w:rFonts w:ascii="Times New Roman" w:hAnsi="Times New Roman"/>
                <w:sz w:val="28"/>
              </w:rPr>
              <w:t>activación de la alerta</w:t>
            </w:r>
            <w:r w:rsidRPr="007C57D2">
              <w:rPr>
                <w:rFonts w:ascii="Times New Roman" w:hAnsi="Times New Roman"/>
                <w:spacing w:val="40"/>
                <w:sz w:val="28"/>
              </w:rPr>
              <w:t xml:space="preserve"> </w:t>
            </w:r>
            <w:r w:rsidRPr="007C57D2">
              <w:rPr>
                <w:rFonts w:ascii="Times New Roman" w:hAnsi="Times New Roman"/>
                <w:sz w:val="28"/>
              </w:rPr>
              <w:t>Colombia la Policía Nacional</w:t>
            </w:r>
            <w:r w:rsidRPr="007C57D2">
              <w:rPr>
                <w:rFonts w:ascii="Times New Roman" w:hAnsi="Times New Roman"/>
                <w:spacing w:val="40"/>
                <w:sz w:val="28"/>
              </w:rPr>
              <w:t xml:space="preserve"> </w:t>
            </w:r>
            <w:r w:rsidRPr="007C57D2">
              <w:rPr>
                <w:rFonts w:ascii="Times New Roman" w:hAnsi="Times New Roman"/>
                <w:sz w:val="28"/>
              </w:rPr>
              <w:t>implementará</w:t>
            </w:r>
            <w:r w:rsidRPr="007C57D2">
              <w:rPr>
                <w:rFonts w:ascii="Times New Roman" w:hAnsi="Times New Roman"/>
                <w:spacing w:val="-4"/>
                <w:sz w:val="28"/>
              </w:rPr>
              <w:t xml:space="preserve"> </w:t>
            </w:r>
            <w:r w:rsidRPr="007C57D2">
              <w:rPr>
                <w:rFonts w:ascii="Times New Roman" w:hAnsi="Times New Roman"/>
                <w:sz w:val="28"/>
              </w:rPr>
              <w:t>los</w:t>
            </w:r>
            <w:r w:rsidRPr="007C57D2">
              <w:rPr>
                <w:rFonts w:ascii="Times New Roman" w:hAnsi="Times New Roman"/>
                <w:spacing w:val="-5"/>
                <w:sz w:val="28"/>
              </w:rPr>
              <w:t xml:space="preserve"> </w:t>
            </w:r>
            <w:r w:rsidRPr="007C57D2">
              <w:rPr>
                <w:rFonts w:ascii="Times New Roman" w:hAnsi="Times New Roman"/>
                <w:sz w:val="28"/>
              </w:rPr>
              <w:t>mecanismos</w:t>
            </w:r>
            <w:r w:rsidRPr="007C57D2">
              <w:rPr>
                <w:rFonts w:ascii="Times New Roman" w:hAnsi="Times New Roman"/>
                <w:spacing w:val="40"/>
                <w:sz w:val="28"/>
              </w:rPr>
              <w:t xml:space="preserve"> </w:t>
            </w:r>
            <w:r w:rsidRPr="007C57D2">
              <w:rPr>
                <w:rFonts w:ascii="Times New Roman" w:hAnsi="Times New Roman"/>
                <w:sz w:val="28"/>
              </w:rPr>
              <w:t>de búsqueda pertinentes para</w:t>
            </w:r>
            <w:r w:rsidRPr="007C57D2">
              <w:rPr>
                <w:rFonts w:ascii="Times New Roman" w:hAnsi="Times New Roman"/>
                <w:spacing w:val="40"/>
                <w:sz w:val="28"/>
              </w:rPr>
              <w:t xml:space="preserve"> </w:t>
            </w:r>
            <w:r w:rsidRPr="007C57D2">
              <w:rPr>
                <w:rFonts w:ascii="Times New Roman" w:hAnsi="Times New Roman"/>
                <w:sz w:val="28"/>
              </w:rPr>
              <w:t>la búsqueda, localización y</w:t>
            </w:r>
            <w:r w:rsidRPr="007C57D2">
              <w:rPr>
                <w:rFonts w:ascii="Times New Roman" w:hAnsi="Times New Roman"/>
                <w:spacing w:val="40"/>
                <w:sz w:val="28"/>
              </w:rPr>
              <w:t xml:space="preserve"> </w:t>
            </w:r>
            <w:r w:rsidRPr="007C57D2">
              <w:rPr>
                <w:rFonts w:ascii="Times New Roman" w:hAnsi="Times New Roman"/>
                <w:sz w:val="28"/>
              </w:rPr>
              <w:t>recuperación inmediata de</w:t>
            </w:r>
            <w:r w:rsidRPr="007C57D2">
              <w:rPr>
                <w:rFonts w:ascii="Times New Roman" w:hAnsi="Times New Roman"/>
                <w:spacing w:val="40"/>
                <w:sz w:val="28"/>
              </w:rPr>
              <w:t xml:space="preserve"> </w:t>
            </w:r>
            <w:r w:rsidRPr="007C57D2">
              <w:rPr>
                <w:rFonts w:ascii="Times New Roman" w:hAnsi="Times New Roman"/>
                <w:sz w:val="28"/>
              </w:rPr>
              <w:t>niños y niñas extraviados o</w:t>
            </w:r>
            <w:r w:rsidRPr="007C57D2">
              <w:rPr>
                <w:rFonts w:ascii="Times New Roman" w:hAnsi="Times New Roman"/>
                <w:spacing w:val="40"/>
                <w:sz w:val="28"/>
              </w:rPr>
              <w:t xml:space="preserve"> </w:t>
            </w:r>
            <w:r w:rsidRPr="007C57D2">
              <w:rPr>
                <w:rFonts w:ascii="Times New Roman" w:hAnsi="Times New Roman"/>
                <w:spacing w:val="-2"/>
                <w:sz w:val="28"/>
              </w:rPr>
              <w:t>desaparecidos.</w:t>
            </w:r>
          </w:p>
          <w:p w:rsidR="00994FF1" w:rsidRPr="007C57D2" w:rsidRDefault="007C57D2" w:rsidP="007C57D2">
            <w:pPr>
              <w:spacing w:after="0" w:line="240" w:lineRule="auto"/>
              <w:jc w:val="both"/>
              <w:rPr>
                <w:rFonts w:ascii="Times New Roman" w:hAnsi="Times New Roman"/>
                <w:b/>
                <w:w w:val="105"/>
                <w:sz w:val="28"/>
              </w:rPr>
            </w:pPr>
            <w:r w:rsidRPr="007C57D2">
              <w:rPr>
                <w:rFonts w:ascii="Times New Roman" w:hAnsi="Times New Roman"/>
                <w:sz w:val="28"/>
              </w:rPr>
              <w:t>En estos mecanismos de</w:t>
            </w:r>
            <w:r w:rsidRPr="007C57D2">
              <w:rPr>
                <w:rFonts w:ascii="Times New Roman" w:hAnsi="Times New Roman"/>
                <w:spacing w:val="40"/>
                <w:sz w:val="28"/>
              </w:rPr>
              <w:t xml:space="preserve"> </w:t>
            </w:r>
            <w:r w:rsidRPr="007C57D2">
              <w:rPr>
                <w:rFonts w:ascii="Times New Roman" w:hAnsi="Times New Roman"/>
                <w:sz w:val="28"/>
              </w:rPr>
              <w:t>búsqueda</w:t>
            </w:r>
            <w:r w:rsidRPr="007C57D2">
              <w:rPr>
                <w:rFonts w:ascii="Times New Roman" w:hAnsi="Times New Roman"/>
                <w:spacing w:val="-1"/>
                <w:sz w:val="28"/>
              </w:rPr>
              <w:t xml:space="preserve"> </w:t>
            </w:r>
            <w:r w:rsidRPr="007C57D2">
              <w:rPr>
                <w:rFonts w:ascii="Times New Roman" w:hAnsi="Times New Roman"/>
                <w:sz w:val="28"/>
              </w:rPr>
              <w:t>la</w:t>
            </w:r>
            <w:r w:rsidRPr="007C57D2">
              <w:rPr>
                <w:rFonts w:ascii="Times New Roman" w:hAnsi="Times New Roman"/>
                <w:spacing w:val="-2"/>
                <w:sz w:val="28"/>
              </w:rPr>
              <w:t xml:space="preserve"> </w:t>
            </w:r>
            <w:r w:rsidRPr="007C57D2">
              <w:rPr>
                <w:rFonts w:ascii="Times New Roman" w:hAnsi="Times New Roman"/>
                <w:sz w:val="28"/>
              </w:rPr>
              <w:t>ciudadanía</w:t>
            </w:r>
            <w:r w:rsidRPr="007C57D2">
              <w:rPr>
                <w:rFonts w:ascii="Times New Roman" w:hAnsi="Times New Roman"/>
                <w:spacing w:val="-1"/>
                <w:sz w:val="28"/>
              </w:rPr>
              <w:t xml:space="preserve"> </w:t>
            </w:r>
            <w:r w:rsidRPr="007C57D2">
              <w:rPr>
                <w:rFonts w:ascii="Times New Roman" w:hAnsi="Times New Roman"/>
                <w:sz w:val="28"/>
              </w:rPr>
              <w:t>podrá</w:t>
            </w:r>
            <w:r w:rsidRPr="007C57D2">
              <w:rPr>
                <w:rFonts w:ascii="Times New Roman" w:hAnsi="Times New Roman"/>
                <w:spacing w:val="40"/>
                <w:sz w:val="28"/>
              </w:rPr>
              <w:t xml:space="preserve"> </w:t>
            </w:r>
            <w:r w:rsidRPr="007C57D2">
              <w:rPr>
                <w:rFonts w:ascii="Times New Roman" w:hAnsi="Times New Roman"/>
                <w:sz w:val="28"/>
              </w:rPr>
              <w:t>participar de forma voluntaria</w:t>
            </w:r>
            <w:r w:rsidRPr="007C57D2">
              <w:rPr>
                <w:rFonts w:ascii="Times New Roman" w:hAnsi="Times New Roman"/>
                <w:spacing w:val="40"/>
                <w:sz w:val="28"/>
              </w:rPr>
              <w:t xml:space="preserve"> </w:t>
            </w:r>
            <w:r w:rsidRPr="007C57D2">
              <w:rPr>
                <w:rFonts w:ascii="Times New Roman" w:hAnsi="Times New Roman"/>
                <w:sz w:val="28"/>
              </w:rPr>
              <w:t>en estricto cumplimiento del</w:t>
            </w:r>
            <w:r w:rsidRPr="007C57D2">
              <w:rPr>
                <w:rFonts w:ascii="Times New Roman" w:hAnsi="Times New Roman"/>
                <w:spacing w:val="40"/>
                <w:sz w:val="28"/>
              </w:rPr>
              <w:t xml:space="preserve"> </w:t>
            </w:r>
            <w:r w:rsidRPr="007C57D2">
              <w:rPr>
                <w:rFonts w:ascii="Times New Roman" w:hAnsi="Times New Roman"/>
                <w:sz w:val="28"/>
              </w:rPr>
              <w:t>principio constitucional de</w:t>
            </w:r>
            <w:r w:rsidRPr="007C57D2">
              <w:rPr>
                <w:rFonts w:ascii="Times New Roman" w:hAnsi="Times New Roman"/>
                <w:spacing w:val="40"/>
                <w:sz w:val="28"/>
              </w:rPr>
              <w:t xml:space="preserve"> </w:t>
            </w:r>
            <w:r w:rsidRPr="007C57D2">
              <w:rPr>
                <w:rFonts w:ascii="Times New Roman" w:hAnsi="Times New Roman"/>
                <w:sz w:val="28"/>
              </w:rPr>
              <w:t>solidaridad.</w:t>
            </w:r>
            <w:r w:rsidRPr="007C57D2">
              <w:rPr>
                <w:rFonts w:ascii="Times New Roman" w:hAnsi="Times New Roman"/>
                <w:spacing w:val="-1"/>
                <w:sz w:val="28"/>
              </w:rPr>
              <w:t xml:space="preserve"> </w:t>
            </w:r>
            <w:r w:rsidRPr="007C57D2">
              <w:rPr>
                <w:rFonts w:ascii="Times New Roman" w:hAnsi="Times New Roman"/>
                <w:sz w:val="28"/>
              </w:rPr>
              <w:t>Por</w:t>
            </w:r>
            <w:r w:rsidRPr="007C57D2">
              <w:rPr>
                <w:rFonts w:ascii="Times New Roman" w:hAnsi="Times New Roman"/>
                <w:spacing w:val="-2"/>
                <w:sz w:val="28"/>
              </w:rPr>
              <w:t xml:space="preserve"> </w:t>
            </w:r>
            <w:r w:rsidRPr="007C57D2">
              <w:rPr>
                <w:rFonts w:ascii="Times New Roman" w:hAnsi="Times New Roman"/>
                <w:sz w:val="28"/>
              </w:rPr>
              <w:t>lo</w:t>
            </w:r>
            <w:r w:rsidRPr="007C57D2">
              <w:rPr>
                <w:rFonts w:ascii="Times New Roman" w:hAnsi="Times New Roman"/>
                <w:spacing w:val="-1"/>
                <w:sz w:val="28"/>
              </w:rPr>
              <w:t xml:space="preserve"> </w:t>
            </w:r>
            <w:r w:rsidRPr="007C57D2">
              <w:rPr>
                <w:rFonts w:ascii="Times New Roman" w:hAnsi="Times New Roman"/>
                <w:sz w:val="28"/>
              </w:rPr>
              <w:t>tanto,</w:t>
            </w:r>
            <w:r w:rsidRPr="007C57D2">
              <w:rPr>
                <w:rFonts w:ascii="Times New Roman" w:hAnsi="Times New Roman"/>
                <w:spacing w:val="-1"/>
                <w:sz w:val="28"/>
              </w:rPr>
              <w:t xml:space="preserve"> </w:t>
            </w:r>
            <w:r w:rsidRPr="007C57D2">
              <w:rPr>
                <w:rFonts w:ascii="Times New Roman" w:hAnsi="Times New Roman"/>
                <w:sz w:val="28"/>
              </w:rPr>
              <w:t>dicha</w:t>
            </w:r>
            <w:r w:rsidRPr="007C57D2">
              <w:rPr>
                <w:rFonts w:ascii="Times New Roman" w:hAnsi="Times New Roman"/>
                <w:spacing w:val="40"/>
                <w:sz w:val="28"/>
              </w:rPr>
              <w:t xml:space="preserve"> </w:t>
            </w:r>
            <w:r w:rsidRPr="007C57D2">
              <w:rPr>
                <w:rFonts w:ascii="Times New Roman" w:hAnsi="Times New Roman"/>
                <w:sz w:val="28"/>
              </w:rPr>
              <w:t>participación no generará</w:t>
            </w:r>
            <w:r w:rsidRPr="007C57D2">
              <w:rPr>
                <w:rFonts w:ascii="Times New Roman" w:hAnsi="Times New Roman"/>
                <w:spacing w:val="40"/>
                <w:sz w:val="28"/>
              </w:rPr>
              <w:t xml:space="preserve"> </w:t>
            </w:r>
            <w:r w:rsidRPr="007C57D2">
              <w:rPr>
                <w:rFonts w:ascii="Times New Roman" w:hAnsi="Times New Roman"/>
                <w:sz w:val="28"/>
              </w:rPr>
              <w:t>ningún costo ni ingreso</w:t>
            </w:r>
            <w:r w:rsidRPr="007C57D2">
              <w:rPr>
                <w:rFonts w:ascii="Times New Roman" w:hAnsi="Times New Roman"/>
                <w:spacing w:val="40"/>
                <w:sz w:val="28"/>
              </w:rPr>
              <w:t xml:space="preserve"> </w:t>
            </w:r>
            <w:r w:rsidRPr="007C57D2">
              <w:rPr>
                <w:rFonts w:ascii="Times New Roman" w:hAnsi="Times New Roman"/>
                <w:sz w:val="28"/>
              </w:rPr>
              <w:t xml:space="preserve">monetario para </w:t>
            </w:r>
            <w:r w:rsidRPr="007C57D2">
              <w:rPr>
                <w:rFonts w:ascii="Times New Roman" w:hAnsi="Times New Roman"/>
                <w:sz w:val="28"/>
              </w:rPr>
              <w:t>quienes</w:t>
            </w:r>
            <w:r w:rsidRPr="007C57D2">
              <w:rPr>
                <w:rFonts w:ascii="Times New Roman" w:hAnsi="Times New Roman"/>
                <w:spacing w:val="40"/>
                <w:sz w:val="28"/>
              </w:rPr>
              <w:t xml:space="preserve"> </w:t>
            </w:r>
            <w:r w:rsidRPr="007C57D2">
              <w:rPr>
                <w:rFonts w:ascii="Times New Roman" w:hAnsi="Times New Roman"/>
                <w:sz w:val="28"/>
              </w:rPr>
              <w:t>colaboren en la búsqueda y</w:t>
            </w:r>
            <w:r w:rsidRPr="007C57D2">
              <w:rPr>
                <w:rFonts w:ascii="Times New Roman" w:hAnsi="Times New Roman"/>
                <w:spacing w:val="40"/>
                <w:sz w:val="28"/>
              </w:rPr>
              <w:t xml:space="preserve"> </w:t>
            </w:r>
            <w:r w:rsidRPr="007C57D2">
              <w:rPr>
                <w:rFonts w:ascii="Times New Roman" w:hAnsi="Times New Roman"/>
                <w:sz w:val="28"/>
              </w:rPr>
              <w:t>localización del niño o niña</w:t>
            </w:r>
            <w:r w:rsidRPr="007C57D2">
              <w:rPr>
                <w:rFonts w:ascii="Times New Roman" w:hAnsi="Times New Roman"/>
                <w:spacing w:val="40"/>
                <w:sz w:val="28"/>
              </w:rPr>
              <w:t xml:space="preserve"> </w:t>
            </w:r>
            <w:r w:rsidRPr="007C57D2">
              <w:rPr>
                <w:rFonts w:ascii="Times New Roman" w:hAnsi="Times New Roman"/>
                <w:sz w:val="28"/>
              </w:rPr>
              <w:t>extraviado o desaparecido.</w:t>
            </w:r>
            <w:r w:rsidRPr="007C57D2">
              <w:rPr>
                <w:rFonts w:ascii="Times New Roman" w:hAnsi="Times New Roman"/>
                <w:spacing w:val="40"/>
                <w:sz w:val="28"/>
              </w:rPr>
              <w:t xml:space="preserve"> </w:t>
            </w:r>
            <w:r w:rsidRPr="007C57D2">
              <w:rPr>
                <w:rFonts w:ascii="Times New Roman" w:hAnsi="Times New Roman"/>
                <w:sz w:val="28"/>
              </w:rPr>
              <w:t>Además, de acuerdo con el</w:t>
            </w:r>
            <w:r w:rsidRPr="007C57D2">
              <w:rPr>
                <w:rFonts w:ascii="Times New Roman" w:hAnsi="Times New Roman"/>
                <w:spacing w:val="40"/>
                <w:sz w:val="28"/>
              </w:rPr>
              <w:t xml:space="preserve"> </w:t>
            </w:r>
            <w:r w:rsidRPr="007C57D2">
              <w:rPr>
                <w:rFonts w:ascii="Times New Roman" w:hAnsi="Times New Roman"/>
                <w:sz w:val="28"/>
              </w:rPr>
              <w:t>principio de Solidaridad</w:t>
            </w:r>
            <w:r w:rsidRPr="007C57D2">
              <w:rPr>
                <w:rFonts w:ascii="Times New Roman" w:hAnsi="Times New Roman"/>
                <w:spacing w:val="40"/>
                <w:sz w:val="28"/>
              </w:rPr>
              <w:t xml:space="preserve"> </w:t>
            </w:r>
            <w:r w:rsidRPr="007C57D2">
              <w:rPr>
                <w:rFonts w:ascii="Times New Roman" w:hAnsi="Times New Roman"/>
                <w:sz w:val="28"/>
              </w:rPr>
              <w:t>empresarial, los proveedores</w:t>
            </w:r>
            <w:r w:rsidRPr="007C57D2">
              <w:rPr>
                <w:rFonts w:ascii="Times New Roman" w:hAnsi="Times New Roman"/>
                <w:spacing w:val="40"/>
                <w:sz w:val="28"/>
              </w:rPr>
              <w:t xml:space="preserve"> </w:t>
            </w:r>
            <w:r w:rsidRPr="007C57D2">
              <w:rPr>
                <w:rFonts w:ascii="Times New Roman" w:hAnsi="Times New Roman"/>
                <w:sz w:val="28"/>
              </w:rPr>
              <w:t>de redes y servicios de</w:t>
            </w:r>
            <w:r w:rsidRPr="007C57D2">
              <w:rPr>
                <w:rFonts w:ascii="Times New Roman" w:hAnsi="Times New Roman"/>
                <w:spacing w:val="40"/>
                <w:sz w:val="28"/>
              </w:rPr>
              <w:t xml:space="preserve"> </w:t>
            </w:r>
            <w:r w:rsidRPr="007C57D2">
              <w:rPr>
                <w:rFonts w:ascii="Times New Roman" w:hAnsi="Times New Roman"/>
                <w:sz w:val="28"/>
              </w:rPr>
              <w:t>telecomunicaciones móviles</w:t>
            </w:r>
            <w:r w:rsidRPr="007C57D2">
              <w:rPr>
                <w:rFonts w:ascii="Times New Roman" w:hAnsi="Times New Roman"/>
                <w:spacing w:val="40"/>
                <w:sz w:val="28"/>
              </w:rPr>
              <w:t xml:space="preserve"> </w:t>
            </w:r>
            <w:r w:rsidRPr="007C57D2">
              <w:rPr>
                <w:rFonts w:ascii="Times New Roman" w:hAnsi="Times New Roman"/>
                <w:sz w:val="28"/>
              </w:rPr>
              <w:t>pondrán a disposición la</w:t>
            </w:r>
            <w:r w:rsidRPr="007C57D2">
              <w:rPr>
                <w:rFonts w:ascii="Times New Roman" w:hAnsi="Times New Roman"/>
                <w:spacing w:val="40"/>
                <w:sz w:val="28"/>
              </w:rPr>
              <w:t xml:space="preserve"> </w:t>
            </w:r>
            <w:r w:rsidRPr="007C57D2">
              <w:rPr>
                <w:rFonts w:ascii="Times New Roman" w:hAnsi="Times New Roman"/>
                <w:sz w:val="28"/>
              </w:rPr>
              <w:t>tecnologí</w:t>
            </w:r>
            <w:r w:rsidRPr="007C57D2">
              <w:rPr>
                <w:rFonts w:ascii="Times New Roman" w:hAnsi="Times New Roman"/>
                <w:sz w:val="28"/>
              </w:rPr>
              <w:t>a necesaria para</w:t>
            </w:r>
            <w:r w:rsidRPr="007C57D2">
              <w:rPr>
                <w:rFonts w:ascii="Times New Roman" w:hAnsi="Times New Roman"/>
                <w:spacing w:val="40"/>
                <w:sz w:val="28"/>
              </w:rPr>
              <w:t xml:space="preserve"> </w:t>
            </w:r>
            <w:r w:rsidRPr="007C57D2">
              <w:rPr>
                <w:rFonts w:ascii="Times New Roman" w:hAnsi="Times New Roman"/>
                <w:sz w:val="28"/>
              </w:rPr>
              <w:t>estos</w:t>
            </w:r>
            <w:r w:rsidRPr="007C57D2">
              <w:rPr>
                <w:rFonts w:ascii="Times New Roman" w:hAnsi="Times New Roman"/>
                <w:spacing w:val="-5"/>
                <w:sz w:val="28"/>
              </w:rPr>
              <w:t xml:space="preserve"> </w:t>
            </w:r>
            <w:r w:rsidRPr="007C57D2">
              <w:rPr>
                <w:rFonts w:ascii="Times New Roman" w:hAnsi="Times New Roman"/>
                <w:sz w:val="28"/>
              </w:rPr>
              <w:t>fines.</w:t>
            </w:r>
          </w:p>
        </w:tc>
        <w:tc>
          <w:tcPr>
            <w:tcW w:w="3657" w:type="dxa"/>
            <w:shd w:val="clear" w:color="auto" w:fill="auto"/>
          </w:tcPr>
          <w:p w:rsidR="000A1A60" w:rsidRPr="007C57D2" w:rsidRDefault="007C57D2" w:rsidP="007C57D2">
            <w:pPr>
              <w:pStyle w:val="TableParagraph"/>
              <w:tabs>
                <w:tab w:val="left" w:pos="994"/>
                <w:tab w:val="left" w:pos="1483"/>
              </w:tabs>
              <w:jc w:val="both"/>
              <w:rPr>
                <w:rFonts w:ascii="Times New Roman" w:hAnsi="Times New Roman" w:cs="Times New Roman"/>
                <w:sz w:val="28"/>
              </w:rPr>
            </w:pPr>
            <w:r w:rsidRPr="007C57D2">
              <w:rPr>
                <w:rFonts w:ascii="Times New Roman" w:hAnsi="Times New Roman" w:cs="Times New Roman"/>
                <w:b/>
                <w:w w:val="105"/>
                <w:sz w:val="28"/>
              </w:rPr>
              <w:t>Artículo</w:t>
            </w:r>
            <w:r w:rsidRPr="007C57D2">
              <w:rPr>
                <w:rFonts w:ascii="Times New Roman" w:hAnsi="Times New Roman" w:cs="Times New Roman"/>
                <w:b/>
                <w:spacing w:val="32"/>
                <w:w w:val="105"/>
                <w:sz w:val="28"/>
              </w:rPr>
              <w:t xml:space="preserve"> </w:t>
            </w:r>
            <w:r w:rsidRPr="007C57D2">
              <w:rPr>
                <w:rFonts w:ascii="Times New Roman" w:hAnsi="Times New Roman" w:cs="Times New Roman"/>
                <w:b/>
                <w:w w:val="105"/>
                <w:sz w:val="28"/>
              </w:rPr>
              <w:t>12.</w:t>
            </w:r>
            <w:r w:rsidRPr="007C57D2">
              <w:rPr>
                <w:rFonts w:ascii="Times New Roman" w:hAnsi="Times New Roman" w:cs="Times New Roman"/>
                <w:b/>
                <w:spacing w:val="33"/>
                <w:w w:val="105"/>
                <w:sz w:val="28"/>
              </w:rPr>
              <w:t xml:space="preserve"> </w:t>
            </w:r>
            <w:r w:rsidRPr="007C57D2">
              <w:rPr>
                <w:rFonts w:ascii="Times New Roman" w:hAnsi="Times New Roman" w:cs="Times New Roman"/>
                <w:b/>
                <w:w w:val="105"/>
                <w:sz w:val="28"/>
              </w:rPr>
              <w:t>Mecanismos</w:t>
            </w:r>
            <w:r w:rsidRPr="007C57D2">
              <w:rPr>
                <w:rFonts w:ascii="Times New Roman" w:hAnsi="Times New Roman" w:cs="Times New Roman"/>
                <w:b/>
                <w:spacing w:val="33"/>
                <w:w w:val="105"/>
                <w:sz w:val="28"/>
              </w:rPr>
              <w:t xml:space="preserve"> </w:t>
            </w:r>
            <w:r w:rsidRPr="007C57D2">
              <w:rPr>
                <w:rFonts w:ascii="Times New Roman" w:hAnsi="Times New Roman" w:cs="Times New Roman"/>
                <w:b/>
                <w:spacing w:val="-5"/>
                <w:w w:val="105"/>
                <w:sz w:val="28"/>
              </w:rPr>
              <w:t xml:space="preserve">de </w:t>
            </w:r>
            <w:r w:rsidRPr="007C57D2">
              <w:rPr>
                <w:rFonts w:ascii="Times New Roman" w:hAnsi="Times New Roman" w:cs="Times New Roman"/>
                <w:b/>
                <w:sz w:val="28"/>
              </w:rPr>
              <w:t xml:space="preserve">búsqueda. </w:t>
            </w:r>
            <w:r w:rsidRPr="007C57D2">
              <w:rPr>
                <w:rFonts w:ascii="Times New Roman" w:hAnsi="Times New Roman" w:cs="Times New Roman"/>
                <w:sz w:val="28"/>
              </w:rPr>
              <w:t>Durante la</w:t>
            </w:r>
            <w:r w:rsidRPr="007C57D2">
              <w:rPr>
                <w:rFonts w:ascii="Times New Roman" w:hAnsi="Times New Roman" w:cs="Times New Roman"/>
                <w:spacing w:val="40"/>
                <w:sz w:val="28"/>
              </w:rPr>
              <w:t xml:space="preserve"> </w:t>
            </w:r>
            <w:r w:rsidRPr="007C57D2">
              <w:rPr>
                <w:rFonts w:ascii="Times New Roman" w:hAnsi="Times New Roman" w:cs="Times New Roman"/>
                <w:sz w:val="28"/>
              </w:rPr>
              <w:t>activación de la alerta</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 la Policía</w:t>
            </w:r>
            <w:r w:rsidRPr="007C57D2">
              <w:rPr>
                <w:rFonts w:ascii="Times New Roman" w:hAnsi="Times New Roman" w:cs="Times New Roman"/>
                <w:spacing w:val="40"/>
                <w:sz w:val="28"/>
              </w:rPr>
              <w:t xml:space="preserve"> </w:t>
            </w:r>
            <w:r w:rsidRPr="007C57D2">
              <w:rPr>
                <w:rFonts w:ascii="Times New Roman" w:hAnsi="Times New Roman" w:cs="Times New Roman"/>
                <w:sz w:val="28"/>
              </w:rPr>
              <w:t>Nacional implementará los</w:t>
            </w:r>
            <w:r w:rsidRPr="007C57D2">
              <w:rPr>
                <w:rFonts w:ascii="Times New Roman" w:hAnsi="Times New Roman" w:cs="Times New Roman"/>
                <w:spacing w:val="40"/>
                <w:sz w:val="28"/>
              </w:rPr>
              <w:t xml:space="preserve"> </w:t>
            </w:r>
            <w:r w:rsidRPr="007C57D2">
              <w:rPr>
                <w:rFonts w:ascii="Times New Roman" w:hAnsi="Times New Roman" w:cs="Times New Roman"/>
                <w:sz w:val="28"/>
              </w:rPr>
              <w:t>mecanismos de búsqueda</w:t>
            </w:r>
            <w:r w:rsidRPr="007C57D2">
              <w:rPr>
                <w:rFonts w:ascii="Times New Roman" w:hAnsi="Times New Roman" w:cs="Times New Roman"/>
                <w:spacing w:val="40"/>
                <w:sz w:val="28"/>
              </w:rPr>
              <w:t xml:space="preserve"> </w:t>
            </w:r>
            <w:r w:rsidRPr="007C57D2">
              <w:rPr>
                <w:rFonts w:ascii="Times New Roman" w:hAnsi="Times New Roman" w:cs="Times New Roman"/>
                <w:sz w:val="28"/>
              </w:rPr>
              <w:t>pertinentes para la</w:t>
            </w:r>
            <w:r w:rsidRPr="007C57D2">
              <w:rPr>
                <w:rFonts w:ascii="Times New Roman" w:hAnsi="Times New Roman" w:cs="Times New Roman"/>
                <w:spacing w:val="40"/>
                <w:sz w:val="28"/>
              </w:rPr>
              <w:t xml:space="preserve"> </w:t>
            </w:r>
            <w:r w:rsidRPr="007C57D2">
              <w:rPr>
                <w:rFonts w:ascii="Times New Roman" w:hAnsi="Times New Roman" w:cs="Times New Roman"/>
                <w:sz w:val="28"/>
              </w:rPr>
              <w:t>búsqueda, localización y</w:t>
            </w:r>
            <w:r w:rsidRPr="007C57D2">
              <w:rPr>
                <w:rFonts w:ascii="Times New Roman" w:hAnsi="Times New Roman" w:cs="Times New Roman"/>
                <w:spacing w:val="40"/>
                <w:sz w:val="28"/>
              </w:rPr>
              <w:t xml:space="preserve"> </w:t>
            </w:r>
            <w:r w:rsidRPr="007C57D2">
              <w:rPr>
                <w:rFonts w:ascii="Times New Roman" w:hAnsi="Times New Roman" w:cs="Times New Roman"/>
                <w:sz w:val="28"/>
              </w:rPr>
              <w:t>recuperación inmediata de</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niños y niñas </w:t>
            </w:r>
            <w:r w:rsidRPr="007C57D2">
              <w:rPr>
                <w:rFonts w:ascii="Times New Roman" w:hAnsi="Times New Roman" w:cs="Times New Roman"/>
                <w:sz w:val="28"/>
              </w:rPr>
              <w:t>extraviados.</w:t>
            </w:r>
          </w:p>
          <w:p w:rsidR="00994FF1" w:rsidRPr="007C57D2" w:rsidRDefault="007C57D2" w:rsidP="007C57D2">
            <w:pPr>
              <w:pStyle w:val="TableParagraph"/>
              <w:tabs>
                <w:tab w:val="left" w:pos="1492"/>
              </w:tabs>
              <w:jc w:val="both"/>
              <w:rPr>
                <w:rFonts w:ascii="Times New Roman" w:hAnsi="Times New Roman" w:cs="Times New Roman"/>
                <w:sz w:val="28"/>
              </w:rPr>
            </w:pPr>
            <w:r w:rsidRPr="007C57D2">
              <w:rPr>
                <w:rFonts w:ascii="Times New Roman" w:hAnsi="Times New Roman" w:cs="Times New Roman"/>
                <w:sz w:val="28"/>
              </w:rPr>
              <w:t>En estos mecanismos de</w:t>
            </w:r>
            <w:r w:rsidRPr="007C57D2">
              <w:rPr>
                <w:rFonts w:ascii="Times New Roman" w:hAnsi="Times New Roman" w:cs="Times New Roman"/>
                <w:spacing w:val="40"/>
                <w:sz w:val="28"/>
              </w:rPr>
              <w:t xml:space="preserve"> </w:t>
            </w:r>
            <w:r w:rsidRPr="007C57D2">
              <w:rPr>
                <w:rFonts w:ascii="Times New Roman" w:hAnsi="Times New Roman" w:cs="Times New Roman"/>
                <w:sz w:val="28"/>
              </w:rPr>
              <w:t>búsqueda la ciudadanía</w:t>
            </w:r>
            <w:r w:rsidRPr="007C57D2">
              <w:rPr>
                <w:rFonts w:ascii="Times New Roman" w:hAnsi="Times New Roman" w:cs="Times New Roman"/>
                <w:spacing w:val="40"/>
                <w:sz w:val="28"/>
              </w:rPr>
              <w:t xml:space="preserve"> </w:t>
            </w:r>
            <w:r w:rsidRPr="007C57D2">
              <w:rPr>
                <w:rFonts w:ascii="Times New Roman" w:hAnsi="Times New Roman" w:cs="Times New Roman"/>
                <w:sz w:val="28"/>
              </w:rPr>
              <w:t>podrá participar de forma</w:t>
            </w:r>
            <w:r w:rsidRPr="007C57D2">
              <w:rPr>
                <w:rFonts w:ascii="Times New Roman" w:hAnsi="Times New Roman" w:cs="Times New Roman"/>
                <w:spacing w:val="40"/>
                <w:sz w:val="28"/>
              </w:rPr>
              <w:t xml:space="preserve"> </w:t>
            </w:r>
            <w:r w:rsidRPr="007C57D2">
              <w:rPr>
                <w:rFonts w:ascii="Times New Roman" w:hAnsi="Times New Roman" w:cs="Times New Roman"/>
                <w:sz w:val="28"/>
              </w:rPr>
              <w:t>voluntaria en estricto</w:t>
            </w:r>
            <w:r w:rsidRPr="007C57D2">
              <w:rPr>
                <w:rFonts w:ascii="Times New Roman" w:hAnsi="Times New Roman" w:cs="Times New Roman"/>
                <w:spacing w:val="40"/>
                <w:sz w:val="28"/>
              </w:rPr>
              <w:t xml:space="preserve"> </w:t>
            </w:r>
            <w:r w:rsidRPr="007C57D2">
              <w:rPr>
                <w:rFonts w:ascii="Times New Roman" w:hAnsi="Times New Roman" w:cs="Times New Roman"/>
                <w:sz w:val="28"/>
              </w:rPr>
              <w:t>cumplimiento del principio</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constitucional </w:t>
            </w:r>
            <w:r w:rsidRPr="007C57D2">
              <w:rPr>
                <w:rFonts w:ascii="Times New Roman" w:hAnsi="Times New Roman" w:cs="Times New Roman"/>
                <w:spacing w:val="-8"/>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solidaridad. Por lo tanto,</w:t>
            </w:r>
            <w:r w:rsidRPr="007C57D2">
              <w:rPr>
                <w:rFonts w:ascii="Times New Roman" w:hAnsi="Times New Roman" w:cs="Times New Roman"/>
                <w:spacing w:val="40"/>
                <w:sz w:val="28"/>
              </w:rPr>
              <w:t xml:space="preserve"> </w:t>
            </w:r>
            <w:r w:rsidRPr="007C57D2">
              <w:rPr>
                <w:rFonts w:ascii="Times New Roman" w:hAnsi="Times New Roman" w:cs="Times New Roman"/>
                <w:sz w:val="28"/>
              </w:rPr>
              <w:t>dicha participación no</w:t>
            </w:r>
            <w:r w:rsidRPr="007C57D2">
              <w:rPr>
                <w:rFonts w:ascii="Times New Roman" w:hAnsi="Times New Roman" w:cs="Times New Roman"/>
                <w:spacing w:val="40"/>
                <w:sz w:val="28"/>
              </w:rPr>
              <w:t xml:space="preserve"> </w:t>
            </w:r>
            <w:r w:rsidRPr="007C57D2">
              <w:rPr>
                <w:rFonts w:ascii="Times New Roman" w:hAnsi="Times New Roman" w:cs="Times New Roman"/>
                <w:sz w:val="28"/>
              </w:rPr>
              <w:t>generará ningún costo ni</w:t>
            </w:r>
            <w:r w:rsidRPr="007C57D2">
              <w:rPr>
                <w:rFonts w:ascii="Times New Roman" w:hAnsi="Times New Roman" w:cs="Times New Roman"/>
                <w:spacing w:val="40"/>
                <w:sz w:val="28"/>
              </w:rPr>
              <w:t xml:space="preserve"> </w:t>
            </w:r>
            <w:r w:rsidRPr="007C57D2">
              <w:rPr>
                <w:rFonts w:ascii="Times New Roman" w:hAnsi="Times New Roman" w:cs="Times New Roman"/>
                <w:sz w:val="28"/>
              </w:rPr>
              <w:t>ingreso monetario para</w:t>
            </w:r>
            <w:r w:rsidRPr="007C57D2">
              <w:rPr>
                <w:rFonts w:ascii="Times New Roman" w:hAnsi="Times New Roman" w:cs="Times New Roman"/>
                <w:spacing w:val="40"/>
                <w:sz w:val="28"/>
              </w:rPr>
              <w:t xml:space="preserve"> </w:t>
            </w:r>
            <w:r w:rsidRPr="007C57D2">
              <w:rPr>
                <w:rFonts w:ascii="Times New Roman" w:hAnsi="Times New Roman" w:cs="Times New Roman"/>
                <w:sz w:val="28"/>
              </w:rPr>
              <w:t>quien</w:t>
            </w:r>
            <w:r w:rsidRPr="007C57D2">
              <w:rPr>
                <w:rFonts w:ascii="Times New Roman" w:hAnsi="Times New Roman" w:cs="Times New Roman"/>
                <w:sz w:val="28"/>
              </w:rPr>
              <w:t>es colaboren en la</w:t>
            </w:r>
            <w:r w:rsidRPr="007C57D2">
              <w:rPr>
                <w:rFonts w:ascii="Times New Roman" w:hAnsi="Times New Roman" w:cs="Times New Roman"/>
                <w:spacing w:val="40"/>
                <w:sz w:val="28"/>
              </w:rPr>
              <w:t xml:space="preserve"> </w:t>
            </w:r>
            <w:r w:rsidRPr="007C57D2">
              <w:rPr>
                <w:rFonts w:ascii="Times New Roman" w:hAnsi="Times New Roman" w:cs="Times New Roman"/>
                <w:sz w:val="28"/>
              </w:rPr>
              <w:t>búsqueda</w:t>
            </w:r>
            <w:r w:rsidRPr="007C57D2">
              <w:rPr>
                <w:rFonts w:ascii="Times New Roman" w:hAnsi="Times New Roman" w:cs="Times New Roman"/>
                <w:spacing w:val="-9"/>
                <w:sz w:val="28"/>
              </w:rPr>
              <w:t xml:space="preserve"> </w:t>
            </w:r>
            <w:r w:rsidRPr="007C57D2">
              <w:rPr>
                <w:rFonts w:ascii="Times New Roman" w:hAnsi="Times New Roman" w:cs="Times New Roman"/>
                <w:sz w:val="28"/>
              </w:rPr>
              <w:t>y</w:t>
            </w:r>
            <w:r w:rsidRPr="007C57D2">
              <w:rPr>
                <w:rFonts w:ascii="Times New Roman" w:hAnsi="Times New Roman" w:cs="Times New Roman"/>
                <w:spacing w:val="-9"/>
                <w:sz w:val="28"/>
              </w:rPr>
              <w:t xml:space="preserve"> </w:t>
            </w:r>
            <w:r w:rsidRPr="007C57D2">
              <w:rPr>
                <w:rFonts w:ascii="Times New Roman" w:hAnsi="Times New Roman" w:cs="Times New Roman"/>
                <w:sz w:val="28"/>
              </w:rPr>
              <w:t>localización</w:t>
            </w:r>
            <w:r w:rsidRPr="007C57D2">
              <w:rPr>
                <w:rFonts w:ascii="Times New Roman" w:hAnsi="Times New Roman" w:cs="Times New Roman"/>
                <w:spacing w:val="-8"/>
                <w:sz w:val="28"/>
              </w:rPr>
              <w:t xml:space="preserve"> </w:t>
            </w:r>
            <w:r w:rsidRPr="007C57D2">
              <w:rPr>
                <w:rFonts w:ascii="Times New Roman" w:hAnsi="Times New Roman" w:cs="Times New Roman"/>
                <w:sz w:val="28"/>
              </w:rPr>
              <w:t>del</w:t>
            </w:r>
            <w:r w:rsidRPr="007C57D2">
              <w:rPr>
                <w:rFonts w:ascii="Times New Roman" w:hAnsi="Times New Roman" w:cs="Times New Roman"/>
                <w:spacing w:val="40"/>
                <w:sz w:val="28"/>
              </w:rPr>
              <w:t xml:space="preserve"> </w:t>
            </w:r>
            <w:r w:rsidRPr="007C57D2">
              <w:rPr>
                <w:rFonts w:ascii="Times New Roman" w:hAnsi="Times New Roman" w:cs="Times New Roman"/>
                <w:sz w:val="28"/>
              </w:rPr>
              <w:t>niño o niña extraviado.</w:t>
            </w:r>
            <w:r w:rsidRPr="007C57D2">
              <w:rPr>
                <w:rFonts w:ascii="Times New Roman" w:hAnsi="Times New Roman" w:cs="Times New Roman"/>
                <w:spacing w:val="40"/>
                <w:sz w:val="28"/>
              </w:rPr>
              <w:t xml:space="preserve"> </w:t>
            </w:r>
            <w:r w:rsidRPr="007C57D2">
              <w:rPr>
                <w:rFonts w:ascii="Times New Roman" w:hAnsi="Times New Roman" w:cs="Times New Roman"/>
                <w:sz w:val="28"/>
              </w:rPr>
              <w:t>Además,</w:t>
            </w:r>
            <w:r w:rsidRPr="007C57D2">
              <w:rPr>
                <w:rFonts w:ascii="Times New Roman" w:hAnsi="Times New Roman" w:cs="Times New Roman"/>
                <w:spacing w:val="-5"/>
                <w:sz w:val="28"/>
              </w:rPr>
              <w:t xml:space="preserve"> </w:t>
            </w:r>
            <w:r w:rsidRPr="007C57D2">
              <w:rPr>
                <w:rFonts w:ascii="Times New Roman" w:hAnsi="Times New Roman" w:cs="Times New Roman"/>
                <w:sz w:val="28"/>
              </w:rPr>
              <w:t>de</w:t>
            </w:r>
            <w:r w:rsidRPr="007C57D2">
              <w:rPr>
                <w:rFonts w:ascii="Times New Roman" w:hAnsi="Times New Roman" w:cs="Times New Roman"/>
                <w:spacing w:val="-6"/>
                <w:sz w:val="28"/>
              </w:rPr>
              <w:t xml:space="preserve"> </w:t>
            </w:r>
            <w:r w:rsidRPr="007C57D2">
              <w:rPr>
                <w:rFonts w:ascii="Times New Roman" w:hAnsi="Times New Roman" w:cs="Times New Roman"/>
                <w:sz w:val="28"/>
              </w:rPr>
              <w:t>acuerdo</w:t>
            </w:r>
            <w:r w:rsidRPr="007C57D2">
              <w:rPr>
                <w:rFonts w:ascii="Times New Roman" w:hAnsi="Times New Roman" w:cs="Times New Roman"/>
                <w:spacing w:val="-4"/>
                <w:sz w:val="28"/>
              </w:rPr>
              <w:t xml:space="preserve"> </w:t>
            </w:r>
            <w:r w:rsidRPr="007C57D2">
              <w:rPr>
                <w:rFonts w:ascii="Times New Roman" w:hAnsi="Times New Roman" w:cs="Times New Roman"/>
                <w:sz w:val="28"/>
              </w:rPr>
              <w:t>con</w:t>
            </w:r>
            <w:r w:rsidRPr="007C57D2">
              <w:rPr>
                <w:rFonts w:ascii="Times New Roman" w:hAnsi="Times New Roman" w:cs="Times New Roman"/>
                <w:spacing w:val="-4"/>
                <w:sz w:val="28"/>
              </w:rPr>
              <w:t xml:space="preserve"> </w:t>
            </w:r>
            <w:r w:rsidRPr="007C57D2">
              <w:rPr>
                <w:rFonts w:ascii="Times New Roman" w:hAnsi="Times New Roman" w:cs="Times New Roman"/>
                <w:sz w:val="28"/>
              </w:rPr>
              <w:t>el</w:t>
            </w:r>
            <w:r w:rsidRPr="007C57D2">
              <w:rPr>
                <w:rFonts w:ascii="Times New Roman" w:hAnsi="Times New Roman" w:cs="Times New Roman"/>
                <w:spacing w:val="40"/>
                <w:sz w:val="28"/>
              </w:rPr>
              <w:t xml:space="preserve"> </w:t>
            </w:r>
            <w:r w:rsidRPr="007C57D2">
              <w:rPr>
                <w:rFonts w:ascii="Times New Roman" w:hAnsi="Times New Roman" w:cs="Times New Roman"/>
                <w:sz w:val="28"/>
              </w:rPr>
              <w:t>principio de solidaridad</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empresarial, </w:t>
            </w:r>
            <w:r w:rsidRPr="007C57D2">
              <w:rPr>
                <w:rFonts w:ascii="Times New Roman" w:hAnsi="Times New Roman" w:cs="Times New Roman"/>
                <w:spacing w:val="-4"/>
                <w:sz w:val="28"/>
              </w:rPr>
              <w:t>los</w:t>
            </w:r>
            <w:r w:rsidRPr="007C57D2">
              <w:rPr>
                <w:rFonts w:ascii="Times New Roman" w:hAnsi="Times New Roman" w:cs="Times New Roman"/>
                <w:spacing w:val="40"/>
                <w:sz w:val="28"/>
              </w:rPr>
              <w:t xml:space="preserve"> </w:t>
            </w:r>
            <w:r w:rsidRPr="007C57D2">
              <w:rPr>
                <w:rFonts w:ascii="Times New Roman" w:hAnsi="Times New Roman" w:cs="Times New Roman"/>
                <w:sz w:val="28"/>
              </w:rPr>
              <w:t>proveedores de redes y</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servicios</w:t>
            </w:r>
            <w:r w:rsidRPr="007C57D2">
              <w:rPr>
                <w:rFonts w:ascii="Times New Roman" w:hAnsi="Times New Roman" w:cs="Times New Roman"/>
                <w:spacing w:val="-14"/>
                <w:sz w:val="28"/>
              </w:rPr>
              <w:t xml:space="preserve"> </w:t>
            </w:r>
            <w:r w:rsidRPr="007C57D2">
              <w:rPr>
                <w:rFonts w:ascii="Times New Roman" w:hAnsi="Times New Roman" w:cs="Times New Roman"/>
                <w:spacing w:val="-6"/>
                <w:sz w:val="28"/>
              </w:rPr>
              <w:t>de</w:t>
            </w:r>
          </w:p>
          <w:p w:rsidR="00994FF1" w:rsidRPr="007C57D2" w:rsidRDefault="007C57D2" w:rsidP="007C57D2">
            <w:pPr>
              <w:pStyle w:val="TableParagraph"/>
              <w:jc w:val="both"/>
              <w:rPr>
                <w:rFonts w:ascii="Times New Roman" w:hAnsi="Times New Roman" w:cs="Times New Roman"/>
                <w:b/>
                <w:w w:val="105"/>
                <w:sz w:val="28"/>
              </w:rPr>
            </w:pPr>
            <w:r w:rsidRPr="007C57D2">
              <w:rPr>
                <w:rFonts w:ascii="Times New Roman" w:hAnsi="Times New Roman" w:cs="Times New Roman"/>
                <w:spacing w:val="-2"/>
                <w:sz w:val="28"/>
              </w:rPr>
              <w:t>telecomunicaciones</w:t>
            </w:r>
            <w:r w:rsidRPr="007C57D2">
              <w:rPr>
                <w:rFonts w:ascii="Times New Roman" w:hAnsi="Times New Roman" w:cs="Times New Roman"/>
                <w:spacing w:val="10"/>
                <w:sz w:val="28"/>
              </w:rPr>
              <w:t xml:space="preserve"> </w:t>
            </w:r>
            <w:r w:rsidRPr="007C57D2">
              <w:rPr>
                <w:rFonts w:ascii="Times New Roman" w:hAnsi="Times New Roman" w:cs="Times New Roman"/>
                <w:spacing w:val="-2"/>
                <w:sz w:val="28"/>
              </w:rPr>
              <w:t xml:space="preserve">móviles </w:t>
            </w:r>
            <w:r w:rsidRPr="007C57D2">
              <w:rPr>
                <w:rFonts w:ascii="Times New Roman" w:hAnsi="Times New Roman" w:cs="Times New Roman"/>
                <w:sz w:val="28"/>
              </w:rPr>
              <w:t>pondrán a disposición la</w:t>
            </w:r>
            <w:r w:rsidRPr="007C57D2">
              <w:rPr>
                <w:rFonts w:ascii="Times New Roman" w:hAnsi="Times New Roman" w:cs="Times New Roman"/>
                <w:spacing w:val="40"/>
                <w:sz w:val="28"/>
              </w:rPr>
              <w:t xml:space="preserve"> </w:t>
            </w:r>
            <w:r w:rsidRPr="007C57D2">
              <w:rPr>
                <w:rFonts w:ascii="Times New Roman" w:hAnsi="Times New Roman" w:cs="Times New Roman"/>
                <w:sz w:val="28"/>
              </w:rPr>
              <w:t>tecnología</w:t>
            </w:r>
            <w:r w:rsidRPr="007C57D2">
              <w:rPr>
                <w:rFonts w:ascii="Times New Roman" w:hAnsi="Times New Roman" w:cs="Times New Roman"/>
                <w:spacing w:val="44"/>
                <w:sz w:val="28"/>
              </w:rPr>
              <w:t xml:space="preserve"> </w:t>
            </w:r>
            <w:r w:rsidRPr="007C57D2">
              <w:rPr>
                <w:rFonts w:ascii="Times New Roman" w:hAnsi="Times New Roman" w:cs="Times New Roman"/>
                <w:sz w:val="28"/>
              </w:rPr>
              <w:t>necesaria</w:t>
            </w:r>
          </w:p>
        </w:tc>
        <w:tc>
          <w:tcPr>
            <w:tcW w:w="2185" w:type="dxa"/>
            <w:shd w:val="clear" w:color="auto" w:fill="auto"/>
            <w:vAlign w:val="center"/>
          </w:tcPr>
          <w:p w:rsidR="000A1A60"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w w:val="105"/>
                <w:sz w:val="28"/>
              </w:rPr>
              <w:t>Se</w:t>
            </w:r>
            <w:r w:rsidRPr="007C57D2">
              <w:rPr>
                <w:rFonts w:ascii="Times New Roman" w:hAnsi="Times New Roman"/>
                <w:b/>
                <w:spacing w:val="18"/>
                <w:w w:val="105"/>
                <w:sz w:val="28"/>
              </w:rPr>
              <w:t xml:space="preserve"> </w:t>
            </w:r>
            <w:r w:rsidRPr="007C57D2">
              <w:rPr>
                <w:rFonts w:ascii="Times New Roman" w:hAnsi="Times New Roman"/>
                <w:b/>
                <w:w w:val="105"/>
                <w:sz w:val="28"/>
              </w:rPr>
              <w:t>acoge</w:t>
            </w:r>
            <w:r w:rsidRPr="007C57D2">
              <w:rPr>
                <w:rFonts w:ascii="Times New Roman" w:hAnsi="Times New Roman"/>
                <w:b/>
                <w:spacing w:val="18"/>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0A1A60" w:rsidRPr="007C57D2" w:rsidRDefault="007C57D2" w:rsidP="007C57D2">
            <w:pPr>
              <w:pStyle w:val="TableParagraph"/>
              <w:jc w:val="both"/>
              <w:rPr>
                <w:rFonts w:ascii="Times New Roman" w:hAnsi="Times New Roman" w:cs="Times New Roman"/>
                <w:spacing w:val="-2"/>
                <w:sz w:val="28"/>
              </w:rPr>
            </w:pPr>
            <w:r w:rsidRPr="007C57D2">
              <w:rPr>
                <w:rFonts w:ascii="Times New Roman" w:hAnsi="Times New Roman" w:cs="Times New Roman"/>
                <w:b/>
                <w:sz w:val="28"/>
              </w:rPr>
              <w:t xml:space="preserve">Artículo 13. </w:t>
            </w:r>
            <w:r w:rsidRPr="007C57D2">
              <w:rPr>
                <w:rFonts w:ascii="Times New Roman" w:hAnsi="Times New Roman" w:cs="Times New Roman"/>
                <w:sz w:val="28"/>
              </w:rPr>
              <w:t>La Fiscalía</w:t>
            </w:r>
            <w:r w:rsidRPr="007C57D2">
              <w:rPr>
                <w:rFonts w:ascii="Times New Roman" w:hAnsi="Times New Roman" w:cs="Times New Roman"/>
                <w:spacing w:val="40"/>
                <w:sz w:val="28"/>
              </w:rPr>
              <w:t xml:space="preserve"> </w:t>
            </w:r>
            <w:r w:rsidRPr="007C57D2">
              <w:rPr>
                <w:rFonts w:ascii="Times New Roman" w:hAnsi="Times New Roman" w:cs="Times New Roman"/>
                <w:sz w:val="28"/>
              </w:rPr>
              <w:t>General de la Nación, el</w:t>
            </w:r>
            <w:r w:rsidRPr="007C57D2">
              <w:rPr>
                <w:rFonts w:ascii="Times New Roman" w:hAnsi="Times New Roman" w:cs="Times New Roman"/>
                <w:spacing w:val="40"/>
                <w:sz w:val="28"/>
              </w:rPr>
              <w:t xml:space="preserve"> </w:t>
            </w:r>
            <w:r w:rsidRPr="007C57D2">
              <w:rPr>
                <w:rFonts w:ascii="Times New Roman" w:hAnsi="Times New Roman" w:cs="Times New Roman"/>
                <w:sz w:val="28"/>
              </w:rPr>
              <w:t>Instituto Colombiano de</w:t>
            </w:r>
            <w:r w:rsidRPr="007C57D2">
              <w:rPr>
                <w:rFonts w:ascii="Times New Roman" w:hAnsi="Times New Roman" w:cs="Times New Roman"/>
                <w:spacing w:val="40"/>
                <w:sz w:val="28"/>
              </w:rPr>
              <w:t xml:space="preserve"> </w:t>
            </w:r>
            <w:r w:rsidRPr="007C57D2">
              <w:rPr>
                <w:rFonts w:ascii="Times New Roman" w:hAnsi="Times New Roman" w:cs="Times New Roman"/>
                <w:sz w:val="28"/>
              </w:rPr>
              <w:t>Bienestar</w:t>
            </w:r>
            <w:r w:rsidRPr="007C57D2">
              <w:rPr>
                <w:rFonts w:ascii="Times New Roman" w:hAnsi="Times New Roman" w:cs="Times New Roman"/>
                <w:spacing w:val="41"/>
                <w:sz w:val="28"/>
              </w:rPr>
              <w:t xml:space="preserve"> </w:t>
            </w:r>
            <w:r w:rsidRPr="007C57D2">
              <w:rPr>
                <w:rFonts w:ascii="Times New Roman" w:hAnsi="Times New Roman" w:cs="Times New Roman"/>
                <w:sz w:val="28"/>
              </w:rPr>
              <w:t>Familiar,</w:t>
            </w:r>
            <w:r w:rsidRPr="007C57D2">
              <w:rPr>
                <w:rFonts w:ascii="Times New Roman" w:hAnsi="Times New Roman" w:cs="Times New Roman"/>
                <w:spacing w:val="42"/>
                <w:sz w:val="28"/>
              </w:rPr>
              <w:t xml:space="preserve"> </w:t>
            </w:r>
            <w:r w:rsidRPr="007C57D2">
              <w:rPr>
                <w:rFonts w:ascii="Times New Roman" w:hAnsi="Times New Roman" w:cs="Times New Roman"/>
                <w:sz w:val="28"/>
              </w:rPr>
              <w:t>la</w:t>
            </w:r>
            <w:r w:rsidRPr="007C57D2">
              <w:rPr>
                <w:rFonts w:ascii="Times New Roman" w:hAnsi="Times New Roman" w:cs="Times New Roman"/>
                <w:spacing w:val="42"/>
                <w:sz w:val="28"/>
              </w:rPr>
              <w:t xml:space="preserve"> </w:t>
            </w:r>
            <w:r w:rsidRPr="007C57D2">
              <w:rPr>
                <w:rFonts w:ascii="Times New Roman" w:hAnsi="Times New Roman" w:cs="Times New Roman"/>
                <w:spacing w:val="-2"/>
                <w:sz w:val="28"/>
              </w:rPr>
              <w:t xml:space="preserve">Policía </w:t>
            </w:r>
            <w:r w:rsidRPr="007C57D2">
              <w:rPr>
                <w:rFonts w:ascii="Times New Roman" w:hAnsi="Times New Roman" w:cs="Times New Roman"/>
                <w:sz w:val="28"/>
              </w:rPr>
              <w:t>Nacional</w:t>
            </w:r>
            <w:r w:rsidRPr="007C57D2">
              <w:rPr>
                <w:rFonts w:ascii="Times New Roman" w:hAnsi="Times New Roman" w:cs="Times New Roman"/>
                <w:spacing w:val="78"/>
                <w:sz w:val="28"/>
              </w:rPr>
              <w:t xml:space="preserve"> </w:t>
            </w:r>
            <w:r w:rsidRPr="007C57D2">
              <w:rPr>
                <w:rFonts w:ascii="Times New Roman" w:hAnsi="Times New Roman" w:cs="Times New Roman"/>
                <w:sz w:val="28"/>
              </w:rPr>
              <w:t>y</w:t>
            </w:r>
            <w:r w:rsidRPr="007C57D2">
              <w:rPr>
                <w:rFonts w:ascii="Times New Roman" w:hAnsi="Times New Roman" w:cs="Times New Roman"/>
                <w:spacing w:val="78"/>
                <w:sz w:val="28"/>
              </w:rPr>
              <w:t xml:space="preserve"> </w:t>
            </w:r>
            <w:r w:rsidRPr="007C57D2">
              <w:rPr>
                <w:rFonts w:ascii="Times New Roman" w:hAnsi="Times New Roman" w:cs="Times New Roman"/>
                <w:sz w:val="28"/>
              </w:rPr>
              <w:t>la</w:t>
            </w:r>
            <w:r w:rsidRPr="007C57D2">
              <w:rPr>
                <w:rFonts w:ascii="Times New Roman" w:hAnsi="Times New Roman" w:cs="Times New Roman"/>
                <w:spacing w:val="79"/>
                <w:sz w:val="28"/>
              </w:rPr>
              <w:t xml:space="preserve"> </w:t>
            </w:r>
            <w:r w:rsidRPr="007C57D2">
              <w:rPr>
                <w:rFonts w:ascii="Times New Roman" w:hAnsi="Times New Roman" w:cs="Times New Roman"/>
                <w:spacing w:val="-2"/>
                <w:sz w:val="28"/>
              </w:rPr>
              <w:t>Unidad Administrativa Especial</w:t>
            </w:r>
            <w:r w:rsidRPr="007C57D2">
              <w:rPr>
                <w:rFonts w:ascii="Times New Roman" w:hAnsi="Times New Roman" w:cs="Times New Roman"/>
                <w:spacing w:val="40"/>
                <w:sz w:val="28"/>
              </w:rPr>
              <w:t xml:space="preserve"> </w:t>
            </w:r>
            <w:r w:rsidRPr="007C57D2">
              <w:rPr>
                <w:rFonts w:ascii="Times New Roman" w:hAnsi="Times New Roman" w:cs="Times New Roman"/>
                <w:sz w:val="28"/>
              </w:rPr>
              <w:t>Migración Colombia deberán</w:t>
            </w:r>
            <w:r w:rsidRPr="007C57D2">
              <w:rPr>
                <w:rFonts w:ascii="Times New Roman" w:hAnsi="Times New Roman" w:cs="Times New Roman"/>
                <w:spacing w:val="40"/>
                <w:sz w:val="28"/>
              </w:rPr>
              <w:t xml:space="preserve"> </w:t>
            </w:r>
            <w:r w:rsidRPr="007C57D2">
              <w:rPr>
                <w:rFonts w:ascii="Times New Roman" w:hAnsi="Times New Roman" w:cs="Times New Roman"/>
                <w:sz w:val="28"/>
              </w:rPr>
              <w:t>entregar anualmente un</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informe detallado al Congreso</w:t>
            </w:r>
            <w:r w:rsidRPr="007C57D2">
              <w:rPr>
                <w:rFonts w:ascii="Times New Roman" w:hAnsi="Times New Roman" w:cs="Times New Roman"/>
                <w:spacing w:val="40"/>
                <w:sz w:val="28"/>
              </w:rPr>
              <w:t xml:space="preserve"> </w:t>
            </w:r>
            <w:r w:rsidRPr="007C57D2">
              <w:rPr>
                <w:rFonts w:ascii="Times New Roman" w:hAnsi="Times New Roman" w:cs="Times New Roman"/>
                <w:sz w:val="28"/>
              </w:rPr>
              <w:t>de</w:t>
            </w:r>
            <w:r w:rsidRPr="007C57D2">
              <w:rPr>
                <w:rFonts w:ascii="Times New Roman" w:hAnsi="Times New Roman" w:cs="Times New Roman"/>
                <w:spacing w:val="-10"/>
                <w:sz w:val="28"/>
              </w:rPr>
              <w:t xml:space="preserve"> </w:t>
            </w:r>
            <w:r w:rsidRPr="007C57D2">
              <w:rPr>
                <w:rFonts w:ascii="Times New Roman" w:hAnsi="Times New Roman" w:cs="Times New Roman"/>
                <w:sz w:val="28"/>
              </w:rPr>
              <w:t>la</w:t>
            </w:r>
            <w:r w:rsidRPr="007C57D2">
              <w:rPr>
                <w:rFonts w:ascii="Times New Roman" w:hAnsi="Times New Roman" w:cs="Times New Roman"/>
                <w:spacing w:val="-9"/>
                <w:sz w:val="28"/>
              </w:rPr>
              <w:t xml:space="preserve"> </w:t>
            </w:r>
            <w:r w:rsidRPr="007C57D2">
              <w:rPr>
                <w:rFonts w:ascii="Times New Roman" w:hAnsi="Times New Roman" w:cs="Times New Roman"/>
                <w:sz w:val="28"/>
              </w:rPr>
              <w:t>República</w:t>
            </w:r>
            <w:r w:rsidRPr="007C57D2">
              <w:rPr>
                <w:rFonts w:ascii="Times New Roman" w:hAnsi="Times New Roman" w:cs="Times New Roman"/>
                <w:spacing w:val="-9"/>
                <w:sz w:val="28"/>
              </w:rPr>
              <w:t xml:space="preserve"> </w:t>
            </w:r>
            <w:r w:rsidRPr="007C57D2">
              <w:rPr>
                <w:rFonts w:ascii="Times New Roman" w:hAnsi="Times New Roman" w:cs="Times New Roman"/>
                <w:sz w:val="28"/>
              </w:rPr>
              <w:t>sobre</w:t>
            </w:r>
            <w:r w:rsidRPr="007C57D2">
              <w:rPr>
                <w:rFonts w:ascii="Times New Roman" w:hAnsi="Times New Roman" w:cs="Times New Roman"/>
                <w:spacing w:val="-9"/>
                <w:sz w:val="28"/>
              </w:rPr>
              <w:t xml:space="preserve"> </w:t>
            </w:r>
            <w:r w:rsidRPr="007C57D2">
              <w:rPr>
                <w:rFonts w:ascii="Times New Roman" w:hAnsi="Times New Roman" w:cs="Times New Roman"/>
                <w:sz w:val="28"/>
              </w:rPr>
              <w:t>las</w:t>
            </w:r>
            <w:r w:rsidRPr="007C57D2">
              <w:rPr>
                <w:rFonts w:ascii="Times New Roman" w:hAnsi="Times New Roman" w:cs="Times New Roman"/>
                <w:spacing w:val="-9"/>
                <w:sz w:val="28"/>
              </w:rPr>
              <w:t xml:space="preserve"> </w:t>
            </w:r>
            <w:r w:rsidRPr="007C57D2">
              <w:rPr>
                <w:rFonts w:ascii="Times New Roman" w:hAnsi="Times New Roman" w:cs="Times New Roman"/>
                <w:sz w:val="28"/>
              </w:rPr>
              <w:t>cifras</w:t>
            </w:r>
            <w:r w:rsidRPr="007C57D2">
              <w:rPr>
                <w:rFonts w:ascii="Times New Roman" w:hAnsi="Times New Roman" w:cs="Times New Roman"/>
                <w:spacing w:val="40"/>
                <w:sz w:val="28"/>
              </w:rPr>
              <w:t xml:space="preserve"> </w:t>
            </w:r>
            <w:r w:rsidRPr="007C57D2">
              <w:rPr>
                <w:rFonts w:ascii="Times New Roman" w:hAnsi="Times New Roman" w:cs="Times New Roman"/>
                <w:sz w:val="28"/>
              </w:rPr>
              <w:t>de los niños y niñas que se</w:t>
            </w:r>
            <w:r w:rsidRPr="007C57D2">
              <w:rPr>
                <w:rFonts w:ascii="Times New Roman" w:hAnsi="Times New Roman" w:cs="Times New Roman"/>
                <w:spacing w:val="40"/>
                <w:sz w:val="28"/>
              </w:rPr>
              <w:t xml:space="preserve"> </w:t>
            </w:r>
            <w:r w:rsidRPr="007C57D2">
              <w:rPr>
                <w:rFonts w:ascii="Times New Roman" w:hAnsi="Times New Roman" w:cs="Times New Roman"/>
                <w:sz w:val="28"/>
              </w:rPr>
              <w:t>extraviaron, mecanismos de</w:t>
            </w:r>
            <w:r w:rsidRPr="007C57D2">
              <w:rPr>
                <w:rFonts w:ascii="Times New Roman" w:hAnsi="Times New Roman" w:cs="Times New Roman"/>
                <w:spacing w:val="40"/>
                <w:sz w:val="28"/>
              </w:rPr>
              <w:t xml:space="preserve"> </w:t>
            </w:r>
            <w:r w:rsidRPr="007C57D2">
              <w:rPr>
                <w:rFonts w:ascii="Times New Roman" w:hAnsi="Times New Roman" w:cs="Times New Roman"/>
                <w:sz w:val="28"/>
              </w:rPr>
              <w:t>búsqueda implementados, los</w:t>
            </w:r>
            <w:r w:rsidRPr="007C57D2">
              <w:rPr>
                <w:rFonts w:ascii="Times New Roman" w:hAnsi="Times New Roman" w:cs="Times New Roman"/>
                <w:spacing w:val="40"/>
                <w:sz w:val="28"/>
              </w:rPr>
              <w:t xml:space="preserve"> </w:t>
            </w:r>
            <w:r w:rsidRPr="007C57D2">
              <w:rPr>
                <w:rFonts w:ascii="Times New Roman" w:hAnsi="Times New Roman" w:cs="Times New Roman"/>
                <w:sz w:val="28"/>
              </w:rPr>
              <w:t>resultados</w:t>
            </w:r>
            <w:r w:rsidRPr="007C57D2">
              <w:rPr>
                <w:rFonts w:ascii="Times New Roman" w:hAnsi="Times New Roman" w:cs="Times New Roman"/>
                <w:spacing w:val="-2"/>
                <w:sz w:val="28"/>
              </w:rPr>
              <w:t xml:space="preserve"> </w:t>
            </w:r>
            <w:r w:rsidRPr="007C57D2">
              <w:rPr>
                <w:rFonts w:ascii="Times New Roman" w:hAnsi="Times New Roman" w:cs="Times New Roman"/>
                <w:sz w:val="28"/>
              </w:rPr>
              <w:t>obtenidos</w:t>
            </w:r>
            <w:r w:rsidRPr="007C57D2">
              <w:rPr>
                <w:rFonts w:ascii="Times New Roman" w:hAnsi="Times New Roman" w:cs="Times New Roman"/>
                <w:spacing w:val="-3"/>
                <w:sz w:val="28"/>
              </w:rPr>
              <w:t xml:space="preserve"> </w:t>
            </w:r>
            <w:r w:rsidRPr="007C57D2">
              <w:rPr>
                <w:rFonts w:ascii="Times New Roman" w:hAnsi="Times New Roman" w:cs="Times New Roman"/>
                <w:sz w:val="28"/>
              </w:rPr>
              <w:t>y</w:t>
            </w:r>
            <w:r w:rsidRPr="007C57D2">
              <w:rPr>
                <w:rFonts w:ascii="Times New Roman" w:hAnsi="Times New Roman" w:cs="Times New Roman"/>
                <w:spacing w:val="-2"/>
                <w:sz w:val="28"/>
              </w:rPr>
              <w:t xml:space="preserve"> </w:t>
            </w:r>
            <w:r w:rsidRPr="007C57D2">
              <w:rPr>
                <w:rFonts w:ascii="Times New Roman" w:hAnsi="Times New Roman" w:cs="Times New Roman"/>
                <w:sz w:val="28"/>
              </w:rPr>
              <w:t>nuevas</w:t>
            </w:r>
            <w:r w:rsidRPr="007C57D2">
              <w:rPr>
                <w:rFonts w:ascii="Times New Roman" w:hAnsi="Times New Roman" w:cs="Times New Roman"/>
                <w:spacing w:val="40"/>
                <w:sz w:val="28"/>
              </w:rPr>
              <w:t xml:space="preserve"> </w:t>
            </w:r>
            <w:r w:rsidRPr="007C57D2">
              <w:rPr>
                <w:rFonts w:ascii="Times New Roman" w:hAnsi="Times New Roman" w:cs="Times New Roman"/>
                <w:sz w:val="28"/>
              </w:rPr>
              <w:t>metodologías para mejorar la</w:t>
            </w:r>
            <w:r w:rsidRPr="007C57D2">
              <w:rPr>
                <w:rFonts w:ascii="Times New Roman" w:hAnsi="Times New Roman" w:cs="Times New Roman"/>
                <w:spacing w:val="40"/>
                <w:sz w:val="28"/>
              </w:rPr>
              <w:t xml:space="preserve"> </w:t>
            </w:r>
            <w:r w:rsidRPr="007C57D2">
              <w:rPr>
                <w:rFonts w:ascii="Times New Roman" w:hAnsi="Times New Roman" w:cs="Times New Roman"/>
                <w:sz w:val="28"/>
              </w:rPr>
              <w:t>búsqueda y localización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estos.</w:t>
            </w:r>
          </w:p>
          <w:p w:rsidR="00994FF1" w:rsidRPr="007C57D2" w:rsidRDefault="007C57D2" w:rsidP="007C57D2">
            <w:pPr>
              <w:spacing w:after="0" w:line="240" w:lineRule="auto"/>
              <w:jc w:val="both"/>
              <w:rPr>
                <w:rFonts w:ascii="Times New Roman" w:hAnsi="Times New Roman"/>
                <w:spacing w:val="-2"/>
                <w:sz w:val="28"/>
              </w:rPr>
            </w:pPr>
            <w:r w:rsidRPr="007C57D2">
              <w:rPr>
                <w:rFonts w:ascii="Times New Roman" w:hAnsi="Times New Roman"/>
                <w:sz w:val="28"/>
              </w:rPr>
              <w:t>Así</w:t>
            </w:r>
            <w:r w:rsidRPr="007C57D2">
              <w:rPr>
                <w:rFonts w:ascii="Times New Roman" w:hAnsi="Times New Roman"/>
                <w:spacing w:val="-10"/>
                <w:sz w:val="28"/>
              </w:rPr>
              <w:t xml:space="preserve"> </w:t>
            </w:r>
            <w:r w:rsidRPr="007C57D2">
              <w:rPr>
                <w:rFonts w:ascii="Times New Roman" w:hAnsi="Times New Roman"/>
                <w:sz w:val="28"/>
              </w:rPr>
              <w:t>mismo,</w:t>
            </w:r>
            <w:r w:rsidRPr="007C57D2">
              <w:rPr>
                <w:rFonts w:ascii="Times New Roman" w:hAnsi="Times New Roman"/>
                <w:spacing w:val="-9"/>
                <w:sz w:val="28"/>
              </w:rPr>
              <w:t xml:space="preserve"> </w:t>
            </w:r>
            <w:r w:rsidRPr="007C57D2">
              <w:rPr>
                <w:rFonts w:ascii="Times New Roman" w:hAnsi="Times New Roman"/>
                <w:sz w:val="28"/>
              </w:rPr>
              <w:t>el</w:t>
            </w:r>
            <w:r w:rsidRPr="007C57D2">
              <w:rPr>
                <w:rFonts w:ascii="Times New Roman" w:hAnsi="Times New Roman"/>
                <w:spacing w:val="-9"/>
                <w:sz w:val="28"/>
              </w:rPr>
              <w:t xml:space="preserve"> </w:t>
            </w:r>
            <w:r w:rsidRPr="007C57D2">
              <w:rPr>
                <w:rFonts w:ascii="Times New Roman" w:hAnsi="Times New Roman"/>
                <w:sz w:val="28"/>
              </w:rPr>
              <w:t>Instituto</w:t>
            </w:r>
            <w:r w:rsidRPr="007C57D2">
              <w:rPr>
                <w:rFonts w:ascii="Times New Roman" w:hAnsi="Times New Roman"/>
                <w:spacing w:val="-9"/>
                <w:sz w:val="28"/>
              </w:rPr>
              <w:t xml:space="preserve"> </w:t>
            </w:r>
            <w:r w:rsidRPr="007C57D2">
              <w:rPr>
                <w:rFonts w:ascii="Times New Roman" w:hAnsi="Times New Roman"/>
                <w:sz w:val="28"/>
              </w:rPr>
              <w:t>Nacional</w:t>
            </w:r>
            <w:r w:rsidRPr="007C57D2">
              <w:rPr>
                <w:rFonts w:ascii="Times New Roman" w:hAnsi="Times New Roman"/>
                <w:spacing w:val="40"/>
                <w:sz w:val="28"/>
              </w:rPr>
              <w:t xml:space="preserve"> </w:t>
            </w:r>
            <w:r w:rsidRPr="007C57D2">
              <w:rPr>
                <w:rFonts w:ascii="Times New Roman" w:hAnsi="Times New Roman"/>
                <w:sz w:val="28"/>
              </w:rPr>
              <w:t xml:space="preserve">de Medicina Legal y </w:t>
            </w:r>
            <w:r w:rsidRPr="007C57D2">
              <w:rPr>
                <w:rFonts w:ascii="Times New Roman" w:hAnsi="Times New Roman"/>
                <w:sz w:val="28"/>
              </w:rPr>
              <w:t>Ciencias</w:t>
            </w:r>
            <w:r w:rsidRPr="007C57D2">
              <w:rPr>
                <w:rFonts w:ascii="Times New Roman" w:hAnsi="Times New Roman"/>
                <w:spacing w:val="40"/>
                <w:sz w:val="28"/>
              </w:rPr>
              <w:t xml:space="preserve"> </w:t>
            </w:r>
            <w:r w:rsidRPr="007C57D2">
              <w:rPr>
                <w:rFonts w:ascii="Times New Roman" w:hAnsi="Times New Roman"/>
                <w:sz w:val="28"/>
              </w:rPr>
              <w:t>Forenses deberá entregar y</w:t>
            </w:r>
            <w:r w:rsidRPr="007C57D2">
              <w:rPr>
                <w:rFonts w:ascii="Times New Roman" w:hAnsi="Times New Roman"/>
                <w:spacing w:val="40"/>
                <w:sz w:val="28"/>
              </w:rPr>
              <w:t xml:space="preserve"> </w:t>
            </w:r>
            <w:r w:rsidRPr="007C57D2">
              <w:rPr>
                <w:rFonts w:ascii="Times New Roman" w:hAnsi="Times New Roman"/>
                <w:sz w:val="28"/>
              </w:rPr>
              <w:t>sustentar</w:t>
            </w:r>
            <w:r w:rsidRPr="007C57D2">
              <w:rPr>
                <w:rFonts w:ascii="Times New Roman" w:hAnsi="Times New Roman"/>
                <w:spacing w:val="-10"/>
                <w:sz w:val="28"/>
              </w:rPr>
              <w:t xml:space="preserve"> </w:t>
            </w:r>
            <w:r w:rsidRPr="007C57D2">
              <w:rPr>
                <w:rFonts w:ascii="Times New Roman" w:hAnsi="Times New Roman"/>
                <w:sz w:val="28"/>
              </w:rPr>
              <w:t>un</w:t>
            </w:r>
            <w:r w:rsidRPr="007C57D2">
              <w:rPr>
                <w:rFonts w:ascii="Times New Roman" w:hAnsi="Times New Roman"/>
                <w:spacing w:val="-9"/>
                <w:sz w:val="28"/>
              </w:rPr>
              <w:t xml:space="preserve"> </w:t>
            </w:r>
            <w:r w:rsidRPr="007C57D2">
              <w:rPr>
                <w:rFonts w:ascii="Times New Roman" w:hAnsi="Times New Roman"/>
                <w:sz w:val="28"/>
              </w:rPr>
              <w:t>informe</w:t>
            </w:r>
            <w:r w:rsidRPr="007C57D2">
              <w:rPr>
                <w:rFonts w:ascii="Times New Roman" w:hAnsi="Times New Roman"/>
                <w:spacing w:val="-9"/>
                <w:sz w:val="28"/>
              </w:rPr>
              <w:t xml:space="preserve"> </w:t>
            </w:r>
            <w:r w:rsidRPr="007C57D2">
              <w:rPr>
                <w:rFonts w:ascii="Times New Roman" w:hAnsi="Times New Roman"/>
                <w:sz w:val="28"/>
              </w:rPr>
              <w:t>al</w:t>
            </w:r>
            <w:r w:rsidRPr="007C57D2">
              <w:rPr>
                <w:rFonts w:ascii="Times New Roman" w:hAnsi="Times New Roman"/>
                <w:spacing w:val="-9"/>
                <w:sz w:val="28"/>
              </w:rPr>
              <w:t xml:space="preserve"> </w:t>
            </w:r>
            <w:r w:rsidRPr="007C57D2">
              <w:rPr>
                <w:rFonts w:ascii="Times New Roman" w:hAnsi="Times New Roman"/>
                <w:sz w:val="28"/>
              </w:rPr>
              <w:t>Senado</w:t>
            </w:r>
            <w:r w:rsidRPr="007C57D2">
              <w:rPr>
                <w:rFonts w:ascii="Times New Roman" w:hAnsi="Times New Roman"/>
                <w:spacing w:val="40"/>
                <w:sz w:val="28"/>
              </w:rPr>
              <w:t xml:space="preserve"> </w:t>
            </w:r>
            <w:r w:rsidRPr="007C57D2">
              <w:rPr>
                <w:rFonts w:ascii="Times New Roman" w:hAnsi="Times New Roman"/>
                <w:sz w:val="28"/>
              </w:rPr>
              <w:t>de la República y a la Cámara</w:t>
            </w:r>
            <w:r w:rsidRPr="007C57D2">
              <w:rPr>
                <w:rFonts w:ascii="Times New Roman" w:hAnsi="Times New Roman"/>
                <w:spacing w:val="40"/>
                <w:sz w:val="28"/>
              </w:rPr>
              <w:t xml:space="preserve"> </w:t>
            </w:r>
            <w:r w:rsidRPr="007C57D2">
              <w:rPr>
                <w:rFonts w:ascii="Times New Roman" w:hAnsi="Times New Roman"/>
                <w:sz w:val="28"/>
              </w:rPr>
              <w:t>de Representantes sobre los</w:t>
            </w:r>
            <w:r w:rsidRPr="007C57D2">
              <w:rPr>
                <w:rFonts w:ascii="Times New Roman" w:hAnsi="Times New Roman"/>
                <w:spacing w:val="40"/>
                <w:sz w:val="28"/>
              </w:rPr>
              <w:t xml:space="preserve"> </w:t>
            </w:r>
            <w:r w:rsidRPr="007C57D2">
              <w:rPr>
                <w:rFonts w:ascii="Times New Roman" w:hAnsi="Times New Roman"/>
                <w:sz w:val="28"/>
              </w:rPr>
              <w:t>niños, niñas y adolescentes</w:t>
            </w:r>
            <w:r w:rsidRPr="007C57D2">
              <w:rPr>
                <w:rFonts w:ascii="Times New Roman" w:hAnsi="Times New Roman"/>
                <w:spacing w:val="40"/>
                <w:sz w:val="28"/>
              </w:rPr>
              <w:t xml:space="preserve"> </w:t>
            </w:r>
            <w:r w:rsidRPr="007C57D2">
              <w:rPr>
                <w:rFonts w:ascii="Times New Roman" w:hAnsi="Times New Roman"/>
                <w:sz w:val="28"/>
              </w:rPr>
              <w:t>que aún se encuentran</w:t>
            </w:r>
            <w:r w:rsidRPr="007C57D2">
              <w:rPr>
                <w:rFonts w:ascii="Times New Roman" w:hAnsi="Times New Roman"/>
                <w:spacing w:val="40"/>
                <w:sz w:val="28"/>
              </w:rPr>
              <w:t xml:space="preserve"> </w:t>
            </w:r>
            <w:r w:rsidRPr="007C57D2">
              <w:rPr>
                <w:rFonts w:ascii="Times New Roman" w:hAnsi="Times New Roman"/>
                <w:sz w:val="28"/>
              </w:rPr>
              <w:t>desaparecidos en el territorio</w:t>
            </w:r>
            <w:r w:rsidRPr="007C57D2">
              <w:rPr>
                <w:rFonts w:ascii="Times New Roman" w:hAnsi="Times New Roman"/>
                <w:spacing w:val="40"/>
                <w:sz w:val="28"/>
              </w:rPr>
              <w:t xml:space="preserve"> </w:t>
            </w:r>
            <w:r w:rsidRPr="007C57D2">
              <w:rPr>
                <w:rFonts w:ascii="Times New Roman" w:hAnsi="Times New Roman"/>
                <w:spacing w:val="-2"/>
                <w:sz w:val="28"/>
              </w:rPr>
              <w:t>colombiano.</w:t>
            </w:r>
          </w:p>
          <w:p w:rsidR="00994FF1" w:rsidRPr="007C57D2" w:rsidRDefault="007C57D2" w:rsidP="007C57D2">
            <w:pPr>
              <w:spacing w:after="0" w:line="240" w:lineRule="auto"/>
              <w:jc w:val="both"/>
              <w:rPr>
                <w:rFonts w:ascii="Times New Roman" w:hAnsi="Times New Roman"/>
                <w:spacing w:val="-2"/>
                <w:sz w:val="28"/>
              </w:rPr>
            </w:pPr>
            <w:r w:rsidRPr="007C57D2">
              <w:rPr>
                <w:rFonts w:ascii="Times New Roman" w:hAnsi="Times New Roman"/>
                <w:b/>
                <w:sz w:val="28"/>
              </w:rPr>
              <w:t xml:space="preserve">Parágrafo 1. </w:t>
            </w:r>
            <w:r w:rsidRPr="007C57D2">
              <w:rPr>
                <w:rFonts w:ascii="Times New Roman" w:hAnsi="Times New Roman"/>
                <w:sz w:val="28"/>
              </w:rPr>
              <w:t>Entregados los</w:t>
            </w:r>
            <w:r w:rsidRPr="007C57D2">
              <w:rPr>
                <w:rFonts w:ascii="Times New Roman" w:hAnsi="Times New Roman"/>
                <w:spacing w:val="40"/>
                <w:sz w:val="28"/>
              </w:rPr>
              <w:t xml:space="preserve"> </w:t>
            </w:r>
            <w:r w:rsidRPr="007C57D2">
              <w:rPr>
                <w:rFonts w:ascii="Times New Roman" w:hAnsi="Times New Roman"/>
                <w:sz w:val="28"/>
              </w:rPr>
              <w:t>informes</w:t>
            </w:r>
            <w:r w:rsidRPr="007C57D2">
              <w:rPr>
                <w:rFonts w:ascii="Times New Roman" w:hAnsi="Times New Roman"/>
                <w:spacing w:val="-10"/>
                <w:sz w:val="28"/>
              </w:rPr>
              <w:t xml:space="preserve"> </w:t>
            </w:r>
            <w:r w:rsidRPr="007C57D2">
              <w:rPr>
                <w:rFonts w:ascii="Times New Roman" w:hAnsi="Times New Roman"/>
                <w:sz w:val="28"/>
              </w:rPr>
              <w:t>p</w:t>
            </w:r>
            <w:r w:rsidRPr="007C57D2">
              <w:rPr>
                <w:rFonts w:ascii="Times New Roman" w:hAnsi="Times New Roman"/>
                <w:sz w:val="28"/>
              </w:rPr>
              <w:t>or</w:t>
            </w:r>
            <w:r w:rsidRPr="007C57D2">
              <w:rPr>
                <w:rFonts w:ascii="Times New Roman" w:hAnsi="Times New Roman"/>
                <w:spacing w:val="-9"/>
                <w:sz w:val="28"/>
              </w:rPr>
              <w:t xml:space="preserve"> </w:t>
            </w:r>
            <w:r w:rsidRPr="007C57D2">
              <w:rPr>
                <w:rFonts w:ascii="Times New Roman" w:hAnsi="Times New Roman"/>
                <w:sz w:val="28"/>
              </w:rPr>
              <w:t>parte</w:t>
            </w:r>
            <w:r w:rsidRPr="007C57D2">
              <w:rPr>
                <w:rFonts w:ascii="Times New Roman" w:hAnsi="Times New Roman"/>
                <w:spacing w:val="-9"/>
                <w:sz w:val="28"/>
              </w:rPr>
              <w:t xml:space="preserve"> </w:t>
            </w:r>
            <w:r w:rsidRPr="007C57D2">
              <w:rPr>
                <w:rFonts w:ascii="Times New Roman" w:hAnsi="Times New Roman"/>
                <w:sz w:val="28"/>
              </w:rPr>
              <w:t>de</w:t>
            </w:r>
            <w:r w:rsidRPr="007C57D2">
              <w:rPr>
                <w:rFonts w:ascii="Times New Roman" w:hAnsi="Times New Roman"/>
                <w:spacing w:val="-9"/>
                <w:sz w:val="28"/>
              </w:rPr>
              <w:t xml:space="preserve"> </w:t>
            </w:r>
            <w:r w:rsidRPr="007C57D2">
              <w:rPr>
                <w:rFonts w:ascii="Times New Roman" w:hAnsi="Times New Roman"/>
                <w:sz w:val="28"/>
              </w:rPr>
              <w:t>la</w:t>
            </w:r>
            <w:r w:rsidRPr="007C57D2">
              <w:rPr>
                <w:rFonts w:ascii="Times New Roman" w:hAnsi="Times New Roman"/>
                <w:spacing w:val="-9"/>
                <w:sz w:val="28"/>
              </w:rPr>
              <w:t xml:space="preserve"> </w:t>
            </w:r>
            <w:r w:rsidRPr="007C57D2">
              <w:rPr>
                <w:rFonts w:ascii="Times New Roman" w:hAnsi="Times New Roman"/>
                <w:sz w:val="28"/>
              </w:rPr>
              <w:t>Policía</w:t>
            </w:r>
            <w:r w:rsidRPr="007C57D2">
              <w:rPr>
                <w:rFonts w:ascii="Times New Roman" w:hAnsi="Times New Roman"/>
                <w:spacing w:val="40"/>
                <w:sz w:val="28"/>
              </w:rPr>
              <w:t xml:space="preserve"> </w:t>
            </w:r>
            <w:r w:rsidRPr="007C57D2">
              <w:rPr>
                <w:rFonts w:ascii="Times New Roman" w:hAnsi="Times New Roman"/>
                <w:sz w:val="28"/>
              </w:rPr>
              <w:t>Nacional</w:t>
            </w:r>
            <w:r w:rsidRPr="007C57D2">
              <w:rPr>
                <w:rFonts w:ascii="Times New Roman" w:hAnsi="Times New Roman"/>
                <w:spacing w:val="-7"/>
                <w:sz w:val="28"/>
              </w:rPr>
              <w:t xml:space="preserve"> </w:t>
            </w:r>
            <w:r w:rsidRPr="007C57D2">
              <w:rPr>
                <w:rFonts w:ascii="Times New Roman" w:hAnsi="Times New Roman"/>
                <w:sz w:val="28"/>
              </w:rPr>
              <w:t>y</w:t>
            </w:r>
            <w:r w:rsidRPr="007C57D2">
              <w:rPr>
                <w:rFonts w:ascii="Times New Roman" w:hAnsi="Times New Roman"/>
                <w:spacing w:val="-7"/>
                <w:sz w:val="28"/>
              </w:rPr>
              <w:t xml:space="preserve"> </w:t>
            </w:r>
            <w:r w:rsidRPr="007C57D2">
              <w:rPr>
                <w:rFonts w:ascii="Times New Roman" w:hAnsi="Times New Roman"/>
                <w:sz w:val="28"/>
              </w:rPr>
              <w:t>el</w:t>
            </w:r>
            <w:r w:rsidRPr="007C57D2">
              <w:rPr>
                <w:rFonts w:ascii="Times New Roman" w:hAnsi="Times New Roman"/>
                <w:spacing w:val="-7"/>
                <w:sz w:val="28"/>
              </w:rPr>
              <w:t xml:space="preserve"> </w:t>
            </w:r>
            <w:r w:rsidRPr="007C57D2">
              <w:rPr>
                <w:rFonts w:ascii="Times New Roman" w:hAnsi="Times New Roman"/>
                <w:sz w:val="28"/>
              </w:rPr>
              <w:t>Instituto</w:t>
            </w:r>
            <w:r w:rsidRPr="007C57D2">
              <w:rPr>
                <w:rFonts w:ascii="Times New Roman" w:hAnsi="Times New Roman"/>
                <w:spacing w:val="-7"/>
                <w:sz w:val="28"/>
              </w:rPr>
              <w:t xml:space="preserve"> </w:t>
            </w:r>
            <w:r w:rsidRPr="007C57D2">
              <w:rPr>
                <w:rFonts w:ascii="Times New Roman" w:hAnsi="Times New Roman"/>
                <w:sz w:val="28"/>
              </w:rPr>
              <w:t>Nacional</w:t>
            </w:r>
            <w:r w:rsidRPr="007C57D2">
              <w:rPr>
                <w:rFonts w:ascii="Times New Roman" w:hAnsi="Times New Roman"/>
                <w:spacing w:val="40"/>
                <w:sz w:val="28"/>
              </w:rPr>
              <w:t xml:space="preserve"> </w:t>
            </w:r>
            <w:r w:rsidRPr="007C57D2">
              <w:rPr>
                <w:rFonts w:ascii="Times New Roman" w:hAnsi="Times New Roman"/>
                <w:sz w:val="28"/>
              </w:rPr>
              <w:t>de Medicina Legal, las mesas</w:t>
            </w:r>
            <w:r w:rsidRPr="007C57D2">
              <w:rPr>
                <w:rFonts w:ascii="Times New Roman" w:hAnsi="Times New Roman"/>
                <w:spacing w:val="40"/>
                <w:sz w:val="28"/>
              </w:rPr>
              <w:t xml:space="preserve"> </w:t>
            </w:r>
            <w:r w:rsidRPr="007C57D2">
              <w:rPr>
                <w:rFonts w:ascii="Times New Roman" w:hAnsi="Times New Roman"/>
                <w:sz w:val="28"/>
              </w:rPr>
              <w:t>directivas de cada una de las</w:t>
            </w:r>
            <w:r w:rsidRPr="007C57D2">
              <w:rPr>
                <w:rFonts w:ascii="Times New Roman" w:hAnsi="Times New Roman"/>
                <w:spacing w:val="40"/>
                <w:sz w:val="28"/>
              </w:rPr>
              <w:t xml:space="preserve"> </w:t>
            </w:r>
            <w:r w:rsidRPr="007C57D2">
              <w:rPr>
                <w:rFonts w:ascii="Times New Roman" w:hAnsi="Times New Roman"/>
                <w:sz w:val="28"/>
              </w:rPr>
              <w:t>Cámaras</w:t>
            </w:r>
            <w:r w:rsidRPr="007C57D2">
              <w:rPr>
                <w:rFonts w:ascii="Times New Roman" w:hAnsi="Times New Roman"/>
                <w:spacing w:val="-10"/>
                <w:sz w:val="28"/>
              </w:rPr>
              <w:t xml:space="preserve"> </w:t>
            </w:r>
            <w:r w:rsidRPr="007C57D2">
              <w:rPr>
                <w:rFonts w:ascii="Times New Roman" w:hAnsi="Times New Roman"/>
                <w:sz w:val="28"/>
              </w:rPr>
              <w:t>cuentan</w:t>
            </w:r>
            <w:r w:rsidRPr="007C57D2">
              <w:rPr>
                <w:rFonts w:ascii="Times New Roman" w:hAnsi="Times New Roman"/>
                <w:spacing w:val="-9"/>
                <w:sz w:val="28"/>
              </w:rPr>
              <w:t xml:space="preserve"> </w:t>
            </w:r>
            <w:r w:rsidRPr="007C57D2">
              <w:rPr>
                <w:rFonts w:ascii="Times New Roman" w:hAnsi="Times New Roman"/>
                <w:sz w:val="28"/>
              </w:rPr>
              <w:t>con</w:t>
            </w:r>
            <w:r w:rsidRPr="007C57D2">
              <w:rPr>
                <w:rFonts w:ascii="Times New Roman" w:hAnsi="Times New Roman"/>
                <w:spacing w:val="-9"/>
                <w:sz w:val="28"/>
              </w:rPr>
              <w:t xml:space="preserve"> </w:t>
            </w:r>
            <w:r w:rsidRPr="007C57D2">
              <w:rPr>
                <w:rFonts w:ascii="Times New Roman" w:hAnsi="Times New Roman"/>
                <w:sz w:val="28"/>
              </w:rPr>
              <w:t>un</w:t>
            </w:r>
            <w:r w:rsidRPr="007C57D2">
              <w:rPr>
                <w:rFonts w:ascii="Times New Roman" w:hAnsi="Times New Roman"/>
                <w:spacing w:val="-9"/>
                <w:sz w:val="28"/>
              </w:rPr>
              <w:t xml:space="preserve"> </w:t>
            </w:r>
            <w:r w:rsidRPr="007C57D2">
              <w:rPr>
                <w:rFonts w:ascii="Times New Roman" w:hAnsi="Times New Roman"/>
                <w:sz w:val="28"/>
              </w:rPr>
              <w:t>plazo</w:t>
            </w:r>
            <w:r w:rsidRPr="007C57D2">
              <w:rPr>
                <w:rFonts w:ascii="Times New Roman" w:hAnsi="Times New Roman"/>
                <w:spacing w:val="40"/>
                <w:sz w:val="28"/>
              </w:rPr>
              <w:t xml:space="preserve"> </w:t>
            </w:r>
            <w:r w:rsidRPr="007C57D2">
              <w:rPr>
                <w:rFonts w:ascii="Times New Roman" w:hAnsi="Times New Roman"/>
                <w:sz w:val="28"/>
              </w:rPr>
              <w:t>no mayor de dos meses para</w:t>
            </w:r>
            <w:r w:rsidRPr="007C57D2">
              <w:rPr>
                <w:rFonts w:ascii="Times New Roman" w:hAnsi="Times New Roman"/>
                <w:spacing w:val="40"/>
                <w:sz w:val="28"/>
              </w:rPr>
              <w:t xml:space="preserve"> </w:t>
            </w:r>
            <w:r w:rsidRPr="007C57D2">
              <w:rPr>
                <w:rFonts w:ascii="Times New Roman" w:hAnsi="Times New Roman"/>
                <w:sz w:val="28"/>
              </w:rPr>
              <w:t>citar a dichas entidades para</w:t>
            </w:r>
            <w:r w:rsidRPr="007C57D2">
              <w:rPr>
                <w:rFonts w:ascii="Times New Roman" w:hAnsi="Times New Roman"/>
                <w:spacing w:val="40"/>
                <w:sz w:val="28"/>
              </w:rPr>
              <w:t xml:space="preserve"> </w:t>
            </w:r>
            <w:r w:rsidRPr="007C57D2">
              <w:rPr>
                <w:rFonts w:ascii="Times New Roman" w:hAnsi="Times New Roman"/>
                <w:sz w:val="28"/>
              </w:rPr>
              <w:t>que sustenten en sesión</w:t>
            </w:r>
            <w:r w:rsidRPr="007C57D2">
              <w:rPr>
                <w:rFonts w:ascii="Times New Roman" w:hAnsi="Times New Roman"/>
                <w:spacing w:val="40"/>
                <w:sz w:val="28"/>
              </w:rPr>
              <w:t xml:space="preserve"> </w:t>
            </w:r>
            <w:r w:rsidRPr="007C57D2">
              <w:rPr>
                <w:rFonts w:ascii="Times New Roman" w:hAnsi="Times New Roman"/>
                <w:sz w:val="28"/>
              </w:rPr>
              <w:t>ordinaria los respectivos</w:t>
            </w:r>
            <w:r w:rsidRPr="007C57D2">
              <w:rPr>
                <w:rFonts w:ascii="Times New Roman" w:hAnsi="Times New Roman"/>
                <w:spacing w:val="40"/>
                <w:sz w:val="28"/>
              </w:rPr>
              <w:t xml:space="preserve"> </w:t>
            </w:r>
            <w:r w:rsidRPr="007C57D2">
              <w:rPr>
                <w:rFonts w:ascii="Times New Roman" w:hAnsi="Times New Roman"/>
                <w:spacing w:val="-2"/>
                <w:sz w:val="28"/>
              </w:rPr>
              <w:t>informes.</w:t>
            </w:r>
          </w:p>
          <w:p w:rsidR="00034F73" w:rsidRPr="007C57D2" w:rsidRDefault="007C57D2" w:rsidP="007C57D2">
            <w:pPr>
              <w:spacing w:after="0" w:line="240" w:lineRule="auto"/>
              <w:jc w:val="both"/>
              <w:rPr>
                <w:rFonts w:ascii="Times New Roman" w:hAnsi="Times New Roman"/>
                <w:spacing w:val="-2"/>
                <w:sz w:val="28"/>
              </w:rPr>
            </w:pPr>
          </w:p>
          <w:p w:rsidR="00994FF1" w:rsidRPr="007C57D2" w:rsidRDefault="007C57D2" w:rsidP="007C57D2">
            <w:pPr>
              <w:spacing w:after="0" w:line="240" w:lineRule="auto"/>
              <w:jc w:val="both"/>
              <w:rPr>
                <w:rFonts w:ascii="Times New Roman" w:hAnsi="Times New Roman"/>
                <w:b/>
                <w:w w:val="105"/>
                <w:sz w:val="28"/>
              </w:rPr>
            </w:pPr>
            <w:r w:rsidRPr="007C57D2">
              <w:rPr>
                <w:rFonts w:ascii="Times New Roman" w:hAnsi="Times New Roman"/>
                <w:b/>
                <w:w w:val="105"/>
                <w:sz w:val="28"/>
              </w:rPr>
              <w:t xml:space="preserve">Parágrafo 2. </w:t>
            </w:r>
            <w:r w:rsidRPr="007C57D2">
              <w:rPr>
                <w:rFonts w:ascii="Times New Roman" w:hAnsi="Times New Roman"/>
                <w:w w:val="105"/>
                <w:sz w:val="28"/>
              </w:rPr>
              <w:t>El informe anual</w:t>
            </w:r>
            <w:r w:rsidRPr="007C57D2">
              <w:rPr>
                <w:rFonts w:ascii="Times New Roman" w:hAnsi="Times New Roman"/>
                <w:spacing w:val="40"/>
                <w:w w:val="105"/>
                <w:sz w:val="28"/>
              </w:rPr>
              <w:t xml:space="preserve"> </w:t>
            </w:r>
            <w:r w:rsidRPr="007C57D2">
              <w:rPr>
                <w:rFonts w:ascii="Times New Roman" w:hAnsi="Times New Roman"/>
                <w:w w:val="105"/>
                <w:sz w:val="28"/>
              </w:rPr>
              <w:t>presentado por la Policía</w:t>
            </w:r>
            <w:r w:rsidRPr="007C57D2">
              <w:rPr>
                <w:rFonts w:ascii="Times New Roman" w:hAnsi="Times New Roman"/>
                <w:spacing w:val="40"/>
                <w:w w:val="105"/>
                <w:sz w:val="28"/>
              </w:rPr>
              <w:t xml:space="preserve"> </w:t>
            </w:r>
            <w:r w:rsidRPr="007C57D2">
              <w:rPr>
                <w:rFonts w:ascii="Times New Roman" w:hAnsi="Times New Roman"/>
                <w:w w:val="105"/>
                <w:sz w:val="28"/>
              </w:rPr>
              <w:t>Nacional al Congreso de la</w:t>
            </w:r>
            <w:r w:rsidRPr="007C57D2">
              <w:rPr>
                <w:rFonts w:ascii="Times New Roman" w:hAnsi="Times New Roman"/>
                <w:spacing w:val="40"/>
                <w:w w:val="105"/>
                <w:sz w:val="28"/>
              </w:rPr>
              <w:t xml:space="preserve"> </w:t>
            </w:r>
            <w:r w:rsidRPr="007C57D2">
              <w:rPr>
                <w:rFonts w:ascii="Times New Roman" w:hAnsi="Times New Roman"/>
                <w:w w:val="105"/>
                <w:sz w:val="28"/>
              </w:rPr>
              <w:t>República deberá incluir</w:t>
            </w:r>
            <w:r w:rsidRPr="007C57D2">
              <w:rPr>
                <w:rFonts w:ascii="Times New Roman" w:hAnsi="Times New Roman"/>
                <w:spacing w:val="40"/>
                <w:w w:val="105"/>
                <w:sz w:val="28"/>
              </w:rPr>
              <w:t xml:space="preserve"> </w:t>
            </w:r>
            <w:r w:rsidRPr="007C57D2">
              <w:rPr>
                <w:rFonts w:ascii="Times New Roman" w:hAnsi="Times New Roman"/>
                <w:w w:val="105"/>
                <w:sz w:val="28"/>
              </w:rPr>
              <w:t>también un análisis detallado</w:t>
            </w:r>
            <w:r w:rsidRPr="007C57D2">
              <w:rPr>
                <w:rFonts w:ascii="Times New Roman" w:hAnsi="Times New Roman"/>
                <w:spacing w:val="40"/>
                <w:w w:val="105"/>
                <w:sz w:val="28"/>
              </w:rPr>
              <w:t xml:space="preserve"> </w:t>
            </w:r>
            <w:r w:rsidRPr="007C57D2">
              <w:rPr>
                <w:rFonts w:ascii="Times New Roman" w:hAnsi="Times New Roman"/>
                <w:w w:val="105"/>
                <w:sz w:val="28"/>
              </w:rPr>
              <w:t>de los factores que</w:t>
            </w:r>
            <w:r w:rsidRPr="007C57D2">
              <w:rPr>
                <w:rFonts w:ascii="Times New Roman" w:hAnsi="Times New Roman"/>
                <w:spacing w:val="40"/>
                <w:w w:val="105"/>
                <w:sz w:val="28"/>
              </w:rPr>
              <w:t xml:space="preserve"> </w:t>
            </w:r>
            <w:r w:rsidRPr="007C57D2">
              <w:rPr>
                <w:rFonts w:ascii="Times New Roman" w:hAnsi="Times New Roman"/>
                <w:w w:val="105"/>
                <w:sz w:val="28"/>
              </w:rPr>
              <w:t>contribuyeron a los casos de</w:t>
            </w:r>
            <w:r w:rsidRPr="007C57D2">
              <w:rPr>
                <w:rFonts w:ascii="Times New Roman" w:hAnsi="Times New Roman"/>
                <w:spacing w:val="40"/>
                <w:w w:val="105"/>
                <w:sz w:val="28"/>
              </w:rPr>
              <w:t xml:space="preserve"> </w:t>
            </w:r>
            <w:r w:rsidRPr="007C57D2">
              <w:rPr>
                <w:rFonts w:ascii="Times New Roman" w:hAnsi="Times New Roman"/>
                <w:w w:val="105"/>
                <w:sz w:val="28"/>
              </w:rPr>
              <w:t>extravío de niños y niñas, así</w:t>
            </w:r>
            <w:r w:rsidRPr="007C57D2">
              <w:rPr>
                <w:rFonts w:ascii="Times New Roman" w:hAnsi="Times New Roman"/>
                <w:spacing w:val="40"/>
                <w:w w:val="105"/>
                <w:sz w:val="28"/>
              </w:rPr>
              <w:t xml:space="preserve"> </w:t>
            </w:r>
            <w:r w:rsidRPr="007C57D2">
              <w:rPr>
                <w:rFonts w:ascii="Times New Roman" w:hAnsi="Times New Roman"/>
                <w:spacing w:val="-4"/>
                <w:w w:val="105"/>
                <w:sz w:val="28"/>
              </w:rPr>
              <w:t xml:space="preserve">como </w:t>
            </w:r>
            <w:r w:rsidRPr="007C57D2">
              <w:rPr>
                <w:rFonts w:ascii="Times New Roman" w:hAnsi="Times New Roman"/>
                <w:spacing w:val="-2"/>
                <w:w w:val="105"/>
                <w:sz w:val="28"/>
              </w:rPr>
              <w:t>recomendaciones</w:t>
            </w:r>
            <w:r w:rsidRPr="007C57D2">
              <w:rPr>
                <w:rFonts w:ascii="Times New Roman" w:hAnsi="Times New Roman"/>
                <w:spacing w:val="40"/>
                <w:w w:val="105"/>
                <w:sz w:val="28"/>
              </w:rPr>
              <w:t xml:space="preserve"> </w:t>
            </w:r>
            <w:r w:rsidRPr="007C57D2">
              <w:rPr>
                <w:rFonts w:ascii="Times New Roman" w:hAnsi="Times New Roman"/>
                <w:w w:val="105"/>
                <w:sz w:val="28"/>
              </w:rPr>
              <w:t>específicas para abordar y</w:t>
            </w:r>
            <w:r w:rsidRPr="007C57D2">
              <w:rPr>
                <w:rFonts w:ascii="Times New Roman" w:hAnsi="Times New Roman"/>
                <w:spacing w:val="40"/>
                <w:w w:val="105"/>
                <w:sz w:val="28"/>
              </w:rPr>
              <w:t xml:space="preserve"> </w:t>
            </w:r>
            <w:r w:rsidRPr="007C57D2">
              <w:rPr>
                <w:rFonts w:ascii="Times New Roman" w:hAnsi="Times New Roman"/>
                <w:w w:val="105"/>
                <w:sz w:val="28"/>
              </w:rPr>
              <w:t>prevenir</w:t>
            </w:r>
            <w:r w:rsidRPr="007C57D2">
              <w:rPr>
                <w:rFonts w:ascii="Times New Roman" w:hAnsi="Times New Roman"/>
                <w:spacing w:val="-8"/>
                <w:w w:val="105"/>
                <w:sz w:val="28"/>
              </w:rPr>
              <w:t xml:space="preserve"> </w:t>
            </w:r>
            <w:r w:rsidRPr="007C57D2">
              <w:rPr>
                <w:rFonts w:ascii="Times New Roman" w:hAnsi="Times New Roman"/>
                <w:w w:val="105"/>
                <w:sz w:val="28"/>
              </w:rPr>
              <w:t>estas</w:t>
            </w:r>
            <w:r w:rsidRPr="007C57D2">
              <w:rPr>
                <w:rFonts w:ascii="Times New Roman" w:hAnsi="Times New Roman"/>
                <w:spacing w:val="-8"/>
                <w:w w:val="105"/>
                <w:sz w:val="28"/>
              </w:rPr>
              <w:t xml:space="preserve"> </w:t>
            </w:r>
            <w:r w:rsidRPr="007C57D2">
              <w:rPr>
                <w:rFonts w:ascii="Times New Roman" w:hAnsi="Times New Roman"/>
                <w:w w:val="105"/>
                <w:sz w:val="28"/>
              </w:rPr>
              <w:t>situaciones</w:t>
            </w:r>
            <w:r w:rsidRPr="007C57D2">
              <w:rPr>
                <w:rFonts w:ascii="Times New Roman" w:hAnsi="Times New Roman"/>
                <w:spacing w:val="-8"/>
                <w:w w:val="105"/>
                <w:sz w:val="28"/>
              </w:rPr>
              <w:t xml:space="preserve"> </w:t>
            </w:r>
            <w:r w:rsidRPr="007C57D2">
              <w:rPr>
                <w:rFonts w:ascii="Times New Roman" w:hAnsi="Times New Roman"/>
                <w:w w:val="105"/>
                <w:sz w:val="28"/>
              </w:rPr>
              <w:t>en</w:t>
            </w:r>
            <w:r w:rsidRPr="007C57D2">
              <w:rPr>
                <w:rFonts w:ascii="Times New Roman" w:hAnsi="Times New Roman"/>
                <w:spacing w:val="-8"/>
                <w:w w:val="105"/>
                <w:sz w:val="28"/>
              </w:rPr>
              <w:t xml:space="preserve"> </w:t>
            </w:r>
            <w:r w:rsidRPr="007C57D2">
              <w:rPr>
                <w:rFonts w:ascii="Times New Roman" w:hAnsi="Times New Roman"/>
                <w:w w:val="105"/>
                <w:sz w:val="28"/>
              </w:rPr>
              <w:t>el</w:t>
            </w:r>
            <w:r w:rsidRPr="007C57D2">
              <w:rPr>
                <w:rFonts w:ascii="Times New Roman" w:hAnsi="Times New Roman"/>
                <w:spacing w:val="40"/>
                <w:w w:val="105"/>
                <w:sz w:val="28"/>
              </w:rPr>
              <w:t xml:space="preserve"> </w:t>
            </w:r>
            <w:r w:rsidRPr="007C57D2">
              <w:rPr>
                <w:rFonts w:ascii="Times New Roman" w:hAnsi="Times New Roman"/>
                <w:w w:val="105"/>
                <w:sz w:val="28"/>
              </w:rPr>
              <w:t>futuro. Asimismo, se deberá</w:t>
            </w:r>
            <w:r w:rsidRPr="007C57D2">
              <w:rPr>
                <w:rFonts w:ascii="Times New Roman" w:hAnsi="Times New Roman"/>
                <w:spacing w:val="40"/>
                <w:w w:val="105"/>
                <w:sz w:val="28"/>
              </w:rPr>
              <w:t xml:space="preserve"> </w:t>
            </w:r>
            <w:r w:rsidRPr="007C57D2">
              <w:rPr>
                <w:rFonts w:ascii="Times New Roman" w:hAnsi="Times New Roman"/>
                <w:w w:val="105"/>
                <w:sz w:val="28"/>
              </w:rPr>
              <w:t>destacar cualquier obstáculo o</w:t>
            </w:r>
            <w:r w:rsidRPr="007C57D2">
              <w:rPr>
                <w:rFonts w:ascii="Times New Roman" w:hAnsi="Times New Roman"/>
                <w:spacing w:val="40"/>
                <w:w w:val="105"/>
                <w:sz w:val="28"/>
              </w:rPr>
              <w:t xml:space="preserve"> </w:t>
            </w:r>
            <w:r w:rsidRPr="007C57D2">
              <w:rPr>
                <w:rFonts w:ascii="Times New Roman" w:hAnsi="Times New Roman"/>
                <w:w w:val="105"/>
                <w:sz w:val="28"/>
              </w:rPr>
              <w:t>limitación encontrada durante</w:t>
            </w:r>
            <w:r w:rsidRPr="007C57D2">
              <w:rPr>
                <w:rFonts w:ascii="Times New Roman" w:hAnsi="Times New Roman"/>
                <w:spacing w:val="40"/>
                <w:w w:val="105"/>
                <w:sz w:val="28"/>
              </w:rPr>
              <w:t xml:space="preserve"> </w:t>
            </w:r>
            <w:r w:rsidRPr="007C57D2">
              <w:rPr>
                <w:rFonts w:ascii="Times New Roman" w:hAnsi="Times New Roman"/>
                <w:w w:val="105"/>
                <w:sz w:val="28"/>
              </w:rPr>
              <w:t>el proceso de búsqueda y</w:t>
            </w:r>
            <w:r w:rsidRPr="007C57D2">
              <w:rPr>
                <w:rFonts w:ascii="Times New Roman" w:hAnsi="Times New Roman"/>
                <w:spacing w:val="40"/>
                <w:w w:val="105"/>
                <w:sz w:val="28"/>
              </w:rPr>
              <w:t xml:space="preserve"> </w:t>
            </w:r>
            <w:r w:rsidRPr="007C57D2">
              <w:rPr>
                <w:rFonts w:ascii="Times New Roman" w:hAnsi="Times New Roman"/>
                <w:w w:val="105"/>
                <w:sz w:val="28"/>
              </w:rPr>
              <w:t>localización, junto con</w:t>
            </w:r>
            <w:r w:rsidRPr="007C57D2">
              <w:rPr>
                <w:rFonts w:ascii="Times New Roman" w:hAnsi="Times New Roman"/>
                <w:spacing w:val="40"/>
                <w:w w:val="105"/>
                <w:sz w:val="28"/>
              </w:rPr>
              <w:t xml:space="preserve"> </w:t>
            </w:r>
            <w:r w:rsidRPr="007C57D2">
              <w:rPr>
                <w:rFonts w:ascii="Times New Roman" w:hAnsi="Times New Roman"/>
                <w:w w:val="105"/>
                <w:sz w:val="28"/>
              </w:rPr>
              <w:t>propuestas concretas para</w:t>
            </w:r>
            <w:r w:rsidRPr="007C57D2">
              <w:rPr>
                <w:rFonts w:ascii="Times New Roman" w:hAnsi="Times New Roman"/>
                <w:spacing w:val="40"/>
                <w:w w:val="105"/>
                <w:sz w:val="28"/>
              </w:rPr>
              <w:t xml:space="preserve"> </w:t>
            </w:r>
            <w:r w:rsidRPr="007C57D2">
              <w:rPr>
                <w:rFonts w:ascii="Times New Roman" w:hAnsi="Times New Roman"/>
                <w:spacing w:val="-2"/>
                <w:w w:val="105"/>
                <w:sz w:val="28"/>
              </w:rPr>
              <w:t>superarlos.</w:t>
            </w:r>
          </w:p>
        </w:tc>
        <w:tc>
          <w:tcPr>
            <w:tcW w:w="3657" w:type="dxa"/>
            <w:shd w:val="clear" w:color="auto" w:fill="auto"/>
          </w:tcPr>
          <w:p w:rsidR="000A1A60" w:rsidRPr="007C57D2" w:rsidRDefault="007C57D2" w:rsidP="007C57D2">
            <w:pPr>
              <w:pStyle w:val="TableParagraph"/>
              <w:tabs>
                <w:tab w:val="left" w:pos="1106"/>
              </w:tabs>
              <w:jc w:val="both"/>
              <w:rPr>
                <w:rFonts w:ascii="Times New Roman" w:hAnsi="Times New Roman" w:cs="Times New Roman"/>
                <w:sz w:val="28"/>
              </w:rPr>
            </w:pPr>
            <w:r w:rsidRPr="007C57D2">
              <w:rPr>
                <w:rFonts w:ascii="Times New Roman" w:hAnsi="Times New Roman" w:cs="Times New Roman"/>
                <w:b/>
                <w:sz w:val="28"/>
              </w:rPr>
              <w:t>Artículo 13. Informe</w:t>
            </w:r>
            <w:r w:rsidRPr="007C57D2">
              <w:rPr>
                <w:rFonts w:ascii="Times New Roman" w:hAnsi="Times New Roman" w:cs="Times New Roman"/>
                <w:b/>
                <w:spacing w:val="40"/>
                <w:sz w:val="28"/>
              </w:rPr>
              <w:t xml:space="preserve"> </w:t>
            </w:r>
            <w:r w:rsidRPr="007C57D2">
              <w:rPr>
                <w:rFonts w:ascii="Times New Roman" w:hAnsi="Times New Roman" w:cs="Times New Roman"/>
                <w:b/>
                <w:sz w:val="28"/>
              </w:rPr>
              <w:t xml:space="preserve">anual. </w:t>
            </w:r>
            <w:r w:rsidRPr="007C57D2">
              <w:rPr>
                <w:rFonts w:ascii="Times New Roman" w:hAnsi="Times New Roman" w:cs="Times New Roman"/>
                <w:sz w:val="28"/>
              </w:rPr>
              <w:t>El Instituto</w:t>
            </w:r>
            <w:r w:rsidRPr="007C57D2">
              <w:rPr>
                <w:rFonts w:ascii="Times New Roman" w:hAnsi="Times New Roman" w:cs="Times New Roman"/>
                <w:spacing w:val="40"/>
                <w:sz w:val="28"/>
              </w:rPr>
              <w:t xml:space="preserve"> </w:t>
            </w:r>
            <w:r w:rsidRPr="007C57D2">
              <w:rPr>
                <w:rFonts w:ascii="Times New Roman" w:hAnsi="Times New Roman" w:cs="Times New Roman"/>
                <w:sz w:val="28"/>
              </w:rPr>
              <w:t>Colombiano de Bienestar</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 xml:space="preserve">Familiar entregará </w:t>
            </w:r>
            <w:r w:rsidRPr="007C57D2">
              <w:rPr>
                <w:rFonts w:ascii="Times New Roman" w:hAnsi="Times New Roman" w:cs="Times New Roman"/>
                <w:sz w:val="28"/>
              </w:rPr>
              <w:t>anualmente</w:t>
            </w:r>
            <w:r w:rsidRPr="007C57D2">
              <w:rPr>
                <w:rFonts w:ascii="Times New Roman" w:hAnsi="Times New Roman" w:cs="Times New Roman"/>
                <w:spacing w:val="47"/>
                <w:sz w:val="28"/>
              </w:rPr>
              <w:t xml:space="preserve"> </w:t>
            </w:r>
            <w:r w:rsidRPr="007C57D2">
              <w:rPr>
                <w:rFonts w:ascii="Times New Roman" w:hAnsi="Times New Roman" w:cs="Times New Roman"/>
                <w:sz w:val="28"/>
              </w:rPr>
              <w:t>un</w:t>
            </w:r>
            <w:r w:rsidRPr="007C57D2">
              <w:rPr>
                <w:rFonts w:ascii="Times New Roman" w:hAnsi="Times New Roman" w:cs="Times New Roman"/>
                <w:spacing w:val="48"/>
                <w:sz w:val="28"/>
              </w:rPr>
              <w:t xml:space="preserve"> </w:t>
            </w:r>
            <w:r w:rsidRPr="007C57D2">
              <w:rPr>
                <w:rFonts w:ascii="Times New Roman" w:hAnsi="Times New Roman" w:cs="Times New Roman"/>
                <w:spacing w:val="-2"/>
                <w:sz w:val="28"/>
              </w:rPr>
              <w:t>informe</w:t>
            </w:r>
            <w:r w:rsidRPr="007C57D2">
              <w:rPr>
                <w:rFonts w:ascii="Times New Roman" w:hAnsi="Times New Roman" w:cs="Times New Roman"/>
                <w:sz w:val="28"/>
              </w:rPr>
              <w:t xml:space="preserve"> detallado</w:t>
            </w:r>
            <w:r w:rsidRPr="007C57D2">
              <w:rPr>
                <w:rFonts w:ascii="Times New Roman" w:hAnsi="Times New Roman" w:cs="Times New Roman"/>
                <w:spacing w:val="-4"/>
                <w:sz w:val="28"/>
              </w:rPr>
              <w:t xml:space="preserve"> </w:t>
            </w:r>
            <w:r w:rsidRPr="007C57D2">
              <w:rPr>
                <w:rFonts w:ascii="Times New Roman" w:hAnsi="Times New Roman" w:cs="Times New Roman"/>
                <w:sz w:val="28"/>
              </w:rPr>
              <w:t>al</w:t>
            </w:r>
            <w:r w:rsidRPr="007C57D2">
              <w:rPr>
                <w:rFonts w:ascii="Times New Roman" w:hAnsi="Times New Roman" w:cs="Times New Roman"/>
                <w:spacing w:val="-4"/>
                <w:sz w:val="28"/>
              </w:rPr>
              <w:t xml:space="preserve"> </w:t>
            </w:r>
            <w:r w:rsidRPr="007C57D2">
              <w:rPr>
                <w:rFonts w:ascii="Times New Roman" w:hAnsi="Times New Roman" w:cs="Times New Roman"/>
                <w:sz w:val="28"/>
              </w:rPr>
              <w:t>Congreso</w:t>
            </w:r>
            <w:r w:rsidRPr="007C57D2">
              <w:rPr>
                <w:rFonts w:ascii="Times New Roman" w:hAnsi="Times New Roman" w:cs="Times New Roman"/>
                <w:spacing w:val="-4"/>
                <w:sz w:val="28"/>
              </w:rPr>
              <w:t xml:space="preserve"> </w:t>
            </w:r>
            <w:r w:rsidRPr="007C57D2">
              <w:rPr>
                <w:rFonts w:ascii="Times New Roman" w:hAnsi="Times New Roman" w:cs="Times New Roman"/>
                <w:sz w:val="28"/>
              </w:rPr>
              <w:t>de</w:t>
            </w:r>
            <w:r w:rsidRPr="007C57D2">
              <w:rPr>
                <w:rFonts w:ascii="Times New Roman" w:hAnsi="Times New Roman" w:cs="Times New Roman"/>
                <w:spacing w:val="-3"/>
                <w:sz w:val="28"/>
              </w:rPr>
              <w:t xml:space="preserve"> </w:t>
            </w:r>
            <w:r w:rsidRPr="007C57D2">
              <w:rPr>
                <w:rFonts w:ascii="Times New Roman" w:hAnsi="Times New Roman" w:cs="Times New Roman"/>
                <w:sz w:val="28"/>
              </w:rPr>
              <w:t>la</w:t>
            </w:r>
            <w:r w:rsidRPr="007C57D2">
              <w:rPr>
                <w:rFonts w:ascii="Times New Roman" w:hAnsi="Times New Roman" w:cs="Times New Roman"/>
                <w:spacing w:val="40"/>
                <w:sz w:val="28"/>
              </w:rPr>
              <w:t xml:space="preserve"> </w:t>
            </w:r>
            <w:r w:rsidRPr="007C57D2">
              <w:rPr>
                <w:rFonts w:ascii="Times New Roman" w:hAnsi="Times New Roman" w:cs="Times New Roman"/>
                <w:sz w:val="28"/>
              </w:rPr>
              <w:t>República sobre las cifras</w:t>
            </w:r>
            <w:r w:rsidRPr="007C57D2">
              <w:rPr>
                <w:rFonts w:ascii="Times New Roman" w:hAnsi="Times New Roman" w:cs="Times New Roman"/>
                <w:spacing w:val="40"/>
                <w:sz w:val="28"/>
              </w:rPr>
              <w:t xml:space="preserve"> </w:t>
            </w:r>
            <w:r w:rsidRPr="007C57D2">
              <w:rPr>
                <w:rFonts w:ascii="Times New Roman" w:hAnsi="Times New Roman" w:cs="Times New Roman"/>
                <w:sz w:val="28"/>
              </w:rPr>
              <w:t>de los niños</w:t>
            </w:r>
            <w:r w:rsidRPr="007C57D2">
              <w:rPr>
                <w:rFonts w:ascii="Times New Roman" w:hAnsi="Times New Roman" w:cs="Times New Roman"/>
                <w:spacing w:val="-1"/>
                <w:sz w:val="28"/>
              </w:rPr>
              <w:t xml:space="preserve"> </w:t>
            </w:r>
            <w:r w:rsidRPr="007C57D2">
              <w:rPr>
                <w:rFonts w:ascii="Times New Roman" w:hAnsi="Times New Roman" w:cs="Times New Roman"/>
                <w:sz w:val="28"/>
              </w:rPr>
              <w:t>y niñas</w:t>
            </w:r>
            <w:r w:rsidRPr="007C57D2">
              <w:rPr>
                <w:rFonts w:ascii="Times New Roman" w:hAnsi="Times New Roman" w:cs="Times New Roman"/>
                <w:spacing w:val="-1"/>
                <w:sz w:val="28"/>
              </w:rPr>
              <w:t xml:space="preserve"> </w:t>
            </w:r>
            <w:r w:rsidRPr="007C57D2">
              <w:rPr>
                <w:rFonts w:ascii="Times New Roman" w:hAnsi="Times New Roman" w:cs="Times New Roman"/>
                <w:sz w:val="28"/>
              </w:rPr>
              <w:t>que se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extraviaron,</w:t>
            </w:r>
            <w:r w:rsidRPr="007C57D2">
              <w:rPr>
                <w:rFonts w:ascii="Times New Roman" w:hAnsi="Times New Roman" w:cs="Times New Roman"/>
                <w:spacing w:val="-6"/>
                <w:sz w:val="28"/>
              </w:rPr>
              <w:t xml:space="preserve"> </w:t>
            </w:r>
            <w:r w:rsidRPr="007C57D2">
              <w:rPr>
                <w:rFonts w:ascii="Times New Roman" w:hAnsi="Times New Roman" w:cs="Times New Roman"/>
                <w:spacing w:val="-2"/>
                <w:sz w:val="28"/>
              </w:rPr>
              <w:t>mecanismos</w:t>
            </w:r>
            <w:r w:rsidRPr="007C57D2">
              <w:rPr>
                <w:rFonts w:ascii="Times New Roman" w:hAnsi="Times New Roman" w:cs="Times New Roman"/>
                <w:spacing w:val="-4"/>
                <w:sz w:val="28"/>
              </w:rPr>
              <w:t xml:space="preserve"> </w:t>
            </w:r>
            <w:r w:rsidRPr="007C57D2">
              <w:rPr>
                <w:rFonts w:ascii="Times New Roman" w:hAnsi="Times New Roman" w:cs="Times New Roman"/>
                <w:spacing w:val="-2"/>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búsqueda implementados,</w:t>
            </w:r>
            <w:r w:rsidRPr="007C57D2">
              <w:rPr>
                <w:rFonts w:ascii="Times New Roman" w:hAnsi="Times New Roman" w:cs="Times New Roman"/>
                <w:spacing w:val="40"/>
                <w:sz w:val="28"/>
              </w:rPr>
              <w:t xml:space="preserve"> </w:t>
            </w:r>
            <w:r w:rsidRPr="007C57D2">
              <w:rPr>
                <w:rFonts w:ascii="Times New Roman" w:hAnsi="Times New Roman" w:cs="Times New Roman"/>
                <w:sz w:val="28"/>
              </w:rPr>
              <w:t>los resultados obtenidos y</w:t>
            </w:r>
            <w:r w:rsidRPr="007C57D2">
              <w:rPr>
                <w:rFonts w:ascii="Times New Roman" w:hAnsi="Times New Roman" w:cs="Times New Roman"/>
                <w:spacing w:val="40"/>
                <w:sz w:val="28"/>
              </w:rPr>
              <w:t xml:space="preserve"> </w:t>
            </w:r>
            <w:r w:rsidRPr="007C57D2">
              <w:rPr>
                <w:rFonts w:ascii="Times New Roman" w:hAnsi="Times New Roman" w:cs="Times New Roman"/>
                <w:sz w:val="28"/>
              </w:rPr>
              <w:t xml:space="preserve">nuevas </w:t>
            </w:r>
            <w:r w:rsidRPr="007C57D2">
              <w:rPr>
                <w:rFonts w:ascii="Times New Roman" w:hAnsi="Times New Roman" w:cs="Times New Roman"/>
                <w:sz w:val="28"/>
              </w:rPr>
              <w:t>metodologías para</w:t>
            </w:r>
            <w:r w:rsidRPr="007C57D2">
              <w:rPr>
                <w:rFonts w:ascii="Times New Roman" w:hAnsi="Times New Roman" w:cs="Times New Roman"/>
                <w:spacing w:val="40"/>
                <w:sz w:val="28"/>
              </w:rPr>
              <w:t xml:space="preserve"> </w:t>
            </w:r>
            <w:r w:rsidRPr="007C57D2">
              <w:rPr>
                <w:rFonts w:ascii="Times New Roman" w:hAnsi="Times New Roman" w:cs="Times New Roman"/>
                <w:sz w:val="28"/>
              </w:rPr>
              <w:t>mejorar la búsqueda y</w:t>
            </w:r>
            <w:r w:rsidRPr="007C57D2">
              <w:rPr>
                <w:rFonts w:ascii="Times New Roman" w:hAnsi="Times New Roman" w:cs="Times New Roman"/>
                <w:spacing w:val="40"/>
                <w:sz w:val="28"/>
              </w:rPr>
              <w:t xml:space="preserve"> </w:t>
            </w:r>
            <w:r w:rsidRPr="007C57D2">
              <w:rPr>
                <w:rFonts w:ascii="Times New Roman" w:hAnsi="Times New Roman" w:cs="Times New Roman"/>
                <w:sz w:val="28"/>
              </w:rPr>
              <w:t>localización de estos.</w:t>
            </w:r>
          </w:p>
          <w:p w:rsidR="00994FF1" w:rsidRPr="007C57D2" w:rsidRDefault="007C57D2" w:rsidP="007C57D2">
            <w:pPr>
              <w:pStyle w:val="TableParagraph"/>
              <w:tabs>
                <w:tab w:val="left" w:pos="994"/>
                <w:tab w:val="left" w:pos="1483"/>
              </w:tabs>
              <w:jc w:val="both"/>
              <w:rPr>
                <w:rFonts w:ascii="Times New Roman" w:hAnsi="Times New Roman" w:cs="Times New Roman"/>
                <w:sz w:val="28"/>
              </w:rPr>
            </w:pPr>
            <w:r w:rsidRPr="007C57D2">
              <w:rPr>
                <w:rFonts w:ascii="Times New Roman" w:hAnsi="Times New Roman" w:cs="Times New Roman"/>
                <w:sz w:val="28"/>
              </w:rPr>
              <w:t>Así mismo, el Instituto</w:t>
            </w:r>
            <w:r w:rsidRPr="007C57D2">
              <w:rPr>
                <w:rFonts w:ascii="Times New Roman" w:hAnsi="Times New Roman" w:cs="Times New Roman"/>
                <w:spacing w:val="40"/>
                <w:sz w:val="28"/>
              </w:rPr>
              <w:t xml:space="preserve"> </w:t>
            </w:r>
            <w:r w:rsidRPr="007C57D2">
              <w:rPr>
                <w:rFonts w:ascii="Times New Roman" w:hAnsi="Times New Roman" w:cs="Times New Roman"/>
                <w:sz w:val="28"/>
              </w:rPr>
              <w:t>Nacional</w:t>
            </w:r>
            <w:r w:rsidRPr="007C57D2">
              <w:rPr>
                <w:rFonts w:ascii="Times New Roman" w:hAnsi="Times New Roman" w:cs="Times New Roman"/>
                <w:spacing w:val="-10"/>
                <w:sz w:val="28"/>
              </w:rPr>
              <w:t xml:space="preserve"> </w:t>
            </w:r>
            <w:r w:rsidRPr="007C57D2">
              <w:rPr>
                <w:rFonts w:ascii="Times New Roman" w:hAnsi="Times New Roman" w:cs="Times New Roman"/>
                <w:sz w:val="28"/>
              </w:rPr>
              <w:t>de</w:t>
            </w:r>
            <w:r w:rsidRPr="007C57D2">
              <w:rPr>
                <w:rFonts w:ascii="Times New Roman" w:hAnsi="Times New Roman" w:cs="Times New Roman"/>
                <w:spacing w:val="-9"/>
                <w:sz w:val="28"/>
              </w:rPr>
              <w:t xml:space="preserve"> </w:t>
            </w:r>
            <w:r w:rsidRPr="007C57D2">
              <w:rPr>
                <w:rFonts w:ascii="Times New Roman" w:hAnsi="Times New Roman" w:cs="Times New Roman"/>
                <w:sz w:val="28"/>
              </w:rPr>
              <w:t>Medicina</w:t>
            </w:r>
            <w:r w:rsidRPr="007C57D2">
              <w:rPr>
                <w:rFonts w:ascii="Times New Roman" w:hAnsi="Times New Roman" w:cs="Times New Roman"/>
                <w:spacing w:val="-9"/>
                <w:sz w:val="28"/>
              </w:rPr>
              <w:t xml:space="preserve"> </w:t>
            </w:r>
            <w:r w:rsidRPr="007C57D2">
              <w:rPr>
                <w:rFonts w:ascii="Times New Roman" w:hAnsi="Times New Roman" w:cs="Times New Roman"/>
                <w:sz w:val="28"/>
              </w:rPr>
              <w:t>Legal</w:t>
            </w:r>
            <w:r w:rsidRPr="007C57D2">
              <w:rPr>
                <w:rFonts w:ascii="Times New Roman" w:hAnsi="Times New Roman" w:cs="Times New Roman"/>
                <w:spacing w:val="40"/>
                <w:sz w:val="28"/>
              </w:rPr>
              <w:t xml:space="preserve"> </w:t>
            </w:r>
            <w:r w:rsidRPr="007C57D2">
              <w:rPr>
                <w:rFonts w:ascii="Times New Roman" w:hAnsi="Times New Roman" w:cs="Times New Roman"/>
                <w:sz w:val="28"/>
              </w:rPr>
              <w:t>y</w:t>
            </w:r>
            <w:r w:rsidRPr="007C57D2">
              <w:rPr>
                <w:rFonts w:ascii="Times New Roman" w:hAnsi="Times New Roman" w:cs="Times New Roman"/>
                <w:spacing w:val="-10"/>
                <w:sz w:val="28"/>
              </w:rPr>
              <w:t xml:space="preserve"> </w:t>
            </w:r>
            <w:r w:rsidRPr="007C57D2">
              <w:rPr>
                <w:rFonts w:ascii="Times New Roman" w:hAnsi="Times New Roman" w:cs="Times New Roman"/>
                <w:sz w:val="28"/>
              </w:rPr>
              <w:t>Ciencias</w:t>
            </w:r>
            <w:r w:rsidRPr="007C57D2">
              <w:rPr>
                <w:rFonts w:ascii="Times New Roman" w:hAnsi="Times New Roman" w:cs="Times New Roman"/>
                <w:spacing w:val="-9"/>
                <w:sz w:val="28"/>
              </w:rPr>
              <w:t xml:space="preserve"> </w:t>
            </w:r>
            <w:r w:rsidRPr="007C57D2">
              <w:rPr>
                <w:rFonts w:ascii="Times New Roman" w:hAnsi="Times New Roman" w:cs="Times New Roman"/>
                <w:sz w:val="28"/>
              </w:rPr>
              <w:t>Forenses</w:t>
            </w:r>
            <w:r w:rsidRPr="007C57D2">
              <w:rPr>
                <w:rFonts w:ascii="Times New Roman" w:hAnsi="Times New Roman" w:cs="Times New Roman"/>
                <w:spacing w:val="-9"/>
                <w:sz w:val="28"/>
              </w:rPr>
              <w:t xml:space="preserve"> </w:t>
            </w:r>
            <w:r w:rsidRPr="007C57D2">
              <w:rPr>
                <w:rFonts w:ascii="Times New Roman" w:hAnsi="Times New Roman" w:cs="Times New Roman"/>
                <w:sz w:val="28"/>
              </w:rPr>
              <w:t>deberá</w:t>
            </w:r>
            <w:r w:rsidRPr="007C57D2">
              <w:rPr>
                <w:rFonts w:ascii="Times New Roman" w:hAnsi="Times New Roman" w:cs="Times New Roman"/>
                <w:spacing w:val="40"/>
                <w:sz w:val="28"/>
              </w:rPr>
              <w:t xml:space="preserve"> </w:t>
            </w:r>
            <w:r w:rsidRPr="007C57D2">
              <w:rPr>
                <w:rFonts w:ascii="Times New Roman" w:hAnsi="Times New Roman" w:cs="Times New Roman"/>
                <w:sz w:val="28"/>
              </w:rPr>
              <w:t>entregar y sustentar un</w:t>
            </w:r>
            <w:r w:rsidRPr="007C57D2">
              <w:rPr>
                <w:rFonts w:ascii="Times New Roman" w:hAnsi="Times New Roman" w:cs="Times New Roman"/>
                <w:spacing w:val="40"/>
                <w:sz w:val="28"/>
              </w:rPr>
              <w:t xml:space="preserve"> </w:t>
            </w:r>
            <w:r w:rsidRPr="007C57D2">
              <w:rPr>
                <w:rFonts w:ascii="Times New Roman" w:hAnsi="Times New Roman" w:cs="Times New Roman"/>
                <w:sz w:val="28"/>
              </w:rPr>
              <w:t>informe al Senado de la</w:t>
            </w:r>
            <w:r w:rsidRPr="007C57D2">
              <w:rPr>
                <w:rFonts w:ascii="Times New Roman" w:hAnsi="Times New Roman" w:cs="Times New Roman"/>
                <w:spacing w:val="40"/>
                <w:sz w:val="28"/>
              </w:rPr>
              <w:t xml:space="preserve"> </w:t>
            </w:r>
            <w:r w:rsidRPr="007C57D2">
              <w:rPr>
                <w:rFonts w:ascii="Times New Roman" w:hAnsi="Times New Roman" w:cs="Times New Roman"/>
                <w:sz w:val="28"/>
              </w:rPr>
              <w:t>República</w:t>
            </w:r>
            <w:r w:rsidRPr="007C57D2">
              <w:rPr>
                <w:rFonts w:ascii="Times New Roman" w:hAnsi="Times New Roman" w:cs="Times New Roman"/>
                <w:spacing w:val="-7"/>
                <w:sz w:val="28"/>
              </w:rPr>
              <w:t xml:space="preserve"> </w:t>
            </w:r>
            <w:r w:rsidRPr="007C57D2">
              <w:rPr>
                <w:rFonts w:ascii="Times New Roman" w:hAnsi="Times New Roman" w:cs="Times New Roman"/>
                <w:sz w:val="28"/>
              </w:rPr>
              <w:t>y</w:t>
            </w:r>
            <w:r w:rsidRPr="007C57D2">
              <w:rPr>
                <w:rFonts w:ascii="Times New Roman" w:hAnsi="Times New Roman" w:cs="Times New Roman"/>
                <w:spacing w:val="-7"/>
                <w:sz w:val="28"/>
              </w:rPr>
              <w:t xml:space="preserve"> </w:t>
            </w:r>
            <w:r w:rsidRPr="007C57D2">
              <w:rPr>
                <w:rFonts w:ascii="Times New Roman" w:hAnsi="Times New Roman" w:cs="Times New Roman"/>
                <w:sz w:val="28"/>
              </w:rPr>
              <w:t>a</w:t>
            </w:r>
            <w:r w:rsidRPr="007C57D2">
              <w:rPr>
                <w:rFonts w:ascii="Times New Roman" w:hAnsi="Times New Roman" w:cs="Times New Roman"/>
                <w:spacing w:val="-7"/>
                <w:sz w:val="28"/>
              </w:rPr>
              <w:t xml:space="preserve"> </w:t>
            </w:r>
            <w:r w:rsidRPr="007C57D2">
              <w:rPr>
                <w:rFonts w:ascii="Times New Roman" w:hAnsi="Times New Roman" w:cs="Times New Roman"/>
                <w:sz w:val="28"/>
              </w:rPr>
              <w:t>la</w:t>
            </w:r>
            <w:r w:rsidRPr="007C57D2">
              <w:rPr>
                <w:rFonts w:ascii="Times New Roman" w:hAnsi="Times New Roman" w:cs="Times New Roman"/>
                <w:spacing w:val="-7"/>
                <w:sz w:val="28"/>
              </w:rPr>
              <w:t xml:space="preserve"> </w:t>
            </w:r>
            <w:r w:rsidRPr="007C57D2">
              <w:rPr>
                <w:rFonts w:ascii="Times New Roman" w:hAnsi="Times New Roman" w:cs="Times New Roman"/>
                <w:sz w:val="28"/>
              </w:rPr>
              <w:t>Cámara</w:t>
            </w:r>
            <w:r w:rsidRPr="007C57D2">
              <w:rPr>
                <w:rFonts w:ascii="Times New Roman" w:hAnsi="Times New Roman" w:cs="Times New Roman"/>
                <w:spacing w:val="-7"/>
                <w:sz w:val="28"/>
              </w:rPr>
              <w:t xml:space="preserve"> </w:t>
            </w:r>
            <w:r w:rsidRPr="007C57D2">
              <w:rPr>
                <w:rFonts w:ascii="Times New Roman" w:hAnsi="Times New Roman" w:cs="Times New Roman"/>
                <w:sz w:val="28"/>
              </w:rPr>
              <w:t>de</w:t>
            </w:r>
            <w:r w:rsidRPr="007C57D2">
              <w:rPr>
                <w:rFonts w:ascii="Times New Roman" w:hAnsi="Times New Roman" w:cs="Times New Roman"/>
                <w:spacing w:val="40"/>
                <w:sz w:val="28"/>
              </w:rPr>
              <w:t xml:space="preserve"> </w:t>
            </w:r>
            <w:r w:rsidRPr="007C57D2">
              <w:rPr>
                <w:rFonts w:ascii="Times New Roman" w:hAnsi="Times New Roman" w:cs="Times New Roman"/>
                <w:sz w:val="28"/>
              </w:rPr>
              <w:t>Representantes sobre los</w:t>
            </w:r>
            <w:r w:rsidRPr="007C57D2">
              <w:rPr>
                <w:rFonts w:ascii="Times New Roman" w:hAnsi="Times New Roman" w:cs="Times New Roman"/>
                <w:spacing w:val="40"/>
                <w:sz w:val="28"/>
              </w:rPr>
              <w:t xml:space="preserve"> </w:t>
            </w:r>
            <w:r w:rsidRPr="007C57D2">
              <w:rPr>
                <w:rFonts w:ascii="Times New Roman" w:hAnsi="Times New Roman" w:cs="Times New Roman"/>
                <w:sz w:val="28"/>
              </w:rPr>
              <w:t>niños, niñas qu</w:t>
            </w:r>
            <w:r w:rsidRPr="007C57D2">
              <w:rPr>
                <w:rFonts w:ascii="Times New Roman" w:hAnsi="Times New Roman" w:cs="Times New Roman"/>
                <w:sz w:val="28"/>
              </w:rPr>
              <w:t>e aún se</w:t>
            </w:r>
            <w:r w:rsidRPr="007C57D2">
              <w:rPr>
                <w:rFonts w:ascii="Times New Roman" w:hAnsi="Times New Roman" w:cs="Times New Roman"/>
                <w:spacing w:val="40"/>
                <w:sz w:val="28"/>
              </w:rPr>
              <w:t xml:space="preserve"> </w:t>
            </w:r>
            <w:r w:rsidRPr="007C57D2">
              <w:rPr>
                <w:rFonts w:ascii="Times New Roman" w:hAnsi="Times New Roman" w:cs="Times New Roman"/>
                <w:sz w:val="28"/>
              </w:rPr>
              <w:t>encuentran desaparecidos</w:t>
            </w:r>
            <w:r w:rsidRPr="007C57D2">
              <w:rPr>
                <w:rFonts w:ascii="Times New Roman" w:hAnsi="Times New Roman" w:cs="Times New Roman"/>
                <w:spacing w:val="40"/>
                <w:sz w:val="28"/>
              </w:rPr>
              <w:t xml:space="preserve"> </w:t>
            </w:r>
            <w:r w:rsidRPr="007C57D2">
              <w:rPr>
                <w:rFonts w:ascii="Times New Roman" w:hAnsi="Times New Roman" w:cs="Times New Roman"/>
                <w:sz w:val="28"/>
              </w:rPr>
              <w:t>en el territorio colombiano.</w:t>
            </w:r>
          </w:p>
          <w:p w:rsidR="00034F73" w:rsidRPr="007C57D2" w:rsidRDefault="007C57D2" w:rsidP="007C57D2">
            <w:pPr>
              <w:pStyle w:val="TableParagraph"/>
              <w:tabs>
                <w:tab w:val="left" w:pos="994"/>
                <w:tab w:val="left" w:pos="1483"/>
              </w:tabs>
              <w:jc w:val="both"/>
              <w:rPr>
                <w:rFonts w:ascii="Times New Roman" w:hAnsi="Times New Roman" w:cs="Times New Roman"/>
                <w:sz w:val="28"/>
              </w:rPr>
            </w:pPr>
          </w:p>
          <w:p w:rsidR="00034F73" w:rsidRPr="007C57D2" w:rsidRDefault="007C57D2" w:rsidP="007C57D2">
            <w:pPr>
              <w:pStyle w:val="TableParagraph"/>
              <w:tabs>
                <w:tab w:val="left" w:pos="994"/>
                <w:tab w:val="left" w:pos="1483"/>
              </w:tabs>
              <w:jc w:val="both"/>
              <w:rPr>
                <w:rFonts w:ascii="Times New Roman" w:hAnsi="Times New Roman" w:cs="Times New Roman"/>
                <w:sz w:val="28"/>
              </w:rPr>
            </w:pPr>
          </w:p>
          <w:p w:rsidR="00034F73" w:rsidRPr="007C57D2" w:rsidRDefault="007C57D2" w:rsidP="007C57D2">
            <w:pPr>
              <w:pStyle w:val="TableParagraph"/>
              <w:tabs>
                <w:tab w:val="left" w:pos="994"/>
                <w:tab w:val="left" w:pos="1483"/>
              </w:tabs>
              <w:jc w:val="both"/>
              <w:rPr>
                <w:rFonts w:ascii="Times New Roman" w:hAnsi="Times New Roman" w:cs="Times New Roman"/>
                <w:sz w:val="28"/>
              </w:rPr>
            </w:pPr>
          </w:p>
          <w:p w:rsidR="00994FF1" w:rsidRPr="007C57D2" w:rsidRDefault="007C57D2" w:rsidP="007C57D2">
            <w:pPr>
              <w:pStyle w:val="TableParagraph"/>
              <w:tabs>
                <w:tab w:val="left" w:pos="994"/>
                <w:tab w:val="left" w:pos="1483"/>
              </w:tabs>
              <w:jc w:val="both"/>
              <w:rPr>
                <w:rFonts w:ascii="Times New Roman" w:hAnsi="Times New Roman" w:cs="Times New Roman"/>
                <w:spacing w:val="-2"/>
                <w:sz w:val="28"/>
              </w:rPr>
            </w:pPr>
            <w:r w:rsidRPr="007C57D2">
              <w:rPr>
                <w:rFonts w:ascii="Times New Roman" w:hAnsi="Times New Roman" w:cs="Times New Roman"/>
                <w:b/>
                <w:sz w:val="28"/>
              </w:rPr>
              <w:t xml:space="preserve">Parágrafo 1. </w:t>
            </w:r>
            <w:r w:rsidRPr="007C57D2">
              <w:rPr>
                <w:rFonts w:ascii="Times New Roman" w:hAnsi="Times New Roman" w:cs="Times New Roman"/>
                <w:sz w:val="28"/>
              </w:rPr>
              <w:t>Entregados</w:t>
            </w:r>
            <w:r w:rsidRPr="007C57D2">
              <w:rPr>
                <w:rFonts w:ascii="Times New Roman" w:hAnsi="Times New Roman" w:cs="Times New Roman"/>
                <w:spacing w:val="40"/>
                <w:sz w:val="28"/>
              </w:rPr>
              <w:t xml:space="preserve"> </w:t>
            </w:r>
            <w:r w:rsidRPr="007C57D2">
              <w:rPr>
                <w:rFonts w:ascii="Times New Roman" w:hAnsi="Times New Roman" w:cs="Times New Roman"/>
                <w:sz w:val="28"/>
              </w:rPr>
              <w:t>los informes por parte del</w:t>
            </w:r>
            <w:r w:rsidRPr="007C57D2">
              <w:rPr>
                <w:rFonts w:ascii="Times New Roman" w:hAnsi="Times New Roman" w:cs="Times New Roman"/>
                <w:spacing w:val="40"/>
                <w:sz w:val="28"/>
              </w:rPr>
              <w:t xml:space="preserve"> </w:t>
            </w:r>
            <w:r w:rsidRPr="007C57D2">
              <w:rPr>
                <w:rFonts w:ascii="Times New Roman" w:hAnsi="Times New Roman" w:cs="Times New Roman"/>
                <w:sz w:val="28"/>
              </w:rPr>
              <w:t>Instituto Colombiano de</w:t>
            </w:r>
            <w:r w:rsidRPr="007C57D2">
              <w:rPr>
                <w:rFonts w:ascii="Times New Roman" w:hAnsi="Times New Roman" w:cs="Times New Roman"/>
                <w:spacing w:val="40"/>
                <w:sz w:val="28"/>
              </w:rPr>
              <w:t xml:space="preserve"> </w:t>
            </w:r>
            <w:r w:rsidRPr="007C57D2">
              <w:rPr>
                <w:rFonts w:ascii="Times New Roman" w:hAnsi="Times New Roman" w:cs="Times New Roman"/>
                <w:sz w:val="28"/>
              </w:rPr>
              <w:t>Bienestar Familiar y el</w:t>
            </w:r>
            <w:r w:rsidRPr="007C57D2">
              <w:rPr>
                <w:rFonts w:ascii="Times New Roman" w:hAnsi="Times New Roman" w:cs="Times New Roman"/>
                <w:spacing w:val="40"/>
                <w:sz w:val="28"/>
              </w:rPr>
              <w:t xml:space="preserve"> </w:t>
            </w:r>
            <w:r w:rsidRPr="007C57D2">
              <w:rPr>
                <w:rFonts w:ascii="Times New Roman" w:hAnsi="Times New Roman" w:cs="Times New Roman"/>
                <w:sz w:val="28"/>
              </w:rPr>
              <w:t>Instituto Nacional de</w:t>
            </w:r>
            <w:r w:rsidRPr="007C57D2">
              <w:rPr>
                <w:rFonts w:ascii="Times New Roman" w:hAnsi="Times New Roman" w:cs="Times New Roman"/>
                <w:spacing w:val="40"/>
                <w:sz w:val="28"/>
              </w:rPr>
              <w:t xml:space="preserve"> </w:t>
            </w:r>
            <w:r w:rsidRPr="007C57D2">
              <w:rPr>
                <w:rFonts w:ascii="Times New Roman" w:hAnsi="Times New Roman" w:cs="Times New Roman"/>
                <w:sz w:val="28"/>
              </w:rPr>
              <w:t>Medicina Legal, las mesas</w:t>
            </w:r>
            <w:r w:rsidRPr="007C57D2">
              <w:rPr>
                <w:rFonts w:ascii="Times New Roman" w:hAnsi="Times New Roman" w:cs="Times New Roman"/>
                <w:spacing w:val="40"/>
                <w:sz w:val="28"/>
              </w:rPr>
              <w:t xml:space="preserve"> </w:t>
            </w:r>
            <w:r w:rsidRPr="007C57D2">
              <w:rPr>
                <w:rFonts w:ascii="Times New Roman" w:hAnsi="Times New Roman" w:cs="Times New Roman"/>
                <w:sz w:val="28"/>
              </w:rPr>
              <w:t>directivas de cada una de</w:t>
            </w:r>
            <w:r w:rsidRPr="007C57D2">
              <w:rPr>
                <w:rFonts w:ascii="Times New Roman" w:hAnsi="Times New Roman" w:cs="Times New Roman"/>
                <w:spacing w:val="40"/>
                <w:sz w:val="28"/>
              </w:rPr>
              <w:t xml:space="preserve"> </w:t>
            </w:r>
            <w:r w:rsidRPr="007C57D2">
              <w:rPr>
                <w:rFonts w:ascii="Times New Roman" w:hAnsi="Times New Roman" w:cs="Times New Roman"/>
                <w:spacing w:val="-2"/>
                <w:sz w:val="28"/>
              </w:rPr>
              <w:t>las</w:t>
            </w:r>
            <w:r w:rsidRPr="007C57D2">
              <w:rPr>
                <w:rFonts w:ascii="Times New Roman" w:hAnsi="Times New Roman" w:cs="Times New Roman"/>
                <w:spacing w:val="-8"/>
                <w:sz w:val="28"/>
              </w:rPr>
              <w:t xml:space="preserve"> </w:t>
            </w:r>
            <w:r w:rsidRPr="007C57D2">
              <w:rPr>
                <w:rFonts w:ascii="Times New Roman" w:hAnsi="Times New Roman" w:cs="Times New Roman"/>
                <w:spacing w:val="-2"/>
                <w:sz w:val="28"/>
              </w:rPr>
              <w:t>Cámaras</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cuentan</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con</w:t>
            </w:r>
            <w:r w:rsidRPr="007C57D2">
              <w:rPr>
                <w:rFonts w:ascii="Times New Roman" w:hAnsi="Times New Roman" w:cs="Times New Roman"/>
                <w:spacing w:val="-7"/>
                <w:sz w:val="28"/>
              </w:rPr>
              <w:t xml:space="preserve"> </w:t>
            </w:r>
            <w:r w:rsidRPr="007C57D2">
              <w:rPr>
                <w:rFonts w:ascii="Times New Roman" w:hAnsi="Times New Roman" w:cs="Times New Roman"/>
                <w:spacing w:val="-2"/>
                <w:sz w:val="28"/>
              </w:rPr>
              <w:t>un</w:t>
            </w:r>
            <w:r w:rsidRPr="007C57D2">
              <w:rPr>
                <w:rFonts w:ascii="Times New Roman" w:hAnsi="Times New Roman" w:cs="Times New Roman"/>
                <w:spacing w:val="40"/>
                <w:sz w:val="28"/>
              </w:rPr>
              <w:t xml:space="preserve"> </w:t>
            </w:r>
            <w:r w:rsidRPr="007C57D2">
              <w:rPr>
                <w:rFonts w:ascii="Times New Roman" w:hAnsi="Times New Roman" w:cs="Times New Roman"/>
                <w:sz w:val="28"/>
              </w:rPr>
              <w:t>plazo no mayor de dos (2)</w:t>
            </w:r>
            <w:r w:rsidRPr="007C57D2">
              <w:rPr>
                <w:rFonts w:ascii="Times New Roman" w:hAnsi="Times New Roman" w:cs="Times New Roman"/>
                <w:spacing w:val="40"/>
                <w:sz w:val="28"/>
              </w:rPr>
              <w:t xml:space="preserve"> </w:t>
            </w:r>
            <w:r w:rsidRPr="007C57D2">
              <w:rPr>
                <w:rFonts w:ascii="Times New Roman" w:hAnsi="Times New Roman" w:cs="Times New Roman"/>
                <w:sz w:val="28"/>
              </w:rPr>
              <w:t>meses para citar a dichas</w:t>
            </w:r>
            <w:r w:rsidRPr="007C57D2">
              <w:rPr>
                <w:rFonts w:ascii="Times New Roman" w:hAnsi="Times New Roman" w:cs="Times New Roman"/>
                <w:spacing w:val="40"/>
                <w:sz w:val="28"/>
              </w:rPr>
              <w:t xml:space="preserve"> </w:t>
            </w:r>
            <w:r w:rsidRPr="007C57D2">
              <w:rPr>
                <w:rFonts w:ascii="Times New Roman" w:hAnsi="Times New Roman" w:cs="Times New Roman"/>
                <w:sz w:val="28"/>
              </w:rPr>
              <w:t>entidades para que</w:t>
            </w:r>
            <w:r w:rsidRPr="007C57D2">
              <w:rPr>
                <w:rFonts w:ascii="Times New Roman" w:hAnsi="Times New Roman" w:cs="Times New Roman"/>
                <w:spacing w:val="40"/>
                <w:sz w:val="28"/>
              </w:rPr>
              <w:t xml:space="preserve"> </w:t>
            </w:r>
            <w:r w:rsidRPr="007C57D2">
              <w:rPr>
                <w:rFonts w:ascii="Times New Roman" w:hAnsi="Times New Roman" w:cs="Times New Roman"/>
                <w:sz w:val="28"/>
              </w:rPr>
              <w:t>sustenten en sesión</w:t>
            </w:r>
            <w:r w:rsidRPr="007C57D2">
              <w:rPr>
                <w:rFonts w:ascii="Times New Roman" w:hAnsi="Times New Roman" w:cs="Times New Roman"/>
                <w:spacing w:val="40"/>
                <w:sz w:val="28"/>
              </w:rPr>
              <w:t xml:space="preserve"> </w:t>
            </w:r>
            <w:r w:rsidRPr="007C57D2">
              <w:rPr>
                <w:rFonts w:ascii="Times New Roman" w:hAnsi="Times New Roman" w:cs="Times New Roman"/>
                <w:sz w:val="28"/>
              </w:rPr>
              <w:t>ordinaria</w:t>
            </w:r>
            <w:r w:rsidRPr="007C57D2">
              <w:rPr>
                <w:rFonts w:ascii="Times New Roman" w:hAnsi="Times New Roman" w:cs="Times New Roman"/>
                <w:spacing w:val="33"/>
                <w:sz w:val="28"/>
              </w:rPr>
              <w:t xml:space="preserve"> </w:t>
            </w:r>
            <w:r w:rsidRPr="007C57D2">
              <w:rPr>
                <w:rFonts w:ascii="Times New Roman" w:hAnsi="Times New Roman" w:cs="Times New Roman"/>
                <w:sz w:val="28"/>
              </w:rPr>
              <w:t>los</w:t>
            </w:r>
            <w:r w:rsidRPr="007C57D2">
              <w:rPr>
                <w:rFonts w:ascii="Times New Roman" w:hAnsi="Times New Roman" w:cs="Times New Roman"/>
                <w:spacing w:val="33"/>
                <w:sz w:val="28"/>
              </w:rPr>
              <w:t xml:space="preserve"> </w:t>
            </w:r>
            <w:r w:rsidRPr="007C57D2">
              <w:rPr>
                <w:rFonts w:ascii="Times New Roman" w:hAnsi="Times New Roman" w:cs="Times New Roman"/>
                <w:spacing w:val="-2"/>
                <w:sz w:val="28"/>
              </w:rPr>
              <w:t xml:space="preserve">respectivos informes. </w:t>
            </w:r>
          </w:p>
          <w:p w:rsidR="00994FF1" w:rsidRPr="007C57D2" w:rsidRDefault="007C57D2" w:rsidP="007C57D2">
            <w:pPr>
              <w:pStyle w:val="TableParagraph"/>
              <w:tabs>
                <w:tab w:val="left" w:pos="823"/>
                <w:tab w:val="left" w:pos="906"/>
                <w:tab w:val="left" w:pos="956"/>
                <w:tab w:val="left" w:pos="1116"/>
                <w:tab w:val="left" w:pos="1336"/>
                <w:tab w:val="left" w:pos="1442"/>
                <w:tab w:val="left" w:pos="1548"/>
              </w:tabs>
              <w:jc w:val="both"/>
              <w:rPr>
                <w:rFonts w:ascii="Times New Roman" w:hAnsi="Times New Roman" w:cs="Times New Roman"/>
                <w:b/>
                <w:w w:val="105"/>
                <w:sz w:val="28"/>
              </w:rPr>
            </w:pPr>
            <w:r w:rsidRPr="007C57D2">
              <w:rPr>
                <w:rFonts w:ascii="Times New Roman" w:hAnsi="Times New Roman" w:cs="Times New Roman"/>
                <w:b/>
                <w:w w:val="105"/>
                <w:sz w:val="28"/>
              </w:rPr>
              <w:t>Parágrafo</w:t>
            </w:r>
            <w:r w:rsidRPr="007C57D2">
              <w:rPr>
                <w:rFonts w:ascii="Times New Roman" w:hAnsi="Times New Roman" w:cs="Times New Roman"/>
                <w:b/>
                <w:spacing w:val="40"/>
                <w:w w:val="105"/>
                <w:sz w:val="28"/>
              </w:rPr>
              <w:t xml:space="preserve"> </w:t>
            </w:r>
            <w:r w:rsidRPr="007C57D2">
              <w:rPr>
                <w:rFonts w:ascii="Times New Roman" w:hAnsi="Times New Roman" w:cs="Times New Roman"/>
                <w:b/>
                <w:w w:val="105"/>
                <w:sz w:val="28"/>
              </w:rPr>
              <w:t>2.</w:t>
            </w:r>
            <w:r w:rsidRPr="007C57D2">
              <w:rPr>
                <w:rFonts w:ascii="Times New Roman" w:hAnsi="Times New Roman" w:cs="Times New Roman"/>
                <w:b/>
                <w:spacing w:val="40"/>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informe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anual</w:t>
            </w:r>
            <w:r w:rsidRPr="007C57D2">
              <w:rPr>
                <w:rFonts w:ascii="Times New Roman" w:hAnsi="Times New Roman" w:cs="Times New Roman"/>
                <w:spacing w:val="78"/>
                <w:w w:val="105"/>
                <w:sz w:val="28"/>
              </w:rPr>
              <w:t xml:space="preserve"> </w:t>
            </w:r>
            <w:r w:rsidRPr="007C57D2">
              <w:rPr>
                <w:rFonts w:ascii="Times New Roman" w:hAnsi="Times New Roman" w:cs="Times New Roman"/>
                <w:w w:val="105"/>
                <w:sz w:val="28"/>
              </w:rPr>
              <w:t>presentado</w:t>
            </w:r>
            <w:r w:rsidRPr="007C57D2">
              <w:rPr>
                <w:rFonts w:ascii="Times New Roman" w:hAnsi="Times New Roman" w:cs="Times New Roman"/>
                <w:spacing w:val="77"/>
                <w:w w:val="105"/>
                <w:sz w:val="28"/>
              </w:rPr>
              <w:t xml:space="preserve"> </w:t>
            </w:r>
            <w:r w:rsidRPr="007C57D2">
              <w:rPr>
                <w:rFonts w:ascii="Times New Roman" w:hAnsi="Times New Roman" w:cs="Times New Roman"/>
                <w:w w:val="105"/>
                <w:sz w:val="28"/>
              </w:rPr>
              <w:t>por</w:t>
            </w:r>
            <w:r w:rsidRPr="007C57D2">
              <w:rPr>
                <w:rFonts w:ascii="Times New Roman" w:hAnsi="Times New Roman" w:cs="Times New Roman"/>
                <w:spacing w:val="78"/>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Instituto</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Colombiano</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Bienestar</w:t>
            </w:r>
            <w:r w:rsidRPr="007C57D2">
              <w:rPr>
                <w:rFonts w:ascii="Times New Roman" w:hAnsi="Times New Roman" w:cs="Times New Roman"/>
                <w:spacing w:val="-12"/>
                <w:sz w:val="28"/>
              </w:rPr>
              <w:t xml:space="preserve"> </w:t>
            </w:r>
            <w:r w:rsidRPr="007C57D2">
              <w:rPr>
                <w:rFonts w:ascii="Times New Roman" w:hAnsi="Times New Roman" w:cs="Times New Roman"/>
                <w:w w:val="105"/>
                <w:sz w:val="28"/>
              </w:rPr>
              <w:t>Familiar</w:t>
            </w:r>
            <w:r w:rsidRPr="007C57D2">
              <w:rPr>
                <w:rFonts w:ascii="Times New Roman" w:hAnsi="Times New Roman" w:cs="Times New Roman"/>
                <w:w w:val="105"/>
                <w:sz w:val="28"/>
              </w:rPr>
              <w:t xml:space="preserve"> </w:t>
            </w:r>
            <w:r w:rsidRPr="007C57D2">
              <w:rPr>
                <w:rFonts w:ascii="Times New Roman" w:hAnsi="Times New Roman" w:cs="Times New Roman"/>
                <w:spacing w:val="-6"/>
                <w:w w:val="105"/>
                <w:sz w:val="28"/>
              </w:rPr>
              <w:t>al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Congreso</w:t>
            </w:r>
            <w:r w:rsidRPr="007C57D2">
              <w:rPr>
                <w:rFonts w:ascii="Times New Roman" w:hAnsi="Times New Roman" w:cs="Times New Roman"/>
                <w:spacing w:val="35"/>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36"/>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35"/>
                <w:w w:val="105"/>
                <w:sz w:val="28"/>
              </w:rPr>
              <w:t xml:space="preserve"> </w:t>
            </w:r>
            <w:r w:rsidRPr="007C57D2">
              <w:rPr>
                <w:rFonts w:ascii="Times New Roman" w:hAnsi="Times New Roman" w:cs="Times New Roman"/>
                <w:w w:val="105"/>
                <w:sz w:val="28"/>
              </w:rPr>
              <w:t>República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incluir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también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un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análisis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detallado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los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factores</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que</w:t>
            </w:r>
            <w:r w:rsidRPr="007C57D2">
              <w:rPr>
                <w:rFonts w:ascii="Times New Roman" w:hAnsi="Times New Roman" w:cs="Times New Roman"/>
                <w:spacing w:val="33"/>
                <w:w w:val="105"/>
                <w:sz w:val="28"/>
              </w:rPr>
              <w:t xml:space="preserve"> </w:t>
            </w:r>
            <w:r w:rsidRPr="007C57D2">
              <w:rPr>
                <w:rFonts w:ascii="Times New Roman" w:hAnsi="Times New Roman" w:cs="Times New Roman"/>
                <w:w w:val="105"/>
                <w:sz w:val="28"/>
              </w:rPr>
              <w:t>contribuyeron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w:t>
            </w:r>
            <w:r w:rsidRPr="007C57D2">
              <w:rPr>
                <w:rFonts w:ascii="Times New Roman" w:hAnsi="Times New Roman" w:cs="Times New Roman"/>
                <w:spacing w:val="-3"/>
                <w:w w:val="105"/>
                <w:sz w:val="28"/>
              </w:rPr>
              <w:t xml:space="preserve"> </w:t>
            </w:r>
            <w:r w:rsidRPr="007C57D2">
              <w:rPr>
                <w:rFonts w:ascii="Times New Roman" w:hAnsi="Times New Roman" w:cs="Times New Roman"/>
                <w:w w:val="105"/>
                <w:sz w:val="28"/>
              </w:rPr>
              <w:t>los</w:t>
            </w:r>
            <w:r w:rsidRPr="007C57D2">
              <w:rPr>
                <w:rFonts w:ascii="Times New Roman" w:hAnsi="Times New Roman" w:cs="Times New Roman"/>
                <w:spacing w:val="-3"/>
                <w:w w:val="105"/>
                <w:sz w:val="28"/>
              </w:rPr>
              <w:t xml:space="preserve"> </w:t>
            </w:r>
            <w:r w:rsidRPr="007C57D2">
              <w:rPr>
                <w:rFonts w:ascii="Times New Roman" w:hAnsi="Times New Roman" w:cs="Times New Roman"/>
                <w:w w:val="105"/>
                <w:sz w:val="28"/>
              </w:rPr>
              <w:t>casos</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niños</w:t>
            </w:r>
            <w:r w:rsidRPr="007C57D2">
              <w:rPr>
                <w:rFonts w:ascii="Times New Roman" w:hAnsi="Times New Roman" w:cs="Times New Roman"/>
                <w:spacing w:val="-3"/>
                <w:w w:val="105"/>
                <w:sz w:val="28"/>
              </w:rPr>
              <w:t xml:space="preserve"> </w:t>
            </w:r>
            <w:r w:rsidRPr="007C57D2">
              <w:rPr>
                <w:rFonts w:ascii="Times New Roman" w:hAnsi="Times New Roman" w:cs="Times New Roman"/>
                <w:w w:val="105"/>
                <w:sz w:val="28"/>
              </w:rPr>
              <w:t>y</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niñas</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extraviados,</w:t>
            </w:r>
            <w:r w:rsidRPr="007C57D2">
              <w:rPr>
                <w:rFonts w:ascii="Times New Roman" w:hAnsi="Times New Roman" w:cs="Times New Roman"/>
                <w:sz w:val="28"/>
              </w:rPr>
              <w:tab/>
            </w:r>
            <w:r w:rsidRPr="007C57D2">
              <w:rPr>
                <w:rFonts w:ascii="Times New Roman" w:hAnsi="Times New Roman" w:cs="Times New Roman"/>
                <w:spacing w:val="-4"/>
                <w:w w:val="105"/>
                <w:sz w:val="28"/>
              </w:rPr>
              <w:t>así</w:t>
            </w:r>
            <w:r w:rsidRPr="007C57D2">
              <w:rPr>
                <w:rFonts w:ascii="Times New Roman" w:hAnsi="Times New Roman" w:cs="Times New Roman"/>
                <w:spacing w:val="-4"/>
                <w:w w:val="105"/>
                <w:sz w:val="28"/>
              </w:rPr>
              <w:t xml:space="preserve"> </w:t>
            </w:r>
            <w:r w:rsidRPr="007C57D2">
              <w:rPr>
                <w:rFonts w:ascii="Times New Roman" w:hAnsi="Times New Roman" w:cs="Times New Roman"/>
                <w:spacing w:val="-4"/>
                <w:w w:val="105"/>
                <w:sz w:val="28"/>
              </w:rPr>
              <w:t>como</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recomendaciones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específicas</w:t>
            </w:r>
            <w:r w:rsidRPr="007C57D2">
              <w:rPr>
                <w:rFonts w:ascii="Times New Roman" w:hAnsi="Times New Roman" w:cs="Times New Roman"/>
                <w:spacing w:val="24"/>
                <w:w w:val="105"/>
                <w:sz w:val="28"/>
              </w:rPr>
              <w:t xml:space="preserve"> </w:t>
            </w:r>
            <w:r w:rsidRPr="007C57D2">
              <w:rPr>
                <w:rFonts w:ascii="Times New Roman" w:hAnsi="Times New Roman" w:cs="Times New Roman"/>
                <w:w w:val="105"/>
                <w:sz w:val="28"/>
              </w:rPr>
              <w:t>para</w:t>
            </w:r>
            <w:r w:rsidRPr="007C57D2">
              <w:rPr>
                <w:rFonts w:ascii="Times New Roman" w:hAnsi="Times New Roman" w:cs="Times New Roman"/>
                <w:spacing w:val="24"/>
                <w:w w:val="105"/>
                <w:sz w:val="28"/>
              </w:rPr>
              <w:t xml:space="preserve"> </w:t>
            </w:r>
            <w:r w:rsidRPr="007C57D2">
              <w:rPr>
                <w:rFonts w:ascii="Times New Roman" w:hAnsi="Times New Roman" w:cs="Times New Roman"/>
                <w:w w:val="105"/>
                <w:sz w:val="28"/>
              </w:rPr>
              <w:t>abordar</w:t>
            </w:r>
            <w:r w:rsidRPr="007C57D2">
              <w:rPr>
                <w:rFonts w:ascii="Times New Roman" w:hAnsi="Times New Roman" w:cs="Times New Roman"/>
                <w:spacing w:val="23"/>
                <w:w w:val="105"/>
                <w:sz w:val="28"/>
              </w:rPr>
              <w:t xml:space="preserve"> </w:t>
            </w:r>
            <w:r w:rsidRPr="007C57D2">
              <w:rPr>
                <w:rFonts w:ascii="Times New Roman" w:hAnsi="Times New Roman" w:cs="Times New Roman"/>
                <w:w w:val="105"/>
                <w:sz w:val="28"/>
              </w:rPr>
              <w:t>y</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prevenir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estas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situaciones</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26"/>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27"/>
                <w:w w:val="105"/>
                <w:sz w:val="28"/>
              </w:rPr>
              <w:t xml:space="preserve"> </w:t>
            </w:r>
            <w:r w:rsidRPr="007C57D2">
              <w:rPr>
                <w:rFonts w:ascii="Times New Roman" w:hAnsi="Times New Roman" w:cs="Times New Roman"/>
                <w:w w:val="105"/>
                <w:sz w:val="28"/>
              </w:rPr>
              <w:t>futuro.</w:t>
            </w:r>
            <w:r w:rsidRPr="007C57D2">
              <w:rPr>
                <w:rFonts w:ascii="Times New Roman" w:hAnsi="Times New Roman" w:cs="Times New Roman"/>
                <w:spacing w:val="26"/>
                <w:w w:val="105"/>
                <w:sz w:val="28"/>
              </w:rPr>
              <w:t xml:space="preserve"> </w:t>
            </w:r>
            <w:r w:rsidRPr="007C57D2">
              <w:rPr>
                <w:rFonts w:ascii="Times New Roman" w:hAnsi="Times New Roman" w:cs="Times New Roman"/>
                <w:w w:val="105"/>
                <w:sz w:val="28"/>
              </w:rPr>
              <w:t>Asimismo,</w:t>
            </w:r>
            <w:r w:rsidRPr="007C57D2">
              <w:rPr>
                <w:rFonts w:ascii="Times New Roman" w:hAnsi="Times New Roman" w:cs="Times New Roman"/>
                <w:spacing w:val="27"/>
                <w:w w:val="105"/>
                <w:sz w:val="28"/>
              </w:rPr>
              <w:t xml:space="preserve"> </w:t>
            </w:r>
            <w:r w:rsidRPr="007C57D2">
              <w:rPr>
                <w:rFonts w:ascii="Times New Roman" w:hAnsi="Times New Roman" w:cs="Times New Roman"/>
                <w:w w:val="105"/>
                <w:sz w:val="28"/>
              </w:rPr>
              <w:t>se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destacar</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cualquier</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obstáculo</w:t>
            </w:r>
            <w:r w:rsidRPr="007C57D2">
              <w:rPr>
                <w:rFonts w:ascii="Times New Roman" w:hAnsi="Times New Roman" w:cs="Times New Roman"/>
                <w:spacing w:val="-2"/>
                <w:w w:val="105"/>
                <w:sz w:val="28"/>
              </w:rPr>
              <w:t xml:space="preserve"> </w:t>
            </w:r>
            <w:r w:rsidRPr="007C57D2">
              <w:rPr>
                <w:rFonts w:ascii="Times New Roman" w:hAnsi="Times New Roman" w:cs="Times New Roman"/>
                <w:spacing w:val="-10"/>
                <w:w w:val="105"/>
                <w:sz w:val="28"/>
              </w:rPr>
              <w:t>o</w:t>
            </w:r>
            <w:r w:rsidRPr="007C57D2">
              <w:rPr>
                <w:rFonts w:ascii="Times New Roman" w:hAnsi="Times New Roman" w:cs="Times New Roman"/>
                <w:spacing w:val="-10"/>
                <w:w w:val="105"/>
                <w:sz w:val="28"/>
              </w:rPr>
              <w:t xml:space="preserve"> </w:t>
            </w:r>
            <w:r w:rsidRPr="007C57D2">
              <w:rPr>
                <w:rFonts w:ascii="Times New Roman" w:hAnsi="Times New Roman" w:cs="Times New Roman"/>
                <w:spacing w:val="-2"/>
                <w:w w:val="105"/>
                <w:sz w:val="28"/>
              </w:rPr>
              <w:t>limitación</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encontrada</w:t>
            </w:r>
            <w:r w:rsidRPr="007C57D2">
              <w:rPr>
                <w:rFonts w:ascii="Times New Roman" w:hAnsi="Times New Roman" w:cs="Times New Roman"/>
                <w:spacing w:val="-2"/>
                <w:w w:val="105"/>
                <w:sz w:val="28"/>
              </w:rPr>
              <w:t xml:space="preserve"> </w:t>
            </w:r>
            <w:r w:rsidRPr="007C57D2">
              <w:rPr>
                <w:rFonts w:ascii="Times New Roman" w:hAnsi="Times New Roman" w:cs="Times New Roman"/>
                <w:spacing w:val="-2"/>
                <w:w w:val="105"/>
                <w:sz w:val="28"/>
              </w:rPr>
              <w:t>durante</w:t>
            </w:r>
            <w:r w:rsidRPr="007C57D2">
              <w:rPr>
                <w:rFonts w:ascii="Times New Roman" w:hAnsi="Times New Roman" w:cs="Times New Roman"/>
                <w:spacing w:val="-2"/>
                <w:w w:val="105"/>
                <w:sz w:val="28"/>
              </w:rPr>
              <w:t xml:space="preserve"> </w:t>
            </w:r>
            <w:r w:rsidRPr="007C57D2">
              <w:rPr>
                <w:rFonts w:ascii="Times New Roman" w:hAnsi="Times New Roman" w:cs="Times New Roman"/>
                <w:spacing w:val="-6"/>
                <w:w w:val="105"/>
                <w:sz w:val="28"/>
              </w:rPr>
              <w:t>el</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proceso</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búsqueda</w:t>
            </w:r>
            <w:r w:rsidRPr="007C57D2">
              <w:rPr>
                <w:rFonts w:ascii="Times New Roman" w:hAnsi="Times New Roman" w:cs="Times New Roman"/>
                <w:spacing w:val="80"/>
                <w:w w:val="105"/>
                <w:sz w:val="28"/>
              </w:rPr>
              <w:t xml:space="preserve"> </w:t>
            </w:r>
            <w:r w:rsidRPr="007C57D2">
              <w:rPr>
                <w:rFonts w:ascii="Times New Roman" w:hAnsi="Times New Roman" w:cs="Times New Roman"/>
                <w:w w:val="105"/>
                <w:sz w:val="28"/>
              </w:rPr>
              <w:t>y</w:t>
            </w:r>
            <w:r w:rsidRPr="007C57D2">
              <w:rPr>
                <w:rFonts w:ascii="Times New Roman" w:hAnsi="Times New Roman" w:cs="Times New Roman"/>
                <w:spacing w:val="40"/>
                <w:w w:val="105"/>
                <w:sz w:val="28"/>
              </w:rPr>
              <w:t xml:space="preserve"> </w:t>
            </w:r>
            <w:r w:rsidRPr="007C57D2">
              <w:rPr>
                <w:rFonts w:ascii="Times New Roman" w:hAnsi="Times New Roman" w:cs="Times New Roman"/>
                <w:spacing w:val="-2"/>
                <w:w w:val="105"/>
                <w:sz w:val="28"/>
              </w:rPr>
              <w:t>localización</w:t>
            </w:r>
            <w:r w:rsidRPr="007C57D2">
              <w:rPr>
                <w:rFonts w:ascii="Times New Roman" w:hAnsi="Times New Roman" w:cs="Times New Roman"/>
                <w:spacing w:val="-2"/>
                <w:w w:val="105"/>
                <w:sz w:val="28"/>
              </w:rPr>
              <w:t xml:space="preserve">, </w:t>
            </w:r>
            <w:r w:rsidRPr="007C57D2">
              <w:rPr>
                <w:rFonts w:ascii="Times New Roman" w:hAnsi="Times New Roman" w:cs="Times New Roman"/>
                <w:spacing w:val="-2"/>
                <w:w w:val="105"/>
                <w:sz w:val="28"/>
              </w:rPr>
              <w:t>junto</w:t>
            </w:r>
            <w:r w:rsidRPr="007C57D2">
              <w:rPr>
                <w:rFonts w:ascii="Times New Roman" w:hAnsi="Times New Roman" w:cs="Times New Roman"/>
                <w:spacing w:val="-2"/>
                <w:w w:val="105"/>
                <w:sz w:val="28"/>
              </w:rPr>
              <w:t xml:space="preserve"> </w:t>
            </w:r>
            <w:r w:rsidRPr="007C57D2">
              <w:rPr>
                <w:rFonts w:ascii="Times New Roman" w:hAnsi="Times New Roman" w:cs="Times New Roman"/>
                <w:spacing w:val="-4"/>
                <w:w w:val="105"/>
                <w:sz w:val="28"/>
              </w:rPr>
              <w:t>con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propuestas</w:t>
            </w:r>
            <w:r w:rsidRPr="007C57D2">
              <w:rPr>
                <w:rFonts w:ascii="Times New Roman" w:hAnsi="Times New Roman" w:cs="Times New Roman"/>
                <w:spacing w:val="42"/>
                <w:w w:val="105"/>
                <w:sz w:val="28"/>
              </w:rPr>
              <w:t xml:space="preserve"> </w:t>
            </w:r>
            <w:r w:rsidRPr="007C57D2">
              <w:rPr>
                <w:rFonts w:ascii="Times New Roman" w:hAnsi="Times New Roman" w:cs="Times New Roman"/>
                <w:w w:val="105"/>
                <w:sz w:val="28"/>
              </w:rPr>
              <w:t>concretas</w:t>
            </w:r>
            <w:r w:rsidRPr="007C57D2">
              <w:rPr>
                <w:rFonts w:ascii="Times New Roman" w:hAnsi="Times New Roman" w:cs="Times New Roman"/>
                <w:spacing w:val="41"/>
                <w:w w:val="105"/>
                <w:sz w:val="28"/>
              </w:rPr>
              <w:t xml:space="preserve"> </w:t>
            </w:r>
            <w:r w:rsidRPr="007C57D2">
              <w:rPr>
                <w:rFonts w:ascii="Times New Roman" w:hAnsi="Times New Roman" w:cs="Times New Roman"/>
                <w:spacing w:val="-4"/>
                <w:w w:val="105"/>
                <w:sz w:val="28"/>
              </w:rPr>
              <w:t>para</w:t>
            </w:r>
            <w:r w:rsidRPr="007C57D2">
              <w:rPr>
                <w:rFonts w:ascii="Times New Roman" w:hAnsi="Times New Roman" w:cs="Times New Roman"/>
                <w:spacing w:val="-4"/>
                <w:w w:val="105"/>
                <w:sz w:val="28"/>
              </w:rPr>
              <w:t xml:space="preserve"> </w:t>
            </w:r>
            <w:r w:rsidRPr="007C57D2">
              <w:rPr>
                <w:rFonts w:ascii="Times New Roman" w:hAnsi="Times New Roman" w:cs="Times New Roman"/>
                <w:spacing w:val="-2"/>
                <w:w w:val="105"/>
                <w:sz w:val="28"/>
              </w:rPr>
              <w:t>superarlos.</w:t>
            </w:r>
          </w:p>
        </w:tc>
        <w:tc>
          <w:tcPr>
            <w:tcW w:w="2185" w:type="dxa"/>
            <w:shd w:val="clear" w:color="auto" w:fill="auto"/>
            <w:vAlign w:val="center"/>
          </w:tcPr>
          <w:p w:rsidR="000A1A60"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w w:val="105"/>
                <w:sz w:val="28"/>
              </w:rPr>
              <w:t>Se</w:t>
            </w:r>
            <w:r w:rsidRPr="007C57D2">
              <w:rPr>
                <w:rFonts w:ascii="Times New Roman" w:hAnsi="Times New Roman"/>
                <w:b/>
                <w:spacing w:val="18"/>
                <w:w w:val="105"/>
                <w:sz w:val="28"/>
              </w:rPr>
              <w:t xml:space="preserve"> </w:t>
            </w:r>
            <w:r w:rsidRPr="007C57D2">
              <w:rPr>
                <w:rFonts w:ascii="Times New Roman" w:hAnsi="Times New Roman"/>
                <w:b/>
                <w:w w:val="105"/>
                <w:sz w:val="28"/>
              </w:rPr>
              <w:t>acoge</w:t>
            </w:r>
            <w:r w:rsidRPr="007C57D2">
              <w:rPr>
                <w:rFonts w:ascii="Times New Roman" w:hAnsi="Times New Roman"/>
                <w:b/>
                <w:spacing w:val="18"/>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994FF1" w:rsidRPr="007C57D2" w:rsidRDefault="007C57D2" w:rsidP="007C57D2">
            <w:pPr>
              <w:spacing w:after="0" w:line="240" w:lineRule="auto"/>
              <w:jc w:val="both"/>
              <w:rPr>
                <w:rFonts w:ascii="Times New Roman" w:hAnsi="Times New Roman"/>
                <w:b/>
                <w:w w:val="105"/>
                <w:sz w:val="28"/>
              </w:rPr>
            </w:pPr>
            <w:r w:rsidRPr="007C57D2">
              <w:rPr>
                <w:rFonts w:ascii="Times New Roman" w:hAnsi="Times New Roman"/>
                <w:b/>
                <w:w w:val="105"/>
                <w:sz w:val="28"/>
              </w:rPr>
              <w:t>Artículo</w:t>
            </w:r>
            <w:r w:rsidRPr="007C57D2">
              <w:rPr>
                <w:rFonts w:ascii="Times New Roman" w:hAnsi="Times New Roman"/>
                <w:b/>
                <w:spacing w:val="30"/>
                <w:w w:val="105"/>
                <w:sz w:val="28"/>
              </w:rPr>
              <w:t xml:space="preserve"> </w:t>
            </w:r>
            <w:r w:rsidRPr="007C57D2">
              <w:rPr>
                <w:rFonts w:ascii="Times New Roman" w:hAnsi="Times New Roman"/>
                <w:b/>
                <w:w w:val="105"/>
                <w:sz w:val="28"/>
              </w:rPr>
              <w:t>14.</w:t>
            </w:r>
            <w:r w:rsidRPr="007C57D2">
              <w:rPr>
                <w:rFonts w:ascii="Times New Roman" w:hAnsi="Times New Roman"/>
                <w:b/>
                <w:spacing w:val="31"/>
                <w:w w:val="105"/>
                <w:sz w:val="28"/>
              </w:rPr>
              <w:t xml:space="preserve"> </w:t>
            </w:r>
            <w:r w:rsidRPr="007C57D2">
              <w:rPr>
                <w:rFonts w:ascii="Times New Roman" w:hAnsi="Times New Roman"/>
                <w:b/>
                <w:w w:val="105"/>
                <w:sz w:val="28"/>
              </w:rPr>
              <w:t>Autorización</w:t>
            </w:r>
            <w:r w:rsidRPr="007C57D2">
              <w:rPr>
                <w:rFonts w:ascii="Times New Roman" w:hAnsi="Times New Roman"/>
                <w:w w:val="105"/>
                <w:sz w:val="28"/>
              </w:rPr>
              <w:t>.</w:t>
            </w:r>
            <w:r w:rsidRPr="007C57D2">
              <w:rPr>
                <w:rFonts w:ascii="Times New Roman" w:hAnsi="Times New Roman"/>
                <w:spacing w:val="31"/>
                <w:w w:val="105"/>
                <w:sz w:val="28"/>
              </w:rPr>
              <w:t xml:space="preserve"> </w:t>
            </w:r>
            <w:r w:rsidRPr="007C57D2">
              <w:rPr>
                <w:rFonts w:ascii="Times New Roman" w:hAnsi="Times New Roman"/>
                <w:spacing w:val="-5"/>
                <w:w w:val="105"/>
                <w:sz w:val="28"/>
              </w:rPr>
              <w:t>El</w:t>
            </w:r>
            <w:r w:rsidRPr="007C57D2">
              <w:rPr>
                <w:rFonts w:ascii="Times New Roman" w:hAnsi="Times New Roman"/>
                <w:w w:val="105"/>
                <w:sz w:val="28"/>
              </w:rPr>
              <w:t xml:space="preserve"> Gobierno</w:t>
            </w:r>
            <w:r w:rsidRPr="007C57D2">
              <w:rPr>
                <w:rFonts w:ascii="Times New Roman" w:hAnsi="Times New Roman"/>
                <w:spacing w:val="25"/>
                <w:w w:val="105"/>
                <w:sz w:val="28"/>
              </w:rPr>
              <w:t xml:space="preserve"> </w:t>
            </w:r>
            <w:r w:rsidRPr="007C57D2">
              <w:rPr>
                <w:rFonts w:ascii="Times New Roman" w:hAnsi="Times New Roman"/>
                <w:w w:val="105"/>
                <w:sz w:val="28"/>
              </w:rPr>
              <w:t>nacional,</w:t>
            </w:r>
            <w:r w:rsidRPr="007C57D2">
              <w:rPr>
                <w:rFonts w:ascii="Times New Roman" w:hAnsi="Times New Roman"/>
                <w:spacing w:val="26"/>
                <w:w w:val="105"/>
                <w:sz w:val="28"/>
              </w:rPr>
              <w:t xml:space="preserve"> </w:t>
            </w:r>
            <w:r w:rsidRPr="007C57D2">
              <w:rPr>
                <w:rFonts w:ascii="Times New Roman" w:hAnsi="Times New Roman"/>
                <w:w w:val="105"/>
                <w:sz w:val="28"/>
              </w:rPr>
              <w:t>en</w:t>
            </w:r>
            <w:r w:rsidRPr="007C57D2">
              <w:rPr>
                <w:rFonts w:ascii="Times New Roman" w:hAnsi="Times New Roman"/>
                <w:spacing w:val="25"/>
                <w:w w:val="105"/>
                <w:sz w:val="28"/>
              </w:rPr>
              <w:t xml:space="preserve"> </w:t>
            </w:r>
            <w:r w:rsidRPr="007C57D2">
              <w:rPr>
                <w:rFonts w:ascii="Times New Roman" w:hAnsi="Times New Roman"/>
                <w:spacing w:val="-2"/>
                <w:w w:val="105"/>
                <w:sz w:val="28"/>
              </w:rPr>
              <w:t>cabeza</w:t>
            </w:r>
            <w:r w:rsidRPr="007C57D2">
              <w:rPr>
                <w:rFonts w:ascii="Times New Roman" w:hAnsi="Times New Roman"/>
                <w:w w:val="105"/>
                <w:sz w:val="28"/>
              </w:rPr>
              <w:t xml:space="preserve"> del</w:t>
            </w:r>
            <w:r w:rsidRPr="007C57D2">
              <w:rPr>
                <w:rFonts w:ascii="Times New Roman" w:hAnsi="Times New Roman"/>
                <w:spacing w:val="37"/>
                <w:w w:val="105"/>
                <w:sz w:val="28"/>
              </w:rPr>
              <w:t xml:space="preserve"> </w:t>
            </w:r>
            <w:r w:rsidRPr="007C57D2">
              <w:rPr>
                <w:rFonts w:ascii="Times New Roman" w:hAnsi="Times New Roman"/>
                <w:w w:val="105"/>
                <w:sz w:val="28"/>
              </w:rPr>
              <w:t>Ministerio</w:t>
            </w:r>
            <w:r w:rsidRPr="007C57D2">
              <w:rPr>
                <w:rFonts w:ascii="Times New Roman" w:hAnsi="Times New Roman"/>
                <w:spacing w:val="37"/>
                <w:w w:val="105"/>
                <w:sz w:val="28"/>
              </w:rPr>
              <w:t xml:space="preserve"> </w:t>
            </w:r>
            <w:r w:rsidRPr="007C57D2">
              <w:rPr>
                <w:rFonts w:ascii="Times New Roman" w:hAnsi="Times New Roman"/>
                <w:w w:val="105"/>
                <w:sz w:val="28"/>
              </w:rPr>
              <w:t>de</w:t>
            </w:r>
            <w:r w:rsidRPr="007C57D2">
              <w:rPr>
                <w:rFonts w:ascii="Times New Roman" w:hAnsi="Times New Roman"/>
                <w:spacing w:val="38"/>
                <w:w w:val="105"/>
                <w:sz w:val="28"/>
              </w:rPr>
              <w:t xml:space="preserve"> </w:t>
            </w:r>
            <w:r w:rsidRPr="007C57D2">
              <w:rPr>
                <w:rFonts w:ascii="Times New Roman" w:hAnsi="Times New Roman"/>
                <w:spacing w:val="-2"/>
                <w:w w:val="105"/>
                <w:sz w:val="28"/>
              </w:rPr>
              <w:t>Tecnologías</w:t>
            </w:r>
            <w:r w:rsidRPr="007C57D2">
              <w:rPr>
                <w:rFonts w:ascii="Times New Roman" w:hAnsi="Times New Roman"/>
                <w:w w:val="105"/>
                <w:sz w:val="28"/>
              </w:rPr>
              <w:t xml:space="preserve"> de</w:t>
            </w:r>
            <w:r w:rsidRPr="007C57D2">
              <w:rPr>
                <w:rFonts w:ascii="Times New Roman" w:hAnsi="Times New Roman"/>
                <w:spacing w:val="44"/>
                <w:w w:val="105"/>
                <w:sz w:val="28"/>
              </w:rPr>
              <w:t xml:space="preserve"> </w:t>
            </w:r>
            <w:r w:rsidRPr="007C57D2">
              <w:rPr>
                <w:rFonts w:ascii="Times New Roman" w:hAnsi="Times New Roman"/>
                <w:w w:val="105"/>
                <w:sz w:val="28"/>
              </w:rPr>
              <w:t>la</w:t>
            </w:r>
            <w:r w:rsidRPr="007C57D2">
              <w:rPr>
                <w:rFonts w:ascii="Times New Roman" w:hAnsi="Times New Roman"/>
                <w:spacing w:val="45"/>
                <w:w w:val="105"/>
                <w:sz w:val="28"/>
              </w:rPr>
              <w:t xml:space="preserve"> </w:t>
            </w:r>
            <w:r w:rsidRPr="007C57D2">
              <w:rPr>
                <w:rFonts w:ascii="Times New Roman" w:hAnsi="Times New Roman"/>
                <w:w w:val="105"/>
                <w:sz w:val="28"/>
              </w:rPr>
              <w:t>Información</w:t>
            </w:r>
            <w:r w:rsidRPr="007C57D2">
              <w:rPr>
                <w:rFonts w:ascii="Times New Roman" w:hAnsi="Times New Roman"/>
                <w:spacing w:val="45"/>
                <w:w w:val="105"/>
                <w:sz w:val="28"/>
              </w:rPr>
              <w:t xml:space="preserve"> </w:t>
            </w:r>
            <w:r w:rsidRPr="007C57D2">
              <w:rPr>
                <w:rFonts w:ascii="Times New Roman" w:hAnsi="Times New Roman"/>
                <w:w w:val="105"/>
                <w:sz w:val="28"/>
              </w:rPr>
              <w:t>y</w:t>
            </w:r>
            <w:r w:rsidRPr="007C57D2">
              <w:rPr>
                <w:rFonts w:ascii="Times New Roman" w:hAnsi="Times New Roman"/>
                <w:spacing w:val="45"/>
                <w:w w:val="105"/>
                <w:sz w:val="28"/>
              </w:rPr>
              <w:t xml:space="preserve"> </w:t>
            </w:r>
            <w:r w:rsidRPr="007C57D2">
              <w:rPr>
                <w:rFonts w:ascii="Times New Roman" w:hAnsi="Times New Roman"/>
                <w:spacing w:val="-5"/>
                <w:w w:val="105"/>
                <w:sz w:val="28"/>
              </w:rPr>
              <w:t>las</w:t>
            </w:r>
            <w:r w:rsidRPr="007C57D2">
              <w:rPr>
                <w:rFonts w:ascii="Times New Roman" w:hAnsi="Times New Roman"/>
                <w:w w:val="105"/>
                <w:sz w:val="28"/>
              </w:rPr>
              <w:t xml:space="preserve"> Comunicaciones,</w:t>
            </w:r>
            <w:r w:rsidRPr="007C57D2">
              <w:rPr>
                <w:rFonts w:ascii="Times New Roman" w:hAnsi="Times New Roman"/>
                <w:spacing w:val="8"/>
                <w:w w:val="105"/>
                <w:sz w:val="28"/>
              </w:rPr>
              <w:t xml:space="preserve"> </w:t>
            </w:r>
            <w:r w:rsidRPr="007C57D2">
              <w:rPr>
                <w:rFonts w:ascii="Times New Roman" w:hAnsi="Times New Roman"/>
                <w:spacing w:val="-2"/>
                <w:w w:val="105"/>
                <w:sz w:val="28"/>
              </w:rPr>
              <w:t>reglamentará</w:t>
            </w:r>
            <w:r w:rsidRPr="007C57D2">
              <w:rPr>
                <w:rFonts w:ascii="Times New Roman" w:hAnsi="Times New Roman"/>
                <w:w w:val="105"/>
                <w:sz w:val="28"/>
              </w:rPr>
              <w:t xml:space="preserve"> lo</w:t>
            </w:r>
            <w:r w:rsidRPr="007C57D2">
              <w:rPr>
                <w:rFonts w:ascii="Times New Roman" w:hAnsi="Times New Roman"/>
                <w:spacing w:val="13"/>
                <w:w w:val="105"/>
                <w:sz w:val="28"/>
              </w:rPr>
              <w:t xml:space="preserve"> </w:t>
            </w:r>
            <w:r w:rsidRPr="007C57D2">
              <w:rPr>
                <w:rFonts w:ascii="Times New Roman" w:hAnsi="Times New Roman"/>
                <w:w w:val="105"/>
                <w:sz w:val="28"/>
              </w:rPr>
              <w:t>necesario</w:t>
            </w:r>
            <w:r w:rsidRPr="007C57D2">
              <w:rPr>
                <w:rFonts w:ascii="Times New Roman" w:hAnsi="Times New Roman"/>
                <w:spacing w:val="14"/>
                <w:w w:val="105"/>
                <w:sz w:val="28"/>
              </w:rPr>
              <w:t xml:space="preserve"> </w:t>
            </w:r>
            <w:r w:rsidRPr="007C57D2">
              <w:rPr>
                <w:rFonts w:ascii="Times New Roman" w:hAnsi="Times New Roman"/>
                <w:w w:val="105"/>
                <w:sz w:val="28"/>
              </w:rPr>
              <w:t>para</w:t>
            </w:r>
            <w:r w:rsidRPr="007C57D2">
              <w:rPr>
                <w:rFonts w:ascii="Times New Roman" w:hAnsi="Times New Roman"/>
                <w:spacing w:val="14"/>
                <w:w w:val="105"/>
                <w:sz w:val="28"/>
              </w:rPr>
              <w:t xml:space="preserve"> </w:t>
            </w:r>
            <w:r w:rsidRPr="007C57D2">
              <w:rPr>
                <w:rFonts w:ascii="Times New Roman" w:hAnsi="Times New Roman"/>
                <w:w w:val="105"/>
                <w:sz w:val="28"/>
              </w:rPr>
              <w:t>la</w:t>
            </w:r>
            <w:r w:rsidRPr="007C57D2">
              <w:rPr>
                <w:rFonts w:ascii="Times New Roman" w:hAnsi="Times New Roman"/>
                <w:spacing w:val="14"/>
                <w:w w:val="105"/>
                <w:sz w:val="28"/>
              </w:rPr>
              <w:t xml:space="preserve"> </w:t>
            </w:r>
            <w:r w:rsidRPr="007C57D2">
              <w:rPr>
                <w:rFonts w:ascii="Times New Roman" w:hAnsi="Times New Roman"/>
                <w:spacing w:val="-2"/>
                <w:w w:val="105"/>
                <w:sz w:val="28"/>
              </w:rPr>
              <w:t>aplicación</w:t>
            </w:r>
            <w:r w:rsidRPr="007C57D2">
              <w:rPr>
                <w:rFonts w:ascii="Times New Roman" w:hAnsi="Times New Roman"/>
                <w:w w:val="105"/>
                <w:sz w:val="28"/>
              </w:rPr>
              <w:t xml:space="preserve"> de</w:t>
            </w:r>
            <w:r w:rsidRPr="007C57D2">
              <w:rPr>
                <w:rFonts w:ascii="Times New Roman" w:hAnsi="Times New Roman"/>
                <w:spacing w:val="13"/>
                <w:w w:val="105"/>
                <w:sz w:val="28"/>
              </w:rPr>
              <w:t xml:space="preserve"> </w:t>
            </w:r>
            <w:r w:rsidRPr="007C57D2">
              <w:rPr>
                <w:rFonts w:ascii="Times New Roman" w:hAnsi="Times New Roman"/>
                <w:w w:val="105"/>
                <w:sz w:val="28"/>
              </w:rPr>
              <w:t>la</w:t>
            </w:r>
            <w:r w:rsidRPr="007C57D2">
              <w:rPr>
                <w:rFonts w:ascii="Times New Roman" w:hAnsi="Times New Roman"/>
                <w:spacing w:val="12"/>
                <w:w w:val="105"/>
                <w:sz w:val="28"/>
              </w:rPr>
              <w:t xml:space="preserve"> </w:t>
            </w:r>
            <w:r w:rsidRPr="007C57D2">
              <w:rPr>
                <w:rFonts w:ascii="Times New Roman" w:hAnsi="Times New Roman"/>
                <w:w w:val="105"/>
                <w:sz w:val="28"/>
              </w:rPr>
              <w:t>presente</w:t>
            </w:r>
            <w:r w:rsidRPr="007C57D2">
              <w:rPr>
                <w:rFonts w:ascii="Times New Roman" w:hAnsi="Times New Roman"/>
                <w:spacing w:val="13"/>
                <w:w w:val="105"/>
                <w:sz w:val="28"/>
              </w:rPr>
              <w:t xml:space="preserve"> </w:t>
            </w:r>
            <w:r w:rsidRPr="007C57D2">
              <w:rPr>
                <w:rFonts w:ascii="Times New Roman" w:hAnsi="Times New Roman"/>
                <w:w w:val="105"/>
                <w:sz w:val="28"/>
              </w:rPr>
              <w:t>ley</w:t>
            </w:r>
            <w:r w:rsidRPr="007C57D2">
              <w:rPr>
                <w:rFonts w:ascii="Times New Roman" w:hAnsi="Times New Roman"/>
                <w:spacing w:val="11"/>
                <w:w w:val="105"/>
                <w:sz w:val="28"/>
              </w:rPr>
              <w:t xml:space="preserve"> </w:t>
            </w:r>
            <w:r w:rsidRPr="007C57D2">
              <w:rPr>
                <w:rFonts w:ascii="Times New Roman" w:hAnsi="Times New Roman"/>
                <w:w w:val="105"/>
                <w:sz w:val="28"/>
              </w:rPr>
              <w:t>en</w:t>
            </w:r>
            <w:r w:rsidRPr="007C57D2">
              <w:rPr>
                <w:rFonts w:ascii="Times New Roman" w:hAnsi="Times New Roman"/>
                <w:spacing w:val="12"/>
                <w:w w:val="105"/>
                <w:sz w:val="28"/>
              </w:rPr>
              <w:t xml:space="preserve"> </w:t>
            </w:r>
            <w:r w:rsidRPr="007C57D2">
              <w:rPr>
                <w:rFonts w:ascii="Times New Roman" w:hAnsi="Times New Roman"/>
                <w:w w:val="105"/>
                <w:sz w:val="28"/>
              </w:rPr>
              <w:t>un</w:t>
            </w:r>
            <w:r w:rsidRPr="007C57D2">
              <w:rPr>
                <w:rFonts w:ascii="Times New Roman" w:hAnsi="Times New Roman"/>
                <w:spacing w:val="12"/>
                <w:w w:val="105"/>
                <w:sz w:val="28"/>
              </w:rPr>
              <w:t xml:space="preserve"> </w:t>
            </w:r>
            <w:r w:rsidRPr="007C57D2">
              <w:rPr>
                <w:rFonts w:ascii="Times New Roman" w:hAnsi="Times New Roman"/>
                <w:spacing w:val="-2"/>
                <w:w w:val="105"/>
                <w:sz w:val="28"/>
              </w:rPr>
              <w:t>plazo</w:t>
            </w:r>
            <w:r w:rsidRPr="007C57D2">
              <w:rPr>
                <w:rFonts w:ascii="Times New Roman" w:hAnsi="Times New Roman"/>
                <w:w w:val="105"/>
                <w:sz w:val="28"/>
              </w:rPr>
              <w:t xml:space="preserve"> no</w:t>
            </w:r>
            <w:r w:rsidRPr="007C57D2">
              <w:rPr>
                <w:rFonts w:ascii="Times New Roman" w:hAnsi="Times New Roman"/>
                <w:spacing w:val="19"/>
                <w:w w:val="105"/>
                <w:sz w:val="28"/>
              </w:rPr>
              <w:t xml:space="preserve"> </w:t>
            </w:r>
            <w:r w:rsidRPr="007C57D2">
              <w:rPr>
                <w:rFonts w:ascii="Times New Roman" w:hAnsi="Times New Roman"/>
                <w:w w:val="105"/>
                <w:sz w:val="28"/>
              </w:rPr>
              <w:t>mayor</w:t>
            </w:r>
            <w:r w:rsidRPr="007C57D2">
              <w:rPr>
                <w:rFonts w:ascii="Times New Roman" w:hAnsi="Times New Roman"/>
                <w:spacing w:val="19"/>
                <w:w w:val="105"/>
                <w:sz w:val="28"/>
              </w:rPr>
              <w:t xml:space="preserve"> </w:t>
            </w:r>
            <w:r w:rsidRPr="007C57D2">
              <w:rPr>
                <w:rFonts w:ascii="Times New Roman" w:hAnsi="Times New Roman"/>
                <w:w w:val="105"/>
                <w:sz w:val="28"/>
              </w:rPr>
              <w:t>a</w:t>
            </w:r>
            <w:r w:rsidRPr="007C57D2">
              <w:rPr>
                <w:rFonts w:ascii="Times New Roman" w:hAnsi="Times New Roman"/>
                <w:spacing w:val="20"/>
                <w:w w:val="105"/>
                <w:sz w:val="28"/>
              </w:rPr>
              <w:t xml:space="preserve"> </w:t>
            </w:r>
            <w:r w:rsidRPr="007C57D2">
              <w:rPr>
                <w:rFonts w:ascii="Times New Roman" w:hAnsi="Times New Roman"/>
                <w:w w:val="105"/>
                <w:sz w:val="28"/>
              </w:rPr>
              <w:t>ocho</w:t>
            </w:r>
            <w:r w:rsidRPr="007C57D2">
              <w:rPr>
                <w:rFonts w:ascii="Times New Roman" w:hAnsi="Times New Roman"/>
                <w:spacing w:val="20"/>
                <w:w w:val="105"/>
                <w:sz w:val="28"/>
              </w:rPr>
              <w:t xml:space="preserve"> </w:t>
            </w:r>
            <w:r w:rsidRPr="007C57D2">
              <w:rPr>
                <w:rFonts w:ascii="Times New Roman" w:hAnsi="Times New Roman"/>
                <w:w w:val="105"/>
                <w:sz w:val="28"/>
              </w:rPr>
              <w:t>(8)</w:t>
            </w:r>
            <w:r w:rsidRPr="007C57D2">
              <w:rPr>
                <w:rFonts w:ascii="Times New Roman" w:hAnsi="Times New Roman"/>
                <w:spacing w:val="18"/>
                <w:w w:val="105"/>
                <w:sz w:val="28"/>
              </w:rPr>
              <w:t xml:space="preserve"> </w:t>
            </w:r>
            <w:r w:rsidRPr="007C57D2">
              <w:rPr>
                <w:rFonts w:ascii="Times New Roman" w:hAnsi="Times New Roman"/>
                <w:w w:val="105"/>
                <w:sz w:val="28"/>
              </w:rPr>
              <w:t>meses</w:t>
            </w:r>
            <w:r w:rsidRPr="007C57D2">
              <w:rPr>
                <w:rFonts w:ascii="Times New Roman" w:hAnsi="Times New Roman"/>
                <w:spacing w:val="18"/>
                <w:w w:val="105"/>
                <w:sz w:val="28"/>
              </w:rPr>
              <w:t xml:space="preserve"> </w:t>
            </w:r>
            <w:r w:rsidRPr="007C57D2">
              <w:rPr>
                <w:rFonts w:ascii="Times New Roman" w:hAnsi="Times New Roman"/>
                <w:spacing w:val="-10"/>
                <w:w w:val="105"/>
                <w:sz w:val="28"/>
              </w:rPr>
              <w:t>a</w:t>
            </w:r>
            <w:r w:rsidRPr="007C57D2">
              <w:rPr>
                <w:rFonts w:ascii="Times New Roman" w:hAnsi="Times New Roman"/>
                <w:w w:val="105"/>
                <w:sz w:val="28"/>
              </w:rPr>
              <w:t xml:space="preserve"> partir</w:t>
            </w:r>
            <w:r w:rsidRPr="007C57D2">
              <w:rPr>
                <w:rFonts w:ascii="Times New Roman" w:hAnsi="Times New Roman"/>
                <w:spacing w:val="43"/>
                <w:w w:val="105"/>
                <w:sz w:val="28"/>
              </w:rPr>
              <w:t xml:space="preserve"> </w:t>
            </w:r>
            <w:r w:rsidRPr="007C57D2">
              <w:rPr>
                <w:rFonts w:ascii="Times New Roman" w:hAnsi="Times New Roman"/>
                <w:w w:val="105"/>
                <w:sz w:val="28"/>
              </w:rPr>
              <w:t>de</w:t>
            </w:r>
            <w:r w:rsidRPr="007C57D2">
              <w:rPr>
                <w:rFonts w:ascii="Times New Roman" w:hAnsi="Times New Roman"/>
                <w:spacing w:val="44"/>
                <w:w w:val="105"/>
                <w:sz w:val="28"/>
              </w:rPr>
              <w:t xml:space="preserve"> </w:t>
            </w:r>
            <w:r w:rsidRPr="007C57D2">
              <w:rPr>
                <w:rFonts w:ascii="Times New Roman" w:hAnsi="Times New Roman"/>
                <w:w w:val="105"/>
                <w:sz w:val="28"/>
              </w:rPr>
              <w:t>su entrada</w:t>
            </w:r>
            <w:r w:rsidRPr="007C57D2">
              <w:rPr>
                <w:rFonts w:ascii="Times New Roman" w:hAnsi="Times New Roman"/>
                <w:spacing w:val="43"/>
                <w:w w:val="105"/>
                <w:sz w:val="28"/>
              </w:rPr>
              <w:t xml:space="preserve"> </w:t>
            </w:r>
            <w:r w:rsidRPr="007C57D2">
              <w:rPr>
                <w:rFonts w:ascii="Times New Roman" w:hAnsi="Times New Roman"/>
                <w:spacing w:val="-5"/>
                <w:w w:val="105"/>
                <w:sz w:val="28"/>
              </w:rPr>
              <w:t>en</w:t>
            </w:r>
            <w:r w:rsidRPr="007C57D2">
              <w:rPr>
                <w:rFonts w:ascii="Times New Roman" w:hAnsi="Times New Roman"/>
                <w:w w:val="105"/>
                <w:sz w:val="28"/>
              </w:rPr>
              <w:t xml:space="preserve"> vigencia.</w:t>
            </w:r>
            <w:r w:rsidRPr="007C57D2">
              <w:rPr>
                <w:rFonts w:ascii="Times New Roman" w:hAnsi="Times New Roman"/>
                <w:spacing w:val="35"/>
                <w:w w:val="105"/>
                <w:sz w:val="28"/>
              </w:rPr>
              <w:t xml:space="preserve"> </w:t>
            </w:r>
            <w:r w:rsidRPr="007C57D2">
              <w:rPr>
                <w:rFonts w:ascii="Times New Roman" w:hAnsi="Times New Roman"/>
                <w:w w:val="105"/>
                <w:sz w:val="28"/>
              </w:rPr>
              <w:t>Esta</w:t>
            </w:r>
            <w:r w:rsidRPr="007C57D2">
              <w:rPr>
                <w:rFonts w:ascii="Times New Roman" w:hAnsi="Times New Roman"/>
                <w:spacing w:val="37"/>
                <w:w w:val="105"/>
                <w:sz w:val="28"/>
              </w:rPr>
              <w:t xml:space="preserve"> </w:t>
            </w:r>
            <w:r w:rsidRPr="007C57D2">
              <w:rPr>
                <w:rFonts w:ascii="Times New Roman" w:hAnsi="Times New Roman"/>
                <w:spacing w:val="-2"/>
                <w:w w:val="105"/>
                <w:sz w:val="28"/>
              </w:rPr>
              <w:t>reglamentación</w:t>
            </w:r>
            <w:r w:rsidRPr="007C57D2">
              <w:rPr>
                <w:rFonts w:ascii="Times New Roman" w:hAnsi="Times New Roman"/>
                <w:w w:val="105"/>
                <w:sz w:val="28"/>
              </w:rPr>
              <w:t xml:space="preserve"> deberá</w:t>
            </w:r>
            <w:r w:rsidRPr="007C57D2">
              <w:rPr>
                <w:rFonts w:ascii="Times New Roman" w:hAnsi="Times New Roman"/>
                <w:spacing w:val="9"/>
                <w:w w:val="105"/>
                <w:sz w:val="28"/>
              </w:rPr>
              <w:t xml:space="preserve"> </w:t>
            </w:r>
            <w:r w:rsidRPr="007C57D2">
              <w:rPr>
                <w:rFonts w:ascii="Times New Roman" w:hAnsi="Times New Roman"/>
                <w:w w:val="105"/>
                <w:sz w:val="28"/>
              </w:rPr>
              <w:t>hacerse</w:t>
            </w:r>
            <w:r w:rsidRPr="007C57D2">
              <w:rPr>
                <w:rFonts w:ascii="Times New Roman" w:hAnsi="Times New Roman"/>
                <w:spacing w:val="10"/>
                <w:w w:val="105"/>
                <w:sz w:val="28"/>
              </w:rPr>
              <w:t xml:space="preserve"> </w:t>
            </w:r>
            <w:r w:rsidRPr="007C57D2">
              <w:rPr>
                <w:rFonts w:ascii="Times New Roman" w:hAnsi="Times New Roman"/>
                <w:w w:val="105"/>
                <w:sz w:val="28"/>
              </w:rPr>
              <w:t>en</w:t>
            </w:r>
            <w:r w:rsidRPr="007C57D2">
              <w:rPr>
                <w:rFonts w:ascii="Times New Roman" w:hAnsi="Times New Roman"/>
                <w:spacing w:val="10"/>
                <w:w w:val="105"/>
                <w:sz w:val="28"/>
              </w:rPr>
              <w:t xml:space="preserve"> </w:t>
            </w:r>
            <w:r w:rsidRPr="007C57D2">
              <w:rPr>
                <w:rFonts w:ascii="Times New Roman" w:hAnsi="Times New Roman"/>
                <w:spacing w:val="-2"/>
                <w:w w:val="105"/>
                <w:sz w:val="28"/>
              </w:rPr>
              <w:t>articulación</w:t>
            </w:r>
            <w:r w:rsidRPr="007C57D2">
              <w:rPr>
                <w:rFonts w:ascii="Times New Roman" w:hAnsi="Times New Roman"/>
                <w:w w:val="105"/>
                <w:sz w:val="28"/>
              </w:rPr>
              <w:t xml:space="preserve"> con</w:t>
            </w:r>
            <w:r w:rsidRPr="007C57D2">
              <w:rPr>
                <w:rFonts w:ascii="Times New Roman" w:hAnsi="Times New Roman"/>
                <w:spacing w:val="57"/>
                <w:w w:val="105"/>
                <w:sz w:val="28"/>
              </w:rPr>
              <w:t xml:space="preserve"> </w:t>
            </w:r>
            <w:r w:rsidRPr="007C57D2">
              <w:rPr>
                <w:rFonts w:ascii="Times New Roman" w:hAnsi="Times New Roman"/>
                <w:w w:val="105"/>
                <w:sz w:val="28"/>
              </w:rPr>
              <w:t>el</w:t>
            </w:r>
            <w:r w:rsidRPr="007C57D2">
              <w:rPr>
                <w:rFonts w:ascii="Times New Roman" w:hAnsi="Times New Roman"/>
                <w:spacing w:val="57"/>
                <w:w w:val="105"/>
                <w:sz w:val="28"/>
              </w:rPr>
              <w:t xml:space="preserve"> </w:t>
            </w:r>
            <w:r w:rsidRPr="007C57D2">
              <w:rPr>
                <w:rFonts w:ascii="Times New Roman" w:hAnsi="Times New Roman"/>
                <w:w w:val="105"/>
                <w:sz w:val="28"/>
              </w:rPr>
              <w:t>Sistema</w:t>
            </w:r>
            <w:r w:rsidRPr="007C57D2">
              <w:rPr>
                <w:rFonts w:ascii="Times New Roman" w:hAnsi="Times New Roman"/>
                <w:spacing w:val="58"/>
                <w:w w:val="105"/>
                <w:sz w:val="28"/>
              </w:rPr>
              <w:t xml:space="preserve"> </w:t>
            </w:r>
            <w:r w:rsidRPr="007C57D2">
              <w:rPr>
                <w:rFonts w:ascii="Times New Roman" w:hAnsi="Times New Roman"/>
                <w:w w:val="105"/>
                <w:sz w:val="28"/>
              </w:rPr>
              <w:t>Nacional</w:t>
            </w:r>
            <w:r w:rsidRPr="007C57D2">
              <w:rPr>
                <w:rFonts w:ascii="Times New Roman" w:hAnsi="Times New Roman"/>
                <w:spacing w:val="56"/>
                <w:w w:val="105"/>
                <w:sz w:val="28"/>
              </w:rPr>
              <w:t xml:space="preserve"> </w:t>
            </w:r>
            <w:r w:rsidRPr="007C57D2">
              <w:rPr>
                <w:rFonts w:ascii="Times New Roman" w:hAnsi="Times New Roman"/>
                <w:spacing w:val="-5"/>
                <w:w w:val="105"/>
                <w:sz w:val="28"/>
              </w:rPr>
              <w:t>de</w:t>
            </w:r>
            <w:r w:rsidRPr="007C57D2">
              <w:rPr>
                <w:rFonts w:ascii="Times New Roman" w:hAnsi="Times New Roman"/>
                <w:w w:val="105"/>
                <w:sz w:val="28"/>
              </w:rPr>
              <w:t xml:space="preserve"> Alertas</w:t>
            </w:r>
            <w:r w:rsidRPr="007C57D2">
              <w:rPr>
                <w:rFonts w:ascii="Times New Roman" w:hAnsi="Times New Roman"/>
                <w:spacing w:val="69"/>
                <w:w w:val="105"/>
                <w:sz w:val="28"/>
              </w:rPr>
              <w:t xml:space="preserve"> </w:t>
            </w:r>
            <w:r w:rsidRPr="007C57D2">
              <w:rPr>
                <w:rFonts w:ascii="Times New Roman" w:hAnsi="Times New Roman"/>
                <w:w w:val="105"/>
                <w:sz w:val="28"/>
              </w:rPr>
              <w:t>Tempranas</w:t>
            </w:r>
            <w:r w:rsidRPr="007C57D2">
              <w:rPr>
                <w:rFonts w:ascii="Times New Roman" w:hAnsi="Times New Roman"/>
                <w:spacing w:val="68"/>
                <w:w w:val="105"/>
                <w:sz w:val="28"/>
              </w:rPr>
              <w:t xml:space="preserve"> </w:t>
            </w:r>
            <w:r w:rsidRPr="007C57D2">
              <w:rPr>
                <w:rFonts w:ascii="Times New Roman" w:hAnsi="Times New Roman"/>
                <w:w w:val="105"/>
                <w:sz w:val="28"/>
              </w:rPr>
              <w:t>sobre</w:t>
            </w:r>
            <w:r w:rsidRPr="007C57D2">
              <w:rPr>
                <w:rFonts w:ascii="Times New Roman" w:hAnsi="Times New Roman"/>
                <w:spacing w:val="70"/>
                <w:w w:val="105"/>
                <w:sz w:val="28"/>
              </w:rPr>
              <w:t xml:space="preserve"> </w:t>
            </w:r>
            <w:r w:rsidRPr="007C57D2">
              <w:rPr>
                <w:rFonts w:ascii="Times New Roman" w:hAnsi="Times New Roman"/>
                <w:spacing w:val="-5"/>
                <w:w w:val="105"/>
                <w:sz w:val="28"/>
              </w:rPr>
              <w:t>la</w:t>
            </w:r>
            <w:r w:rsidRPr="007C57D2">
              <w:rPr>
                <w:rFonts w:ascii="Times New Roman" w:hAnsi="Times New Roman"/>
                <w:w w:val="105"/>
                <w:sz w:val="28"/>
              </w:rPr>
              <w:t xml:space="preserve"> Niñez</w:t>
            </w:r>
            <w:r w:rsidRPr="007C57D2">
              <w:rPr>
                <w:rFonts w:ascii="Times New Roman" w:hAnsi="Times New Roman"/>
                <w:spacing w:val="27"/>
                <w:w w:val="105"/>
                <w:sz w:val="28"/>
              </w:rPr>
              <w:t xml:space="preserve"> </w:t>
            </w:r>
            <w:r w:rsidRPr="007C57D2">
              <w:rPr>
                <w:rFonts w:ascii="Times New Roman" w:hAnsi="Times New Roman"/>
                <w:w w:val="105"/>
                <w:sz w:val="28"/>
              </w:rPr>
              <w:t>colombiana,</w:t>
            </w:r>
            <w:r w:rsidRPr="007C57D2">
              <w:rPr>
                <w:rFonts w:ascii="Times New Roman" w:hAnsi="Times New Roman"/>
                <w:spacing w:val="27"/>
                <w:w w:val="105"/>
                <w:sz w:val="28"/>
              </w:rPr>
              <w:t xml:space="preserve"> </w:t>
            </w:r>
            <w:r w:rsidRPr="007C57D2">
              <w:rPr>
                <w:rFonts w:ascii="Times New Roman" w:hAnsi="Times New Roman"/>
                <w:w w:val="105"/>
                <w:sz w:val="28"/>
              </w:rPr>
              <w:t>creado</w:t>
            </w:r>
            <w:r w:rsidRPr="007C57D2">
              <w:rPr>
                <w:rFonts w:ascii="Times New Roman" w:hAnsi="Times New Roman"/>
                <w:spacing w:val="28"/>
                <w:w w:val="105"/>
                <w:sz w:val="28"/>
              </w:rPr>
              <w:t xml:space="preserve"> </w:t>
            </w:r>
            <w:r w:rsidRPr="007C57D2">
              <w:rPr>
                <w:rFonts w:ascii="Times New Roman" w:hAnsi="Times New Roman"/>
                <w:spacing w:val="-5"/>
                <w:w w:val="105"/>
                <w:sz w:val="28"/>
              </w:rPr>
              <w:t xml:space="preserve">por </w:t>
            </w:r>
            <w:r w:rsidRPr="007C57D2">
              <w:rPr>
                <w:rFonts w:ascii="Times New Roman" w:hAnsi="Times New Roman"/>
                <w:w w:val="105"/>
                <w:sz w:val="28"/>
              </w:rPr>
              <w:t>el</w:t>
            </w:r>
            <w:r w:rsidRPr="007C57D2">
              <w:rPr>
                <w:rFonts w:ascii="Times New Roman" w:hAnsi="Times New Roman"/>
                <w:spacing w:val="-7"/>
                <w:w w:val="105"/>
                <w:sz w:val="28"/>
              </w:rPr>
              <w:t xml:space="preserve"> </w:t>
            </w:r>
            <w:r w:rsidRPr="007C57D2">
              <w:rPr>
                <w:rFonts w:ascii="Times New Roman" w:hAnsi="Times New Roman"/>
                <w:w w:val="105"/>
                <w:sz w:val="28"/>
              </w:rPr>
              <w:t>artículo</w:t>
            </w:r>
            <w:r w:rsidRPr="007C57D2">
              <w:rPr>
                <w:rFonts w:ascii="Times New Roman" w:hAnsi="Times New Roman"/>
                <w:spacing w:val="-8"/>
                <w:w w:val="105"/>
                <w:sz w:val="28"/>
              </w:rPr>
              <w:t xml:space="preserve"> </w:t>
            </w:r>
            <w:r w:rsidRPr="007C57D2">
              <w:rPr>
                <w:rFonts w:ascii="Times New Roman" w:hAnsi="Times New Roman"/>
                <w:w w:val="105"/>
                <w:sz w:val="28"/>
              </w:rPr>
              <w:t>4°</w:t>
            </w:r>
            <w:r w:rsidRPr="007C57D2">
              <w:rPr>
                <w:rFonts w:ascii="Times New Roman" w:hAnsi="Times New Roman"/>
                <w:spacing w:val="-8"/>
                <w:w w:val="105"/>
                <w:sz w:val="28"/>
              </w:rPr>
              <w:t xml:space="preserve"> </w:t>
            </w:r>
            <w:r w:rsidRPr="007C57D2">
              <w:rPr>
                <w:rFonts w:ascii="Times New Roman" w:hAnsi="Times New Roman"/>
                <w:w w:val="105"/>
                <w:sz w:val="28"/>
              </w:rPr>
              <w:t>de</w:t>
            </w:r>
            <w:r w:rsidRPr="007C57D2">
              <w:rPr>
                <w:rFonts w:ascii="Times New Roman" w:hAnsi="Times New Roman"/>
                <w:spacing w:val="-7"/>
                <w:w w:val="105"/>
                <w:sz w:val="28"/>
              </w:rPr>
              <w:t xml:space="preserve"> </w:t>
            </w:r>
            <w:r w:rsidRPr="007C57D2">
              <w:rPr>
                <w:rFonts w:ascii="Times New Roman" w:hAnsi="Times New Roman"/>
                <w:w w:val="105"/>
                <w:sz w:val="28"/>
              </w:rPr>
              <w:t>la</w:t>
            </w:r>
            <w:r w:rsidRPr="007C57D2">
              <w:rPr>
                <w:rFonts w:ascii="Times New Roman" w:hAnsi="Times New Roman"/>
                <w:spacing w:val="-7"/>
                <w:w w:val="105"/>
                <w:sz w:val="28"/>
              </w:rPr>
              <w:t xml:space="preserve"> </w:t>
            </w:r>
            <w:r w:rsidRPr="007C57D2">
              <w:rPr>
                <w:rFonts w:ascii="Times New Roman" w:hAnsi="Times New Roman"/>
                <w:w w:val="105"/>
                <w:sz w:val="28"/>
              </w:rPr>
              <w:t>Ley</w:t>
            </w:r>
            <w:r w:rsidRPr="007C57D2">
              <w:rPr>
                <w:rFonts w:ascii="Times New Roman" w:hAnsi="Times New Roman"/>
                <w:spacing w:val="-8"/>
                <w:w w:val="105"/>
                <w:sz w:val="28"/>
              </w:rPr>
              <w:t xml:space="preserve"> </w:t>
            </w:r>
            <w:r w:rsidRPr="007C57D2">
              <w:rPr>
                <w:rFonts w:ascii="Times New Roman" w:hAnsi="Times New Roman"/>
                <w:w w:val="105"/>
                <w:sz w:val="28"/>
              </w:rPr>
              <w:t>2242</w:t>
            </w:r>
            <w:r w:rsidRPr="007C57D2">
              <w:rPr>
                <w:rFonts w:ascii="Times New Roman" w:hAnsi="Times New Roman"/>
                <w:spacing w:val="-7"/>
                <w:w w:val="105"/>
                <w:sz w:val="28"/>
              </w:rPr>
              <w:t xml:space="preserve"> </w:t>
            </w:r>
            <w:r w:rsidRPr="007C57D2">
              <w:rPr>
                <w:rFonts w:ascii="Times New Roman" w:hAnsi="Times New Roman"/>
                <w:w w:val="105"/>
                <w:sz w:val="28"/>
              </w:rPr>
              <w:t>de</w:t>
            </w:r>
            <w:r w:rsidRPr="007C57D2">
              <w:rPr>
                <w:rFonts w:ascii="Times New Roman" w:hAnsi="Times New Roman"/>
                <w:spacing w:val="40"/>
                <w:w w:val="105"/>
                <w:sz w:val="28"/>
              </w:rPr>
              <w:t xml:space="preserve"> </w:t>
            </w:r>
            <w:r w:rsidRPr="007C57D2">
              <w:rPr>
                <w:rFonts w:ascii="Times New Roman" w:hAnsi="Times New Roman"/>
                <w:spacing w:val="-2"/>
                <w:w w:val="105"/>
                <w:sz w:val="28"/>
              </w:rPr>
              <w:t>2022.</w:t>
            </w:r>
          </w:p>
        </w:tc>
        <w:tc>
          <w:tcPr>
            <w:tcW w:w="3657" w:type="dxa"/>
            <w:shd w:val="clear" w:color="auto" w:fill="auto"/>
          </w:tcPr>
          <w:p w:rsidR="00994FF1" w:rsidRPr="007C57D2" w:rsidRDefault="007C57D2" w:rsidP="007C57D2">
            <w:pPr>
              <w:pStyle w:val="TableParagraph"/>
              <w:tabs>
                <w:tab w:val="left" w:pos="994"/>
                <w:tab w:val="left" w:pos="1483"/>
              </w:tabs>
              <w:jc w:val="both"/>
              <w:rPr>
                <w:rFonts w:ascii="Times New Roman" w:hAnsi="Times New Roman" w:cs="Times New Roman"/>
                <w:b/>
                <w:w w:val="105"/>
                <w:sz w:val="28"/>
              </w:rPr>
            </w:pPr>
            <w:r w:rsidRPr="007C57D2">
              <w:rPr>
                <w:rFonts w:ascii="Times New Roman" w:hAnsi="Times New Roman" w:cs="Times New Roman"/>
                <w:b/>
                <w:w w:val="105"/>
                <w:sz w:val="28"/>
              </w:rPr>
              <w:t>Artículo</w:t>
            </w:r>
            <w:r w:rsidRPr="007C57D2">
              <w:rPr>
                <w:rFonts w:ascii="Times New Roman" w:hAnsi="Times New Roman" w:cs="Times New Roman"/>
                <w:b/>
                <w:spacing w:val="3"/>
                <w:w w:val="105"/>
                <w:sz w:val="28"/>
              </w:rPr>
              <w:t xml:space="preserve"> </w:t>
            </w:r>
            <w:r w:rsidRPr="007C57D2">
              <w:rPr>
                <w:rFonts w:ascii="Times New Roman" w:hAnsi="Times New Roman" w:cs="Times New Roman"/>
                <w:b/>
                <w:w w:val="105"/>
                <w:sz w:val="28"/>
              </w:rPr>
              <w:t>14°.</w:t>
            </w:r>
            <w:r w:rsidRPr="007C57D2">
              <w:rPr>
                <w:rFonts w:ascii="Times New Roman" w:hAnsi="Times New Roman" w:cs="Times New Roman"/>
                <w:b/>
                <w:spacing w:val="4"/>
                <w:w w:val="105"/>
                <w:sz w:val="28"/>
              </w:rPr>
              <w:t xml:space="preserve"> </w:t>
            </w:r>
            <w:r w:rsidRPr="007C57D2">
              <w:rPr>
                <w:rFonts w:ascii="Times New Roman" w:hAnsi="Times New Roman" w:cs="Times New Roman"/>
                <w:b/>
                <w:spacing w:val="-2"/>
                <w:w w:val="105"/>
                <w:sz w:val="28"/>
              </w:rPr>
              <w:t>Autorización</w:t>
            </w:r>
            <w:r w:rsidRPr="007C57D2">
              <w:rPr>
                <w:rFonts w:ascii="Times New Roman" w:hAnsi="Times New Roman" w:cs="Times New Roman"/>
                <w:spacing w:val="-2"/>
                <w:w w:val="105"/>
                <w:sz w:val="28"/>
              </w:rPr>
              <w:t>.</w:t>
            </w:r>
            <w:r w:rsidRPr="007C57D2">
              <w:rPr>
                <w:rFonts w:ascii="Times New Roman" w:hAnsi="Times New Roman" w:cs="Times New Roman"/>
                <w:w w:val="105"/>
                <w:sz w:val="28"/>
              </w:rPr>
              <w:t xml:space="preserve"> El</w:t>
            </w:r>
            <w:r w:rsidRPr="007C57D2">
              <w:rPr>
                <w:rFonts w:ascii="Times New Roman" w:hAnsi="Times New Roman" w:cs="Times New Roman"/>
                <w:spacing w:val="57"/>
                <w:w w:val="105"/>
                <w:sz w:val="28"/>
              </w:rPr>
              <w:t xml:space="preserve"> </w:t>
            </w:r>
            <w:r w:rsidRPr="007C57D2">
              <w:rPr>
                <w:rFonts w:ascii="Times New Roman" w:hAnsi="Times New Roman" w:cs="Times New Roman"/>
                <w:w w:val="105"/>
                <w:sz w:val="28"/>
              </w:rPr>
              <w:t>Gobierno</w:t>
            </w:r>
            <w:r w:rsidRPr="007C57D2">
              <w:rPr>
                <w:rFonts w:ascii="Times New Roman" w:hAnsi="Times New Roman" w:cs="Times New Roman"/>
                <w:spacing w:val="57"/>
                <w:w w:val="105"/>
                <w:sz w:val="28"/>
              </w:rPr>
              <w:t xml:space="preserve"> </w:t>
            </w:r>
            <w:r w:rsidRPr="007C57D2">
              <w:rPr>
                <w:rFonts w:ascii="Times New Roman" w:hAnsi="Times New Roman" w:cs="Times New Roman"/>
                <w:w w:val="105"/>
                <w:sz w:val="28"/>
              </w:rPr>
              <w:t>Nacional,</w:t>
            </w:r>
            <w:r w:rsidRPr="007C57D2">
              <w:rPr>
                <w:rFonts w:ascii="Times New Roman" w:hAnsi="Times New Roman" w:cs="Times New Roman"/>
                <w:spacing w:val="59"/>
                <w:w w:val="105"/>
                <w:sz w:val="28"/>
              </w:rPr>
              <w:t xml:space="preserve"> </w:t>
            </w:r>
            <w:r w:rsidRPr="007C57D2">
              <w:rPr>
                <w:rFonts w:ascii="Times New Roman" w:hAnsi="Times New Roman" w:cs="Times New Roman"/>
                <w:spacing w:val="-5"/>
                <w:w w:val="105"/>
                <w:sz w:val="28"/>
              </w:rPr>
              <w:t xml:space="preserve">en </w:t>
            </w:r>
            <w:r w:rsidRPr="007C57D2">
              <w:rPr>
                <w:rFonts w:ascii="Times New Roman" w:hAnsi="Times New Roman" w:cs="Times New Roman"/>
                <w:w w:val="105"/>
                <w:sz w:val="28"/>
              </w:rPr>
              <w:t>cabeza</w:t>
            </w:r>
            <w:r w:rsidRPr="007C57D2">
              <w:rPr>
                <w:rFonts w:ascii="Times New Roman" w:hAnsi="Times New Roman" w:cs="Times New Roman"/>
                <w:spacing w:val="71"/>
                <w:w w:val="105"/>
                <w:sz w:val="28"/>
              </w:rPr>
              <w:t xml:space="preserve"> </w:t>
            </w:r>
            <w:r w:rsidRPr="007C57D2">
              <w:rPr>
                <w:rFonts w:ascii="Times New Roman" w:hAnsi="Times New Roman" w:cs="Times New Roman"/>
                <w:w w:val="105"/>
                <w:sz w:val="28"/>
              </w:rPr>
              <w:t>del</w:t>
            </w:r>
            <w:r w:rsidRPr="007C57D2">
              <w:rPr>
                <w:rFonts w:ascii="Times New Roman" w:hAnsi="Times New Roman" w:cs="Times New Roman"/>
                <w:spacing w:val="72"/>
                <w:w w:val="105"/>
                <w:sz w:val="28"/>
              </w:rPr>
              <w:t xml:space="preserve"> </w:t>
            </w:r>
            <w:r w:rsidRPr="007C57D2">
              <w:rPr>
                <w:rFonts w:ascii="Times New Roman" w:hAnsi="Times New Roman" w:cs="Times New Roman"/>
                <w:w w:val="105"/>
                <w:sz w:val="28"/>
              </w:rPr>
              <w:t>Ministerio</w:t>
            </w:r>
            <w:r w:rsidRPr="007C57D2">
              <w:rPr>
                <w:rFonts w:ascii="Times New Roman" w:hAnsi="Times New Roman" w:cs="Times New Roman"/>
                <w:spacing w:val="72"/>
                <w:w w:val="105"/>
                <w:sz w:val="28"/>
              </w:rPr>
              <w:t xml:space="preserve"> </w:t>
            </w:r>
            <w:r w:rsidRPr="007C57D2">
              <w:rPr>
                <w:rFonts w:ascii="Times New Roman" w:hAnsi="Times New Roman" w:cs="Times New Roman"/>
                <w:spacing w:val="-5"/>
                <w:w w:val="105"/>
                <w:sz w:val="28"/>
              </w:rPr>
              <w:t>de</w:t>
            </w:r>
            <w:r w:rsidRPr="007C57D2">
              <w:rPr>
                <w:rFonts w:ascii="Times New Roman" w:hAnsi="Times New Roman" w:cs="Times New Roman"/>
                <w:spacing w:val="-2"/>
                <w:w w:val="105"/>
                <w:sz w:val="28"/>
              </w:rPr>
              <w:t xml:space="preserve"> Tecnologías </w:t>
            </w:r>
            <w:r w:rsidRPr="007C57D2">
              <w:rPr>
                <w:rFonts w:ascii="Times New Roman" w:hAnsi="Times New Roman" w:cs="Times New Roman"/>
                <w:spacing w:val="-5"/>
                <w:w w:val="105"/>
                <w:sz w:val="28"/>
              </w:rPr>
              <w:t>de la</w:t>
            </w:r>
            <w:r w:rsidRPr="007C57D2">
              <w:rPr>
                <w:rFonts w:ascii="Times New Roman" w:hAnsi="Times New Roman" w:cs="Times New Roman"/>
                <w:spacing w:val="-2"/>
                <w:w w:val="105"/>
                <w:sz w:val="28"/>
              </w:rPr>
              <w:t xml:space="preserve"> Información </w:t>
            </w:r>
            <w:r w:rsidRPr="007C57D2">
              <w:rPr>
                <w:rFonts w:ascii="Times New Roman" w:hAnsi="Times New Roman" w:cs="Times New Roman"/>
                <w:spacing w:val="-10"/>
                <w:w w:val="105"/>
                <w:sz w:val="28"/>
              </w:rPr>
              <w:t xml:space="preserve">y </w:t>
            </w:r>
            <w:r w:rsidRPr="007C57D2">
              <w:rPr>
                <w:rFonts w:ascii="Times New Roman" w:hAnsi="Times New Roman" w:cs="Times New Roman"/>
                <w:spacing w:val="-5"/>
                <w:w w:val="105"/>
                <w:sz w:val="28"/>
              </w:rPr>
              <w:t>las</w:t>
            </w:r>
            <w:r w:rsidRPr="007C57D2">
              <w:rPr>
                <w:rFonts w:ascii="Times New Roman" w:hAnsi="Times New Roman" w:cs="Times New Roman"/>
                <w:spacing w:val="-2"/>
                <w:w w:val="105"/>
                <w:sz w:val="28"/>
              </w:rPr>
              <w:t xml:space="preserve"> Comunicaciones</w:t>
            </w:r>
            <w:r w:rsidRPr="007C57D2">
              <w:rPr>
                <w:rFonts w:ascii="Times New Roman" w:hAnsi="Times New Roman" w:cs="Times New Roman"/>
                <w:sz w:val="28"/>
              </w:rPr>
              <w:t xml:space="preserve"> </w:t>
            </w:r>
            <w:r w:rsidRPr="007C57D2">
              <w:rPr>
                <w:rFonts w:ascii="Times New Roman" w:hAnsi="Times New Roman" w:cs="Times New Roman"/>
                <w:spacing w:val="-10"/>
                <w:w w:val="105"/>
                <w:sz w:val="28"/>
              </w:rPr>
              <w:t xml:space="preserve">y </w:t>
            </w:r>
            <w:r w:rsidRPr="007C57D2">
              <w:rPr>
                <w:rFonts w:ascii="Times New Roman" w:hAnsi="Times New Roman" w:cs="Times New Roman"/>
                <w:spacing w:val="-5"/>
                <w:w w:val="105"/>
                <w:sz w:val="28"/>
              </w:rPr>
              <w:t>en</w:t>
            </w:r>
            <w:r w:rsidRPr="007C57D2">
              <w:rPr>
                <w:rFonts w:ascii="Times New Roman" w:hAnsi="Times New Roman" w:cs="Times New Roman"/>
                <w:spacing w:val="-2"/>
                <w:w w:val="105"/>
                <w:sz w:val="28"/>
              </w:rPr>
              <w:t xml:space="preserve"> Coordinación </w:t>
            </w:r>
            <w:r w:rsidRPr="007C57D2">
              <w:rPr>
                <w:rFonts w:ascii="Times New Roman" w:hAnsi="Times New Roman" w:cs="Times New Roman"/>
                <w:spacing w:val="-5"/>
                <w:w w:val="105"/>
                <w:sz w:val="28"/>
              </w:rPr>
              <w:t xml:space="preserve">con la </w:t>
            </w:r>
            <w:r w:rsidRPr="007C57D2">
              <w:rPr>
                <w:rFonts w:ascii="Times New Roman" w:hAnsi="Times New Roman" w:cs="Times New Roman"/>
                <w:w w:val="105"/>
                <w:sz w:val="28"/>
              </w:rPr>
              <w:t>Comisión</w:t>
            </w:r>
            <w:r w:rsidRPr="007C57D2">
              <w:rPr>
                <w:rFonts w:ascii="Times New Roman" w:hAnsi="Times New Roman" w:cs="Times New Roman"/>
                <w:spacing w:val="1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12"/>
                <w:w w:val="105"/>
                <w:sz w:val="28"/>
              </w:rPr>
              <w:t xml:space="preserve"> </w:t>
            </w:r>
            <w:r w:rsidRPr="007C57D2">
              <w:rPr>
                <w:rFonts w:ascii="Times New Roman" w:hAnsi="Times New Roman" w:cs="Times New Roman"/>
                <w:w w:val="105"/>
                <w:sz w:val="28"/>
              </w:rPr>
              <w:t>Regulación</w:t>
            </w:r>
            <w:r w:rsidRPr="007C57D2">
              <w:rPr>
                <w:rFonts w:ascii="Times New Roman" w:hAnsi="Times New Roman" w:cs="Times New Roman"/>
                <w:spacing w:val="11"/>
                <w:w w:val="105"/>
                <w:sz w:val="28"/>
              </w:rPr>
              <w:t xml:space="preserve"> </w:t>
            </w:r>
            <w:r w:rsidRPr="007C57D2">
              <w:rPr>
                <w:rFonts w:ascii="Times New Roman" w:hAnsi="Times New Roman" w:cs="Times New Roman"/>
                <w:spacing w:val="-5"/>
                <w:w w:val="105"/>
                <w:sz w:val="28"/>
              </w:rPr>
              <w:t>de</w:t>
            </w:r>
            <w:r w:rsidRPr="007C57D2">
              <w:rPr>
                <w:rFonts w:ascii="Times New Roman" w:hAnsi="Times New Roman" w:cs="Times New Roman"/>
                <w:spacing w:val="-2"/>
                <w:w w:val="105"/>
                <w:sz w:val="28"/>
              </w:rPr>
              <w:t xml:space="preserve"> Comunicaciones,</w:t>
            </w:r>
            <w:r w:rsidRPr="007C57D2">
              <w:rPr>
                <w:rFonts w:ascii="Times New Roman" w:hAnsi="Times New Roman" w:cs="Times New Roman"/>
                <w:w w:val="105"/>
                <w:sz w:val="28"/>
              </w:rPr>
              <w:t xml:space="preserve"> reglamentará</w:t>
            </w:r>
            <w:r w:rsidRPr="007C57D2">
              <w:rPr>
                <w:rFonts w:ascii="Times New Roman" w:hAnsi="Times New Roman" w:cs="Times New Roman"/>
                <w:spacing w:val="58"/>
                <w:w w:val="105"/>
                <w:sz w:val="28"/>
              </w:rPr>
              <w:t xml:space="preserve"> </w:t>
            </w:r>
            <w:r w:rsidRPr="007C57D2">
              <w:rPr>
                <w:rFonts w:ascii="Times New Roman" w:hAnsi="Times New Roman" w:cs="Times New Roman"/>
                <w:w w:val="105"/>
                <w:sz w:val="28"/>
              </w:rPr>
              <w:t>lo</w:t>
            </w:r>
            <w:r w:rsidRPr="007C57D2">
              <w:rPr>
                <w:rFonts w:ascii="Times New Roman" w:hAnsi="Times New Roman" w:cs="Times New Roman"/>
                <w:spacing w:val="57"/>
                <w:w w:val="105"/>
                <w:sz w:val="28"/>
              </w:rPr>
              <w:t xml:space="preserve"> </w:t>
            </w:r>
            <w:r w:rsidRPr="007C57D2">
              <w:rPr>
                <w:rFonts w:ascii="Times New Roman" w:hAnsi="Times New Roman" w:cs="Times New Roman"/>
                <w:spacing w:val="-2"/>
                <w:w w:val="105"/>
                <w:sz w:val="28"/>
              </w:rPr>
              <w:t>necesario</w:t>
            </w:r>
            <w:r w:rsidRPr="007C57D2">
              <w:rPr>
                <w:rFonts w:ascii="Times New Roman" w:hAnsi="Times New Roman" w:cs="Times New Roman"/>
                <w:w w:val="105"/>
                <w:sz w:val="28"/>
              </w:rPr>
              <w:t xml:space="preserve"> para</w:t>
            </w:r>
            <w:r w:rsidRPr="007C57D2">
              <w:rPr>
                <w:rFonts w:ascii="Times New Roman" w:hAnsi="Times New Roman" w:cs="Times New Roman"/>
                <w:spacing w:val="72"/>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71"/>
                <w:w w:val="105"/>
                <w:sz w:val="28"/>
              </w:rPr>
              <w:t xml:space="preserve"> </w:t>
            </w:r>
            <w:r w:rsidRPr="007C57D2">
              <w:rPr>
                <w:rFonts w:ascii="Times New Roman" w:hAnsi="Times New Roman" w:cs="Times New Roman"/>
                <w:w w:val="105"/>
                <w:sz w:val="28"/>
              </w:rPr>
              <w:t>aplicación</w:t>
            </w:r>
            <w:r w:rsidRPr="007C57D2">
              <w:rPr>
                <w:rFonts w:ascii="Times New Roman" w:hAnsi="Times New Roman" w:cs="Times New Roman"/>
                <w:spacing w:val="7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72"/>
                <w:w w:val="105"/>
                <w:sz w:val="28"/>
              </w:rPr>
              <w:t xml:space="preserve"> </w:t>
            </w:r>
            <w:r w:rsidRPr="007C57D2">
              <w:rPr>
                <w:rFonts w:ascii="Times New Roman" w:hAnsi="Times New Roman" w:cs="Times New Roman"/>
                <w:spacing w:val="-5"/>
                <w:w w:val="105"/>
                <w:sz w:val="28"/>
              </w:rPr>
              <w:t xml:space="preserve">la </w:t>
            </w:r>
            <w:r w:rsidRPr="007C57D2">
              <w:rPr>
                <w:rFonts w:ascii="Times New Roman" w:hAnsi="Times New Roman" w:cs="Times New Roman"/>
                <w:w w:val="105"/>
                <w:sz w:val="28"/>
              </w:rPr>
              <w:t>presente</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ley</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un</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plazo</w:t>
            </w:r>
            <w:r w:rsidRPr="007C57D2">
              <w:rPr>
                <w:rFonts w:ascii="Times New Roman" w:hAnsi="Times New Roman" w:cs="Times New Roman"/>
                <w:spacing w:val="6"/>
                <w:w w:val="105"/>
                <w:sz w:val="28"/>
              </w:rPr>
              <w:t xml:space="preserve"> </w:t>
            </w:r>
            <w:r w:rsidRPr="007C57D2">
              <w:rPr>
                <w:rFonts w:ascii="Times New Roman" w:hAnsi="Times New Roman" w:cs="Times New Roman"/>
                <w:spacing w:val="-5"/>
                <w:w w:val="105"/>
                <w:sz w:val="28"/>
              </w:rPr>
              <w:t>no</w:t>
            </w:r>
            <w:r w:rsidRPr="007C57D2">
              <w:rPr>
                <w:rFonts w:ascii="Times New Roman" w:hAnsi="Times New Roman" w:cs="Times New Roman"/>
                <w:w w:val="105"/>
                <w:sz w:val="28"/>
              </w:rPr>
              <w:t xml:space="preserve"> mayor</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a</w:t>
            </w:r>
            <w:r w:rsidRPr="007C57D2">
              <w:rPr>
                <w:rFonts w:ascii="Times New Roman" w:hAnsi="Times New Roman" w:cs="Times New Roman"/>
                <w:spacing w:val="33"/>
                <w:w w:val="105"/>
                <w:sz w:val="28"/>
              </w:rPr>
              <w:t xml:space="preserve"> </w:t>
            </w:r>
            <w:r w:rsidRPr="007C57D2">
              <w:rPr>
                <w:rFonts w:ascii="Times New Roman" w:hAnsi="Times New Roman" w:cs="Times New Roman"/>
                <w:w w:val="105"/>
                <w:sz w:val="28"/>
              </w:rPr>
              <w:t>seis</w:t>
            </w:r>
            <w:r w:rsidRPr="007C57D2">
              <w:rPr>
                <w:rFonts w:ascii="Times New Roman" w:hAnsi="Times New Roman" w:cs="Times New Roman"/>
                <w:spacing w:val="34"/>
                <w:w w:val="105"/>
                <w:sz w:val="28"/>
              </w:rPr>
              <w:t xml:space="preserve"> </w:t>
            </w:r>
            <w:r w:rsidRPr="007C57D2">
              <w:rPr>
                <w:rFonts w:ascii="Times New Roman" w:hAnsi="Times New Roman" w:cs="Times New Roman"/>
                <w:w w:val="105"/>
                <w:sz w:val="28"/>
              </w:rPr>
              <w:t>(6)</w:t>
            </w:r>
            <w:r w:rsidRPr="007C57D2">
              <w:rPr>
                <w:rFonts w:ascii="Times New Roman" w:hAnsi="Times New Roman" w:cs="Times New Roman"/>
                <w:spacing w:val="32"/>
                <w:w w:val="105"/>
                <w:sz w:val="28"/>
              </w:rPr>
              <w:t xml:space="preserve"> </w:t>
            </w:r>
            <w:r w:rsidRPr="007C57D2">
              <w:rPr>
                <w:rFonts w:ascii="Times New Roman" w:hAnsi="Times New Roman" w:cs="Times New Roman"/>
                <w:w w:val="105"/>
                <w:sz w:val="28"/>
              </w:rPr>
              <w:t>meses</w:t>
            </w:r>
            <w:r w:rsidRPr="007C57D2">
              <w:rPr>
                <w:rFonts w:ascii="Times New Roman" w:hAnsi="Times New Roman" w:cs="Times New Roman"/>
                <w:spacing w:val="35"/>
                <w:w w:val="105"/>
                <w:sz w:val="28"/>
              </w:rPr>
              <w:t xml:space="preserve"> </w:t>
            </w:r>
            <w:r w:rsidRPr="007C57D2">
              <w:rPr>
                <w:rFonts w:ascii="Times New Roman" w:hAnsi="Times New Roman" w:cs="Times New Roman"/>
                <w:spacing w:val="-10"/>
                <w:w w:val="105"/>
                <w:sz w:val="28"/>
              </w:rPr>
              <w:t>a</w:t>
            </w:r>
            <w:r w:rsidRPr="007C57D2">
              <w:rPr>
                <w:rFonts w:ascii="Times New Roman" w:hAnsi="Times New Roman" w:cs="Times New Roman"/>
                <w:w w:val="105"/>
                <w:sz w:val="28"/>
              </w:rPr>
              <w:t xml:space="preserve"> partir</w:t>
            </w:r>
            <w:r w:rsidRPr="007C57D2">
              <w:rPr>
                <w:rFonts w:ascii="Times New Roman" w:hAnsi="Times New Roman" w:cs="Times New Roman"/>
                <w:spacing w:val="77"/>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76"/>
                <w:w w:val="105"/>
                <w:sz w:val="28"/>
              </w:rPr>
              <w:t xml:space="preserve"> </w:t>
            </w:r>
            <w:r w:rsidRPr="007C57D2">
              <w:rPr>
                <w:rFonts w:ascii="Times New Roman" w:hAnsi="Times New Roman" w:cs="Times New Roman"/>
                <w:w w:val="105"/>
                <w:sz w:val="28"/>
              </w:rPr>
              <w:t>su</w:t>
            </w:r>
            <w:r w:rsidRPr="007C57D2">
              <w:rPr>
                <w:rFonts w:ascii="Times New Roman" w:hAnsi="Times New Roman" w:cs="Times New Roman"/>
                <w:spacing w:val="77"/>
                <w:w w:val="105"/>
                <w:sz w:val="28"/>
              </w:rPr>
              <w:t xml:space="preserve"> </w:t>
            </w:r>
            <w:r w:rsidRPr="007C57D2">
              <w:rPr>
                <w:rFonts w:ascii="Times New Roman" w:hAnsi="Times New Roman" w:cs="Times New Roman"/>
                <w:w w:val="105"/>
                <w:sz w:val="28"/>
              </w:rPr>
              <w:t>entrada</w:t>
            </w:r>
            <w:r w:rsidRPr="007C57D2">
              <w:rPr>
                <w:rFonts w:ascii="Times New Roman" w:hAnsi="Times New Roman" w:cs="Times New Roman"/>
                <w:spacing w:val="77"/>
                <w:w w:val="105"/>
                <w:sz w:val="28"/>
              </w:rPr>
              <w:t xml:space="preserve"> </w:t>
            </w:r>
            <w:r w:rsidRPr="007C57D2">
              <w:rPr>
                <w:rFonts w:ascii="Times New Roman" w:hAnsi="Times New Roman" w:cs="Times New Roman"/>
                <w:spacing w:val="-7"/>
                <w:w w:val="105"/>
                <w:sz w:val="28"/>
              </w:rPr>
              <w:t>en</w:t>
            </w:r>
            <w:r w:rsidRPr="007C57D2">
              <w:rPr>
                <w:rFonts w:ascii="Times New Roman" w:hAnsi="Times New Roman" w:cs="Times New Roman"/>
                <w:spacing w:val="-2"/>
                <w:w w:val="105"/>
                <w:sz w:val="28"/>
              </w:rPr>
              <w:t xml:space="preserve"> vigencia. </w:t>
            </w:r>
            <w:r w:rsidRPr="007C57D2">
              <w:rPr>
                <w:rFonts w:ascii="Times New Roman" w:hAnsi="Times New Roman" w:cs="Times New Roman"/>
                <w:spacing w:val="-4"/>
                <w:w w:val="105"/>
                <w:sz w:val="28"/>
              </w:rPr>
              <w:t xml:space="preserve">Esta </w:t>
            </w:r>
            <w:r w:rsidRPr="007C57D2">
              <w:rPr>
                <w:rFonts w:ascii="Times New Roman" w:hAnsi="Times New Roman" w:cs="Times New Roman"/>
                <w:w w:val="105"/>
                <w:sz w:val="28"/>
              </w:rPr>
              <w:t>reglamentación deberá</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hacerse</w:t>
            </w:r>
            <w:r w:rsidRPr="007C57D2">
              <w:rPr>
                <w:rFonts w:ascii="Times New Roman" w:hAnsi="Times New Roman" w:cs="Times New Roman"/>
                <w:spacing w:val="-8"/>
                <w:w w:val="105"/>
                <w:sz w:val="28"/>
              </w:rPr>
              <w:t xml:space="preserve"> </w:t>
            </w:r>
            <w:r w:rsidRPr="007C57D2">
              <w:rPr>
                <w:rFonts w:ascii="Times New Roman" w:hAnsi="Times New Roman" w:cs="Times New Roman"/>
                <w:w w:val="105"/>
                <w:sz w:val="28"/>
              </w:rPr>
              <w:t>en</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articulación</w:t>
            </w:r>
            <w:r w:rsidRPr="007C57D2">
              <w:rPr>
                <w:rFonts w:ascii="Times New Roman" w:hAnsi="Times New Roman" w:cs="Times New Roman"/>
                <w:spacing w:val="-7"/>
                <w:w w:val="105"/>
                <w:sz w:val="28"/>
              </w:rPr>
              <w:t xml:space="preserve"> </w:t>
            </w:r>
            <w:r w:rsidRPr="007C57D2">
              <w:rPr>
                <w:rFonts w:ascii="Times New Roman" w:hAnsi="Times New Roman" w:cs="Times New Roman"/>
                <w:w w:val="105"/>
                <w:sz w:val="28"/>
              </w:rPr>
              <w:t>con</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 xml:space="preserve">el Sistema Nacional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Alertas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Tempranas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sobre</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Niñez colombiana, creado</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por</w:t>
            </w:r>
            <w:r w:rsidRPr="007C57D2">
              <w:rPr>
                <w:rFonts w:ascii="Times New Roman" w:hAnsi="Times New Roman" w:cs="Times New Roman"/>
                <w:spacing w:val="19"/>
                <w:w w:val="105"/>
                <w:sz w:val="28"/>
              </w:rPr>
              <w:t xml:space="preserve"> </w:t>
            </w:r>
            <w:r w:rsidRPr="007C57D2">
              <w:rPr>
                <w:rFonts w:ascii="Times New Roman" w:hAnsi="Times New Roman" w:cs="Times New Roman"/>
                <w:w w:val="105"/>
                <w:sz w:val="28"/>
              </w:rPr>
              <w:t>el</w:t>
            </w:r>
            <w:r w:rsidRPr="007C57D2">
              <w:rPr>
                <w:rFonts w:ascii="Times New Roman" w:hAnsi="Times New Roman" w:cs="Times New Roman"/>
                <w:spacing w:val="20"/>
                <w:w w:val="105"/>
                <w:sz w:val="28"/>
              </w:rPr>
              <w:t xml:space="preserve"> </w:t>
            </w:r>
            <w:r w:rsidRPr="007C57D2">
              <w:rPr>
                <w:rFonts w:ascii="Times New Roman" w:hAnsi="Times New Roman" w:cs="Times New Roman"/>
                <w:w w:val="105"/>
                <w:sz w:val="28"/>
              </w:rPr>
              <w:t>artículo</w:t>
            </w:r>
            <w:r w:rsidRPr="007C57D2">
              <w:rPr>
                <w:rFonts w:ascii="Times New Roman" w:hAnsi="Times New Roman" w:cs="Times New Roman"/>
                <w:spacing w:val="20"/>
                <w:w w:val="105"/>
                <w:sz w:val="28"/>
              </w:rPr>
              <w:t xml:space="preserve"> </w:t>
            </w:r>
            <w:r w:rsidRPr="007C57D2">
              <w:rPr>
                <w:rFonts w:ascii="Times New Roman" w:hAnsi="Times New Roman" w:cs="Times New Roman"/>
                <w:w w:val="105"/>
                <w:sz w:val="28"/>
              </w:rPr>
              <w:t>4</w:t>
            </w:r>
            <w:r w:rsidRPr="007C57D2">
              <w:rPr>
                <w:rFonts w:ascii="Times New Roman" w:hAnsi="Times New Roman" w:cs="Times New Roman"/>
                <w:spacing w:val="20"/>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21"/>
                <w:w w:val="105"/>
                <w:sz w:val="28"/>
              </w:rPr>
              <w:t xml:space="preserve"> </w:t>
            </w:r>
            <w:r w:rsidRPr="007C57D2">
              <w:rPr>
                <w:rFonts w:ascii="Times New Roman" w:hAnsi="Times New Roman" w:cs="Times New Roman"/>
                <w:w w:val="105"/>
                <w:sz w:val="28"/>
              </w:rPr>
              <w:t>la</w:t>
            </w:r>
            <w:r w:rsidRPr="007C57D2">
              <w:rPr>
                <w:rFonts w:ascii="Times New Roman" w:hAnsi="Times New Roman" w:cs="Times New Roman"/>
                <w:spacing w:val="20"/>
                <w:w w:val="105"/>
                <w:sz w:val="28"/>
              </w:rPr>
              <w:t xml:space="preserve"> </w:t>
            </w:r>
            <w:r w:rsidRPr="007C57D2">
              <w:rPr>
                <w:rFonts w:ascii="Times New Roman" w:hAnsi="Times New Roman" w:cs="Times New Roman"/>
                <w:spacing w:val="-5"/>
                <w:w w:val="105"/>
                <w:sz w:val="28"/>
              </w:rPr>
              <w:t xml:space="preserve">Ley </w:t>
            </w:r>
            <w:r w:rsidRPr="007C57D2">
              <w:rPr>
                <w:rFonts w:ascii="Times New Roman" w:hAnsi="Times New Roman" w:cs="Times New Roman"/>
                <w:w w:val="105"/>
                <w:sz w:val="28"/>
              </w:rPr>
              <w:t>2242</w:t>
            </w:r>
            <w:r w:rsidRPr="007C57D2">
              <w:rPr>
                <w:rFonts w:ascii="Times New Roman" w:hAnsi="Times New Roman" w:cs="Times New Roman"/>
                <w:spacing w:val="-6"/>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6"/>
                <w:w w:val="105"/>
                <w:sz w:val="28"/>
              </w:rPr>
              <w:t xml:space="preserve"> </w:t>
            </w:r>
            <w:r w:rsidRPr="007C57D2">
              <w:rPr>
                <w:rFonts w:ascii="Times New Roman" w:hAnsi="Times New Roman" w:cs="Times New Roman"/>
                <w:spacing w:val="-2"/>
                <w:w w:val="105"/>
                <w:sz w:val="28"/>
              </w:rPr>
              <w:t>2022.</w:t>
            </w:r>
          </w:p>
        </w:tc>
        <w:tc>
          <w:tcPr>
            <w:tcW w:w="2185" w:type="dxa"/>
            <w:shd w:val="clear" w:color="auto" w:fill="auto"/>
            <w:vAlign w:val="center"/>
          </w:tcPr>
          <w:p w:rsidR="00994FF1"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w w:val="105"/>
                <w:sz w:val="28"/>
              </w:rPr>
              <w:t>Se</w:t>
            </w:r>
            <w:r w:rsidRPr="007C57D2">
              <w:rPr>
                <w:rFonts w:ascii="Times New Roman" w:hAnsi="Times New Roman"/>
                <w:b/>
                <w:spacing w:val="18"/>
                <w:w w:val="105"/>
                <w:sz w:val="28"/>
              </w:rPr>
              <w:t xml:space="preserve"> </w:t>
            </w:r>
            <w:r w:rsidRPr="007C57D2">
              <w:rPr>
                <w:rFonts w:ascii="Times New Roman" w:hAnsi="Times New Roman"/>
                <w:b/>
                <w:w w:val="105"/>
                <w:sz w:val="28"/>
              </w:rPr>
              <w:t>acoge</w:t>
            </w:r>
            <w:r w:rsidRPr="007C57D2">
              <w:rPr>
                <w:rFonts w:ascii="Times New Roman" w:hAnsi="Times New Roman"/>
                <w:b/>
                <w:spacing w:val="18"/>
                <w:w w:val="105"/>
                <w:sz w:val="28"/>
              </w:rPr>
              <w:t xml:space="preserve"> </w:t>
            </w:r>
            <w:r w:rsidRPr="007C57D2">
              <w:rPr>
                <w:rFonts w:ascii="Times New Roman" w:hAnsi="Times New Roman"/>
                <w:b/>
                <w:w w:val="105"/>
                <w:sz w:val="28"/>
              </w:rPr>
              <w:t>texto</w:t>
            </w:r>
            <w:r w:rsidRPr="007C57D2">
              <w:rPr>
                <w:rFonts w:ascii="Times New Roman" w:hAnsi="Times New Roman"/>
                <w:b/>
                <w:spacing w:val="40"/>
                <w:w w:val="105"/>
                <w:sz w:val="28"/>
              </w:rPr>
              <w:t xml:space="preserve"> </w:t>
            </w:r>
            <w:r w:rsidRPr="007C57D2">
              <w:rPr>
                <w:rFonts w:ascii="Times New Roman" w:hAnsi="Times New Roman"/>
                <w:b/>
                <w:w w:val="105"/>
                <w:sz w:val="28"/>
              </w:rPr>
              <w:t>de</w:t>
            </w:r>
            <w:r w:rsidRPr="007C57D2">
              <w:rPr>
                <w:rFonts w:ascii="Times New Roman" w:hAnsi="Times New Roman"/>
                <w:b/>
                <w:spacing w:val="-5"/>
                <w:w w:val="105"/>
                <w:sz w:val="28"/>
              </w:rPr>
              <w:t xml:space="preserve"> </w:t>
            </w:r>
            <w:r w:rsidRPr="007C57D2">
              <w:rPr>
                <w:rFonts w:ascii="Times New Roman" w:hAnsi="Times New Roman"/>
                <w:b/>
                <w:w w:val="105"/>
                <w:sz w:val="28"/>
              </w:rPr>
              <w:t>Senado</w:t>
            </w:r>
          </w:p>
        </w:tc>
      </w:tr>
      <w:tr w:rsidR="00685F32" w:rsidRPr="007C57D2" w:rsidTr="007C57D2">
        <w:tc>
          <w:tcPr>
            <w:tcW w:w="2947" w:type="dxa"/>
            <w:shd w:val="clear" w:color="auto" w:fill="auto"/>
          </w:tcPr>
          <w:p w:rsidR="00034F73" w:rsidRPr="007C57D2" w:rsidRDefault="007C57D2" w:rsidP="007C57D2">
            <w:pPr>
              <w:spacing w:after="0" w:line="240" w:lineRule="auto"/>
              <w:jc w:val="both"/>
              <w:rPr>
                <w:rFonts w:ascii="Times New Roman" w:hAnsi="Times New Roman"/>
                <w:b/>
                <w:w w:val="105"/>
                <w:sz w:val="28"/>
              </w:rPr>
            </w:pPr>
            <w:r w:rsidRPr="007C57D2">
              <w:rPr>
                <w:rFonts w:ascii="Times New Roman" w:hAnsi="Times New Roman"/>
                <w:b/>
                <w:w w:val="105"/>
                <w:sz w:val="28"/>
              </w:rPr>
              <w:t xml:space="preserve">Artículo 15. Vigencia. </w:t>
            </w:r>
            <w:r w:rsidRPr="007C57D2">
              <w:rPr>
                <w:rFonts w:ascii="Times New Roman" w:hAnsi="Times New Roman"/>
                <w:w w:val="105"/>
                <w:sz w:val="28"/>
              </w:rPr>
              <w:t>La</w:t>
            </w:r>
            <w:r w:rsidRPr="007C57D2">
              <w:rPr>
                <w:rFonts w:ascii="Times New Roman" w:hAnsi="Times New Roman"/>
                <w:spacing w:val="40"/>
                <w:w w:val="105"/>
                <w:sz w:val="28"/>
              </w:rPr>
              <w:t xml:space="preserve"> </w:t>
            </w:r>
            <w:r w:rsidRPr="007C57D2">
              <w:rPr>
                <w:rFonts w:ascii="Times New Roman" w:hAnsi="Times New Roman"/>
                <w:w w:val="105"/>
                <w:sz w:val="28"/>
              </w:rPr>
              <w:t>presente</w:t>
            </w:r>
            <w:r w:rsidRPr="007C57D2">
              <w:rPr>
                <w:rFonts w:ascii="Times New Roman" w:hAnsi="Times New Roman"/>
                <w:spacing w:val="-2"/>
                <w:w w:val="105"/>
                <w:sz w:val="28"/>
              </w:rPr>
              <w:t xml:space="preserve"> </w:t>
            </w:r>
            <w:r w:rsidRPr="007C57D2">
              <w:rPr>
                <w:rFonts w:ascii="Times New Roman" w:hAnsi="Times New Roman"/>
                <w:w w:val="105"/>
                <w:sz w:val="28"/>
              </w:rPr>
              <w:t>ley</w:t>
            </w:r>
            <w:r w:rsidRPr="007C57D2">
              <w:rPr>
                <w:rFonts w:ascii="Times New Roman" w:hAnsi="Times New Roman"/>
                <w:spacing w:val="-2"/>
                <w:w w:val="105"/>
                <w:sz w:val="28"/>
              </w:rPr>
              <w:t xml:space="preserve"> </w:t>
            </w:r>
            <w:r w:rsidRPr="007C57D2">
              <w:rPr>
                <w:rFonts w:ascii="Times New Roman" w:hAnsi="Times New Roman"/>
                <w:w w:val="105"/>
                <w:sz w:val="28"/>
              </w:rPr>
              <w:t>rige</w:t>
            </w:r>
            <w:r w:rsidRPr="007C57D2">
              <w:rPr>
                <w:rFonts w:ascii="Times New Roman" w:hAnsi="Times New Roman"/>
                <w:spacing w:val="-2"/>
                <w:w w:val="105"/>
                <w:sz w:val="28"/>
              </w:rPr>
              <w:t xml:space="preserve"> </w:t>
            </w:r>
            <w:r w:rsidRPr="007C57D2">
              <w:rPr>
                <w:rFonts w:ascii="Times New Roman" w:hAnsi="Times New Roman"/>
                <w:w w:val="105"/>
                <w:sz w:val="28"/>
              </w:rPr>
              <w:t>a</w:t>
            </w:r>
            <w:r w:rsidRPr="007C57D2">
              <w:rPr>
                <w:rFonts w:ascii="Times New Roman" w:hAnsi="Times New Roman"/>
                <w:spacing w:val="-3"/>
                <w:w w:val="105"/>
                <w:sz w:val="28"/>
              </w:rPr>
              <w:t xml:space="preserve"> </w:t>
            </w:r>
            <w:r w:rsidRPr="007C57D2">
              <w:rPr>
                <w:rFonts w:ascii="Times New Roman" w:hAnsi="Times New Roman"/>
                <w:w w:val="105"/>
                <w:sz w:val="28"/>
              </w:rPr>
              <w:t>partir</w:t>
            </w:r>
            <w:r w:rsidRPr="007C57D2">
              <w:rPr>
                <w:rFonts w:ascii="Times New Roman" w:hAnsi="Times New Roman"/>
                <w:spacing w:val="-3"/>
                <w:w w:val="105"/>
                <w:sz w:val="28"/>
              </w:rPr>
              <w:t xml:space="preserve"> </w:t>
            </w:r>
            <w:r w:rsidRPr="007C57D2">
              <w:rPr>
                <w:rFonts w:ascii="Times New Roman" w:hAnsi="Times New Roman"/>
                <w:w w:val="105"/>
                <w:sz w:val="28"/>
              </w:rPr>
              <w:t>de</w:t>
            </w:r>
            <w:r w:rsidRPr="007C57D2">
              <w:rPr>
                <w:rFonts w:ascii="Times New Roman" w:hAnsi="Times New Roman"/>
                <w:spacing w:val="-2"/>
                <w:w w:val="105"/>
                <w:sz w:val="28"/>
              </w:rPr>
              <w:t xml:space="preserve"> </w:t>
            </w:r>
            <w:r w:rsidRPr="007C57D2">
              <w:rPr>
                <w:rFonts w:ascii="Times New Roman" w:hAnsi="Times New Roman"/>
                <w:w w:val="105"/>
                <w:sz w:val="28"/>
              </w:rPr>
              <w:t>su</w:t>
            </w:r>
            <w:r w:rsidRPr="007C57D2">
              <w:rPr>
                <w:rFonts w:ascii="Times New Roman" w:hAnsi="Times New Roman"/>
                <w:spacing w:val="40"/>
                <w:w w:val="105"/>
                <w:sz w:val="28"/>
              </w:rPr>
              <w:t xml:space="preserve"> </w:t>
            </w:r>
            <w:r w:rsidRPr="007C57D2">
              <w:rPr>
                <w:rFonts w:ascii="Times New Roman" w:hAnsi="Times New Roman"/>
                <w:w w:val="105"/>
                <w:sz w:val="28"/>
              </w:rPr>
              <w:t>promulgación y deroga todas</w:t>
            </w:r>
            <w:r w:rsidRPr="007C57D2">
              <w:rPr>
                <w:rFonts w:ascii="Times New Roman" w:hAnsi="Times New Roman"/>
                <w:spacing w:val="40"/>
                <w:w w:val="105"/>
                <w:sz w:val="28"/>
              </w:rPr>
              <w:t xml:space="preserve"> </w:t>
            </w:r>
            <w:r w:rsidRPr="007C57D2">
              <w:rPr>
                <w:rFonts w:ascii="Times New Roman" w:hAnsi="Times New Roman"/>
                <w:w w:val="105"/>
                <w:sz w:val="28"/>
              </w:rPr>
              <w:t>las disposiciones que le sean</w:t>
            </w:r>
            <w:r w:rsidRPr="007C57D2">
              <w:rPr>
                <w:rFonts w:ascii="Times New Roman" w:hAnsi="Times New Roman"/>
                <w:spacing w:val="40"/>
                <w:w w:val="105"/>
                <w:sz w:val="28"/>
              </w:rPr>
              <w:t xml:space="preserve"> </w:t>
            </w:r>
            <w:r w:rsidRPr="007C57D2">
              <w:rPr>
                <w:rFonts w:ascii="Times New Roman" w:hAnsi="Times New Roman"/>
                <w:spacing w:val="-2"/>
                <w:w w:val="105"/>
                <w:sz w:val="28"/>
              </w:rPr>
              <w:t>contrarias.</w:t>
            </w:r>
          </w:p>
        </w:tc>
        <w:tc>
          <w:tcPr>
            <w:tcW w:w="3657" w:type="dxa"/>
            <w:shd w:val="clear" w:color="auto" w:fill="auto"/>
          </w:tcPr>
          <w:p w:rsidR="00034F73" w:rsidRPr="007C57D2" w:rsidRDefault="007C57D2" w:rsidP="007C57D2">
            <w:pPr>
              <w:pStyle w:val="TableParagraph"/>
              <w:tabs>
                <w:tab w:val="left" w:pos="994"/>
                <w:tab w:val="left" w:pos="1483"/>
              </w:tabs>
              <w:jc w:val="both"/>
              <w:rPr>
                <w:rFonts w:ascii="Times New Roman" w:hAnsi="Times New Roman" w:cs="Times New Roman"/>
                <w:b/>
                <w:w w:val="105"/>
                <w:sz w:val="28"/>
              </w:rPr>
            </w:pPr>
            <w:r w:rsidRPr="007C57D2">
              <w:rPr>
                <w:rFonts w:ascii="Times New Roman" w:hAnsi="Times New Roman" w:cs="Times New Roman"/>
                <w:b/>
                <w:w w:val="105"/>
                <w:sz w:val="28"/>
              </w:rPr>
              <w:t xml:space="preserve">Artículo 15. Vigencia. </w:t>
            </w:r>
            <w:r w:rsidRPr="007C57D2">
              <w:rPr>
                <w:rFonts w:ascii="Times New Roman" w:hAnsi="Times New Roman" w:cs="Times New Roman"/>
                <w:w w:val="105"/>
                <w:sz w:val="28"/>
              </w:rPr>
              <w:t>La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presente</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ley</w:t>
            </w:r>
            <w:r w:rsidRPr="007C57D2">
              <w:rPr>
                <w:rFonts w:ascii="Times New Roman" w:hAnsi="Times New Roman" w:cs="Times New Roman"/>
                <w:spacing w:val="-5"/>
                <w:w w:val="105"/>
                <w:sz w:val="28"/>
              </w:rPr>
              <w:t xml:space="preserve"> </w:t>
            </w:r>
            <w:r w:rsidRPr="007C57D2">
              <w:rPr>
                <w:rFonts w:ascii="Times New Roman" w:hAnsi="Times New Roman" w:cs="Times New Roman"/>
                <w:w w:val="105"/>
                <w:sz w:val="28"/>
              </w:rPr>
              <w:t>rige</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a</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partir</w:t>
            </w:r>
            <w:r w:rsidRPr="007C57D2">
              <w:rPr>
                <w:rFonts w:ascii="Times New Roman" w:hAnsi="Times New Roman" w:cs="Times New Roman"/>
                <w:spacing w:val="-4"/>
                <w:w w:val="105"/>
                <w:sz w:val="28"/>
              </w:rPr>
              <w:t xml:space="preserve"> </w:t>
            </w:r>
            <w:r w:rsidRPr="007C57D2">
              <w:rPr>
                <w:rFonts w:ascii="Times New Roman" w:hAnsi="Times New Roman" w:cs="Times New Roman"/>
                <w:w w:val="105"/>
                <w:sz w:val="28"/>
              </w:rPr>
              <w:t>de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su promulgación y deroga</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todas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las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disposiciones</w:t>
            </w:r>
            <w:r w:rsidRPr="007C57D2">
              <w:rPr>
                <w:rFonts w:ascii="Times New Roman" w:hAnsi="Times New Roman" w:cs="Times New Roman"/>
                <w:spacing w:val="-9"/>
                <w:w w:val="105"/>
                <w:sz w:val="28"/>
              </w:rPr>
              <w:t xml:space="preserve"> </w:t>
            </w:r>
            <w:r w:rsidRPr="007C57D2">
              <w:rPr>
                <w:rFonts w:ascii="Times New Roman" w:hAnsi="Times New Roman" w:cs="Times New Roman"/>
                <w:w w:val="105"/>
                <w:sz w:val="28"/>
              </w:rPr>
              <w:t>que</w:t>
            </w:r>
            <w:r w:rsidRPr="007C57D2">
              <w:rPr>
                <w:rFonts w:ascii="Times New Roman" w:hAnsi="Times New Roman" w:cs="Times New Roman"/>
                <w:spacing w:val="40"/>
                <w:w w:val="105"/>
                <w:sz w:val="28"/>
              </w:rPr>
              <w:t xml:space="preserve"> </w:t>
            </w:r>
            <w:r w:rsidRPr="007C57D2">
              <w:rPr>
                <w:rFonts w:ascii="Times New Roman" w:hAnsi="Times New Roman" w:cs="Times New Roman"/>
                <w:w w:val="105"/>
                <w:sz w:val="28"/>
              </w:rPr>
              <w:t>le sean contrarias.</w:t>
            </w:r>
          </w:p>
        </w:tc>
        <w:tc>
          <w:tcPr>
            <w:tcW w:w="2185" w:type="dxa"/>
            <w:shd w:val="clear" w:color="auto" w:fill="auto"/>
            <w:vAlign w:val="center"/>
          </w:tcPr>
          <w:p w:rsidR="00034F73" w:rsidRPr="007C57D2" w:rsidRDefault="007C57D2" w:rsidP="007C57D2">
            <w:pPr>
              <w:tabs>
                <w:tab w:val="left" w:pos="567"/>
              </w:tabs>
              <w:spacing w:after="0" w:line="240" w:lineRule="auto"/>
              <w:jc w:val="center"/>
              <w:rPr>
                <w:rFonts w:ascii="Times New Roman" w:hAnsi="Times New Roman"/>
                <w:b/>
                <w:w w:val="105"/>
                <w:sz w:val="28"/>
              </w:rPr>
            </w:pPr>
            <w:r w:rsidRPr="007C57D2">
              <w:rPr>
                <w:rFonts w:ascii="Times New Roman" w:hAnsi="Times New Roman"/>
                <w:b/>
                <w:spacing w:val="-4"/>
                <w:w w:val="105"/>
                <w:sz w:val="28"/>
              </w:rPr>
              <w:t>Sin</w:t>
            </w:r>
            <w:r w:rsidRPr="007C57D2">
              <w:rPr>
                <w:rFonts w:ascii="Times New Roman" w:hAnsi="Times New Roman"/>
                <w:b/>
                <w:spacing w:val="40"/>
                <w:w w:val="105"/>
                <w:sz w:val="28"/>
              </w:rPr>
              <w:t xml:space="preserve"> </w:t>
            </w:r>
            <w:r w:rsidRPr="007C57D2">
              <w:rPr>
                <w:rFonts w:ascii="Times New Roman" w:hAnsi="Times New Roman"/>
                <w:b/>
                <w:spacing w:val="-2"/>
                <w:sz w:val="28"/>
              </w:rPr>
              <w:t>discrepancias</w:t>
            </w:r>
          </w:p>
        </w:tc>
      </w:tr>
    </w:tbl>
    <w:p w:rsidR="005B0B4E" w:rsidRPr="007C57D2" w:rsidRDefault="007C57D2" w:rsidP="008F3DAB">
      <w:pPr>
        <w:pStyle w:val="Prrafodelista"/>
        <w:tabs>
          <w:tab w:val="left" w:pos="0"/>
          <w:tab w:val="left" w:pos="360"/>
        </w:tabs>
        <w:ind w:left="0"/>
        <w:jc w:val="center"/>
        <w:rPr>
          <w:rFonts w:ascii="Times New Roman" w:hAnsi="Times New Roman"/>
          <w:sz w:val="28"/>
          <w:lang w:eastAsia="es-ES"/>
        </w:rPr>
      </w:pPr>
      <w:r w:rsidRPr="007C57D2">
        <w:rPr>
          <w:rFonts w:ascii="Times New Roman" w:hAnsi="Times New Roman"/>
          <w:sz w:val="28"/>
          <w:lang w:eastAsia="es-ES"/>
        </w:rPr>
        <w:t>Tabla 1</w:t>
      </w:r>
      <w:r w:rsidRPr="007C57D2">
        <w:rPr>
          <w:rFonts w:ascii="Times New Roman" w:hAnsi="Times New Roman"/>
          <w:sz w:val="28"/>
          <w:lang w:eastAsia="es-ES"/>
        </w:rPr>
        <w:t>6</w:t>
      </w:r>
      <w:r w:rsidRPr="007C57D2">
        <w:rPr>
          <w:rFonts w:ascii="Times New Roman" w:hAnsi="Times New Roman"/>
          <w:sz w:val="28"/>
          <w:lang w:eastAsia="es-ES"/>
        </w:rPr>
        <w:t xml:space="preserve">. </w:t>
      </w:r>
      <w:r w:rsidRPr="007C57D2">
        <w:rPr>
          <w:rFonts w:ascii="Times New Roman" w:hAnsi="Times New Roman"/>
          <w:i/>
          <w:iCs/>
          <w:sz w:val="28"/>
          <w:lang w:eastAsia="es-ES"/>
        </w:rPr>
        <w:t>Conciliación de artículos</w:t>
      </w:r>
    </w:p>
    <w:p w:rsidR="009B5E10" w:rsidRPr="007C57D2" w:rsidRDefault="007C57D2" w:rsidP="008F3DAB">
      <w:pPr>
        <w:pStyle w:val="Prrafodelista"/>
        <w:tabs>
          <w:tab w:val="left" w:pos="0"/>
          <w:tab w:val="left" w:pos="360"/>
        </w:tabs>
        <w:ind w:left="0"/>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0"/>
          <w:tab w:val="left" w:pos="360"/>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Anuncio previo en la Cámara de Representantes.</w:t>
      </w:r>
      <w:r w:rsidRPr="007C57D2">
        <w:rPr>
          <w:rFonts w:ascii="Times New Roman" w:hAnsi="Times New Roman"/>
          <w:sz w:val="28"/>
          <w:szCs w:val="28"/>
          <w:lang w:eastAsia="es-ES"/>
        </w:rPr>
        <w:t xml:space="preserve"> El </w:t>
      </w:r>
      <w:r w:rsidRPr="007C57D2">
        <w:rPr>
          <w:rFonts w:ascii="Times New Roman" w:hAnsi="Times New Roman"/>
          <w:b/>
          <w:bCs/>
          <w:sz w:val="28"/>
          <w:szCs w:val="28"/>
          <w:lang w:eastAsia="es-ES"/>
        </w:rPr>
        <w:t>18 de junio de 2024,</w:t>
      </w:r>
      <w:r w:rsidRPr="007C57D2">
        <w:rPr>
          <w:rFonts w:ascii="Times New Roman" w:hAnsi="Times New Roman"/>
          <w:sz w:val="28"/>
          <w:szCs w:val="28"/>
          <w:lang w:eastAsia="es-ES"/>
        </w:rPr>
        <w:t xml:space="preserve"> </w:t>
      </w:r>
      <w:r w:rsidRPr="007C57D2">
        <w:rPr>
          <w:rFonts w:ascii="Times New Roman" w:hAnsi="Times New Roman"/>
          <w:sz w:val="28"/>
          <w:szCs w:val="28"/>
          <w:lang w:eastAsia="es-ES"/>
        </w:rPr>
        <w:t>el secretario de la Cámara de Representantes anunció que el informe de conciliación del proyecto de ley 266 de 2023</w:t>
      </w:r>
      <w:r w:rsidRPr="007C57D2">
        <w:rPr>
          <w:rStyle w:val="Refdenotaalpie"/>
          <w:rFonts w:ascii="Times New Roman" w:hAnsi="Times New Roman"/>
          <w:sz w:val="28"/>
          <w:szCs w:val="28"/>
          <w:lang w:eastAsia="es-ES"/>
        </w:rPr>
        <w:footnoteReference w:id="166"/>
      </w:r>
      <w:r w:rsidRPr="007C57D2">
        <w:rPr>
          <w:rFonts w:ascii="Times New Roman" w:hAnsi="Times New Roman"/>
          <w:sz w:val="28"/>
          <w:szCs w:val="28"/>
          <w:lang w:eastAsia="es-ES"/>
        </w:rPr>
        <w:t xml:space="preserve"> Cámara, y 285 de 2024, Senado, se discutir</w:t>
      </w:r>
      <w:r w:rsidRPr="007C57D2">
        <w:rPr>
          <w:rFonts w:ascii="Times New Roman" w:hAnsi="Times New Roman"/>
          <w:sz w:val="28"/>
          <w:szCs w:val="28"/>
          <w:lang w:eastAsia="es-ES"/>
        </w:rPr>
        <w:t>ía</w:t>
      </w:r>
      <w:r w:rsidRPr="007C57D2">
        <w:rPr>
          <w:rFonts w:ascii="Times New Roman" w:hAnsi="Times New Roman"/>
          <w:sz w:val="28"/>
          <w:szCs w:val="28"/>
          <w:lang w:eastAsia="es-ES"/>
        </w:rPr>
        <w:t xml:space="preserve"> y aprobar</w:t>
      </w:r>
      <w:r w:rsidRPr="007C57D2">
        <w:rPr>
          <w:rFonts w:ascii="Times New Roman" w:hAnsi="Times New Roman"/>
          <w:sz w:val="28"/>
          <w:szCs w:val="28"/>
          <w:lang w:eastAsia="es-ES"/>
        </w:rPr>
        <w:t>ía</w:t>
      </w:r>
      <w:r w:rsidRPr="007C57D2">
        <w:rPr>
          <w:rFonts w:ascii="Times New Roman" w:hAnsi="Times New Roman"/>
          <w:sz w:val="28"/>
          <w:szCs w:val="28"/>
          <w:lang w:eastAsia="es-ES"/>
        </w:rPr>
        <w:t xml:space="preserve"> en la sesión del </w:t>
      </w:r>
      <w:r w:rsidRPr="007C57D2">
        <w:rPr>
          <w:rFonts w:ascii="Times New Roman" w:hAnsi="Times New Roman"/>
          <w:b/>
          <w:bCs/>
          <w:sz w:val="28"/>
          <w:szCs w:val="28"/>
          <w:lang w:eastAsia="es-ES"/>
        </w:rPr>
        <w:t>19 de junio de 2024</w:t>
      </w:r>
      <w:r w:rsidRPr="007C57D2">
        <w:rPr>
          <w:rStyle w:val="Refdenotaalpie"/>
          <w:rFonts w:ascii="Times New Roman" w:hAnsi="Times New Roman"/>
          <w:sz w:val="28"/>
          <w:szCs w:val="28"/>
          <w:lang w:eastAsia="es-ES"/>
        </w:rPr>
        <w:footnoteReference w:id="167"/>
      </w:r>
      <w:r w:rsidRPr="007C57D2">
        <w:rPr>
          <w:rFonts w:ascii="Times New Roman" w:hAnsi="Times New Roman"/>
          <w:sz w:val="28"/>
          <w:szCs w:val="28"/>
          <w:lang w:eastAsia="es-ES"/>
        </w:rPr>
        <w:t xml:space="preserve">. </w:t>
      </w:r>
    </w:p>
    <w:p w:rsidR="00796FF5" w:rsidRPr="007C57D2" w:rsidRDefault="007C57D2" w:rsidP="008F3DAB">
      <w:pPr>
        <w:pStyle w:val="Prrafodelista"/>
        <w:tabs>
          <w:tab w:val="left" w:pos="0"/>
          <w:tab w:val="left" w:pos="360"/>
        </w:tabs>
        <w:ind w:left="0"/>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 xml:space="preserve">Discusión y aprobación del informe de </w:t>
      </w:r>
      <w:r w:rsidRPr="007C57D2">
        <w:rPr>
          <w:rFonts w:ascii="Times New Roman" w:hAnsi="Times New Roman"/>
          <w:i/>
          <w:iCs/>
          <w:sz w:val="28"/>
          <w:szCs w:val="28"/>
          <w:lang w:eastAsia="es-ES"/>
        </w:rPr>
        <w:t>conciliación del PLE en la Cámara de Representantes.</w:t>
      </w:r>
      <w:r w:rsidRPr="007C57D2">
        <w:rPr>
          <w:rFonts w:ascii="Times New Roman" w:hAnsi="Times New Roman"/>
          <w:b/>
          <w:bCs/>
          <w:sz w:val="28"/>
          <w:szCs w:val="28"/>
          <w:lang w:eastAsia="es-ES"/>
        </w:rPr>
        <w:t xml:space="preserve"> </w:t>
      </w:r>
      <w:r w:rsidRPr="007C57D2">
        <w:rPr>
          <w:rFonts w:ascii="Times New Roman" w:hAnsi="Times New Roman"/>
          <w:sz w:val="28"/>
          <w:szCs w:val="28"/>
          <w:lang w:eastAsia="es-ES"/>
        </w:rPr>
        <w:t>En la sesión programada</w:t>
      </w:r>
      <w:r w:rsidRPr="007C57D2">
        <w:rPr>
          <w:rFonts w:ascii="Times New Roman" w:hAnsi="Times New Roman"/>
          <w:sz w:val="28"/>
          <w:szCs w:val="28"/>
          <w:lang w:eastAsia="es-ES"/>
        </w:rPr>
        <w:t xml:space="preserve"> (dos días después de la publicación del informe de conciliación)</w:t>
      </w:r>
      <w:r w:rsidRPr="007C57D2">
        <w:rPr>
          <w:rFonts w:ascii="Times New Roman" w:hAnsi="Times New Roman"/>
          <w:sz w:val="28"/>
          <w:szCs w:val="28"/>
          <w:lang w:eastAsia="es-ES"/>
        </w:rPr>
        <w:t xml:space="preserve">, el secretario de la Cámara de Representantes hizo el llamado a lista, comprobó el </w:t>
      </w:r>
      <w:r w:rsidRPr="007C57D2">
        <w:rPr>
          <w:rFonts w:ascii="Times New Roman" w:hAnsi="Times New Roman"/>
          <w:i/>
          <w:iCs/>
          <w:sz w:val="28"/>
          <w:szCs w:val="28"/>
          <w:lang w:eastAsia="es-ES"/>
        </w:rPr>
        <w:t>qu</w:t>
      </w:r>
      <w:r w:rsidRPr="007C57D2">
        <w:rPr>
          <w:rFonts w:ascii="Times New Roman" w:hAnsi="Times New Roman"/>
          <w:i/>
          <w:iCs/>
          <w:sz w:val="28"/>
          <w:szCs w:val="28"/>
          <w:lang w:eastAsia="es-ES"/>
        </w:rPr>
        <w:t>o</w:t>
      </w:r>
      <w:r w:rsidRPr="007C57D2">
        <w:rPr>
          <w:rFonts w:ascii="Times New Roman" w:hAnsi="Times New Roman"/>
          <w:i/>
          <w:iCs/>
          <w:sz w:val="28"/>
          <w:szCs w:val="28"/>
          <w:lang w:eastAsia="es-ES"/>
        </w:rPr>
        <w:t>rum</w:t>
      </w:r>
      <w:r w:rsidRPr="007C57D2">
        <w:rPr>
          <w:rFonts w:ascii="Times New Roman" w:hAnsi="Times New Roman"/>
          <w:sz w:val="28"/>
          <w:szCs w:val="28"/>
          <w:lang w:eastAsia="es-ES"/>
        </w:rPr>
        <w:t xml:space="preserve"> deliberatorio y decisori</w:t>
      </w:r>
      <w:r w:rsidRPr="007C57D2">
        <w:rPr>
          <w:rFonts w:ascii="Times New Roman" w:hAnsi="Times New Roman"/>
          <w:sz w:val="28"/>
          <w:szCs w:val="28"/>
          <w:lang w:eastAsia="es-ES"/>
        </w:rPr>
        <w:t>o</w:t>
      </w:r>
      <w:r w:rsidRPr="007C57D2">
        <w:rPr>
          <w:rFonts w:ascii="Times New Roman" w:hAnsi="Times New Roman"/>
          <w:sz w:val="28"/>
          <w:szCs w:val="28"/>
          <w:lang w:eastAsia="es-ES"/>
        </w:rPr>
        <w:t xml:space="preserve"> (178 representantes) y anunció el debate del proyecto de ley en el orden del día</w:t>
      </w:r>
      <w:r w:rsidRPr="007C57D2">
        <w:rPr>
          <w:rStyle w:val="Refdenotaalpie"/>
          <w:rFonts w:ascii="Times New Roman" w:hAnsi="Times New Roman"/>
          <w:sz w:val="28"/>
          <w:szCs w:val="28"/>
          <w:lang w:eastAsia="es-ES"/>
        </w:rPr>
        <w:footnoteReference w:id="168"/>
      </w:r>
      <w:r w:rsidRPr="007C57D2">
        <w:rPr>
          <w:rFonts w:ascii="Times New Roman" w:hAnsi="Times New Roman"/>
          <w:sz w:val="28"/>
          <w:szCs w:val="28"/>
          <w:lang w:eastAsia="es-ES"/>
        </w:rPr>
        <w:t xml:space="preserve">. Posteriormente </w:t>
      </w:r>
      <w:r w:rsidRPr="007C57D2">
        <w:rPr>
          <w:rFonts w:ascii="Times New Roman" w:hAnsi="Times New Roman"/>
          <w:sz w:val="28"/>
          <w:szCs w:val="28"/>
          <w:lang w:eastAsia="es-ES"/>
        </w:rPr>
        <w:t xml:space="preserve">la plenaria de la Cámara </w:t>
      </w:r>
      <w:r w:rsidRPr="007C57D2">
        <w:rPr>
          <w:rFonts w:ascii="Times New Roman" w:hAnsi="Times New Roman"/>
          <w:sz w:val="28"/>
          <w:szCs w:val="28"/>
          <w:lang w:eastAsia="es-ES"/>
        </w:rPr>
        <w:t xml:space="preserve">discutió y aprobó el informe de conciliación con una votación </w:t>
      </w:r>
      <w:r w:rsidRPr="007C57D2">
        <w:rPr>
          <w:rFonts w:ascii="Times New Roman" w:hAnsi="Times New Roman"/>
          <w:sz w:val="28"/>
          <w:szCs w:val="28"/>
          <w:lang w:eastAsia="es-ES"/>
        </w:rPr>
        <w:t xml:space="preserve">nominal y pública </w:t>
      </w:r>
      <w:r w:rsidRPr="007C57D2">
        <w:rPr>
          <w:rFonts w:ascii="Times New Roman" w:hAnsi="Times New Roman"/>
          <w:sz w:val="28"/>
          <w:szCs w:val="28"/>
          <w:lang w:eastAsia="es-ES"/>
        </w:rPr>
        <w:t xml:space="preserve">de </w:t>
      </w:r>
      <w:r w:rsidRPr="007C57D2">
        <w:rPr>
          <w:rFonts w:ascii="Times New Roman" w:hAnsi="Times New Roman"/>
          <w:b/>
          <w:bCs/>
          <w:sz w:val="28"/>
          <w:szCs w:val="28"/>
          <w:lang w:eastAsia="es-ES"/>
        </w:rPr>
        <w:t xml:space="preserve">113 votos por el </w:t>
      </w:r>
      <w:r w:rsidRPr="007C57D2">
        <w:rPr>
          <w:rFonts w:ascii="Times New Roman" w:hAnsi="Times New Roman"/>
          <w:b/>
          <w:bCs/>
          <w:sz w:val="28"/>
          <w:szCs w:val="28"/>
          <w:lang w:eastAsia="es-ES"/>
        </w:rPr>
        <w:t>SÍ</w:t>
      </w:r>
      <w:r w:rsidRPr="007C57D2">
        <w:rPr>
          <w:rFonts w:ascii="Times New Roman" w:hAnsi="Times New Roman"/>
          <w:sz w:val="28"/>
          <w:szCs w:val="28"/>
          <w:lang w:eastAsia="es-ES"/>
        </w:rPr>
        <w:t xml:space="preserve"> y </w:t>
      </w:r>
      <w:r w:rsidRPr="007C57D2">
        <w:rPr>
          <w:rFonts w:ascii="Times New Roman" w:hAnsi="Times New Roman"/>
          <w:b/>
          <w:bCs/>
          <w:sz w:val="28"/>
          <w:szCs w:val="28"/>
          <w:lang w:eastAsia="es-ES"/>
        </w:rPr>
        <w:t xml:space="preserve">0 votos por el </w:t>
      </w:r>
      <w:r w:rsidRPr="007C57D2">
        <w:rPr>
          <w:rFonts w:ascii="Times New Roman" w:hAnsi="Times New Roman"/>
          <w:b/>
          <w:bCs/>
          <w:sz w:val="28"/>
          <w:szCs w:val="28"/>
          <w:lang w:eastAsia="es-ES"/>
        </w:rPr>
        <w:t>NO</w:t>
      </w:r>
      <w:r w:rsidRPr="007C57D2">
        <w:rPr>
          <w:rStyle w:val="Refdenotaalpie"/>
          <w:rFonts w:ascii="Times New Roman" w:hAnsi="Times New Roman"/>
          <w:sz w:val="28"/>
          <w:szCs w:val="28"/>
          <w:lang w:eastAsia="es-ES"/>
        </w:rPr>
        <w:footnoteReference w:id="169"/>
      </w:r>
      <w:r w:rsidRPr="007C57D2">
        <w:rPr>
          <w:rFonts w:ascii="Times New Roman" w:hAnsi="Times New Roman"/>
          <w:sz w:val="28"/>
          <w:szCs w:val="28"/>
          <w:lang w:eastAsia="es-ES"/>
        </w:rPr>
        <w:t>, es dec</w:t>
      </w:r>
      <w:r w:rsidRPr="007C57D2">
        <w:rPr>
          <w:rFonts w:ascii="Times New Roman" w:hAnsi="Times New Roman"/>
          <w:sz w:val="28"/>
          <w:szCs w:val="28"/>
          <w:lang w:eastAsia="es-ES"/>
        </w:rPr>
        <w:t xml:space="preserve">ir, con la mayoría absoluta </w:t>
      </w:r>
      <w:r w:rsidRPr="007C57D2">
        <w:rPr>
          <w:rFonts w:ascii="Times New Roman" w:hAnsi="Times New Roman"/>
          <w:bCs/>
          <w:sz w:val="28"/>
          <w:szCs w:val="28"/>
          <w:lang w:eastAsia="es-ES"/>
        </w:rPr>
        <w:t>exigida para el efecto.</w:t>
      </w:r>
      <w:r w:rsidRPr="007C57D2">
        <w:rPr>
          <w:rFonts w:ascii="Times New Roman" w:hAnsi="Times New Roman"/>
          <w:sz w:val="28"/>
          <w:szCs w:val="28"/>
          <w:lang w:eastAsia="es-ES"/>
        </w:rPr>
        <w:t xml:space="preserve"> Con esta votación</w:t>
      </w:r>
      <w:r w:rsidRPr="007C57D2">
        <w:rPr>
          <w:rFonts w:ascii="Times New Roman" w:hAnsi="Times New Roman"/>
          <w:sz w:val="28"/>
          <w:szCs w:val="28"/>
          <w:lang w:eastAsia="es-ES"/>
        </w:rPr>
        <w:t xml:space="preserve">, la Cámara </w:t>
      </w:r>
      <w:r w:rsidRPr="007C57D2">
        <w:rPr>
          <w:rFonts w:ascii="Times New Roman" w:hAnsi="Times New Roman"/>
          <w:sz w:val="28"/>
          <w:szCs w:val="28"/>
          <w:lang w:eastAsia="es-ES"/>
        </w:rPr>
        <w:t>acogió el texto aprobado por el Senado de la República.</w:t>
      </w:r>
    </w:p>
    <w:p w:rsidR="00E84710" w:rsidRPr="007C57D2" w:rsidRDefault="007C57D2" w:rsidP="008F3DAB">
      <w:pPr>
        <w:tabs>
          <w:tab w:val="left" w:pos="567"/>
        </w:tabs>
        <w:spacing w:after="0" w:line="240" w:lineRule="auto"/>
        <w:contextualSpacing/>
        <w:jc w:val="both"/>
        <w:rPr>
          <w:rFonts w:ascii="Times New Roman" w:hAnsi="Times New Roman"/>
          <w:sz w:val="28"/>
          <w:szCs w:val="28"/>
          <w:lang w:eastAsia="es-ES"/>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ES"/>
        </w:rPr>
      </w:pPr>
      <w:r w:rsidRPr="007C57D2">
        <w:rPr>
          <w:rFonts w:ascii="Times New Roman" w:hAnsi="Times New Roman"/>
          <w:i/>
          <w:iCs/>
          <w:sz w:val="28"/>
          <w:szCs w:val="28"/>
          <w:lang w:eastAsia="es-ES"/>
        </w:rPr>
        <w:t>Anuncio previo en el Senado de la República.</w:t>
      </w:r>
      <w:r w:rsidRPr="007C57D2">
        <w:rPr>
          <w:rFonts w:ascii="Times New Roman" w:hAnsi="Times New Roman"/>
          <w:sz w:val="28"/>
          <w:szCs w:val="28"/>
          <w:lang w:eastAsia="es-ES"/>
        </w:rPr>
        <w:t xml:space="preserve"> E</w:t>
      </w:r>
      <w:r w:rsidRPr="007C57D2">
        <w:rPr>
          <w:rFonts w:ascii="Times New Roman" w:hAnsi="Times New Roman"/>
          <w:sz w:val="28"/>
          <w:szCs w:val="28"/>
          <w:lang w:eastAsia="es-ES"/>
        </w:rPr>
        <w:t xml:space="preserve">n la sesión plenaria del Senado de la República del </w:t>
      </w:r>
      <w:r w:rsidRPr="007C57D2">
        <w:rPr>
          <w:rFonts w:ascii="Times New Roman" w:hAnsi="Times New Roman"/>
          <w:b/>
          <w:bCs/>
          <w:sz w:val="28"/>
          <w:szCs w:val="28"/>
          <w:lang w:eastAsia="es-ES"/>
        </w:rPr>
        <w:t>17 de junio de 2024</w:t>
      </w:r>
      <w:r w:rsidRPr="007C57D2">
        <w:rPr>
          <w:rFonts w:ascii="Times New Roman" w:hAnsi="Times New Roman"/>
          <w:sz w:val="28"/>
          <w:szCs w:val="28"/>
          <w:lang w:eastAsia="es-ES"/>
        </w:rPr>
        <w:t>,</w:t>
      </w:r>
      <w:r w:rsidRPr="007C57D2">
        <w:rPr>
          <w:rFonts w:ascii="Times New Roman" w:hAnsi="Times New Roman"/>
          <w:sz w:val="28"/>
          <w:szCs w:val="28"/>
          <w:lang w:eastAsia="es-ES"/>
        </w:rPr>
        <w:t xml:space="preserve"> el secretario del Senado anunció que el informe de conciliación del proyecto de ley 266 de 2023</w:t>
      </w:r>
      <w:r w:rsidRPr="007C57D2">
        <w:rPr>
          <w:rFonts w:ascii="Times New Roman" w:hAnsi="Times New Roman"/>
          <w:sz w:val="28"/>
          <w:szCs w:val="28"/>
          <w:lang w:eastAsia="es-ES"/>
        </w:rPr>
        <w:t>v</w:t>
      </w:r>
      <w:r w:rsidRPr="007C57D2">
        <w:rPr>
          <w:rFonts w:ascii="Times New Roman" w:hAnsi="Times New Roman"/>
          <w:sz w:val="28"/>
          <w:szCs w:val="28"/>
          <w:lang w:eastAsia="es-ES"/>
        </w:rPr>
        <w:t>Cámara, y 285 de 2024, Senado, se discutiría en la sesión plenaria</w:t>
      </w:r>
      <w:r w:rsidRPr="007C57D2">
        <w:rPr>
          <w:rFonts w:ascii="Times New Roman" w:hAnsi="Times New Roman"/>
          <w:sz w:val="28"/>
          <w:szCs w:val="28"/>
          <w:lang w:eastAsia="es-ES"/>
        </w:rPr>
        <w:t xml:space="preserve"> “siguiente a la del día el lunes 17 de junio de 2024”</w:t>
      </w:r>
      <w:r w:rsidRPr="007C57D2">
        <w:rPr>
          <w:rStyle w:val="Refdenotaalpie"/>
          <w:rFonts w:ascii="Times New Roman" w:hAnsi="Times New Roman"/>
          <w:sz w:val="28"/>
          <w:lang w:eastAsia="es-ES"/>
        </w:rPr>
        <w:footnoteReference w:id="170"/>
      </w:r>
      <w:r w:rsidRPr="007C57D2">
        <w:rPr>
          <w:rFonts w:ascii="Times New Roman" w:hAnsi="Times New Roman"/>
          <w:sz w:val="28"/>
          <w:szCs w:val="28"/>
          <w:lang w:eastAsia="es-ES"/>
        </w:rPr>
        <w:t>.</w:t>
      </w: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i/>
          <w:iCs/>
          <w:sz w:val="28"/>
          <w:szCs w:val="28"/>
          <w:lang w:eastAsia="es-ES"/>
        </w:rPr>
        <w:t>Discusión y aprobación del informe d</w:t>
      </w:r>
      <w:r w:rsidRPr="007C57D2">
        <w:rPr>
          <w:rFonts w:ascii="Times New Roman" w:hAnsi="Times New Roman"/>
          <w:i/>
          <w:iCs/>
          <w:sz w:val="28"/>
          <w:szCs w:val="28"/>
          <w:lang w:eastAsia="es-ES"/>
        </w:rPr>
        <w:t>e conciliación del PLE en el Senado de la República.</w:t>
      </w:r>
      <w:r w:rsidRPr="007C57D2">
        <w:rPr>
          <w:rFonts w:ascii="Times New Roman" w:hAnsi="Times New Roman"/>
          <w:b/>
          <w:bCs/>
          <w:sz w:val="28"/>
          <w:szCs w:val="28"/>
          <w:lang w:eastAsia="es-ES"/>
        </w:rPr>
        <w:t xml:space="preserve"> </w:t>
      </w:r>
      <w:r w:rsidRPr="007C57D2">
        <w:rPr>
          <w:rFonts w:ascii="Times New Roman" w:hAnsi="Times New Roman"/>
          <w:sz w:val="28"/>
          <w:szCs w:val="28"/>
          <w:shd w:val="clear" w:color="auto" w:fill="FFFFFF"/>
        </w:rPr>
        <w:t xml:space="preserve">La siguiente sesión tuvo lugar el </w:t>
      </w:r>
      <w:r w:rsidRPr="007C57D2">
        <w:rPr>
          <w:rFonts w:ascii="Times New Roman" w:hAnsi="Times New Roman"/>
          <w:b/>
          <w:bCs/>
          <w:sz w:val="28"/>
          <w:szCs w:val="28"/>
          <w:shd w:val="clear" w:color="auto" w:fill="FFFFFF"/>
        </w:rPr>
        <w:t>18 de junio de 2024</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(un día después a la publicación del informe de conciliación) </w:t>
      </w:r>
      <w:r w:rsidRPr="007C57D2">
        <w:rPr>
          <w:rFonts w:ascii="Times New Roman" w:hAnsi="Times New Roman"/>
          <w:sz w:val="28"/>
          <w:szCs w:val="28"/>
          <w:shd w:val="clear" w:color="auto" w:fill="FFFFFF"/>
        </w:rPr>
        <w:t xml:space="preserve">y en ella el secretario del Senado realizó el llamado a lista, verificó el </w:t>
      </w:r>
      <w:r w:rsidRPr="007C57D2">
        <w:rPr>
          <w:rFonts w:ascii="Times New Roman" w:hAnsi="Times New Roman"/>
          <w:i/>
          <w:iCs/>
          <w:sz w:val="28"/>
          <w:szCs w:val="28"/>
          <w:shd w:val="clear" w:color="auto" w:fill="FFFFFF"/>
        </w:rPr>
        <w:t>qu</w:t>
      </w:r>
      <w:r w:rsidRPr="007C57D2">
        <w:rPr>
          <w:rFonts w:ascii="Times New Roman" w:hAnsi="Times New Roman"/>
          <w:i/>
          <w:iCs/>
          <w:sz w:val="28"/>
          <w:szCs w:val="28"/>
          <w:shd w:val="clear" w:color="auto" w:fill="FFFFFF"/>
        </w:rPr>
        <w:t>o</w:t>
      </w:r>
      <w:r w:rsidRPr="007C57D2">
        <w:rPr>
          <w:rFonts w:ascii="Times New Roman" w:hAnsi="Times New Roman"/>
          <w:i/>
          <w:iCs/>
          <w:sz w:val="28"/>
          <w:szCs w:val="28"/>
          <w:shd w:val="clear" w:color="auto" w:fill="FFFFFF"/>
        </w:rPr>
        <w:t>rum</w:t>
      </w:r>
      <w:r w:rsidRPr="007C57D2">
        <w:rPr>
          <w:rFonts w:ascii="Times New Roman" w:hAnsi="Times New Roman"/>
          <w:sz w:val="28"/>
          <w:szCs w:val="28"/>
          <w:shd w:val="clear" w:color="auto" w:fill="FFFFFF"/>
        </w:rPr>
        <w:t xml:space="preserve"> deliberatorio y decisorio</w:t>
      </w:r>
      <w:r w:rsidRPr="007C57D2">
        <w:rPr>
          <w:rFonts w:ascii="Times New Roman" w:hAnsi="Times New Roman"/>
          <w:sz w:val="28"/>
          <w:szCs w:val="28"/>
          <w:shd w:val="clear" w:color="auto" w:fill="FFFFFF"/>
        </w:rPr>
        <w:t xml:space="preserve"> (96 senadores)</w:t>
      </w:r>
      <w:r w:rsidRPr="007C57D2">
        <w:rPr>
          <w:rStyle w:val="Refdenotaalpie"/>
          <w:rFonts w:ascii="Times New Roman" w:hAnsi="Times New Roman"/>
          <w:sz w:val="28"/>
          <w:szCs w:val="28"/>
          <w:shd w:val="clear" w:color="auto" w:fill="FFFFFF"/>
        </w:rPr>
        <w:footnoteReference w:id="171"/>
      </w:r>
      <w:r w:rsidRPr="007C57D2">
        <w:rPr>
          <w:rFonts w:ascii="Times New Roman" w:hAnsi="Times New Roman"/>
          <w:sz w:val="28"/>
          <w:szCs w:val="28"/>
          <w:shd w:val="clear" w:color="auto" w:fill="FFFFFF"/>
        </w:rPr>
        <w:t xml:space="preserve"> y anunció el debate del informe de conciliación en el orden del día</w:t>
      </w:r>
      <w:r w:rsidRPr="007C57D2">
        <w:rPr>
          <w:rStyle w:val="Refdenotaalpie"/>
          <w:rFonts w:ascii="Times New Roman" w:hAnsi="Times New Roman"/>
          <w:sz w:val="28"/>
          <w:szCs w:val="28"/>
          <w:shd w:val="clear" w:color="auto" w:fill="FFFFFF"/>
        </w:rPr>
        <w:footnoteReference w:id="172"/>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Enseguida</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la Mesa directiva </w:t>
      </w:r>
      <w:r w:rsidRPr="007C57D2">
        <w:rPr>
          <w:rFonts w:ascii="Times New Roman" w:hAnsi="Times New Roman"/>
          <w:sz w:val="28"/>
          <w:szCs w:val="28"/>
          <w:shd w:val="clear" w:color="auto" w:fill="FFFFFF"/>
        </w:rPr>
        <w:t xml:space="preserve">dio lectura al informe de conciliación y </w:t>
      </w:r>
      <w:r w:rsidRPr="007C57D2">
        <w:rPr>
          <w:rFonts w:ascii="Times New Roman" w:hAnsi="Times New Roman"/>
          <w:sz w:val="28"/>
          <w:szCs w:val="28"/>
          <w:shd w:val="clear" w:color="auto" w:fill="FFFFFF"/>
        </w:rPr>
        <w:t xml:space="preserve">lo </w:t>
      </w:r>
      <w:r w:rsidRPr="007C57D2">
        <w:rPr>
          <w:rFonts w:ascii="Times New Roman" w:hAnsi="Times New Roman"/>
          <w:sz w:val="28"/>
          <w:szCs w:val="28"/>
          <w:shd w:val="clear" w:color="auto" w:fill="FFFFFF"/>
        </w:rPr>
        <w:t>sometió a consideración de la plenaria del Senado, obteniendo una apro</w:t>
      </w:r>
      <w:r w:rsidRPr="007C57D2">
        <w:rPr>
          <w:rFonts w:ascii="Times New Roman" w:hAnsi="Times New Roman"/>
          <w:sz w:val="28"/>
          <w:szCs w:val="28"/>
          <w:shd w:val="clear" w:color="auto" w:fill="FFFFFF"/>
        </w:rPr>
        <w:t xml:space="preserve">bación favorable de </w:t>
      </w:r>
      <w:r w:rsidRPr="007C57D2">
        <w:rPr>
          <w:rFonts w:ascii="Times New Roman" w:hAnsi="Times New Roman"/>
          <w:b/>
          <w:bCs/>
          <w:sz w:val="28"/>
          <w:szCs w:val="28"/>
          <w:shd w:val="clear" w:color="auto" w:fill="FFFFFF"/>
        </w:rPr>
        <w:t xml:space="preserve">65 votos por el </w:t>
      </w:r>
      <w:r w:rsidRPr="007C57D2">
        <w:rPr>
          <w:rFonts w:ascii="Times New Roman" w:hAnsi="Times New Roman"/>
          <w:b/>
          <w:bCs/>
          <w:sz w:val="28"/>
          <w:szCs w:val="28"/>
          <w:shd w:val="clear" w:color="auto" w:fill="FFFFFF"/>
        </w:rPr>
        <w:t>SÍ</w:t>
      </w:r>
      <w:r w:rsidRPr="007C57D2">
        <w:rPr>
          <w:rFonts w:ascii="Times New Roman" w:hAnsi="Times New Roman"/>
          <w:b/>
          <w:bCs/>
          <w:sz w:val="28"/>
          <w:szCs w:val="28"/>
          <w:shd w:val="clear" w:color="auto" w:fill="FFFFFF"/>
        </w:rPr>
        <w:t xml:space="preserve"> o 0 por el </w:t>
      </w:r>
      <w:r w:rsidRPr="007C57D2">
        <w:rPr>
          <w:rFonts w:ascii="Times New Roman" w:hAnsi="Times New Roman"/>
          <w:b/>
          <w:bCs/>
          <w:sz w:val="28"/>
          <w:szCs w:val="28"/>
          <w:shd w:val="clear" w:color="auto" w:fill="FFFFFF"/>
        </w:rPr>
        <w:t>NO</w:t>
      </w:r>
      <w:r w:rsidRPr="007C57D2">
        <w:rPr>
          <w:rStyle w:val="Refdenotaalpie"/>
          <w:rFonts w:ascii="Times New Roman" w:hAnsi="Times New Roman"/>
          <w:sz w:val="28"/>
          <w:szCs w:val="28"/>
          <w:shd w:val="clear" w:color="auto" w:fill="FFFFFF"/>
        </w:rPr>
        <w:footnoteReference w:id="173"/>
      </w:r>
      <w:r w:rsidRPr="007C57D2">
        <w:rPr>
          <w:rFonts w:ascii="Times New Roman" w:hAnsi="Times New Roman"/>
          <w:b/>
          <w:bCs/>
          <w:sz w:val="28"/>
          <w:szCs w:val="28"/>
          <w:shd w:val="clear" w:color="auto" w:fill="FFFFFF"/>
        </w:rPr>
        <w:t>.</w:t>
      </w:r>
      <w:r w:rsidRPr="007C57D2">
        <w:rPr>
          <w:rFonts w:ascii="Times New Roman" w:hAnsi="Times New Roman"/>
          <w:sz w:val="28"/>
          <w:szCs w:val="28"/>
          <w:shd w:val="clear" w:color="auto" w:fill="FFFFFF"/>
        </w:rPr>
        <w:t xml:space="preserve"> La votación fue nominal y pública y el informe de conciliación fue aprobado por mayoría absoluta</w:t>
      </w:r>
      <w:r w:rsidRPr="007C57D2">
        <w:rPr>
          <w:rStyle w:val="Refdenotaalpie"/>
          <w:rFonts w:ascii="Times New Roman" w:hAnsi="Times New Roman"/>
          <w:sz w:val="28"/>
          <w:szCs w:val="28"/>
          <w:shd w:val="clear" w:color="auto" w:fill="FFFFFF"/>
        </w:rPr>
        <w:footnoteReference w:id="174"/>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Con ello, el presidente del Senado dio por aprobado el informe de conciliación</w:t>
      </w:r>
      <w:r w:rsidRPr="007C57D2">
        <w:rPr>
          <w:rStyle w:val="Refdenotaalpie"/>
          <w:rFonts w:ascii="Times New Roman" w:hAnsi="Times New Roman"/>
          <w:sz w:val="28"/>
          <w:szCs w:val="28"/>
          <w:shd w:val="clear" w:color="auto" w:fill="FFFFFF"/>
        </w:rPr>
        <w:footnoteReference w:id="175"/>
      </w:r>
      <w:r w:rsidRPr="007C57D2">
        <w:rPr>
          <w:rFonts w:ascii="Times New Roman" w:hAnsi="Times New Roman"/>
          <w:sz w:val="28"/>
          <w:szCs w:val="28"/>
          <w:shd w:val="clear" w:color="auto" w:fill="FFFFFF"/>
        </w:rPr>
        <w:t>.</w:t>
      </w:r>
    </w:p>
    <w:p w:rsidR="00E84710"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E84710"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A partir de lo </w:t>
      </w:r>
      <w:r w:rsidRPr="007C57D2">
        <w:rPr>
          <w:rFonts w:ascii="Times New Roman" w:hAnsi="Times New Roman"/>
          <w:sz w:val="28"/>
          <w:szCs w:val="28"/>
          <w:shd w:val="clear" w:color="auto" w:fill="FFFFFF"/>
        </w:rPr>
        <w:t>anterior, la Sala constata que se cumplió con el tercer momento de la conciliación y, por tanto, se da por satisfecha esta etapa en el trámite legislativo</w:t>
      </w:r>
      <w:r w:rsidRPr="007C57D2">
        <w:rPr>
          <w:rFonts w:ascii="Times New Roman" w:hAnsi="Times New Roman"/>
          <w:sz w:val="28"/>
          <w:szCs w:val="28"/>
          <w:shd w:val="clear" w:color="auto" w:fill="FFFFFF"/>
        </w:rPr>
        <w:t xml:space="preserve">. Dicho trámite </w:t>
      </w:r>
      <w:r w:rsidRPr="007C57D2">
        <w:rPr>
          <w:rFonts w:ascii="Times New Roman" w:hAnsi="Times New Roman"/>
          <w:sz w:val="28"/>
          <w:szCs w:val="28"/>
          <w:shd w:val="clear" w:color="auto" w:fill="FFFFFF"/>
        </w:rPr>
        <w:t>consta en las siguientes actas y gacetas:</w:t>
      </w:r>
    </w:p>
    <w:p w:rsidR="00E847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4283"/>
        <w:gridCol w:w="1603"/>
      </w:tblGrid>
      <w:tr w:rsidR="00A0085A" w:rsidRPr="007C57D2" w:rsidTr="007C57D2">
        <w:tc>
          <w:tcPr>
            <w:tcW w:w="8828" w:type="dxa"/>
            <w:gridSpan w:val="3"/>
            <w:shd w:val="clear" w:color="auto" w:fill="auto"/>
          </w:tcPr>
          <w:p w:rsidR="009354F4" w:rsidRPr="007C57D2" w:rsidRDefault="007C57D2" w:rsidP="007C57D2">
            <w:pPr>
              <w:pStyle w:val="Prrafodelista"/>
              <w:tabs>
                <w:tab w:val="left" w:pos="360"/>
              </w:tabs>
              <w:ind w:left="0"/>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 xml:space="preserve">Trámite de conciliación del proyecto de ley </w:t>
            </w:r>
          </w:p>
          <w:p w:rsidR="009354F4"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b/>
                <w:bCs/>
                <w:sz w:val="28"/>
                <w:shd w:val="clear" w:color="auto" w:fill="FFFFFF"/>
              </w:rPr>
              <w:t>266 de 2023, Cámara, y 285 de 2024, Senado</w:t>
            </w:r>
          </w:p>
        </w:tc>
      </w:tr>
      <w:tr w:rsidR="00A0085A" w:rsidRPr="007C57D2" w:rsidTr="007C57D2">
        <w:tc>
          <w:tcPr>
            <w:tcW w:w="2942" w:type="dxa"/>
            <w:shd w:val="clear" w:color="auto" w:fill="auto"/>
          </w:tcPr>
          <w:p w:rsidR="008535C6" w:rsidRPr="007C57D2" w:rsidRDefault="007C57D2" w:rsidP="007C57D2">
            <w:pPr>
              <w:pStyle w:val="Prrafodelista"/>
              <w:tabs>
                <w:tab w:val="left" w:pos="360"/>
              </w:tabs>
              <w:ind w:left="0"/>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Requisito</w:t>
            </w:r>
          </w:p>
        </w:tc>
        <w:tc>
          <w:tcPr>
            <w:tcW w:w="4283" w:type="dxa"/>
            <w:shd w:val="clear" w:color="auto" w:fill="auto"/>
          </w:tcPr>
          <w:p w:rsidR="008535C6" w:rsidRPr="007C57D2" w:rsidRDefault="007C57D2" w:rsidP="007C57D2">
            <w:pPr>
              <w:pStyle w:val="Prrafodelista"/>
              <w:tabs>
                <w:tab w:val="left" w:pos="360"/>
              </w:tabs>
              <w:ind w:left="0"/>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Detalle</w:t>
            </w:r>
          </w:p>
        </w:tc>
        <w:tc>
          <w:tcPr>
            <w:tcW w:w="1603" w:type="dxa"/>
            <w:shd w:val="clear" w:color="auto" w:fill="auto"/>
          </w:tcPr>
          <w:p w:rsidR="008535C6" w:rsidRPr="007C57D2" w:rsidRDefault="007C57D2" w:rsidP="007C57D2">
            <w:pPr>
              <w:pStyle w:val="Prrafodelista"/>
              <w:tabs>
                <w:tab w:val="left" w:pos="360"/>
              </w:tabs>
              <w:ind w:left="0"/>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Resultado</w:t>
            </w:r>
          </w:p>
        </w:tc>
      </w:tr>
      <w:tr w:rsidR="00A0085A" w:rsidRPr="007C57D2" w:rsidTr="007C57D2">
        <w:tc>
          <w:tcPr>
            <w:tcW w:w="2942" w:type="dxa"/>
            <w:shd w:val="clear" w:color="auto" w:fill="auto"/>
            <w:vAlign w:val="center"/>
          </w:tcPr>
          <w:p w:rsidR="009354F4"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Publicación del informe de conciliación</w:t>
            </w:r>
          </w:p>
        </w:tc>
        <w:tc>
          <w:tcPr>
            <w:tcW w:w="4283" w:type="dxa"/>
            <w:shd w:val="clear" w:color="auto" w:fill="auto"/>
          </w:tcPr>
          <w:p w:rsidR="009354F4"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Gacetas n.° 904 y 907 del 17 de junio de 2024</w:t>
            </w:r>
          </w:p>
        </w:tc>
        <w:tc>
          <w:tcPr>
            <w:tcW w:w="1603" w:type="dxa"/>
            <w:shd w:val="clear" w:color="auto" w:fill="auto"/>
            <w:vAlign w:val="center"/>
          </w:tcPr>
          <w:p w:rsidR="009354F4"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C</w:t>
            </w:r>
            <w:r w:rsidRPr="007C57D2">
              <w:rPr>
                <w:rFonts w:ascii="Times New Roman" w:hAnsi="Times New Roman"/>
                <w:sz w:val="28"/>
                <w:shd w:val="clear" w:color="auto" w:fill="FFFFFF"/>
              </w:rPr>
              <w:t>umple</w:t>
            </w:r>
          </w:p>
        </w:tc>
      </w:tr>
      <w:tr w:rsidR="00A0085A" w:rsidRPr="007C57D2" w:rsidTr="007C57D2">
        <w:tc>
          <w:tcPr>
            <w:tcW w:w="2942"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 xml:space="preserve">Anuncio previo en la Cámara de </w:t>
            </w:r>
            <w:r w:rsidRPr="007C57D2">
              <w:rPr>
                <w:rFonts w:ascii="Times New Roman" w:hAnsi="Times New Roman"/>
                <w:sz w:val="28"/>
                <w:shd w:val="clear" w:color="auto" w:fill="FFFFFF"/>
              </w:rPr>
              <w:t>Representantes</w:t>
            </w:r>
          </w:p>
        </w:tc>
        <w:tc>
          <w:tcPr>
            <w:tcW w:w="4283" w:type="dxa"/>
            <w:shd w:val="clear" w:color="auto" w:fill="auto"/>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rPr>
              <w:t>Acta número 154 del 18 de junio de 2024 Gaceta del Congreso n.° 1619 del 1 de octubre de 2024</w:t>
            </w:r>
          </w:p>
        </w:tc>
        <w:tc>
          <w:tcPr>
            <w:tcW w:w="1603"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i/>
                <w:iCs/>
                <w:sz w:val="28"/>
                <w:shd w:val="clear" w:color="auto" w:fill="FFFFFF"/>
              </w:rPr>
            </w:pPr>
            <w:r w:rsidRPr="007C57D2">
              <w:rPr>
                <w:rFonts w:ascii="Times New Roman" w:hAnsi="Times New Roman"/>
                <w:sz w:val="28"/>
                <w:shd w:val="clear" w:color="auto" w:fill="FFFFFF"/>
              </w:rPr>
              <w:t>Cumple</w:t>
            </w:r>
          </w:p>
        </w:tc>
      </w:tr>
      <w:tr w:rsidR="00A0085A" w:rsidRPr="007C57D2" w:rsidTr="007C57D2">
        <w:tc>
          <w:tcPr>
            <w:tcW w:w="2942"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Deliberación y aprobación por la Plenaria de la Cámara de Representantes</w:t>
            </w:r>
          </w:p>
        </w:tc>
        <w:tc>
          <w:tcPr>
            <w:tcW w:w="4283" w:type="dxa"/>
            <w:shd w:val="clear" w:color="auto" w:fill="auto"/>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 xml:space="preserve">Acta número 155 del 19 de junio de 2024 Gaceta del Congreso n.° </w:t>
            </w:r>
            <w:r w:rsidRPr="007C57D2">
              <w:rPr>
                <w:rFonts w:ascii="Times New Roman" w:hAnsi="Times New Roman"/>
                <w:sz w:val="28"/>
                <w:shd w:val="clear" w:color="auto" w:fill="FFFFFF"/>
              </w:rPr>
              <w:t>1799 del 24 de octubre de 2024</w:t>
            </w:r>
          </w:p>
        </w:tc>
        <w:tc>
          <w:tcPr>
            <w:tcW w:w="1603"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i/>
                <w:iCs/>
                <w:sz w:val="28"/>
                <w:shd w:val="clear" w:color="auto" w:fill="FFFFFF"/>
              </w:rPr>
            </w:pPr>
            <w:r w:rsidRPr="007C57D2">
              <w:rPr>
                <w:rFonts w:ascii="Times New Roman" w:hAnsi="Times New Roman"/>
                <w:sz w:val="28"/>
                <w:shd w:val="clear" w:color="auto" w:fill="FFFFFF"/>
              </w:rPr>
              <w:t>Cumple</w:t>
            </w:r>
          </w:p>
        </w:tc>
      </w:tr>
      <w:tr w:rsidR="00A0085A" w:rsidRPr="007C57D2" w:rsidTr="007C57D2">
        <w:tc>
          <w:tcPr>
            <w:tcW w:w="2942"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Anuncio previo en el Senado de la República</w:t>
            </w:r>
          </w:p>
        </w:tc>
        <w:tc>
          <w:tcPr>
            <w:tcW w:w="4283" w:type="dxa"/>
            <w:shd w:val="clear" w:color="auto" w:fill="auto"/>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Acta número 79 del 17 de junio de 2024 Gaceta del Congreso n.° 30 del 7 de febrero de 2025</w:t>
            </w:r>
          </w:p>
        </w:tc>
        <w:tc>
          <w:tcPr>
            <w:tcW w:w="1603"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i/>
                <w:iCs/>
                <w:sz w:val="28"/>
                <w:shd w:val="clear" w:color="auto" w:fill="FFFFFF"/>
              </w:rPr>
            </w:pPr>
            <w:r w:rsidRPr="007C57D2">
              <w:rPr>
                <w:rFonts w:ascii="Times New Roman" w:hAnsi="Times New Roman"/>
                <w:sz w:val="28"/>
                <w:shd w:val="clear" w:color="auto" w:fill="FFFFFF"/>
              </w:rPr>
              <w:t>Cumple</w:t>
            </w:r>
          </w:p>
        </w:tc>
      </w:tr>
      <w:tr w:rsidR="000237A4" w:rsidRPr="007C57D2" w:rsidTr="007C57D2">
        <w:tc>
          <w:tcPr>
            <w:tcW w:w="2942"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Deliberación y aprobación por la Plenaria del Senado de la República</w:t>
            </w:r>
          </w:p>
        </w:tc>
        <w:tc>
          <w:tcPr>
            <w:tcW w:w="4283" w:type="dxa"/>
            <w:shd w:val="clear" w:color="auto" w:fill="auto"/>
          </w:tcPr>
          <w:p w:rsidR="006C7EC2" w:rsidRPr="007C57D2" w:rsidRDefault="007C57D2" w:rsidP="007C57D2">
            <w:pPr>
              <w:pStyle w:val="Prrafodelista"/>
              <w:tabs>
                <w:tab w:val="left" w:pos="360"/>
              </w:tabs>
              <w:ind w:left="0"/>
              <w:jc w:val="center"/>
              <w:rPr>
                <w:rFonts w:ascii="Times New Roman" w:hAnsi="Times New Roman"/>
                <w:sz w:val="28"/>
                <w:shd w:val="clear" w:color="auto" w:fill="FFFFFF"/>
              </w:rPr>
            </w:pPr>
            <w:r w:rsidRPr="007C57D2">
              <w:rPr>
                <w:rFonts w:ascii="Times New Roman" w:hAnsi="Times New Roman"/>
                <w:sz w:val="28"/>
                <w:shd w:val="clear" w:color="auto" w:fill="FFFFFF"/>
              </w:rPr>
              <w:t xml:space="preserve">Acta </w:t>
            </w:r>
            <w:r w:rsidRPr="007C57D2">
              <w:rPr>
                <w:rFonts w:ascii="Times New Roman" w:hAnsi="Times New Roman"/>
                <w:sz w:val="28"/>
                <w:shd w:val="clear" w:color="auto" w:fill="FFFFFF"/>
              </w:rPr>
              <w:t>número 80 del 18 de junio de 2024 Gaceta del Congreso n.° 161 del 24 de febrero de 2025</w:t>
            </w:r>
          </w:p>
        </w:tc>
        <w:tc>
          <w:tcPr>
            <w:tcW w:w="1603" w:type="dxa"/>
            <w:shd w:val="clear" w:color="auto" w:fill="auto"/>
            <w:vAlign w:val="center"/>
          </w:tcPr>
          <w:p w:rsidR="006C7EC2" w:rsidRPr="007C57D2" w:rsidRDefault="007C57D2" w:rsidP="007C57D2">
            <w:pPr>
              <w:pStyle w:val="Prrafodelista"/>
              <w:tabs>
                <w:tab w:val="left" w:pos="360"/>
              </w:tabs>
              <w:ind w:left="0"/>
              <w:jc w:val="center"/>
              <w:rPr>
                <w:rFonts w:ascii="Times New Roman" w:hAnsi="Times New Roman"/>
                <w:i/>
                <w:iCs/>
                <w:sz w:val="28"/>
                <w:shd w:val="clear" w:color="auto" w:fill="FFFFFF"/>
              </w:rPr>
            </w:pPr>
            <w:r w:rsidRPr="007C57D2">
              <w:rPr>
                <w:rFonts w:ascii="Times New Roman" w:hAnsi="Times New Roman"/>
                <w:sz w:val="28"/>
                <w:shd w:val="clear" w:color="auto" w:fill="FFFFFF"/>
              </w:rPr>
              <w:t>Cumple</w:t>
            </w:r>
          </w:p>
        </w:tc>
      </w:tr>
    </w:tbl>
    <w:p w:rsidR="009354F4" w:rsidRPr="007C57D2" w:rsidRDefault="007C57D2" w:rsidP="008F3DAB">
      <w:pPr>
        <w:pStyle w:val="Prrafodelista"/>
        <w:tabs>
          <w:tab w:val="left" w:pos="360"/>
        </w:tabs>
        <w:ind w:left="0"/>
        <w:jc w:val="center"/>
        <w:rPr>
          <w:rFonts w:ascii="Times New Roman" w:hAnsi="Times New Roman"/>
          <w:i/>
          <w:iCs/>
          <w:sz w:val="28"/>
          <w:shd w:val="clear" w:color="auto" w:fill="FFFFFF"/>
        </w:rPr>
      </w:pPr>
      <w:r w:rsidRPr="007C57D2">
        <w:rPr>
          <w:rFonts w:ascii="Times New Roman" w:hAnsi="Times New Roman"/>
          <w:sz w:val="28"/>
          <w:shd w:val="clear" w:color="auto" w:fill="FFFFFF"/>
        </w:rPr>
        <w:t>Tabla 1</w:t>
      </w:r>
      <w:r w:rsidRPr="007C57D2">
        <w:rPr>
          <w:rFonts w:ascii="Times New Roman" w:hAnsi="Times New Roman"/>
          <w:sz w:val="28"/>
          <w:shd w:val="clear" w:color="auto" w:fill="FFFFFF"/>
        </w:rPr>
        <w:t>7</w:t>
      </w:r>
      <w:r w:rsidRPr="007C57D2">
        <w:rPr>
          <w:rFonts w:ascii="Times New Roman" w:hAnsi="Times New Roman"/>
          <w:sz w:val="28"/>
          <w:shd w:val="clear" w:color="auto" w:fill="FFFFFF"/>
        </w:rPr>
        <w:t xml:space="preserve">. </w:t>
      </w:r>
      <w:r w:rsidRPr="007C57D2">
        <w:rPr>
          <w:rFonts w:ascii="Times New Roman" w:hAnsi="Times New Roman"/>
          <w:i/>
          <w:iCs/>
          <w:sz w:val="28"/>
          <w:shd w:val="clear" w:color="auto" w:fill="FFFFFF"/>
        </w:rPr>
        <w:t>Trámite de conciliación</w:t>
      </w:r>
    </w:p>
    <w:p w:rsidR="009B5E10" w:rsidRPr="007C57D2" w:rsidRDefault="007C57D2" w:rsidP="008F3DAB">
      <w:pPr>
        <w:pStyle w:val="Prrafodelista"/>
        <w:tabs>
          <w:tab w:val="left" w:pos="360"/>
        </w:tabs>
        <w:ind w:left="0"/>
        <w:jc w:val="both"/>
        <w:rPr>
          <w:rFonts w:ascii="Times New Roman" w:hAnsi="Times New Roman"/>
          <w:sz w:val="28"/>
          <w:szCs w:val="28"/>
          <w:shd w:val="clear" w:color="auto" w:fill="FFFFFF"/>
        </w:rPr>
      </w:pPr>
    </w:p>
    <w:p w:rsidR="00030338"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4.5. Naturaleza de las sesiones para la discusión del PLE y su aprobación dentro de una sola legislatura</w:t>
      </w:r>
    </w:p>
    <w:p w:rsidR="00030338"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9354F4"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El artículo 153 de la Constitución exige que los proyectos de leyes estatutarias </w:t>
      </w:r>
      <w:r w:rsidRPr="007C57D2">
        <w:rPr>
          <w:rFonts w:ascii="Times New Roman" w:hAnsi="Times New Roman"/>
          <w:sz w:val="28"/>
          <w:szCs w:val="28"/>
          <w:shd w:val="clear" w:color="auto" w:fill="FFFFFF"/>
        </w:rPr>
        <w:t>se</w:t>
      </w:r>
      <w:r w:rsidRPr="007C57D2">
        <w:rPr>
          <w:rFonts w:ascii="Times New Roman" w:hAnsi="Times New Roman"/>
          <w:sz w:val="28"/>
          <w:szCs w:val="28"/>
          <w:shd w:val="clear" w:color="auto" w:fill="FFFFFF"/>
        </w:rPr>
        <w:t xml:space="preserve"> tramit</w:t>
      </w:r>
      <w:r w:rsidRPr="007C57D2">
        <w:rPr>
          <w:rFonts w:ascii="Times New Roman" w:hAnsi="Times New Roman"/>
          <w:sz w:val="28"/>
          <w:szCs w:val="28"/>
          <w:shd w:val="clear" w:color="auto" w:fill="FFFFFF"/>
        </w:rPr>
        <w:t xml:space="preserve">en </w:t>
      </w:r>
      <w:r w:rsidRPr="007C57D2">
        <w:rPr>
          <w:rFonts w:ascii="Times New Roman" w:hAnsi="Times New Roman"/>
          <w:sz w:val="28"/>
          <w:szCs w:val="28"/>
          <w:shd w:val="clear" w:color="auto" w:fill="FFFFFF"/>
        </w:rPr>
        <w:t>en una sola legislatura</w:t>
      </w:r>
      <w:r w:rsidRPr="007C57D2">
        <w:rPr>
          <w:rStyle w:val="Refdenotaalpie"/>
          <w:rFonts w:ascii="Times New Roman" w:hAnsi="Times New Roman"/>
          <w:sz w:val="28"/>
          <w:szCs w:val="28"/>
          <w:shd w:val="clear" w:color="auto" w:fill="FFFFFF"/>
        </w:rPr>
        <w:footnoteReference w:id="176"/>
      </w:r>
      <w:r w:rsidRPr="007C57D2">
        <w:rPr>
          <w:rFonts w:ascii="Times New Roman" w:hAnsi="Times New Roman"/>
          <w:sz w:val="28"/>
          <w:szCs w:val="28"/>
          <w:shd w:val="clear" w:color="auto" w:fill="FFFFFF"/>
        </w:rPr>
        <w:t>, que</w:t>
      </w:r>
      <w:r w:rsidRPr="007C57D2">
        <w:rPr>
          <w:rFonts w:ascii="Times New Roman" w:hAnsi="Times New Roman"/>
          <w:sz w:val="28"/>
          <w:szCs w:val="28"/>
          <w:shd w:val="clear" w:color="auto" w:fill="FFFFFF"/>
        </w:rPr>
        <w:t>, en concordancia con el artículo 138 superior,</w:t>
      </w:r>
      <w:r w:rsidRPr="007C57D2">
        <w:rPr>
          <w:rFonts w:ascii="Times New Roman" w:hAnsi="Times New Roman"/>
          <w:sz w:val="28"/>
          <w:szCs w:val="28"/>
          <w:shd w:val="clear" w:color="auto" w:fill="FFFFFF"/>
        </w:rPr>
        <w:t xml:space="preserve"> comprende dos periodos</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del 20 de julio al 16 de diciembre y del 16 de febrero al 20 de junio</w:t>
      </w:r>
      <w:r w:rsidRPr="007C57D2">
        <w:rPr>
          <w:rStyle w:val="Refdenotaalpie"/>
          <w:rFonts w:ascii="Times New Roman" w:hAnsi="Times New Roman"/>
          <w:sz w:val="28"/>
          <w:szCs w:val="28"/>
          <w:shd w:val="clear" w:color="auto" w:fill="FFFFFF"/>
        </w:rPr>
        <w:footnoteReference w:id="177"/>
      </w:r>
      <w:r w:rsidRPr="007C57D2">
        <w:rPr>
          <w:rFonts w:ascii="Times New Roman" w:hAnsi="Times New Roman"/>
          <w:sz w:val="28"/>
          <w:szCs w:val="28"/>
          <w:shd w:val="clear" w:color="auto" w:fill="FFFFFF"/>
        </w:rPr>
        <w:t xml:space="preserve">. </w:t>
      </w:r>
    </w:p>
    <w:p w:rsidR="009354F4" w:rsidRPr="007C57D2" w:rsidRDefault="007C57D2" w:rsidP="008F3DAB">
      <w:pPr>
        <w:tabs>
          <w:tab w:val="left" w:pos="567"/>
        </w:tabs>
        <w:spacing w:after="0" w:line="240" w:lineRule="auto"/>
        <w:ind w:hanging="11"/>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hanging="11"/>
        <w:jc w:val="both"/>
        <w:rPr>
          <w:rFonts w:ascii="Times New Roman" w:hAnsi="Times New Roman"/>
          <w:b/>
          <w:bCs/>
          <w:sz w:val="28"/>
          <w:szCs w:val="28"/>
          <w:shd w:val="clear" w:color="auto" w:fill="FFFFFF"/>
        </w:rPr>
      </w:pPr>
      <w:r w:rsidRPr="007C57D2">
        <w:rPr>
          <w:rFonts w:ascii="Times New Roman" w:hAnsi="Times New Roman"/>
          <w:sz w:val="28"/>
          <w:szCs w:val="28"/>
          <w:shd w:val="clear" w:color="auto" w:fill="FFFFFF"/>
        </w:rPr>
        <w:t xml:space="preserve">En el presente caso, la Sala encuentra que el trámite legislativo cumplió con </w:t>
      </w:r>
      <w:r w:rsidRPr="007C57D2">
        <w:rPr>
          <w:rFonts w:ascii="Times New Roman" w:hAnsi="Times New Roman"/>
          <w:sz w:val="28"/>
          <w:szCs w:val="28"/>
          <w:shd w:val="clear" w:color="auto" w:fill="FFFFFF"/>
        </w:rPr>
        <w:t xml:space="preserve">este </w:t>
      </w:r>
      <w:r w:rsidRPr="007C57D2">
        <w:rPr>
          <w:rFonts w:ascii="Times New Roman" w:hAnsi="Times New Roman"/>
          <w:sz w:val="28"/>
          <w:szCs w:val="28"/>
          <w:shd w:val="clear" w:color="auto" w:fill="FFFFFF"/>
        </w:rPr>
        <w:t xml:space="preserve">requisito. </w:t>
      </w:r>
      <w:r w:rsidRPr="007C57D2">
        <w:rPr>
          <w:rFonts w:ascii="Times New Roman" w:hAnsi="Times New Roman"/>
          <w:sz w:val="28"/>
          <w:szCs w:val="28"/>
          <w:shd w:val="clear" w:color="auto" w:fill="FFFFFF"/>
        </w:rPr>
        <w:t>E</w:t>
      </w:r>
      <w:r w:rsidRPr="007C57D2">
        <w:rPr>
          <w:rFonts w:ascii="Times New Roman" w:hAnsi="Times New Roman"/>
          <w:sz w:val="28"/>
          <w:szCs w:val="28"/>
          <w:shd w:val="clear" w:color="auto" w:fill="FFFFFF"/>
        </w:rPr>
        <w:t>l proyecto de ley se radicó en la Cámara de Representantes el 4 de octubre de 2023</w:t>
      </w:r>
      <w:r w:rsidRPr="007C57D2">
        <w:rPr>
          <w:rStyle w:val="Refdenotaalpie"/>
          <w:rFonts w:ascii="Times New Roman" w:hAnsi="Times New Roman"/>
          <w:sz w:val="28"/>
          <w:szCs w:val="28"/>
          <w:shd w:val="clear" w:color="auto" w:fill="FFFFFF"/>
        </w:rPr>
        <w:footnoteReference w:id="178"/>
      </w:r>
      <w:r w:rsidRPr="007C57D2">
        <w:rPr>
          <w:rFonts w:ascii="Times New Roman" w:hAnsi="Times New Roman"/>
          <w:sz w:val="28"/>
          <w:szCs w:val="28"/>
          <w:shd w:val="clear" w:color="auto" w:fill="FFFFFF"/>
        </w:rPr>
        <w:t xml:space="preserve"> y </w:t>
      </w:r>
      <w:r w:rsidRPr="007C57D2">
        <w:rPr>
          <w:rFonts w:ascii="Times New Roman" w:hAnsi="Times New Roman"/>
          <w:sz w:val="28"/>
          <w:szCs w:val="28"/>
          <w:shd w:val="clear" w:color="auto" w:fill="FFFFFF"/>
        </w:rPr>
        <w:t>su trámite finalizó con la aprobación del informe de conciliación por parte de la Cámara de Representantes el 19 de junio de 2024</w:t>
      </w:r>
      <w:r w:rsidRPr="007C57D2">
        <w:rPr>
          <w:rStyle w:val="Refdenotaalpie"/>
          <w:rFonts w:ascii="Times New Roman" w:hAnsi="Times New Roman"/>
          <w:sz w:val="28"/>
          <w:szCs w:val="28"/>
          <w:shd w:val="clear" w:color="auto" w:fill="FFFFFF"/>
        </w:rPr>
        <w:footnoteReference w:id="179"/>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Por tanto, el PLE</w:t>
      </w:r>
      <w:r w:rsidRPr="007C57D2">
        <w:rPr>
          <w:rFonts w:ascii="Times New Roman" w:hAnsi="Times New Roman"/>
          <w:sz w:val="28"/>
          <w:szCs w:val="28"/>
          <w:shd w:val="clear" w:color="auto" w:fill="FFFFFF"/>
        </w:rPr>
        <w:t xml:space="preserve"> se discutió y aprobó en la legislatura 2023-2024.</w:t>
      </w:r>
    </w:p>
    <w:p w:rsidR="00110AA3" w:rsidRPr="007C57D2" w:rsidRDefault="007C57D2" w:rsidP="008F3DAB">
      <w:pPr>
        <w:pStyle w:val="Prrafodelista"/>
        <w:tabs>
          <w:tab w:val="left" w:pos="567"/>
        </w:tabs>
        <w:ind w:left="0"/>
        <w:jc w:val="both"/>
        <w:rPr>
          <w:rFonts w:ascii="Times New Roman" w:hAnsi="Times New Roman"/>
          <w:b/>
          <w:bCs/>
          <w:sz w:val="28"/>
          <w:szCs w:val="28"/>
          <w:shd w:val="clear" w:color="auto" w:fill="FFFFFF"/>
        </w:rPr>
      </w:pPr>
    </w:p>
    <w:p w:rsidR="00110AA3"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Además, es preciso destacar que todas las sesiones en </w:t>
      </w:r>
      <w:r w:rsidRPr="007C57D2">
        <w:rPr>
          <w:rFonts w:ascii="Times New Roman" w:hAnsi="Times New Roman"/>
          <w:sz w:val="28"/>
          <w:szCs w:val="28"/>
          <w:shd w:val="clear" w:color="auto" w:fill="FFFFFF"/>
        </w:rPr>
        <w:t>las cuales se discutió y aprobó el PLE fueron presenciales.</w:t>
      </w:r>
      <w:r w:rsidRPr="007C57D2">
        <w:rPr>
          <w:rFonts w:ascii="Times New Roman" w:hAnsi="Times New Roman"/>
          <w:sz w:val="28"/>
          <w:szCs w:val="28"/>
          <w:shd w:val="clear" w:color="auto" w:fill="FFFFFF"/>
        </w:rPr>
        <w:t xml:space="preserve"> En la Sentencia C-242 de 2020, la Corte destacó que este hecho es relevante tratándose de proyectos de ley estatutaria. En esa oportunidad, la Sala advirtió la preferencia por el debate presencial</w:t>
      </w:r>
      <w:r w:rsidRPr="007C57D2">
        <w:rPr>
          <w:rFonts w:ascii="Times New Roman" w:hAnsi="Times New Roman"/>
          <w:sz w:val="28"/>
          <w:szCs w:val="28"/>
          <w:shd w:val="clear" w:color="auto" w:fill="FFFFFF"/>
        </w:rPr>
        <w:t>, por cuanto es el mecanismo más adecuado “para dar cabida a una democracia vigorosa mediante la posibilidad de un debate intenso, de una participación activa y libre y de la expresión de todas las corrientes de opinión en circunstancias de mayor facilidad</w:t>
      </w:r>
      <w:r w:rsidRPr="007C57D2">
        <w:rPr>
          <w:rFonts w:ascii="Times New Roman" w:hAnsi="Times New Roman"/>
          <w:sz w:val="28"/>
          <w:szCs w:val="28"/>
          <w:shd w:val="clear" w:color="auto" w:fill="FFFFFF"/>
        </w:rPr>
        <w:t>”</w:t>
      </w:r>
      <w:r w:rsidRPr="007C57D2">
        <w:rPr>
          <w:rStyle w:val="Refdenotaalpie"/>
          <w:rFonts w:ascii="Times New Roman" w:hAnsi="Times New Roman"/>
          <w:sz w:val="28"/>
          <w:szCs w:val="28"/>
          <w:shd w:val="clear" w:color="auto" w:fill="FFFFFF"/>
        </w:rPr>
        <w:footnoteReference w:id="180"/>
      </w:r>
      <w:r w:rsidRPr="007C57D2">
        <w:rPr>
          <w:rFonts w:ascii="Times New Roman" w:hAnsi="Times New Roman"/>
          <w:sz w:val="28"/>
          <w:szCs w:val="28"/>
          <w:shd w:val="clear" w:color="auto" w:fill="FFFFFF"/>
        </w:rPr>
        <w:t>.</w:t>
      </w: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030338"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4.6. Principio de unidad de materia</w:t>
      </w:r>
    </w:p>
    <w:p w:rsidR="00030338"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 xml:space="preserve">4.6.1. </w:t>
      </w:r>
      <w:r w:rsidRPr="007C57D2">
        <w:rPr>
          <w:rFonts w:ascii="Times New Roman" w:hAnsi="Times New Roman"/>
          <w:b/>
          <w:bCs/>
          <w:sz w:val="28"/>
          <w:szCs w:val="28"/>
          <w:lang w:eastAsia="es-ES"/>
        </w:rPr>
        <w:t>Reglas del principio de unidad de materia. Reiteración de jurisprudencia</w:t>
      </w: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Los artículos 158 y 169 de la Constitución y 148 de la 5 de 1992 prevén el principio de unidad de materia, el cual exige que las disposiciones de una ley guarden conexidad temática entre sí y </w:t>
      </w:r>
      <w:r w:rsidRPr="007C57D2">
        <w:rPr>
          <w:rFonts w:ascii="Times New Roman" w:hAnsi="Times New Roman"/>
          <w:sz w:val="28"/>
          <w:szCs w:val="28"/>
          <w:shd w:val="clear" w:color="auto" w:fill="FFFFFF"/>
        </w:rPr>
        <w:t>respecto de</w:t>
      </w:r>
      <w:r w:rsidRPr="007C57D2">
        <w:rPr>
          <w:rFonts w:ascii="Times New Roman" w:hAnsi="Times New Roman"/>
          <w:sz w:val="28"/>
          <w:szCs w:val="28"/>
          <w:shd w:val="clear" w:color="auto" w:fill="FFFFFF"/>
        </w:rPr>
        <w:t xml:space="preserve"> la materia principal que regula el cuerpo normativo</w:t>
      </w:r>
      <w:r w:rsidRPr="007C57D2">
        <w:rPr>
          <w:rStyle w:val="Refdenotaalpie"/>
          <w:rFonts w:ascii="Times New Roman" w:hAnsi="Times New Roman"/>
          <w:sz w:val="28"/>
          <w:szCs w:val="28"/>
          <w:shd w:val="clear" w:color="auto" w:fill="FFFFFF"/>
        </w:rPr>
        <w:footnoteReference w:id="181"/>
      </w:r>
      <w:r w:rsidRPr="007C57D2">
        <w:rPr>
          <w:rFonts w:ascii="Times New Roman" w:hAnsi="Times New Roman"/>
          <w:sz w:val="28"/>
          <w:szCs w:val="28"/>
          <w:shd w:val="clear" w:color="auto" w:fill="FFFFFF"/>
        </w:rPr>
        <w:t>.</w:t>
      </w:r>
    </w:p>
    <w:p w:rsidR="009354F4" w:rsidRPr="007C57D2" w:rsidRDefault="007C57D2" w:rsidP="008F3DAB">
      <w:pPr>
        <w:tabs>
          <w:tab w:val="left" w:pos="567"/>
        </w:tabs>
        <w:spacing w:after="0" w:line="240" w:lineRule="auto"/>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Este principio tiene como finalidad racionalizar y dotar de transparencia el trámite legislativo, </w:t>
      </w:r>
      <w:r w:rsidRPr="007C57D2">
        <w:rPr>
          <w:rFonts w:ascii="Times New Roman" w:hAnsi="Times New Roman"/>
          <w:sz w:val="28"/>
          <w:szCs w:val="28"/>
          <w:shd w:val="clear" w:color="auto" w:fill="FFFFFF"/>
        </w:rPr>
        <w:t>y</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cumple las siguientes funciones: (i)</w:t>
      </w:r>
      <w:r w:rsidRPr="007C57D2">
        <w:rPr>
          <w:rFonts w:ascii="Times New Roman" w:hAnsi="Times New Roman"/>
          <w:sz w:val="28"/>
          <w:szCs w:val="28"/>
          <w:shd w:val="clear" w:color="auto" w:fill="FFFFFF"/>
        </w:rPr>
        <w:t xml:space="preserve"> garantiza que los asuntos que componen una ley guarden coherencia interna y unidad temática con una materia general y principal que los agrupe, (ii) favorece el control político de la ciudadanía al Congreso y (iii) evita la inclusión subrepticia de asunto</w:t>
      </w:r>
      <w:r w:rsidRPr="007C57D2">
        <w:rPr>
          <w:rFonts w:ascii="Times New Roman" w:hAnsi="Times New Roman"/>
          <w:sz w:val="28"/>
          <w:szCs w:val="28"/>
          <w:shd w:val="clear" w:color="auto" w:fill="FFFFFF"/>
        </w:rPr>
        <w:t>s sin conexión</w:t>
      </w:r>
      <w:r w:rsidRPr="007C57D2">
        <w:rPr>
          <w:rStyle w:val="Refdenotaalpie"/>
          <w:rFonts w:ascii="Times New Roman" w:hAnsi="Times New Roman"/>
          <w:sz w:val="28"/>
          <w:szCs w:val="28"/>
          <w:shd w:val="clear" w:color="auto" w:fill="FFFFFF"/>
        </w:rPr>
        <w:footnoteReference w:id="182"/>
      </w:r>
      <w:r w:rsidRPr="007C57D2">
        <w:rPr>
          <w:rFonts w:ascii="Times New Roman" w:hAnsi="Times New Roman"/>
          <w:sz w:val="28"/>
          <w:szCs w:val="28"/>
          <w:shd w:val="clear" w:color="auto" w:fill="FFFFFF"/>
        </w:rPr>
        <w:t>.</w:t>
      </w:r>
    </w:p>
    <w:p w:rsidR="009354F4" w:rsidRPr="007C57D2" w:rsidRDefault="007C57D2" w:rsidP="008F3DAB">
      <w:pPr>
        <w:tabs>
          <w:tab w:val="left" w:pos="567"/>
        </w:tabs>
        <w:spacing w:after="0" w:line="240" w:lineRule="auto"/>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La unidad de materia no puede leerse de manera inflexible, porque podría afectarse en exceso el margen de configuración del legislador</w:t>
      </w:r>
      <w:r w:rsidRPr="007C57D2">
        <w:rPr>
          <w:rStyle w:val="Refdenotaalpie"/>
          <w:rFonts w:ascii="Times New Roman" w:hAnsi="Times New Roman"/>
          <w:sz w:val="28"/>
          <w:szCs w:val="28"/>
          <w:shd w:val="clear" w:color="auto" w:fill="FFFFFF"/>
        </w:rPr>
        <w:footnoteReference w:id="183"/>
      </w:r>
      <w:r w:rsidRPr="007C57D2">
        <w:rPr>
          <w:rFonts w:ascii="Times New Roman" w:hAnsi="Times New Roman"/>
          <w:sz w:val="28"/>
          <w:szCs w:val="28"/>
          <w:shd w:val="clear" w:color="auto" w:fill="FFFFFF"/>
        </w:rPr>
        <w:t xml:space="preserve"> y, eventualmente, anularse el principio democrático</w:t>
      </w:r>
      <w:r w:rsidRPr="007C57D2">
        <w:rPr>
          <w:rStyle w:val="Refdenotaalpie"/>
          <w:rFonts w:ascii="Times New Roman" w:hAnsi="Times New Roman"/>
          <w:sz w:val="28"/>
          <w:szCs w:val="28"/>
          <w:shd w:val="clear" w:color="auto" w:fill="FFFFFF"/>
        </w:rPr>
        <w:footnoteReference w:id="184"/>
      </w:r>
      <w:r w:rsidRPr="007C57D2">
        <w:rPr>
          <w:rFonts w:ascii="Times New Roman" w:hAnsi="Times New Roman"/>
          <w:sz w:val="28"/>
          <w:szCs w:val="28"/>
          <w:shd w:val="clear" w:color="auto" w:fill="FFFFFF"/>
        </w:rPr>
        <w:t>. En ese sentido</w:t>
      </w:r>
      <w:r w:rsidRPr="007C57D2">
        <w:rPr>
          <w:rFonts w:ascii="Times New Roman" w:hAnsi="Times New Roman"/>
          <w:sz w:val="28"/>
          <w:szCs w:val="28"/>
          <w:shd w:val="clear" w:color="auto" w:fill="FFFFFF"/>
        </w:rPr>
        <w:t>, la expresión “materia” debe inte</w:t>
      </w:r>
      <w:r w:rsidRPr="007C57D2">
        <w:rPr>
          <w:rFonts w:ascii="Times New Roman" w:hAnsi="Times New Roman"/>
          <w:sz w:val="28"/>
          <w:szCs w:val="28"/>
          <w:shd w:val="clear" w:color="auto" w:fill="FFFFFF"/>
        </w:rPr>
        <w:t>rpretarse de modo amplio</w:t>
      </w:r>
      <w:r w:rsidRPr="007C57D2">
        <w:rPr>
          <w:rFonts w:ascii="Times New Roman" w:hAnsi="Times New Roman"/>
          <w:sz w:val="28"/>
          <w:szCs w:val="28"/>
          <w:shd w:val="clear" w:color="auto" w:fill="FFFFFF"/>
        </w:rPr>
        <w:t xml:space="preserve">, de manera que </w:t>
      </w:r>
      <w:r w:rsidRPr="007C57D2">
        <w:rPr>
          <w:rFonts w:ascii="Times New Roman" w:hAnsi="Times New Roman"/>
          <w:sz w:val="28"/>
          <w:szCs w:val="28"/>
          <w:shd w:val="clear" w:color="auto" w:fill="FFFFFF"/>
        </w:rPr>
        <w:t>comprenda la diversidad de asuntos que una ley puede abordar</w:t>
      </w:r>
      <w:r w:rsidRPr="007C57D2">
        <w:rPr>
          <w:rStyle w:val="Refdenotaalpie"/>
          <w:rFonts w:ascii="Times New Roman" w:hAnsi="Times New Roman"/>
          <w:sz w:val="28"/>
          <w:szCs w:val="28"/>
          <w:shd w:val="clear" w:color="auto" w:fill="FFFFFF"/>
        </w:rPr>
        <w:footnoteReference w:id="185"/>
      </w:r>
      <w:r w:rsidRPr="007C57D2">
        <w:rPr>
          <w:rFonts w:ascii="Times New Roman" w:hAnsi="Times New Roman"/>
          <w:sz w:val="28"/>
          <w:szCs w:val="28"/>
          <w:shd w:val="clear" w:color="auto" w:fill="FFFFFF"/>
        </w:rPr>
        <w:t>.</w:t>
      </w:r>
    </w:p>
    <w:p w:rsidR="009354F4" w:rsidRPr="007C57D2" w:rsidRDefault="007C57D2" w:rsidP="008F3DAB">
      <w:pPr>
        <w:tabs>
          <w:tab w:val="left" w:pos="567"/>
        </w:tabs>
        <w:spacing w:after="0" w:line="240" w:lineRule="auto"/>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En esa medida, el juicio sobre la unidad de materia debe partir de diversas fuentes, como el título de la iniciativa, la exposición de motivos y los inf</w:t>
      </w:r>
      <w:r w:rsidRPr="007C57D2">
        <w:rPr>
          <w:rFonts w:ascii="Times New Roman" w:hAnsi="Times New Roman"/>
          <w:sz w:val="28"/>
          <w:szCs w:val="28"/>
          <w:shd w:val="clear" w:color="auto" w:fill="FFFFFF"/>
        </w:rPr>
        <w:t>ormes de ponencia, que sirven como elementos de juicio para determinar el vínculo entre el articulado y el objeto del proyecto</w:t>
      </w:r>
      <w:r w:rsidRPr="007C57D2">
        <w:rPr>
          <w:rStyle w:val="Refdenotaalpie"/>
          <w:rFonts w:ascii="Times New Roman" w:hAnsi="Times New Roman"/>
          <w:sz w:val="28"/>
          <w:szCs w:val="28"/>
          <w:shd w:val="clear" w:color="auto" w:fill="FFFFFF"/>
        </w:rPr>
        <w:footnoteReference w:id="186"/>
      </w:r>
      <w:r w:rsidRPr="007C57D2">
        <w:rPr>
          <w:rFonts w:ascii="Times New Roman" w:hAnsi="Times New Roman"/>
          <w:sz w:val="28"/>
          <w:szCs w:val="28"/>
          <w:shd w:val="clear" w:color="auto" w:fill="FFFFFF"/>
        </w:rPr>
        <w:t>. A</w:t>
      </w:r>
      <w:r w:rsidRPr="007C57D2">
        <w:rPr>
          <w:rFonts w:ascii="Times New Roman" w:hAnsi="Times New Roman"/>
          <w:sz w:val="28"/>
          <w:szCs w:val="28"/>
          <w:shd w:val="clear" w:color="auto" w:fill="FFFFFF"/>
        </w:rPr>
        <w:t xml:space="preserve">simismo, este juicio </w:t>
      </w:r>
      <w:r w:rsidRPr="007C57D2">
        <w:rPr>
          <w:rFonts w:ascii="Times New Roman" w:hAnsi="Times New Roman"/>
          <w:sz w:val="28"/>
          <w:szCs w:val="28"/>
          <w:shd w:val="clear" w:color="auto" w:fill="FFFFFF"/>
        </w:rPr>
        <w:t xml:space="preserve">debe ser </w:t>
      </w:r>
      <w:r w:rsidRPr="007C57D2">
        <w:rPr>
          <w:rFonts w:ascii="Times New Roman" w:hAnsi="Times New Roman"/>
          <w:sz w:val="28"/>
          <w:szCs w:val="28"/>
          <w:shd w:val="clear" w:color="auto" w:fill="FFFFFF"/>
        </w:rPr>
        <w:t>verifica</w:t>
      </w:r>
      <w:r w:rsidRPr="007C57D2">
        <w:rPr>
          <w:rFonts w:ascii="Times New Roman" w:hAnsi="Times New Roman"/>
          <w:sz w:val="28"/>
          <w:szCs w:val="28"/>
          <w:shd w:val="clear" w:color="auto" w:fill="FFFFFF"/>
        </w:rPr>
        <w:t>do</w:t>
      </w:r>
      <w:r w:rsidRPr="007C57D2">
        <w:rPr>
          <w:rFonts w:ascii="Times New Roman" w:hAnsi="Times New Roman"/>
          <w:sz w:val="28"/>
          <w:szCs w:val="28"/>
          <w:shd w:val="clear" w:color="auto" w:fill="FFFFFF"/>
        </w:rPr>
        <w:t xml:space="preserve"> mediante varias conexidades</w:t>
      </w:r>
      <w:r w:rsidRPr="007C57D2">
        <w:rPr>
          <w:rStyle w:val="Refdenotaalpie"/>
          <w:rFonts w:ascii="Times New Roman" w:hAnsi="Times New Roman"/>
          <w:sz w:val="28"/>
          <w:szCs w:val="28"/>
          <w:shd w:val="clear" w:color="auto" w:fill="FFFFFF"/>
        </w:rPr>
        <w:footnoteReference w:id="187"/>
      </w:r>
      <w:r w:rsidRPr="007C57D2">
        <w:rPr>
          <w:rFonts w:ascii="Times New Roman" w:hAnsi="Times New Roman"/>
          <w:sz w:val="28"/>
          <w:szCs w:val="28"/>
          <w:shd w:val="clear" w:color="auto" w:fill="FFFFFF"/>
        </w:rPr>
        <w:t xml:space="preserve">: (i) temática, es decir, la vinculación objetiva y </w:t>
      </w:r>
      <w:r w:rsidRPr="007C57D2">
        <w:rPr>
          <w:rFonts w:ascii="Times New Roman" w:hAnsi="Times New Roman"/>
          <w:sz w:val="28"/>
          <w:szCs w:val="28"/>
          <w:shd w:val="clear" w:color="auto" w:fill="FFFFFF"/>
        </w:rPr>
        <w:t>razonable entre la materia dominante o el asunto general, sobre el cual versa una ley, y la materia o temática sobre la que recae una disposición particular, sin que ello implique que una ley no pueda tratar sobre diversos asuntos</w:t>
      </w:r>
      <w:r w:rsidRPr="007C57D2">
        <w:rPr>
          <w:rStyle w:val="Refdenotaalpie"/>
          <w:rFonts w:ascii="Times New Roman" w:hAnsi="Times New Roman"/>
          <w:sz w:val="28"/>
          <w:szCs w:val="28"/>
          <w:shd w:val="clear" w:color="auto" w:fill="FFFFFF"/>
        </w:rPr>
        <w:footnoteReference w:id="188"/>
      </w:r>
      <w:r w:rsidRPr="007C57D2">
        <w:rPr>
          <w:rFonts w:ascii="Times New Roman" w:hAnsi="Times New Roman"/>
          <w:sz w:val="28"/>
          <w:szCs w:val="28"/>
          <w:shd w:val="clear" w:color="auto" w:fill="FFFFFF"/>
        </w:rPr>
        <w:t>; (ii) causal o, en otras</w:t>
      </w:r>
      <w:r w:rsidRPr="007C57D2">
        <w:rPr>
          <w:rFonts w:ascii="Times New Roman" w:hAnsi="Times New Roman"/>
          <w:sz w:val="28"/>
          <w:szCs w:val="28"/>
          <w:shd w:val="clear" w:color="auto" w:fill="FFFFFF"/>
        </w:rPr>
        <w:t xml:space="preserve"> palabras, el deber de que exista una relación entre la disposición y los motivos que dieron lugar a la expedición de la ley</w:t>
      </w:r>
      <w:r w:rsidRPr="007C57D2">
        <w:rPr>
          <w:rStyle w:val="Refdenotaalpie"/>
          <w:rFonts w:ascii="Times New Roman" w:hAnsi="Times New Roman"/>
          <w:sz w:val="28"/>
          <w:szCs w:val="28"/>
          <w:shd w:val="clear" w:color="auto" w:fill="FFFFFF"/>
        </w:rPr>
        <w:footnoteReference w:id="189"/>
      </w:r>
      <w:r w:rsidRPr="007C57D2">
        <w:rPr>
          <w:rFonts w:ascii="Times New Roman" w:hAnsi="Times New Roman"/>
          <w:sz w:val="28"/>
          <w:szCs w:val="28"/>
          <w:shd w:val="clear" w:color="auto" w:fill="FFFFFF"/>
        </w:rPr>
        <w:t>; (iii) teleológica, que se traduce en la identidad de los objetivos y fines que persiguen la ley en general y sus disposiciones en</w:t>
      </w:r>
      <w:r w:rsidRPr="007C57D2">
        <w:rPr>
          <w:rFonts w:ascii="Times New Roman" w:hAnsi="Times New Roman"/>
          <w:sz w:val="28"/>
          <w:szCs w:val="28"/>
          <w:shd w:val="clear" w:color="auto" w:fill="FFFFFF"/>
        </w:rPr>
        <w:t xml:space="preserve"> particular</w:t>
      </w:r>
      <w:r w:rsidRPr="007C57D2">
        <w:rPr>
          <w:rStyle w:val="Refdenotaalpie"/>
          <w:rFonts w:ascii="Times New Roman" w:hAnsi="Times New Roman"/>
          <w:sz w:val="28"/>
          <w:szCs w:val="28"/>
          <w:shd w:val="clear" w:color="auto" w:fill="FFFFFF"/>
        </w:rPr>
        <w:footnoteReference w:id="190"/>
      </w:r>
      <w:r w:rsidRPr="007C57D2">
        <w:rPr>
          <w:rFonts w:ascii="Times New Roman" w:hAnsi="Times New Roman"/>
          <w:sz w:val="28"/>
          <w:szCs w:val="28"/>
          <w:shd w:val="clear" w:color="auto" w:fill="FFFFFF"/>
        </w:rPr>
        <w:t xml:space="preserve">; y (iv) sistemática, que es la relación que debe </w:t>
      </w:r>
      <w:r w:rsidRPr="007C57D2">
        <w:rPr>
          <w:rFonts w:ascii="Times New Roman" w:hAnsi="Times New Roman"/>
          <w:sz w:val="28"/>
          <w:szCs w:val="28"/>
          <w:shd w:val="clear" w:color="auto" w:fill="FFFFFF"/>
        </w:rPr>
        <w:t>existir</w:t>
      </w:r>
      <w:r w:rsidRPr="007C57D2">
        <w:rPr>
          <w:rFonts w:ascii="Times New Roman" w:hAnsi="Times New Roman"/>
          <w:sz w:val="28"/>
          <w:szCs w:val="28"/>
          <w:shd w:val="clear" w:color="auto" w:fill="FFFFFF"/>
        </w:rPr>
        <w:t xml:space="preserve"> entre todas y cada una de las disposiciones de una ley, de tal forma que ellas puedan constituir un cuerpo organizado que responde a una racionalidad interna</w:t>
      </w:r>
      <w:r w:rsidRPr="007C57D2">
        <w:rPr>
          <w:rStyle w:val="Refdenotaalpie"/>
          <w:rFonts w:ascii="Times New Roman" w:hAnsi="Times New Roman"/>
          <w:sz w:val="28"/>
          <w:szCs w:val="28"/>
          <w:shd w:val="clear" w:color="auto" w:fill="FFFFFF"/>
        </w:rPr>
        <w:footnoteReference w:id="191"/>
      </w:r>
      <w:r w:rsidRPr="007C57D2">
        <w:rPr>
          <w:rFonts w:ascii="Times New Roman" w:hAnsi="Times New Roman"/>
          <w:sz w:val="28"/>
          <w:szCs w:val="28"/>
          <w:shd w:val="clear" w:color="auto" w:fill="FFFFFF"/>
        </w:rPr>
        <w:t>.</w:t>
      </w:r>
    </w:p>
    <w:p w:rsidR="009354F4" w:rsidRPr="007C57D2" w:rsidRDefault="007C57D2" w:rsidP="008F3DAB">
      <w:pPr>
        <w:tabs>
          <w:tab w:val="left" w:pos="567"/>
        </w:tabs>
        <w:spacing w:after="0" w:line="240" w:lineRule="auto"/>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Lo anterior se traduce en</w:t>
      </w:r>
      <w:r w:rsidRPr="007C57D2">
        <w:rPr>
          <w:rFonts w:ascii="Times New Roman" w:hAnsi="Times New Roman"/>
          <w:sz w:val="28"/>
          <w:szCs w:val="28"/>
          <w:shd w:val="clear" w:color="auto" w:fill="FFFFFF"/>
        </w:rPr>
        <w:t xml:space="preserve"> una metodología de dos pasos. En el primero se determina el núcleo temático de la ley</w:t>
      </w:r>
      <w:r w:rsidRPr="007C57D2">
        <w:rPr>
          <w:rStyle w:val="Refdenotaalpie"/>
          <w:rFonts w:ascii="Times New Roman" w:hAnsi="Times New Roman"/>
          <w:sz w:val="28"/>
          <w:szCs w:val="28"/>
          <w:shd w:val="clear" w:color="auto" w:fill="FFFFFF"/>
        </w:rPr>
        <w:footnoteReference w:id="192"/>
      </w:r>
      <w:r w:rsidRPr="007C57D2">
        <w:rPr>
          <w:rFonts w:ascii="Times New Roman" w:hAnsi="Times New Roman"/>
          <w:sz w:val="28"/>
          <w:szCs w:val="28"/>
          <w:shd w:val="clear" w:color="auto" w:fill="FFFFFF"/>
        </w:rPr>
        <w:t xml:space="preserve"> y, en el segundo, se examina si existe relación entre las normas que componen la ley y el núcleo temático de esta última, mediante la verificación de las formas de cone</w:t>
      </w:r>
      <w:r w:rsidRPr="007C57D2">
        <w:rPr>
          <w:rFonts w:ascii="Times New Roman" w:hAnsi="Times New Roman"/>
          <w:sz w:val="28"/>
          <w:szCs w:val="28"/>
          <w:shd w:val="clear" w:color="auto" w:fill="FFFFFF"/>
        </w:rPr>
        <w:t>xidad antes mencionadas</w:t>
      </w:r>
      <w:r w:rsidRPr="007C57D2">
        <w:rPr>
          <w:rStyle w:val="Refdenotaalpie"/>
          <w:rFonts w:ascii="Times New Roman" w:hAnsi="Times New Roman"/>
          <w:sz w:val="28"/>
          <w:szCs w:val="28"/>
          <w:shd w:val="clear" w:color="auto" w:fill="FFFFFF"/>
        </w:rPr>
        <w:footnoteReference w:id="193"/>
      </w:r>
      <w:r w:rsidRPr="007C57D2">
        <w:rPr>
          <w:rFonts w:ascii="Times New Roman" w:hAnsi="Times New Roman"/>
          <w:sz w:val="28"/>
          <w:szCs w:val="28"/>
          <w:shd w:val="clear" w:color="auto" w:fill="FFFFFF"/>
        </w:rPr>
        <w:t>.</w:t>
      </w:r>
    </w:p>
    <w:p w:rsidR="009354F4" w:rsidRPr="007C57D2" w:rsidRDefault="007C57D2" w:rsidP="008F3DAB">
      <w:pPr>
        <w:tabs>
          <w:tab w:val="left" w:pos="360"/>
        </w:tabs>
        <w:spacing w:after="0" w:line="240" w:lineRule="auto"/>
        <w:jc w:val="both"/>
        <w:rPr>
          <w:rFonts w:ascii="Times New Roman" w:hAnsi="Times New Roman"/>
          <w:sz w:val="28"/>
          <w:szCs w:val="28"/>
          <w:shd w:val="clear" w:color="auto" w:fill="FFFFFF"/>
        </w:rPr>
      </w:pP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4.6.</w:t>
      </w:r>
      <w:r w:rsidRPr="007C57D2">
        <w:rPr>
          <w:rFonts w:ascii="Times New Roman" w:hAnsi="Times New Roman"/>
          <w:b/>
          <w:bCs/>
          <w:sz w:val="28"/>
          <w:szCs w:val="28"/>
          <w:shd w:val="clear" w:color="auto" w:fill="FFFFFF"/>
        </w:rPr>
        <w:t>2</w:t>
      </w:r>
      <w:r w:rsidRPr="007C57D2">
        <w:rPr>
          <w:rFonts w:ascii="Times New Roman" w:hAnsi="Times New Roman"/>
          <w:b/>
          <w:bCs/>
          <w:sz w:val="28"/>
          <w:szCs w:val="28"/>
          <w:shd w:val="clear" w:color="auto" w:fill="FFFFFF"/>
        </w:rPr>
        <w:t>. Verificación del requisito de unidad de materia</w:t>
      </w:r>
      <w:r w:rsidRPr="007C57D2">
        <w:rPr>
          <w:rFonts w:ascii="Times New Roman" w:hAnsi="Times New Roman"/>
          <w:b/>
          <w:bCs/>
          <w:sz w:val="28"/>
          <w:szCs w:val="28"/>
          <w:lang w:eastAsia="es-ES"/>
        </w:rPr>
        <w:t xml:space="preserve"> en el PLE</w:t>
      </w:r>
    </w:p>
    <w:p w:rsidR="009354F4" w:rsidRPr="007C57D2" w:rsidRDefault="007C57D2" w:rsidP="008F3DAB">
      <w:pPr>
        <w:tabs>
          <w:tab w:val="left" w:pos="360"/>
        </w:tabs>
        <w:spacing w:after="0" w:line="240" w:lineRule="auto"/>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La Sala considera que el </w:t>
      </w:r>
      <w:r w:rsidRPr="007C57D2">
        <w:rPr>
          <w:rFonts w:ascii="Times New Roman" w:hAnsi="Times New Roman"/>
          <w:sz w:val="28"/>
          <w:szCs w:val="28"/>
          <w:shd w:val="clear" w:color="auto" w:fill="FFFFFF"/>
        </w:rPr>
        <w:t>PLE</w:t>
      </w:r>
      <w:r w:rsidRPr="007C57D2">
        <w:rPr>
          <w:rFonts w:ascii="Times New Roman" w:hAnsi="Times New Roman"/>
          <w:sz w:val="28"/>
          <w:szCs w:val="28"/>
          <w:shd w:val="clear" w:color="auto" w:fill="FFFFFF"/>
        </w:rPr>
        <w:t xml:space="preserve"> cumple el requisito de unidad de materia. </w:t>
      </w:r>
      <w:r w:rsidRPr="007C57D2">
        <w:rPr>
          <w:rFonts w:ascii="Times New Roman" w:hAnsi="Times New Roman"/>
          <w:sz w:val="28"/>
          <w:szCs w:val="28"/>
          <w:shd w:val="clear" w:color="auto" w:fill="FFFFFF"/>
        </w:rPr>
        <w:t>De acuerdo con su</w:t>
      </w:r>
      <w:r w:rsidRPr="007C57D2">
        <w:rPr>
          <w:rFonts w:ascii="Times New Roman" w:hAnsi="Times New Roman"/>
          <w:sz w:val="28"/>
          <w:szCs w:val="28"/>
          <w:shd w:val="clear" w:color="auto" w:fill="FFFFFF"/>
        </w:rPr>
        <w:t xml:space="preserve"> exposición de motivos, el objeto central del proyecto es la implementación de una alerta</w:t>
      </w:r>
      <w:r w:rsidRPr="007C57D2">
        <w:rPr>
          <w:rFonts w:ascii="Times New Roman" w:hAnsi="Times New Roman"/>
          <w:sz w:val="28"/>
          <w:szCs w:val="28"/>
          <w:shd w:val="clear" w:color="auto" w:fill="FFFFFF"/>
        </w:rPr>
        <w:t xml:space="preserve"> para </w:t>
      </w:r>
      <w:r w:rsidRPr="007C57D2">
        <w:rPr>
          <w:rFonts w:ascii="Times New Roman" w:hAnsi="Times New Roman"/>
          <w:sz w:val="28"/>
          <w:szCs w:val="28"/>
          <w:shd w:val="clear" w:color="auto" w:fill="FFFFFF"/>
        </w:rPr>
        <w:t>encontrar niñas</w:t>
      </w:r>
      <w:r w:rsidRPr="007C57D2">
        <w:rPr>
          <w:rFonts w:ascii="Times New Roman" w:hAnsi="Times New Roman"/>
          <w:sz w:val="28"/>
          <w:szCs w:val="28"/>
          <w:shd w:val="clear" w:color="auto" w:fill="FFFFFF"/>
        </w:rPr>
        <w:t xml:space="preserve"> y </w:t>
      </w:r>
      <w:r w:rsidRPr="007C57D2">
        <w:rPr>
          <w:rFonts w:ascii="Times New Roman" w:hAnsi="Times New Roman"/>
          <w:sz w:val="28"/>
          <w:szCs w:val="28"/>
          <w:shd w:val="clear" w:color="auto" w:fill="FFFFFF"/>
        </w:rPr>
        <w:t xml:space="preserve">niños extraviados. Este objeto se mantuvo en los diversos informes de ponencia, por lo que el proyecto siempre contó con </w:t>
      </w:r>
      <w:r w:rsidRPr="007C57D2">
        <w:rPr>
          <w:rFonts w:ascii="Times New Roman" w:hAnsi="Times New Roman"/>
          <w:sz w:val="28"/>
          <w:szCs w:val="28"/>
          <w:shd w:val="clear" w:color="auto" w:fill="FFFFFF"/>
        </w:rPr>
        <w:t xml:space="preserve">el </w:t>
      </w:r>
      <w:r w:rsidRPr="007C57D2">
        <w:rPr>
          <w:rFonts w:ascii="Times New Roman" w:hAnsi="Times New Roman"/>
          <w:sz w:val="28"/>
          <w:szCs w:val="28"/>
          <w:shd w:val="clear" w:color="auto" w:fill="FFFFFF"/>
        </w:rPr>
        <w:t>mismo eje temático</w:t>
      </w:r>
      <w:r w:rsidRPr="007C57D2">
        <w:rPr>
          <w:rStyle w:val="Refdenotaalpie"/>
          <w:rFonts w:ascii="Times New Roman" w:hAnsi="Times New Roman"/>
          <w:sz w:val="28"/>
          <w:szCs w:val="28"/>
          <w:shd w:val="clear" w:color="auto" w:fill="FFFFFF"/>
        </w:rPr>
        <w:footnoteReference w:id="194"/>
      </w:r>
      <w:r w:rsidRPr="007C57D2">
        <w:rPr>
          <w:rFonts w:ascii="Times New Roman" w:hAnsi="Times New Roman"/>
          <w:sz w:val="28"/>
          <w:szCs w:val="28"/>
          <w:shd w:val="clear" w:color="auto" w:fill="FFFFFF"/>
        </w:rPr>
        <w:t>.</w:t>
      </w:r>
    </w:p>
    <w:p w:rsidR="009354F4" w:rsidRPr="007C57D2" w:rsidRDefault="007C57D2" w:rsidP="008F3DAB">
      <w:pPr>
        <w:tabs>
          <w:tab w:val="left" w:pos="567"/>
        </w:tabs>
        <w:spacing w:after="0" w:line="240" w:lineRule="auto"/>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Esta temática </w:t>
      </w:r>
      <w:r w:rsidRPr="007C57D2">
        <w:rPr>
          <w:rFonts w:ascii="Times New Roman" w:hAnsi="Times New Roman"/>
          <w:sz w:val="28"/>
          <w:szCs w:val="28"/>
          <w:shd w:val="clear" w:color="auto" w:fill="FFFFFF"/>
        </w:rPr>
        <w:t xml:space="preserve">fue </w:t>
      </w:r>
      <w:r w:rsidRPr="007C57D2">
        <w:rPr>
          <w:rFonts w:ascii="Times New Roman" w:hAnsi="Times New Roman"/>
          <w:sz w:val="28"/>
          <w:szCs w:val="28"/>
          <w:shd w:val="clear" w:color="auto" w:fill="FFFFFF"/>
        </w:rPr>
        <w:t>desarroll</w:t>
      </w:r>
      <w:r w:rsidRPr="007C57D2">
        <w:rPr>
          <w:rFonts w:ascii="Times New Roman" w:hAnsi="Times New Roman"/>
          <w:sz w:val="28"/>
          <w:szCs w:val="28"/>
          <w:shd w:val="clear" w:color="auto" w:fill="FFFFFF"/>
        </w:rPr>
        <w:t xml:space="preserve">ada </w:t>
      </w:r>
      <w:r w:rsidRPr="007C57D2">
        <w:rPr>
          <w:rFonts w:ascii="Times New Roman" w:hAnsi="Times New Roman"/>
          <w:sz w:val="28"/>
          <w:szCs w:val="28"/>
          <w:shd w:val="clear" w:color="auto" w:fill="FFFFFF"/>
        </w:rPr>
        <w:t xml:space="preserve">en 15 artículos que se pueden </w:t>
      </w:r>
      <w:r w:rsidRPr="007C57D2">
        <w:rPr>
          <w:rFonts w:ascii="Times New Roman" w:hAnsi="Times New Roman"/>
          <w:sz w:val="28"/>
          <w:szCs w:val="28"/>
          <w:shd w:val="clear" w:color="auto" w:fill="FFFFFF"/>
        </w:rPr>
        <w:t>ser agrupados así</w:t>
      </w:r>
      <w:r w:rsidRPr="007C57D2">
        <w:rPr>
          <w:rFonts w:ascii="Times New Roman" w:hAnsi="Times New Roman"/>
          <w:sz w:val="28"/>
          <w:szCs w:val="28"/>
          <w:shd w:val="clear" w:color="auto" w:fill="FFFFFF"/>
        </w:rPr>
        <w:t>:</w:t>
      </w: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005"/>
      </w:tblGrid>
      <w:tr w:rsidR="00A0085A" w:rsidRPr="007C57D2" w:rsidTr="007C57D2">
        <w:tc>
          <w:tcPr>
            <w:tcW w:w="3823" w:type="dxa"/>
            <w:shd w:val="clear" w:color="auto" w:fill="auto"/>
          </w:tcPr>
          <w:p w:rsidR="00117AC0" w:rsidRPr="007C57D2" w:rsidRDefault="007C57D2" w:rsidP="007C57D2">
            <w:pPr>
              <w:tabs>
                <w:tab w:val="left" w:pos="360"/>
              </w:tabs>
              <w:spacing w:after="0" w:line="240" w:lineRule="auto"/>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Temática</w:t>
            </w:r>
          </w:p>
        </w:tc>
        <w:tc>
          <w:tcPr>
            <w:tcW w:w="5005" w:type="dxa"/>
            <w:shd w:val="clear" w:color="auto" w:fill="auto"/>
          </w:tcPr>
          <w:p w:rsidR="00117AC0" w:rsidRPr="007C57D2" w:rsidRDefault="007C57D2" w:rsidP="007C57D2">
            <w:pPr>
              <w:tabs>
                <w:tab w:val="left" w:pos="360"/>
              </w:tabs>
              <w:spacing w:after="0" w:line="240" w:lineRule="auto"/>
              <w:jc w:val="center"/>
              <w:rPr>
                <w:rFonts w:ascii="Times New Roman" w:hAnsi="Times New Roman"/>
                <w:b/>
                <w:bCs/>
                <w:sz w:val="28"/>
                <w:shd w:val="clear" w:color="auto" w:fill="FFFFFF"/>
              </w:rPr>
            </w:pPr>
            <w:r w:rsidRPr="007C57D2">
              <w:rPr>
                <w:rFonts w:ascii="Times New Roman" w:hAnsi="Times New Roman"/>
                <w:b/>
                <w:bCs/>
                <w:sz w:val="28"/>
                <w:shd w:val="clear" w:color="auto" w:fill="D9D9D9"/>
              </w:rPr>
              <w:t>Artículos</w:t>
            </w:r>
          </w:p>
        </w:tc>
      </w:tr>
      <w:tr w:rsidR="00A0085A" w:rsidRPr="007C57D2" w:rsidTr="007C57D2">
        <w:tc>
          <w:tcPr>
            <w:tcW w:w="3823" w:type="dxa"/>
            <w:shd w:val="clear" w:color="auto" w:fill="auto"/>
            <w:vAlign w:val="center"/>
          </w:tcPr>
          <w:p w:rsidR="009354F4" w:rsidRPr="007C57D2" w:rsidRDefault="007C57D2" w:rsidP="007C57D2">
            <w:pPr>
              <w:tabs>
                <w:tab w:val="left" w:pos="360"/>
              </w:tabs>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Grupo 1: objeto y definiciones</w:t>
            </w:r>
          </w:p>
        </w:tc>
        <w:tc>
          <w:tcPr>
            <w:tcW w:w="5005" w:type="dxa"/>
            <w:shd w:val="clear" w:color="auto" w:fill="auto"/>
          </w:tcPr>
          <w:p w:rsidR="009354F4" w:rsidRPr="007C57D2" w:rsidRDefault="007C57D2" w:rsidP="007C57D2">
            <w:pPr>
              <w:tabs>
                <w:tab w:val="left" w:pos="360"/>
              </w:tabs>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Establecen</w:t>
            </w:r>
            <w:r w:rsidRPr="007C57D2">
              <w:rPr>
                <w:rFonts w:ascii="Times New Roman" w:hAnsi="Times New Roman"/>
                <w:sz w:val="28"/>
                <w:shd w:val="clear" w:color="auto" w:fill="FFFFFF"/>
              </w:rPr>
              <w:t xml:space="preserve"> el objeto </w:t>
            </w:r>
            <w:r w:rsidRPr="007C57D2">
              <w:rPr>
                <w:rFonts w:ascii="Times New Roman" w:hAnsi="Times New Roman"/>
                <w:sz w:val="28"/>
                <w:shd w:val="clear" w:color="auto" w:fill="FFFFFF"/>
              </w:rPr>
              <w:t xml:space="preserve">de la Alerta Colombia </w:t>
            </w:r>
            <w:r w:rsidRPr="007C57D2">
              <w:rPr>
                <w:rFonts w:ascii="Times New Roman" w:hAnsi="Times New Roman"/>
                <w:sz w:val="28"/>
                <w:shd w:val="clear" w:color="auto" w:fill="FFFFFF"/>
              </w:rPr>
              <w:t xml:space="preserve">y las definiciones </w:t>
            </w:r>
            <w:r w:rsidRPr="007C57D2">
              <w:rPr>
                <w:rFonts w:ascii="Times New Roman" w:hAnsi="Times New Roman"/>
                <w:sz w:val="28"/>
                <w:shd w:val="clear" w:color="auto" w:fill="FFFFFF"/>
              </w:rPr>
              <w:t>d</w:t>
            </w:r>
            <w:r w:rsidRPr="007C57D2">
              <w:rPr>
                <w:rFonts w:ascii="Times New Roman" w:hAnsi="Times New Roman"/>
                <w:sz w:val="28"/>
                <w:shd w:val="clear" w:color="auto" w:fill="FFFFFF"/>
              </w:rPr>
              <w:t>e</w:t>
            </w:r>
            <w:r w:rsidRPr="007C57D2">
              <w:rPr>
                <w:rFonts w:ascii="Times New Roman" w:hAnsi="Times New Roman"/>
                <w:sz w:val="28"/>
                <w:shd w:val="clear" w:color="auto" w:fill="FFFFFF"/>
              </w:rPr>
              <w:t xml:space="preserve"> la Ley</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(art</w:t>
            </w:r>
            <w:r w:rsidRPr="007C57D2">
              <w:rPr>
                <w:rFonts w:ascii="Times New Roman" w:hAnsi="Times New Roman"/>
                <w:sz w:val="28"/>
                <w:shd w:val="clear" w:color="auto" w:fill="FFFFFF"/>
              </w:rPr>
              <w:t>ículos</w:t>
            </w:r>
            <w:r w:rsidRPr="007C57D2">
              <w:rPr>
                <w:rFonts w:ascii="Times New Roman" w:hAnsi="Times New Roman"/>
                <w:sz w:val="28"/>
                <w:shd w:val="clear" w:color="auto" w:fill="FFFFFF"/>
              </w:rPr>
              <w:t xml:space="preserve"> 1 y 2).</w:t>
            </w:r>
          </w:p>
        </w:tc>
      </w:tr>
      <w:tr w:rsidR="00A0085A" w:rsidRPr="007C57D2" w:rsidTr="007C57D2">
        <w:tc>
          <w:tcPr>
            <w:tcW w:w="3823" w:type="dxa"/>
            <w:shd w:val="clear" w:color="auto" w:fill="auto"/>
            <w:vAlign w:val="center"/>
          </w:tcPr>
          <w:p w:rsidR="009354F4" w:rsidRPr="007C57D2" w:rsidRDefault="007C57D2" w:rsidP="007C57D2">
            <w:pPr>
              <w:tabs>
                <w:tab w:val="left" w:pos="360"/>
              </w:tabs>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 xml:space="preserve">Grupo 2: reglas </w:t>
            </w:r>
            <w:r w:rsidRPr="007C57D2">
              <w:rPr>
                <w:rFonts w:ascii="Times New Roman" w:hAnsi="Times New Roman"/>
                <w:sz w:val="28"/>
                <w:shd w:val="clear" w:color="auto" w:fill="FFFFFF"/>
              </w:rPr>
              <w:t xml:space="preserve">sobre el acceso, activación y difusión de la Alerta Colombia, y </w:t>
            </w:r>
            <w:r w:rsidRPr="007C57D2">
              <w:rPr>
                <w:rFonts w:ascii="Times New Roman" w:hAnsi="Times New Roman"/>
                <w:sz w:val="28"/>
                <w:shd w:val="clear" w:color="auto" w:fill="FFFFFF"/>
              </w:rPr>
              <w:t>la protección de datos personales y biométricos de los menores</w:t>
            </w:r>
            <w:r w:rsidRPr="007C57D2">
              <w:rPr>
                <w:rFonts w:ascii="Times New Roman" w:hAnsi="Times New Roman"/>
                <w:sz w:val="28"/>
                <w:shd w:val="clear" w:color="auto" w:fill="FFFFFF"/>
              </w:rPr>
              <w:t xml:space="preserve"> de edad</w:t>
            </w:r>
          </w:p>
        </w:tc>
        <w:tc>
          <w:tcPr>
            <w:tcW w:w="5005" w:type="dxa"/>
            <w:shd w:val="clear" w:color="auto" w:fill="auto"/>
          </w:tcPr>
          <w:p w:rsidR="009354F4" w:rsidRPr="007C57D2" w:rsidRDefault="007C57D2" w:rsidP="007C57D2">
            <w:pPr>
              <w:tabs>
                <w:tab w:val="left" w:pos="360"/>
              </w:tabs>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Disponen</w:t>
            </w:r>
            <w:r w:rsidRPr="007C57D2">
              <w:rPr>
                <w:rFonts w:ascii="Times New Roman" w:hAnsi="Times New Roman"/>
                <w:sz w:val="28"/>
                <w:shd w:val="clear" w:color="auto" w:fill="FFFFFF"/>
              </w:rPr>
              <w:t xml:space="preserve"> la manera en que se </w:t>
            </w:r>
            <w:r w:rsidRPr="007C57D2">
              <w:rPr>
                <w:rFonts w:ascii="Times New Roman" w:hAnsi="Times New Roman"/>
                <w:sz w:val="28"/>
                <w:shd w:val="clear" w:color="auto" w:fill="FFFFFF"/>
              </w:rPr>
              <w:t xml:space="preserve">accede a la alerta (artículos 2 a 5 y parágrafo 2 del artículo 10); se </w:t>
            </w:r>
            <w:r w:rsidRPr="007C57D2">
              <w:rPr>
                <w:rFonts w:ascii="Times New Roman" w:hAnsi="Times New Roman"/>
                <w:sz w:val="28"/>
                <w:shd w:val="clear" w:color="auto" w:fill="FFFFFF"/>
              </w:rPr>
              <w:t>activa la alarma (art</w:t>
            </w:r>
            <w:r w:rsidRPr="007C57D2">
              <w:rPr>
                <w:rFonts w:ascii="Times New Roman" w:hAnsi="Times New Roman"/>
                <w:sz w:val="28"/>
                <w:shd w:val="clear" w:color="auto" w:fill="FFFFFF"/>
              </w:rPr>
              <w:t>ículos 3, 5, 9 y 10</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y esta es difundida (parágrafo 1 del artículo 4, 6</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10</w:t>
            </w:r>
            <w:r w:rsidRPr="007C57D2">
              <w:rPr>
                <w:rFonts w:ascii="Times New Roman" w:hAnsi="Times New Roman"/>
                <w:sz w:val="28"/>
                <w:shd w:val="clear" w:color="auto" w:fill="FFFFFF"/>
              </w:rPr>
              <w:t xml:space="preserve"> y 11</w:t>
            </w:r>
            <w:r w:rsidRPr="007C57D2">
              <w:rPr>
                <w:rFonts w:ascii="Times New Roman" w:hAnsi="Times New Roman"/>
                <w:sz w:val="28"/>
                <w:shd w:val="clear" w:color="auto" w:fill="FFFFFF"/>
              </w:rPr>
              <w:t>). También disponen la manera en que s</w:t>
            </w:r>
            <w:r w:rsidRPr="007C57D2">
              <w:rPr>
                <w:rFonts w:ascii="Times New Roman" w:hAnsi="Times New Roman"/>
                <w:sz w:val="28"/>
                <w:shd w:val="clear" w:color="auto" w:fill="FFFFFF"/>
              </w:rPr>
              <w:t xml:space="preserve">e protegen y tratan los datos personales y biométricos de los menores </w:t>
            </w:r>
            <w:r w:rsidRPr="007C57D2">
              <w:rPr>
                <w:rFonts w:ascii="Times New Roman" w:hAnsi="Times New Roman"/>
                <w:sz w:val="28"/>
                <w:shd w:val="clear" w:color="auto" w:fill="FFFFFF"/>
              </w:rPr>
              <w:t xml:space="preserve">de 18 años </w:t>
            </w:r>
            <w:r w:rsidRPr="007C57D2">
              <w:rPr>
                <w:rFonts w:ascii="Times New Roman" w:hAnsi="Times New Roman"/>
                <w:sz w:val="28"/>
                <w:shd w:val="clear" w:color="auto" w:fill="FFFFFF"/>
              </w:rPr>
              <w:t>(art</w:t>
            </w:r>
            <w:r w:rsidRPr="007C57D2">
              <w:rPr>
                <w:rFonts w:ascii="Times New Roman" w:hAnsi="Times New Roman"/>
                <w:sz w:val="28"/>
                <w:shd w:val="clear" w:color="auto" w:fill="FFFFFF"/>
              </w:rPr>
              <w:t>ículos</w:t>
            </w:r>
            <w:r w:rsidRPr="007C57D2">
              <w:rPr>
                <w:rFonts w:ascii="Times New Roman" w:hAnsi="Times New Roman"/>
                <w:sz w:val="28"/>
                <w:shd w:val="clear" w:color="auto" w:fill="FFFFFF"/>
              </w:rPr>
              <w:t xml:space="preserve"> 4, 7 y 8)</w:t>
            </w:r>
            <w:r w:rsidRPr="007C57D2">
              <w:rPr>
                <w:rFonts w:ascii="Times New Roman" w:hAnsi="Times New Roman"/>
                <w:sz w:val="28"/>
                <w:shd w:val="clear" w:color="auto" w:fill="FFFFFF"/>
              </w:rPr>
              <w:t xml:space="preserve"> y los mecanismos de búsqueda del niñ</w:t>
            </w:r>
            <w:r w:rsidRPr="007C57D2">
              <w:rPr>
                <w:rFonts w:ascii="Times New Roman" w:hAnsi="Times New Roman"/>
                <w:sz w:val="28"/>
                <w:shd w:val="clear" w:color="auto" w:fill="FFFFFF"/>
              </w:rPr>
              <w:t>o o niña extraviado (artículo 12)</w:t>
            </w:r>
          </w:p>
        </w:tc>
      </w:tr>
      <w:tr w:rsidR="000237A4" w:rsidRPr="007C57D2" w:rsidTr="007C57D2">
        <w:tc>
          <w:tcPr>
            <w:tcW w:w="3823" w:type="dxa"/>
            <w:shd w:val="clear" w:color="auto" w:fill="auto"/>
            <w:vAlign w:val="center"/>
          </w:tcPr>
          <w:p w:rsidR="009354F4" w:rsidRPr="007C57D2" w:rsidRDefault="007C57D2" w:rsidP="007C57D2">
            <w:pPr>
              <w:tabs>
                <w:tab w:val="left" w:pos="360"/>
              </w:tabs>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 xml:space="preserve">Grupo 3: facultades y deberes </w:t>
            </w:r>
            <w:r w:rsidRPr="007C57D2">
              <w:rPr>
                <w:rFonts w:ascii="Times New Roman" w:hAnsi="Times New Roman"/>
                <w:sz w:val="28"/>
                <w:shd w:val="clear" w:color="auto" w:fill="FFFFFF"/>
              </w:rPr>
              <w:t>d</w:t>
            </w:r>
            <w:r w:rsidRPr="007C57D2">
              <w:rPr>
                <w:rFonts w:ascii="Times New Roman" w:hAnsi="Times New Roman"/>
                <w:sz w:val="28"/>
                <w:shd w:val="clear" w:color="auto" w:fill="FFFFFF"/>
              </w:rPr>
              <w:t xml:space="preserve">el </w:t>
            </w:r>
            <w:r w:rsidRPr="007C57D2">
              <w:rPr>
                <w:rFonts w:ascii="Times New Roman" w:hAnsi="Times New Roman"/>
                <w:sz w:val="28"/>
                <w:shd w:val="clear" w:color="auto" w:fill="FFFFFF"/>
              </w:rPr>
              <w:t>E</w:t>
            </w:r>
            <w:r w:rsidRPr="007C57D2">
              <w:rPr>
                <w:rFonts w:ascii="Times New Roman" w:hAnsi="Times New Roman"/>
                <w:sz w:val="28"/>
                <w:shd w:val="clear" w:color="auto" w:fill="FFFFFF"/>
              </w:rPr>
              <w:t xml:space="preserve">jecutivo, así como </w:t>
            </w:r>
            <w:r w:rsidRPr="007C57D2">
              <w:rPr>
                <w:rFonts w:ascii="Times New Roman" w:hAnsi="Times New Roman"/>
                <w:sz w:val="28"/>
                <w:shd w:val="clear" w:color="auto" w:fill="FFFFFF"/>
              </w:rPr>
              <w:t xml:space="preserve">la </w:t>
            </w:r>
            <w:r w:rsidRPr="007C57D2">
              <w:rPr>
                <w:rFonts w:ascii="Times New Roman" w:hAnsi="Times New Roman"/>
                <w:sz w:val="28"/>
                <w:shd w:val="clear" w:color="auto" w:fill="FFFFFF"/>
              </w:rPr>
              <w:t>vigencia de la ley</w:t>
            </w:r>
          </w:p>
        </w:tc>
        <w:tc>
          <w:tcPr>
            <w:tcW w:w="5005" w:type="dxa"/>
            <w:shd w:val="clear" w:color="auto" w:fill="auto"/>
          </w:tcPr>
          <w:p w:rsidR="009354F4" w:rsidRPr="007C57D2" w:rsidRDefault="007C57D2" w:rsidP="007C57D2">
            <w:pPr>
              <w:tabs>
                <w:tab w:val="left" w:pos="360"/>
              </w:tabs>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I</w:t>
            </w:r>
            <w:r w:rsidRPr="007C57D2">
              <w:rPr>
                <w:rFonts w:ascii="Times New Roman" w:hAnsi="Times New Roman"/>
                <w:sz w:val="28"/>
                <w:shd w:val="clear" w:color="auto" w:fill="FFFFFF"/>
              </w:rPr>
              <w:t>mpone</w:t>
            </w:r>
            <w:r w:rsidRPr="007C57D2">
              <w:rPr>
                <w:rFonts w:ascii="Times New Roman" w:hAnsi="Times New Roman"/>
                <w:sz w:val="28"/>
                <w:shd w:val="clear" w:color="auto" w:fill="FFFFFF"/>
              </w:rPr>
              <w:t>n</w:t>
            </w:r>
            <w:r w:rsidRPr="007C57D2">
              <w:rPr>
                <w:rFonts w:ascii="Times New Roman" w:hAnsi="Times New Roman"/>
                <w:sz w:val="28"/>
                <w:shd w:val="clear" w:color="auto" w:fill="FFFFFF"/>
              </w:rPr>
              <w:t xml:space="preserve"> al </w:t>
            </w:r>
            <w:r w:rsidRPr="007C57D2">
              <w:rPr>
                <w:rFonts w:ascii="Times New Roman" w:hAnsi="Times New Roman"/>
                <w:sz w:val="28"/>
                <w:shd w:val="clear" w:color="auto" w:fill="FFFFFF"/>
              </w:rPr>
              <w:t xml:space="preserve">ICBF y al Instituto Nacional de Medicina Legal y Ciencias Forenses </w:t>
            </w:r>
            <w:r w:rsidRPr="007C57D2">
              <w:rPr>
                <w:rFonts w:ascii="Times New Roman" w:hAnsi="Times New Roman"/>
                <w:sz w:val="28"/>
                <w:shd w:val="clear" w:color="auto" w:fill="FFFFFF"/>
              </w:rPr>
              <w:t>el deber de entr</w:t>
            </w:r>
            <w:r w:rsidRPr="007C57D2">
              <w:rPr>
                <w:rFonts w:ascii="Times New Roman" w:hAnsi="Times New Roman"/>
                <w:sz w:val="28"/>
                <w:shd w:val="clear" w:color="auto" w:fill="FFFFFF"/>
              </w:rPr>
              <w:t>egar</w:t>
            </w:r>
            <w:r w:rsidRPr="007C57D2">
              <w:rPr>
                <w:rFonts w:ascii="Times New Roman" w:hAnsi="Times New Roman"/>
                <w:sz w:val="28"/>
                <w:shd w:val="clear" w:color="auto" w:fill="FFFFFF"/>
              </w:rPr>
              <w:t xml:space="preserve"> un informe anual sobre </w:t>
            </w:r>
            <w:r w:rsidRPr="007C57D2">
              <w:rPr>
                <w:rFonts w:ascii="Times New Roman" w:hAnsi="Times New Roman"/>
                <w:sz w:val="28"/>
                <w:shd w:val="clear" w:color="auto" w:fill="FFFFFF"/>
              </w:rPr>
              <w:t>los menores</w:t>
            </w:r>
            <w:r w:rsidRPr="007C57D2">
              <w:rPr>
                <w:rFonts w:ascii="Times New Roman" w:hAnsi="Times New Roman"/>
                <w:sz w:val="28"/>
                <w:shd w:val="clear" w:color="auto" w:fill="FFFFFF"/>
              </w:rPr>
              <w:t xml:space="preserve"> de edad</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ext</w:t>
            </w:r>
            <w:r w:rsidRPr="007C57D2">
              <w:rPr>
                <w:rFonts w:ascii="Times New Roman" w:hAnsi="Times New Roman"/>
                <w:sz w:val="28"/>
                <w:shd w:val="clear" w:color="auto" w:fill="FFFFFF"/>
              </w:rPr>
              <w:t>raviados y los mecanismos de búsqueda implementados, así como los resultados obtenidos</w:t>
            </w:r>
            <w:r w:rsidRPr="007C57D2">
              <w:rPr>
                <w:rFonts w:ascii="Times New Roman" w:hAnsi="Times New Roman"/>
                <w:sz w:val="28"/>
                <w:shd w:val="clear" w:color="auto" w:fill="FFFFFF"/>
              </w:rPr>
              <w:t xml:space="preserve"> (artículo 13)</w:t>
            </w:r>
            <w:r w:rsidRPr="007C57D2">
              <w:rPr>
                <w:rFonts w:ascii="Times New Roman" w:hAnsi="Times New Roman"/>
                <w:sz w:val="28"/>
                <w:shd w:val="clear" w:color="auto" w:fill="FFFFFF"/>
              </w:rPr>
              <w:t>. Además, faculta</w:t>
            </w:r>
            <w:r w:rsidRPr="007C57D2">
              <w:rPr>
                <w:rFonts w:ascii="Times New Roman" w:hAnsi="Times New Roman"/>
                <w:sz w:val="28"/>
                <w:shd w:val="clear" w:color="auto" w:fill="FFFFFF"/>
              </w:rPr>
              <w:t>n</w:t>
            </w:r>
            <w:r w:rsidRPr="007C57D2">
              <w:rPr>
                <w:rFonts w:ascii="Times New Roman" w:hAnsi="Times New Roman"/>
                <w:sz w:val="28"/>
                <w:shd w:val="clear" w:color="auto" w:fill="FFFFFF"/>
              </w:rPr>
              <w:t xml:space="preserve"> al </w:t>
            </w:r>
            <w:r w:rsidRPr="007C57D2">
              <w:rPr>
                <w:rFonts w:ascii="Times New Roman" w:hAnsi="Times New Roman"/>
                <w:sz w:val="28"/>
                <w:shd w:val="clear" w:color="auto" w:fill="FFFFFF"/>
              </w:rPr>
              <w:t>G</w:t>
            </w:r>
            <w:r w:rsidRPr="007C57D2">
              <w:rPr>
                <w:rFonts w:ascii="Times New Roman" w:hAnsi="Times New Roman"/>
                <w:sz w:val="28"/>
                <w:shd w:val="clear" w:color="auto" w:fill="FFFFFF"/>
              </w:rPr>
              <w:t>obierno nacional para reglamentar la ley dentro de los 6 meses siguientes a su promulgación</w:t>
            </w:r>
            <w:r w:rsidRPr="007C57D2">
              <w:rPr>
                <w:rFonts w:ascii="Times New Roman" w:hAnsi="Times New Roman"/>
                <w:sz w:val="28"/>
                <w:shd w:val="clear" w:color="auto" w:fill="FFFFFF"/>
              </w:rPr>
              <w:t xml:space="preserve"> (artículo 14)</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y </w:t>
            </w:r>
            <w:r w:rsidRPr="007C57D2">
              <w:rPr>
                <w:rFonts w:ascii="Times New Roman" w:hAnsi="Times New Roman"/>
                <w:sz w:val="28"/>
                <w:shd w:val="clear" w:color="auto" w:fill="FFFFFF"/>
              </w:rPr>
              <w:t>establecen</w:t>
            </w:r>
            <w:r w:rsidRPr="007C57D2">
              <w:rPr>
                <w:rFonts w:ascii="Times New Roman" w:hAnsi="Times New Roman"/>
                <w:sz w:val="28"/>
                <w:shd w:val="clear" w:color="auto" w:fill="FFFFFF"/>
              </w:rPr>
              <w:t xml:space="preserve"> la entrada en vigencia de la ley</w:t>
            </w:r>
            <w:r w:rsidRPr="007C57D2">
              <w:rPr>
                <w:rFonts w:ascii="Times New Roman" w:hAnsi="Times New Roman"/>
                <w:sz w:val="28"/>
                <w:shd w:val="clear" w:color="auto" w:fill="FFFFFF"/>
              </w:rPr>
              <w:t xml:space="preserve"> (artículo 15)</w:t>
            </w:r>
            <w:r w:rsidRPr="007C57D2">
              <w:rPr>
                <w:rFonts w:ascii="Times New Roman" w:hAnsi="Times New Roman"/>
                <w:sz w:val="28"/>
                <w:shd w:val="clear" w:color="auto" w:fill="FFFFFF"/>
              </w:rPr>
              <w:t>.</w:t>
            </w:r>
          </w:p>
        </w:tc>
      </w:tr>
    </w:tbl>
    <w:p w:rsidR="009354F4" w:rsidRPr="007C57D2" w:rsidRDefault="007C57D2" w:rsidP="008F3DAB">
      <w:pPr>
        <w:tabs>
          <w:tab w:val="left" w:pos="360"/>
        </w:tabs>
        <w:spacing w:after="0" w:line="240" w:lineRule="auto"/>
        <w:jc w:val="center"/>
        <w:rPr>
          <w:rFonts w:ascii="Times New Roman" w:hAnsi="Times New Roman"/>
          <w:i/>
          <w:iCs/>
          <w:sz w:val="28"/>
          <w:shd w:val="clear" w:color="auto" w:fill="FFFFFF"/>
        </w:rPr>
      </w:pPr>
      <w:r w:rsidRPr="007C57D2">
        <w:rPr>
          <w:rFonts w:ascii="Times New Roman" w:hAnsi="Times New Roman"/>
          <w:sz w:val="28"/>
          <w:shd w:val="clear" w:color="auto" w:fill="FFFFFF"/>
        </w:rPr>
        <w:t>Tabla 1</w:t>
      </w:r>
      <w:r w:rsidRPr="007C57D2">
        <w:rPr>
          <w:rFonts w:ascii="Times New Roman" w:hAnsi="Times New Roman"/>
          <w:sz w:val="28"/>
          <w:shd w:val="clear" w:color="auto" w:fill="FFFFFF"/>
        </w:rPr>
        <w:t>8</w:t>
      </w:r>
      <w:r w:rsidRPr="007C57D2">
        <w:rPr>
          <w:rFonts w:ascii="Times New Roman" w:hAnsi="Times New Roman"/>
          <w:sz w:val="28"/>
          <w:shd w:val="clear" w:color="auto" w:fill="FFFFFF"/>
        </w:rPr>
        <w:t xml:space="preserve">. </w:t>
      </w:r>
      <w:r w:rsidRPr="007C57D2">
        <w:rPr>
          <w:rFonts w:ascii="Times New Roman" w:hAnsi="Times New Roman"/>
          <w:i/>
          <w:iCs/>
          <w:sz w:val="28"/>
          <w:shd w:val="clear" w:color="auto" w:fill="FFFFFF"/>
        </w:rPr>
        <w:t>Verificación del requisito de unidad de materia</w:t>
      </w:r>
    </w:p>
    <w:p w:rsidR="00111513"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Estos tres grupos</w:t>
      </w:r>
      <w:r w:rsidRPr="007C57D2">
        <w:rPr>
          <w:rFonts w:ascii="Times New Roman" w:hAnsi="Times New Roman"/>
          <w:sz w:val="28"/>
          <w:szCs w:val="28"/>
          <w:shd w:val="clear" w:color="auto" w:fill="FFFFFF"/>
        </w:rPr>
        <w:t xml:space="preserve"> temáticos</w:t>
      </w:r>
      <w:r w:rsidRPr="007C57D2">
        <w:rPr>
          <w:rFonts w:ascii="Times New Roman" w:hAnsi="Times New Roman"/>
          <w:sz w:val="28"/>
          <w:szCs w:val="28"/>
          <w:shd w:val="clear" w:color="auto" w:fill="FFFFFF"/>
        </w:rPr>
        <w:t xml:space="preserve"> dan cuenta de que el legislador no introdujo en el trámite legislativo alguna disposición que fuese extraña o ajena al objeto del proyecto. Asimismo, el título, objeto y disposiciones concretas muestran </w:t>
      </w:r>
      <w:r w:rsidRPr="007C57D2">
        <w:rPr>
          <w:rFonts w:ascii="Times New Roman" w:hAnsi="Times New Roman"/>
          <w:sz w:val="28"/>
          <w:szCs w:val="28"/>
          <w:shd w:val="clear" w:color="auto" w:fill="FFFFFF"/>
        </w:rPr>
        <w:t>lo siguiente</w:t>
      </w:r>
      <w:r w:rsidRPr="007C57D2">
        <w:rPr>
          <w:rFonts w:ascii="Times New Roman" w:hAnsi="Times New Roman"/>
          <w:sz w:val="28"/>
          <w:szCs w:val="28"/>
          <w:shd w:val="clear" w:color="auto" w:fill="FFFFFF"/>
        </w:rPr>
        <w:t>:</w:t>
      </w:r>
    </w:p>
    <w:p w:rsidR="00111513"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111513"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i/>
          <w:iCs/>
          <w:sz w:val="28"/>
          <w:szCs w:val="28"/>
          <w:shd w:val="clear" w:color="auto" w:fill="FFFFFF"/>
        </w:rPr>
        <w:t>Conexidad temática</w:t>
      </w:r>
      <w:r w:rsidRPr="007C57D2">
        <w:rPr>
          <w:rFonts w:ascii="Times New Roman" w:hAnsi="Times New Roman"/>
          <w:sz w:val="28"/>
          <w:szCs w:val="28"/>
          <w:shd w:val="clear" w:color="auto" w:fill="FFFFFF"/>
        </w:rPr>
        <w:t>. E</w:t>
      </w:r>
      <w:r w:rsidRPr="007C57D2">
        <w:rPr>
          <w:rFonts w:ascii="Times New Roman" w:hAnsi="Times New Roman"/>
          <w:sz w:val="28"/>
          <w:szCs w:val="28"/>
          <w:shd w:val="clear" w:color="auto" w:fill="FFFFFF"/>
        </w:rPr>
        <w:t>xiste una relaci</w:t>
      </w:r>
      <w:r w:rsidRPr="007C57D2">
        <w:rPr>
          <w:rFonts w:ascii="Times New Roman" w:hAnsi="Times New Roman"/>
          <w:sz w:val="28"/>
          <w:szCs w:val="28"/>
          <w:shd w:val="clear" w:color="auto" w:fill="FFFFFF"/>
        </w:rPr>
        <w:t xml:space="preserve">ón entre la temática central (la creación de una alerta para </w:t>
      </w:r>
      <w:r w:rsidRPr="007C57D2">
        <w:rPr>
          <w:rFonts w:ascii="Times New Roman" w:hAnsi="Times New Roman"/>
          <w:sz w:val="28"/>
          <w:szCs w:val="28"/>
          <w:shd w:val="clear" w:color="auto" w:fill="FFFFFF"/>
        </w:rPr>
        <w:t xml:space="preserve">encontrar </w:t>
      </w:r>
      <w:r w:rsidRPr="007C57D2">
        <w:rPr>
          <w:rFonts w:ascii="Times New Roman" w:hAnsi="Times New Roman"/>
          <w:sz w:val="28"/>
          <w:szCs w:val="28"/>
          <w:shd w:val="clear" w:color="auto" w:fill="FFFFFF"/>
        </w:rPr>
        <w:t>niñas</w:t>
      </w:r>
      <w:r w:rsidRPr="007C57D2">
        <w:rPr>
          <w:rFonts w:ascii="Times New Roman" w:hAnsi="Times New Roman"/>
          <w:sz w:val="28"/>
          <w:szCs w:val="28"/>
          <w:shd w:val="clear" w:color="auto" w:fill="FFFFFF"/>
        </w:rPr>
        <w:t xml:space="preserve"> y </w:t>
      </w:r>
      <w:r w:rsidRPr="007C57D2">
        <w:rPr>
          <w:rFonts w:ascii="Times New Roman" w:hAnsi="Times New Roman"/>
          <w:sz w:val="28"/>
          <w:szCs w:val="28"/>
          <w:shd w:val="clear" w:color="auto" w:fill="FFFFFF"/>
        </w:rPr>
        <w:t xml:space="preserve">niños extraviados) y cada una de las disposiciones, en la medida en que </w:t>
      </w:r>
      <w:r w:rsidRPr="007C57D2">
        <w:rPr>
          <w:rFonts w:ascii="Times New Roman" w:hAnsi="Times New Roman"/>
          <w:sz w:val="28"/>
          <w:szCs w:val="28"/>
          <w:shd w:val="clear" w:color="auto" w:fill="FFFFFF"/>
        </w:rPr>
        <w:t>e</w:t>
      </w:r>
      <w:r w:rsidRPr="007C57D2">
        <w:rPr>
          <w:rFonts w:ascii="Times New Roman" w:hAnsi="Times New Roman"/>
          <w:sz w:val="28"/>
          <w:szCs w:val="28"/>
          <w:shd w:val="clear" w:color="auto" w:fill="FFFFFF"/>
        </w:rPr>
        <w:t xml:space="preserve">stas </w:t>
      </w:r>
      <w:r w:rsidRPr="007C57D2">
        <w:rPr>
          <w:rFonts w:ascii="Times New Roman" w:hAnsi="Times New Roman"/>
          <w:sz w:val="28"/>
          <w:szCs w:val="28"/>
          <w:shd w:val="clear" w:color="auto" w:fill="FFFFFF"/>
        </w:rPr>
        <w:t>regulan el acceso a</w:t>
      </w:r>
      <w:r w:rsidRPr="007C57D2">
        <w:rPr>
          <w:rFonts w:ascii="Times New Roman" w:hAnsi="Times New Roman"/>
          <w:sz w:val="28"/>
          <w:szCs w:val="28"/>
          <w:shd w:val="clear" w:color="auto" w:fill="FFFFFF"/>
        </w:rPr>
        <w:t xml:space="preserve"> la </w:t>
      </w:r>
      <w:r w:rsidRPr="007C57D2">
        <w:rPr>
          <w:rFonts w:ascii="Times New Roman" w:hAnsi="Times New Roman"/>
          <w:sz w:val="28"/>
          <w:szCs w:val="28"/>
          <w:shd w:val="clear" w:color="auto" w:fill="FFFFFF"/>
        </w:rPr>
        <w:t>alerta</w:t>
      </w:r>
      <w:r w:rsidRPr="007C57D2">
        <w:rPr>
          <w:rFonts w:ascii="Times New Roman" w:hAnsi="Times New Roman"/>
          <w:sz w:val="28"/>
          <w:szCs w:val="28"/>
          <w:shd w:val="clear" w:color="auto" w:fill="FFFFFF"/>
        </w:rPr>
        <w:t>, su funcionamiento y límites (datos personales y biométricos)</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w:t>
      </w:r>
    </w:p>
    <w:p w:rsidR="00111513"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111513"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i/>
          <w:iCs/>
          <w:sz w:val="28"/>
          <w:szCs w:val="28"/>
          <w:shd w:val="clear" w:color="auto" w:fill="FFFFFF"/>
        </w:rPr>
        <w:t>Cone</w:t>
      </w:r>
      <w:r w:rsidRPr="007C57D2">
        <w:rPr>
          <w:rFonts w:ascii="Times New Roman" w:hAnsi="Times New Roman"/>
          <w:i/>
          <w:iCs/>
          <w:sz w:val="28"/>
          <w:szCs w:val="28"/>
          <w:shd w:val="clear" w:color="auto" w:fill="FFFFFF"/>
        </w:rPr>
        <w:t>xidad causal</w:t>
      </w:r>
      <w:r w:rsidRPr="007C57D2">
        <w:rPr>
          <w:rFonts w:ascii="Times New Roman" w:hAnsi="Times New Roman"/>
          <w:sz w:val="28"/>
          <w:szCs w:val="28"/>
          <w:shd w:val="clear" w:color="auto" w:fill="FFFFFF"/>
        </w:rPr>
        <w:t>. L</w:t>
      </w:r>
      <w:r w:rsidRPr="007C57D2">
        <w:rPr>
          <w:rFonts w:ascii="Times New Roman" w:hAnsi="Times New Roman"/>
          <w:sz w:val="28"/>
          <w:szCs w:val="28"/>
          <w:shd w:val="clear" w:color="auto" w:fill="FFFFFF"/>
        </w:rPr>
        <w:t>os motivos que dieron lugar al proyecto de ley (caso Sara Sofía Galván</w:t>
      </w:r>
      <w:r w:rsidRPr="007C57D2">
        <w:rPr>
          <w:rStyle w:val="Refdenotaalpie"/>
          <w:rFonts w:ascii="Times New Roman" w:hAnsi="Times New Roman"/>
          <w:sz w:val="28"/>
          <w:szCs w:val="28"/>
          <w:shd w:val="clear" w:color="auto" w:fill="FFFFFF"/>
        </w:rPr>
        <w:footnoteReference w:id="195"/>
      </w:r>
      <w:r w:rsidRPr="007C57D2">
        <w:rPr>
          <w:rFonts w:ascii="Times New Roman" w:hAnsi="Times New Roman"/>
          <w:sz w:val="28"/>
          <w:szCs w:val="28"/>
          <w:shd w:val="clear" w:color="auto" w:fill="FFFFFF"/>
        </w:rPr>
        <w:t xml:space="preserve"> y la importancia de contar con mecanismos de alerta y búsqueda de menores</w:t>
      </w:r>
      <w:r w:rsidRPr="007C57D2">
        <w:rPr>
          <w:rFonts w:ascii="Times New Roman" w:hAnsi="Times New Roman"/>
          <w:sz w:val="28"/>
          <w:szCs w:val="28"/>
          <w:shd w:val="clear" w:color="auto" w:fill="FFFFFF"/>
        </w:rPr>
        <w:t xml:space="preserve"> de edad</w:t>
      </w:r>
      <w:r w:rsidRPr="007C57D2">
        <w:rPr>
          <w:rFonts w:ascii="Times New Roman" w:hAnsi="Times New Roman"/>
          <w:sz w:val="28"/>
          <w:szCs w:val="28"/>
          <w:shd w:val="clear" w:color="auto" w:fill="FFFFFF"/>
        </w:rPr>
        <w:t>) gui</w:t>
      </w:r>
      <w:r w:rsidRPr="007C57D2">
        <w:rPr>
          <w:rFonts w:ascii="Times New Roman" w:hAnsi="Times New Roman"/>
          <w:sz w:val="28"/>
          <w:szCs w:val="28"/>
          <w:shd w:val="clear" w:color="auto" w:fill="FFFFFF"/>
        </w:rPr>
        <w:t>aron</w:t>
      </w:r>
      <w:r w:rsidRPr="007C57D2">
        <w:rPr>
          <w:rFonts w:ascii="Times New Roman" w:hAnsi="Times New Roman"/>
          <w:sz w:val="28"/>
          <w:szCs w:val="28"/>
          <w:shd w:val="clear" w:color="auto" w:fill="FFFFFF"/>
        </w:rPr>
        <w:t xml:space="preserve"> los informes y las deliberaciones dentro de las células legislativas, </w:t>
      </w:r>
      <w:r w:rsidRPr="007C57D2">
        <w:rPr>
          <w:rFonts w:ascii="Times New Roman" w:hAnsi="Times New Roman"/>
          <w:sz w:val="28"/>
          <w:szCs w:val="28"/>
          <w:shd w:val="clear" w:color="auto" w:fill="FFFFFF"/>
        </w:rPr>
        <w:t xml:space="preserve">así como la estructuración y </w:t>
      </w:r>
      <w:r w:rsidRPr="007C57D2">
        <w:rPr>
          <w:rFonts w:ascii="Times New Roman" w:hAnsi="Times New Roman"/>
          <w:sz w:val="28"/>
          <w:szCs w:val="28"/>
          <w:shd w:val="clear" w:color="auto" w:fill="FFFFFF"/>
        </w:rPr>
        <w:t xml:space="preserve">la </w:t>
      </w:r>
      <w:r w:rsidRPr="007C57D2">
        <w:rPr>
          <w:rFonts w:ascii="Times New Roman" w:hAnsi="Times New Roman"/>
          <w:sz w:val="28"/>
          <w:szCs w:val="28"/>
          <w:shd w:val="clear" w:color="auto" w:fill="FFFFFF"/>
        </w:rPr>
        <w:t>elaboración del PLE.</w:t>
      </w:r>
      <w:r w:rsidRPr="007C57D2">
        <w:rPr>
          <w:rFonts w:ascii="Times New Roman" w:hAnsi="Times New Roman"/>
          <w:sz w:val="28"/>
          <w:szCs w:val="28"/>
          <w:shd w:val="clear" w:color="auto" w:fill="FFFFFF"/>
        </w:rPr>
        <w:t xml:space="preserve"> </w:t>
      </w:r>
    </w:p>
    <w:p w:rsidR="00111513"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111513"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i/>
          <w:iCs/>
          <w:sz w:val="28"/>
          <w:szCs w:val="28"/>
          <w:shd w:val="clear" w:color="auto" w:fill="FFFFFF"/>
        </w:rPr>
        <w:t>Conexidad teleológica</w:t>
      </w:r>
      <w:r w:rsidRPr="007C57D2">
        <w:rPr>
          <w:rFonts w:ascii="Times New Roman" w:hAnsi="Times New Roman"/>
          <w:sz w:val="28"/>
          <w:szCs w:val="28"/>
          <w:shd w:val="clear" w:color="auto" w:fill="FFFFFF"/>
        </w:rPr>
        <w:t>. E</w:t>
      </w:r>
      <w:r w:rsidRPr="007C57D2">
        <w:rPr>
          <w:rFonts w:ascii="Times New Roman" w:hAnsi="Times New Roman"/>
          <w:sz w:val="28"/>
          <w:szCs w:val="28"/>
          <w:shd w:val="clear" w:color="auto" w:fill="FFFFFF"/>
        </w:rPr>
        <w:t xml:space="preserve">l objeto </w:t>
      </w:r>
      <w:r w:rsidRPr="007C57D2">
        <w:rPr>
          <w:rFonts w:ascii="Times New Roman" w:hAnsi="Times New Roman"/>
          <w:sz w:val="28"/>
          <w:szCs w:val="28"/>
          <w:shd w:val="clear" w:color="auto" w:fill="FFFFFF"/>
        </w:rPr>
        <w:t>de</w:t>
      </w:r>
      <w:r w:rsidRPr="007C57D2">
        <w:rPr>
          <w:rFonts w:ascii="Times New Roman" w:hAnsi="Times New Roman"/>
          <w:sz w:val="28"/>
          <w:szCs w:val="28"/>
          <w:shd w:val="clear" w:color="auto" w:fill="FFFFFF"/>
        </w:rPr>
        <w:t xml:space="preserve"> cada una de las disposiciones del </w:t>
      </w:r>
      <w:r w:rsidRPr="007C57D2">
        <w:rPr>
          <w:rFonts w:ascii="Times New Roman" w:hAnsi="Times New Roman"/>
          <w:sz w:val="28"/>
          <w:szCs w:val="28"/>
          <w:shd w:val="clear" w:color="auto" w:fill="FFFFFF"/>
        </w:rPr>
        <w:t>PLE consiste en</w:t>
      </w:r>
      <w:r w:rsidRPr="007C57D2">
        <w:rPr>
          <w:rFonts w:ascii="Times New Roman" w:hAnsi="Times New Roman"/>
          <w:sz w:val="28"/>
          <w:szCs w:val="28"/>
          <w:shd w:val="clear" w:color="auto" w:fill="FFFFFF"/>
        </w:rPr>
        <w:t xml:space="preserve"> lograr la búsqueda, localización y recuperación de menores </w:t>
      </w:r>
      <w:r w:rsidRPr="007C57D2">
        <w:rPr>
          <w:rFonts w:ascii="Times New Roman" w:hAnsi="Times New Roman"/>
          <w:sz w:val="28"/>
          <w:szCs w:val="28"/>
          <w:shd w:val="clear" w:color="auto" w:fill="FFFFFF"/>
        </w:rPr>
        <w:t xml:space="preserve">de 18 años </w:t>
      </w:r>
      <w:r w:rsidRPr="007C57D2">
        <w:rPr>
          <w:rFonts w:ascii="Times New Roman" w:hAnsi="Times New Roman"/>
          <w:sz w:val="28"/>
          <w:szCs w:val="28"/>
          <w:shd w:val="clear" w:color="auto" w:fill="FFFFFF"/>
        </w:rPr>
        <w:t>extraviados</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w:t>
      </w:r>
    </w:p>
    <w:p w:rsidR="00111513"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i/>
          <w:iCs/>
          <w:sz w:val="28"/>
          <w:szCs w:val="28"/>
          <w:shd w:val="clear" w:color="auto" w:fill="FFFFFF"/>
        </w:rPr>
        <w:t>Conexidad sistemática</w:t>
      </w:r>
      <w:r w:rsidRPr="007C57D2">
        <w:rPr>
          <w:rFonts w:ascii="Times New Roman" w:hAnsi="Times New Roman"/>
          <w:sz w:val="28"/>
          <w:szCs w:val="28"/>
          <w:shd w:val="clear" w:color="auto" w:fill="FFFFFF"/>
        </w:rPr>
        <w:t>. L</w:t>
      </w:r>
      <w:r w:rsidRPr="007C57D2">
        <w:rPr>
          <w:rFonts w:ascii="Times New Roman" w:hAnsi="Times New Roman"/>
          <w:sz w:val="28"/>
          <w:szCs w:val="28"/>
          <w:shd w:val="clear" w:color="auto" w:fill="FFFFFF"/>
        </w:rPr>
        <w:t xml:space="preserve">as </w:t>
      </w:r>
      <w:r w:rsidRPr="007C57D2">
        <w:rPr>
          <w:rFonts w:ascii="Times New Roman" w:hAnsi="Times New Roman"/>
          <w:sz w:val="28"/>
          <w:szCs w:val="28"/>
          <w:shd w:val="clear" w:color="auto" w:fill="FFFFFF"/>
        </w:rPr>
        <w:t>temáticas concretas de las disposiciones guardan una relación entre sí, de modo que puede comprobarse una coherencia interna del proyecto, así como la existencia de una conexidad sistemática.</w:t>
      </w:r>
    </w:p>
    <w:p w:rsidR="001D5F41"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1D5F41"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Por las razones expuestas, la Sala concluye que el PLE satisfac</w:t>
      </w:r>
      <w:r w:rsidRPr="007C57D2">
        <w:rPr>
          <w:rFonts w:ascii="Times New Roman" w:hAnsi="Times New Roman"/>
          <w:sz w:val="28"/>
          <w:szCs w:val="28"/>
          <w:shd w:val="clear" w:color="auto" w:fill="FFFFFF"/>
        </w:rPr>
        <w:t>e el requisito de unidad de materia.</w:t>
      </w: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030338"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4.7. Principios de identidad flexible y consecutividad</w:t>
      </w:r>
    </w:p>
    <w:p w:rsidR="00030338"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F3297F"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 xml:space="preserve">4.7.1 </w:t>
      </w:r>
      <w:r w:rsidRPr="007C57D2">
        <w:rPr>
          <w:rFonts w:ascii="Times New Roman" w:hAnsi="Times New Roman"/>
          <w:b/>
          <w:bCs/>
          <w:sz w:val="28"/>
          <w:szCs w:val="28"/>
          <w:lang w:eastAsia="es-ES"/>
        </w:rPr>
        <w:t xml:space="preserve">Reglas de los principios de </w:t>
      </w:r>
      <w:r w:rsidRPr="007C57D2">
        <w:rPr>
          <w:rFonts w:ascii="Times New Roman" w:hAnsi="Times New Roman"/>
          <w:b/>
          <w:bCs/>
          <w:sz w:val="28"/>
          <w:szCs w:val="28"/>
          <w:shd w:val="clear" w:color="auto" w:fill="FFFFFF"/>
        </w:rPr>
        <w:t>identidad flexible y consecutividad</w:t>
      </w:r>
      <w:r w:rsidRPr="007C57D2">
        <w:rPr>
          <w:rFonts w:ascii="Times New Roman" w:hAnsi="Times New Roman"/>
          <w:b/>
          <w:bCs/>
          <w:sz w:val="28"/>
          <w:szCs w:val="28"/>
          <w:lang w:eastAsia="es-ES"/>
        </w:rPr>
        <w:t>. Reiteración de jurisprudencia</w:t>
      </w:r>
    </w:p>
    <w:p w:rsidR="00F3297F" w:rsidRPr="007C57D2" w:rsidRDefault="007C57D2" w:rsidP="008F3DAB">
      <w:pPr>
        <w:tabs>
          <w:tab w:val="left" w:pos="360"/>
        </w:tabs>
        <w:spacing w:after="0" w:line="240" w:lineRule="auto"/>
        <w:jc w:val="both"/>
        <w:rPr>
          <w:rFonts w:ascii="Times New Roman" w:hAnsi="Times New Roman"/>
          <w:sz w:val="28"/>
          <w:szCs w:val="28"/>
          <w:shd w:val="clear" w:color="auto" w:fill="FFFFFF"/>
        </w:rPr>
      </w:pPr>
    </w:p>
    <w:p w:rsidR="00F3297F"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Los artículos 157 y 160 de la Constitución prevén que el </w:t>
      </w:r>
      <w:r w:rsidRPr="007C57D2">
        <w:rPr>
          <w:rFonts w:ascii="Times New Roman" w:hAnsi="Times New Roman"/>
          <w:sz w:val="28"/>
          <w:szCs w:val="28"/>
          <w:shd w:val="clear" w:color="auto" w:fill="FFFFFF"/>
        </w:rPr>
        <w:t>trámite legislativo debe respetar los principios de consecutividad e identidad flexible</w:t>
      </w:r>
      <w:r w:rsidRPr="007C57D2">
        <w:rPr>
          <w:rStyle w:val="Refdenotaalpie"/>
          <w:rFonts w:ascii="Times New Roman" w:hAnsi="Times New Roman"/>
          <w:sz w:val="28"/>
          <w:szCs w:val="28"/>
          <w:shd w:val="clear" w:color="auto" w:fill="FFFFFF"/>
        </w:rPr>
        <w:footnoteReference w:id="196"/>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E</w:t>
      </w:r>
      <w:r w:rsidRPr="007C57D2">
        <w:rPr>
          <w:rFonts w:ascii="Times New Roman" w:hAnsi="Times New Roman"/>
          <w:sz w:val="28"/>
          <w:szCs w:val="28"/>
          <w:shd w:val="clear" w:color="auto" w:fill="FFFFFF"/>
        </w:rPr>
        <w:t xml:space="preserve">l primer principio exige que todo proyecto de ley </w:t>
      </w:r>
      <w:r w:rsidRPr="007C57D2">
        <w:rPr>
          <w:rFonts w:ascii="Times New Roman" w:hAnsi="Times New Roman"/>
          <w:sz w:val="28"/>
          <w:szCs w:val="28"/>
          <w:shd w:val="clear" w:color="auto" w:fill="FFFFFF"/>
        </w:rPr>
        <w:t>sea</w:t>
      </w:r>
      <w:r w:rsidRPr="007C57D2">
        <w:rPr>
          <w:rFonts w:ascii="Times New Roman" w:hAnsi="Times New Roman"/>
          <w:sz w:val="28"/>
          <w:szCs w:val="28"/>
          <w:shd w:val="clear" w:color="auto" w:fill="FFFFFF"/>
        </w:rPr>
        <w:t xml:space="preserve"> discutido y aprobado por las comisiones permanentes y por las plenarias de cada cámara</w:t>
      </w:r>
      <w:r w:rsidRPr="007C57D2">
        <w:rPr>
          <w:rStyle w:val="Refdenotaalpie"/>
          <w:rFonts w:ascii="Times New Roman" w:hAnsi="Times New Roman"/>
          <w:sz w:val="28"/>
          <w:szCs w:val="28"/>
          <w:shd w:val="clear" w:color="auto" w:fill="FFFFFF"/>
        </w:rPr>
        <w:footnoteReference w:id="197"/>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Ello</w:t>
      </w:r>
      <w:r w:rsidRPr="007C57D2">
        <w:rPr>
          <w:rFonts w:ascii="Times New Roman" w:hAnsi="Times New Roman"/>
          <w:sz w:val="28"/>
          <w:szCs w:val="28"/>
          <w:shd w:val="clear" w:color="auto" w:fill="FFFFFF"/>
        </w:rPr>
        <w:t xml:space="preserve"> sin perjuicio de que, en algunos casos, el debate de las comisiones permanentes pueda darse de manera simultánea, </w:t>
      </w:r>
      <w:r w:rsidRPr="007C57D2">
        <w:rPr>
          <w:rFonts w:ascii="Times New Roman" w:hAnsi="Times New Roman"/>
          <w:sz w:val="28"/>
          <w:szCs w:val="28"/>
          <w:shd w:val="clear" w:color="auto" w:fill="FFFFFF"/>
        </w:rPr>
        <w:t>en aplicación</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d</w:t>
      </w:r>
      <w:r w:rsidRPr="007C57D2">
        <w:rPr>
          <w:rFonts w:ascii="Times New Roman" w:hAnsi="Times New Roman"/>
          <w:sz w:val="28"/>
          <w:szCs w:val="28"/>
          <w:shd w:val="clear" w:color="auto" w:fill="FFFFFF"/>
        </w:rPr>
        <w:t>el artículo 163 de la Constitución</w:t>
      </w:r>
      <w:r w:rsidRPr="007C57D2">
        <w:rPr>
          <w:rStyle w:val="Refdenotaalpie"/>
          <w:rFonts w:ascii="Times New Roman" w:hAnsi="Times New Roman"/>
          <w:sz w:val="28"/>
          <w:szCs w:val="28"/>
          <w:shd w:val="clear" w:color="auto" w:fill="FFFFFF"/>
        </w:rPr>
        <w:footnoteReference w:id="198"/>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Para verificar que esta exigencia se cumpl</w:t>
      </w:r>
      <w:r w:rsidRPr="007C57D2">
        <w:rPr>
          <w:rFonts w:ascii="Times New Roman" w:hAnsi="Times New Roman"/>
          <w:sz w:val="28"/>
          <w:szCs w:val="28"/>
          <w:shd w:val="clear" w:color="auto" w:fill="FFFFFF"/>
        </w:rPr>
        <w:t>e</w:t>
      </w:r>
      <w:r w:rsidRPr="007C57D2">
        <w:rPr>
          <w:rFonts w:ascii="Times New Roman" w:hAnsi="Times New Roman"/>
          <w:sz w:val="28"/>
          <w:szCs w:val="28"/>
          <w:shd w:val="clear" w:color="auto" w:fill="FFFFFF"/>
        </w:rPr>
        <w:t>, en el trámite legislativo, cada célula legis</w:t>
      </w:r>
      <w:r w:rsidRPr="007C57D2">
        <w:rPr>
          <w:rFonts w:ascii="Times New Roman" w:hAnsi="Times New Roman"/>
          <w:sz w:val="28"/>
          <w:szCs w:val="28"/>
          <w:shd w:val="clear" w:color="auto" w:fill="FFFFFF"/>
        </w:rPr>
        <w:t xml:space="preserve">lativa </w:t>
      </w:r>
      <w:r w:rsidRPr="007C57D2">
        <w:rPr>
          <w:rFonts w:ascii="Times New Roman" w:hAnsi="Times New Roman"/>
          <w:sz w:val="28"/>
          <w:szCs w:val="28"/>
          <w:shd w:val="clear" w:color="auto" w:fill="FFFFFF"/>
        </w:rPr>
        <w:t xml:space="preserve">debió </w:t>
      </w:r>
      <w:r w:rsidRPr="007C57D2">
        <w:rPr>
          <w:rFonts w:ascii="Times New Roman" w:hAnsi="Times New Roman"/>
          <w:sz w:val="28"/>
          <w:szCs w:val="28"/>
          <w:shd w:val="clear" w:color="auto" w:fill="FFFFFF"/>
        </w:rPr>
        <w:t>estudi</w:t>
      </w:r>
      <w:r w:rsidRPr="007C57D2">
        <w:rPr>
          <w:rFonts w:ascii="Times New Roman" w:hAnsi="Times New Roman"/>
          <w:sz w:val="28"/>
          <w:szCs w:val="28"/>
          <w:shd w:val="clear" w:color="auto" w:fill="FFFFFF"/>
        </w:rPr>
        <w:t>ar</w:t>
      </w:r>
      <w:r w:rsidRPr="007C57D2">
        <w:rPr>
          <w:rFonts w:ascii="Times New Roman" w:hAnsi="Times New Roman"/>
          <w:sz w:val="28"/>
          <w:szCs w:val="28"/>
          <w:shd w:val="clear" w:color="auto" w:fill="FFFFFF"/>
        </w:rPr>
        <w:t xml:space="preserve"> y aprob</w:t>
      </w:r>
      <w:r w:rsidRPr="007C57D2">
        <w:rPr>
          <w:rFonts w:ascii="Times New Roman" w:hAnsi="Times New Roman"/>
          <w:sz w:val="28"/>
          <w:szCs w:val="28"/>
          <w:shd w:val="clear" w:color="auto" w:fill="FFFFFF"/>
        </w:rPr>
        <w:t>ar</w:t>
      </w:r>
      <w:r w:rsidRPr="007C57D2">
        <w:rPr>
          <w:rFonts w:ascii="Times New Roman" w:hAnsi="Times New Roman"/>
          <w:sz w:val="28"/>
          <w:szCs w:val="28"/>
          <w:shd w:val="clear" w:color="auto" w:fill="FFFFFF"/>
        </w:rPr>
        <w:t xml:space="preserve"> los temas propuestos sin delegar dicho deber en otra instancia legislativa</w:t>
      </w:r>
      <w:r w:rsidRPr="007C57D2">
        <w:rPr>
          <w:rStyle w:val="Refdenotaalpie"/>
          <w:rFonts w:ascii="Times New Roman" w:hAnsi="Times New Roman"/>
          <w:sz w:val="28"/>
          <w:szCs w:val="28"/>
          <w:shd w:val="clear" w:color="auto" w:fill="FFFFFF"/>
        </w:rPr>
        <w:footnoteReference w:id="199"/>
      </w:r>
      <w:r w:rsidRPr="007C57D2">
        <w:rPr>
          <w:rFonts w:ascii="Times New Roman" w:hAnsi="Times New Roman"/>
          <w:sz w:val="28"/>
          <w:szCs w:val="28"/>
          <w:shd w:val="clear" w:color="auto" w:fill="FFFFFF"/>
        </w:rPr>
        <w:t xml:space="preserve">. </w:t>
      </w:r>
    </w:p>
    <w:p w:rsidR="0051430D"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F3297F" w:rsidRPr="007C57D2" w:rsidRDefault="007C57D2" w:rsidP="008F3DAB">
      <w:pPr>
        <w:pStyle w:val="Prrafodelista"/>
        <w:numPr>
          <w:ilvl w:val="0"/>
          <w:numId w:val="3"/>
        </w:numPr>
        <w:tabs>
          <w:tab w:val="left" w:pos="567"/>
        </w:tabs>
        <w:ind w:left="0" w:firstLine="0"/>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Por su parte, e</w:t>
      </w:r>
      <w:r w:rsidRPr="007C57D2">
        <w:rPr>
          <w:rFonts w:ascii="Times New Roman" w:hAnsi="Times New Roman"/>
          <w:sz w:val="28"/>
          <w:szCs w:val="28"/>
          <w:shd w:val="clear" w:color="auto" w:fill="FFFFFF"/>
        </w:rPr>
        <w:t xml:space="preserve">l principio de identidad flexible </w:t>
      </w:r>
      <w:r w:rsidRPr="007C57D2">
        <w:rPr>
          <w:rFonts w:ascii="Times New Roman" w:hAnsi="Times New Roman"/>
          <w:sz w:val="28"/>
          <w:szCs w:val="28"/>
          <w:lang w:val="es-ES_tradnl" w:eastAsia="es-MX"/>
        </w:rPr>
        <w:t xml:space="preserve">exige que </w:t>
      </w:r>
      <w:r w:rsidRPr="007C57D2">
        <w:rPr>
          <w:rFonts w:ascii="Times New Roman" w:hAnsi="Times New Roman"/>
          <w:sz w:val="28"/>
          <w:szCs w:val="28"/>
          <w:lang w:eastAsia="es-MX"/>
        </w:rPr>
        <w:t xml:space="preserve">las disposiciones aprobadas en segundo debate guarden relación temática con aquellas </w:t>
      </w:r>
      <w:r w:rsidRPr="007C57D2">
        <w:rPr>
          <w:rFonts w:ascii="Times New Roman" w:hAnsi="Times New Roman"/>
          <w:sz w:val="28"/>
          <w:szCs w:val="28"/>
          <w:lang w:eastAsia="es-MX"/>
        </w:rPr>
        <w:t>que fueron votadas en primer debate</w:t>
      </w:r>
      <w:r w:rsidRPr="007C57D2">
        <w:rPr>
          <w:rStyle w:val="Refdenotaalpie"/>
          <w:rFonts w:ascii="Times New Roman" w:hAnsi="Times New Roman"/>
          <w:sz w:val="28"/>
          <w:szCs w:val="28"/>
          <w:shd w:val="clear" w:color="auto" w:fill="FFFFFF"/>
        </w:rPr>
        <w:footnoteReference w:id="200"/>
      </w:r>
      <w:r w:rsidRPr="007C57D2">
        <w:rPr>
          <w:rFonts w:ascii="Times New Roman" w:hAnsi="Times New Roman"/>
          <w:sz w:val="28"/>
          <w:szCs w:val="28"/>
          <w:shd w:val="clear" w:color="auto" w:fill="FFFFFF"/>
        </w:rPr>
        <w:t xml:space="preserve">. Para preservar </w:t>
      </w:r>
      <w:r w:rsidRPr="007C57D2">
        <w:rPr>
          <w:rFonts w:ascii="Times New Roman" w:hAnsi="Times New Roman"/>
          <w:sz w:val="28"/>
          <w:szCs w:val="28"/>
          <w:shd w:val="clear" w:color="auto" w:fill="FFFFFF"/>
        </w:rPr>
        <w:t>esa relación temática</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en concordancia los artículos 160 de la Constitución y 177 de la Ley 5 de 1992, </w:t>
      </w:r>
      <w:r w:rsidRPr="007C57D2">
        <w:rPr>
          <w:rFonts w:ascii="Times New Roman" w:hAnsi="Times New Roman"/>
          <w:sz w:val="28"/>
          <w:szCs w:val="28"/>
          <w:shd w:val="clear" w:color="auto" w:fill="FFFFFF"/>
        </w:rPr>
        <w:t xml:space="preserve">se debe constatar que los cambios </w:t>
      </w:r>
      <w:r w:rsidRPr="007C57D2">
        <w:rPr>
          <w:rFonts w:ascii="Times New Roman" w:hAnsi="Times New Roman"/>
          <w:sz w:val="28"/>
          <w:szCs w:val="28"/>
          <w:shd w:val="clear" w:color="auto" w:fill="FFFFFF"/>
        </w:rPr>
        <w:t xml:space="preserve">introducidos al proyecto de ley en la </w:t>
      </w:r>
      <w:r w:rsidRPr="007C57D2">
        <w:rPr>
          <w:rFonts w:ascii="Times New Roman" w:hAnsi="Times New Roman"/>
          <w:sz w:val="28"/>
          <w:szCs w:val="28"/>
          <w:shd w:val="clear" w:color="auto" w:fill="FFFFFF"/>
        </w:rPr>
        <w:t xml:space="preserve">plenaria </w:t>
      </w:r>
      <w:r w:rsidRPr="007C57D2">
        <w:rPr>
          <w:rFonts w:ascii="Times New Roman" w:hAnsi="Times New Roman"/>
          <w:sz w:val="28"/>
          <w:szCs w:val="28"/>
          <w:shd w:val="clear" w:color="auto" w:fill="FFFFFF"/>
        </w:rPr>
        <w:t>tengan conexidad</w:t>
      </w:r>
      <w:r w:rsidRPr="007C57D2">
        <w:rPr>
          <w:rFonts w:ascii="Times New Roman" w:hAnsi="Times New Roman"/>
          <w:sz w:val="28"/>
          <w:szCs w:val="28"/>
          <w:shd w:val="clear" w:color="auto" w:fill="FFFFFF"/>
        </w:rPr>
        <w:t xml:space="preserve"> co</w:t>
      </w:r>
      <w:r w:rsidRPr="007C57D2">
        <w:rPr>
          <w:rFonts w:ascii="Times New Roman" w:hAnsi="Times New Roman"/>
          <w:sz w:val="28"/>
          <w:szCs w:val="28"/>
          <w:shd w:val="clear" w:color="auto" w:fill="FFFFFF"/>
        </w:rPr>
        <w:t xml:space="preserve">n </w:t>
      </w:r>
      <w:r w:rsidRPr="007C57D2">
        <w:rPr>
          <w:rFonts w:ascii="Times New Roman" w:hAnsi="Times New Roman"/>
          <w:sz w:val="28"/>
          <w:szCs w:val="28"/>
          <w:shd w:val="clear" w:color="auto" w:fill="FFFFFF"/>
        </w:rPr>
        <w:t>las materias y asuntos abordados</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en </w:t>
      </w:r>
      <w:r w:rsidRPr="007C57D2">
        <w:rPr>
          <w:rFonts w:ascii="Times New Roman" w:hAnsi="Times New Roman"/>
          <w:sz w:val="28"/>
          <w:szCs w:val="28"/>
          <w:shd w:val="clear" w:color="auto" w:fill="FFFFFF"/>
        </w:rPr>
        <w:t xml:space="preserve">la </w:t>
      </w:r>
      <w:r w:rsidRPr="007C57D2">
        <w:rPr>
          <w:rFonts w:ascii="Times New Roman" w:hAnsi="Times New Roman"/>
          <w:sz w:val="28"/>
          <w:szCs w:val="28"/>
          <w:shd w:val="clear" w:color="auto" w:fill="FFFFFF"/>
        </w:rPr>
        <w:t>comisión</w:t>
      </w:r>
      <w:r w:rsidRPr="007C57D2">
        <w:rPr>
          <w:rFonts w:ascii="Times New Roman" w:hAnsi="Times New Roman"/>
          <w:sz w:val="28"/>
          <w:szCs w:val="28"/>
          <w:shd w:val="clear" w:color="auto" w:fill="FFFFFF"/>
        </w:rPr>
        <w:t>. Igualmente, se debe analizar si</w:t>
      </w:r>
      <w:r w:rsidRPr="007C57D2">
        <w:rPr>
          <w:rFonts w:ascii="Times New Roman" w:hAnsi="Times New Roman"/>
          <w:sz w:val="28"/>
          <w:szCs w:val="28"/>
          <w:shd w:val="clear" w:color="auto" w:fill="FFFFFF"/>
        </w:rPr>
        <w:t xml:space="preserve"> las modificaciones </w:t>
      </w:r>
      <w:r w:rsidRPr="007C57D2">
        <w:rPr>
          <w:rFonts w:ascii="Times New Roman" w:hAnsi="Times New Roman"/>
          <w:sz w:val="28"/>
          <w:szCs w:val="28"/>
          <w:shd w:val="clear" w:color="auto" w:fill="FFFFFF"/>
        </w:rPr>
        <w:t>realizadas en</w:t>
      </w:r>
      <w:r w:rsidRPr="007C57D2">
        <w:rPr>
          <w:rFonts w:ascii="Times New Roman" w:hAnsi="Times New Roman"/>
          <w:sz w:val="28"/>
          <w:szCs w:val="28"/>
          <w:shd w:val="clear" w:color="auto" w:fill="FFFFFF"/>
        </w:rPr>
        <w:t xml:space="preserve"> una cámara </w:t>
      </w:r>
      <w:r w:rsidRPr="007C57D2">
        <w:rPr>
          <w:rFonts w:ascii="Times New Roman" w:hAnsi="Times New Roman"/>
          <w:sz w:val="28"/>
          <w:szCs w:val="28"/>
          <w:shd w:val="clear" w:color="auto" w:fill="FFFFFF"/>
        </w:rPr>
        <w:t xml:space="preserve">tienen relación </w:t>
      </w:r>
      <w:r w:rsidRPr="007C57D2">
        <w:rPr>
          <w:rFonts w:ascii="Times New Roman" w:hAnsi="Times New Roman"/>
          <w:sz w:val="28"/>
          <w:szCs w:val="28"/>
          <w:shd w:val="clear" w:color="auto" w:fill="FFFFFF"/>
        </w:rPr>
        <w:t>con lo aprobado por la otra</w:t>
      </w:r>
      <w:r w:rsidRPr="007C57D2">
        <w:rPr>
          <w:rFonts w:ascii="Times New Roman" w:hAnsi="Times New Roman"/>
          <w:sz w:val="28"/>
          <w:szCs w:val="28"/>
          <w:shd w:val="clear" w:color="auto" w:fill="FFFFFF"/>
        </w:rPr>
        <w:t xml:space="preserve"> cámara</w:t>
      </w:r>
      <w:r w:rsidRPr="007C57D2">
        <w:rPr>
          <w:rStyle w:val="Refdenotaalpie"/>
          <w:rFonts w:ascii="Times New Roman" w:hAnsi="Times New Roman"/>
          <w:sz w:val="28"/>
          <w:szCs w:val="28"/>
          <w:shd w:val="clear" w:color="auto" w:fill="FFFFFF"/>
        </w:rPr>
        <w:footnoteReference w:id="201"/>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Lo anterior no significa que </w:t>
      </w:r>
    </w:p>
    <w:p w:rsidR="00F3297F" w:rsidRPr="007C57D2" w:rsidRDefault="007C57D2" w:rsidP="008F3DAB">
      <w:pPr>
        <w:tabs>
          <w:tab w:val="left" w:pos="567"/>
        </w:tabs>
        <w:spacing w:after="0" w:line="240" w:lineRule="auto"/>
        <w:jc w:val="both"/>
        <w:rPr>
          <w:rFonts w:ascii="Times New Roman" w:hAnsi="Times New Roman"/>
          <w:sz w:val="28"/>
          <w:szCs w:val="28"/>
          <w:shd w:val="clear" w:color="auto" w:fill="FFFFFF"/>
        </w:rPr>
      </w:pPr>
    </w:p>
    <w:p w:rsidR="009B4916" w:rsidRPr="007C57D2" w:rsidRDefault="007C57D2" w:rsidP="008F3DAB">
      <w:pPr>
        <w:pStyle w:val="Prrafodelista"/>
        <w:numPr>
          <w:ilvl w:val="0"/>
          <w:numId w:val="3"/>
        </w:numPr>
        <w:tabs>
          <w:tab w:val="left" w:pos="360"/>
          <w:tab w:val="left" w:pos="567"/>
        </w:tabs>
        <w:ind w:left="0" w:firstLine="0"/>
        <w:jc w:val="both"/>
        <w:rPr>
          <w:rFonts w:ascii="Times New Roman" w:hAnsi="Times New Roman"/>
          <w:b/>
          <w:bCs/>
          <w:sz w:val="28"/>
          <w:szCs w:val="28"/>
          <w:shd w:val="clear" w:color="auto" w:fill="FFFFFF"/>
        </w:rPr>
      </w:pPr>
      <w:r w:rsidRPr="007C57D2">
        <w:rPr>
          <w:rFonts w:ascii="Times New Roman" w:hAnsi="Times New Roman"/>
          <w:sz w:val="28"/>
          <w:szCs w:val="28"/>
          <w:shd w:val="clear" w:color="auto" w:fill="FFFFFF"/>
        </w:rPr>
        <w:t xml:space="preserve">Ahora bien, </w:t>
      </w:r>
      <w:r w:rsidRPr="007C57D2">
        <w:rPr>
          <w:rFonts w:ascii="Times New Roman" w:hAnsi="Times New Roman"/>
          <w:sz w:val="28"/>
          <w:szCs w:val="28"/>
          <w:shd w:val="clear" w:color="auto" w:fill="FFFFFF"/>
        </w:rPr>
        <w:t xml:space="preserve">en </w:t>
      </w:r>
      <w:r w:rsidRPr="007C57D2">
        <w:rPr>
          <w:rFonts w:ascii="Times New Roman" w:hAnsi="Times New Roman"/>
          <w:sz w:val="28"/>
          <w:szCs w:val="28"/>
          <w:shd w:val="clear" w:color="auto" w:fill="FFFFFF"/>
        </w:rPr>
        <w:t xml:space="preserve">la </w:t>
      </w:r>
      <w:r w:rsidRPr="007C57D2">
        <w:rPr>
          <w:rFonts w:ascii="Times New Roman" w:hAnsi="Times New Roman"/>
          <w:sz w:val="28"/>
          <w:szCs w:val="28"/>
          <w:shd w:val="clear" w:color="auto" w:fill="FFFFFF"/>
        </w:rPr>
        <w:t>Sentencia C-340 de 2024</w:t>
      </w:r>
      <w:r w:rsidRPr="007C57D2">
        <w:rPr>
          <w:rFonts w:ascii="Times New Roman" w:hAnsi="Times New Roman"/>
          <w:sz w:val="28"/>
          <w:szCs w:val="28"/>
          <w:shd w:val="clear" w:color="auto" w:fill="FFFFFF"/>
        </w:rPr>
        <w:t>, la</w:t>
      </w:r>
      <w:r w:rsidRPr="007C57D2">
        <w:rPr>
          <w:rFonts w:ascii="Times New Roman" w:hAnsi="Times New Roman"/>
          <w:sz w:val="28"/>
          <w:szCs w:val="28"/>
          <w:shd w:val="clear" w:color="auto" w:fill="FFFFFF"/>
        </w:rPr>
        <w:t xml:space="preserve"> Sala</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sistematizó las siguientes reglas sobre el principio de </w:t>
      </w:r>
      <w:r w:rsidRPr="007C57D2">
        <w:rPr>
          <w:rFonts w:ascii="Times New Roman" w:hAnsi="Times New Roman"/>
          <w:sz w:val="28"/>
          <w:szCs w:val="28"/>
          <w:shd w:val="clear" w:color="auto" w:fill="FFFFFF"/>
        </w:rPr>
        <w:t>identidad flexible: “(i)</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lang w:val="es-ES"/>
        </w:rPr>
        <w:t>este es más estricto cuando se evalúa el debate al interior de cada cámara (debate en comisión y en plenaria); (ii) es aceptable la incorporación de artículos o modifica</w:t>
      </w:r>
      <w:r w:rsidRPr="007C57D2">
        <w:rPr>
          <w:rFonts w:ascii="Times New Roman" w:hAnsi="Times New Roman"/>
          <w:sz w:val="28"/>
          <w:szCs w:val="28"/>
          <w:shd w:val="clear" w:color="auto" w:fill="FFFFFF"/>
          <w:lang w:val="es-ES"/>
        </w:rPr>
        <w:t xml:space="preserve">ciones para desarrollar de forma más específica o extensa un tema o, por el contrario, regularlo de forma más concreta o puntual, siempre y cuando la temática corresponda con la que fue </w:t>
      </w:r>
      <w:r w:rsidRPr="007C57D2">
        <w:rPr>
          <w:rFonts w:ascii="Times New Roman" w:hAnsi="Times New Roman"/>
          <w:sz w:val="28"/>
          <w:szCs w:val="28"/>
          <w:shd w:val="clear" w:color="auto" w:fill="FFFFFF"/>
          <w:lang w:val="es-ES"/>
        </w:rPr>
        <w:t>‘</w:t>
      </w:r>
      <w:r w:rsidRPr="007C57D2">
        <w:rPr>
          <w:rFonts w:ascii="Times New Roman" w:hAnsi="Times New Roman"/>
          <w:sz w:val="28"/>
          <w:szCs w:val="28"/>
          <w:shd w:val="clear" w:color="auto" w:fill="FFFFFF"/>
          <w:lang w:val="es-ES"/>
        </w:rPr>
        <w:t>conocida y considerada por la comisión constitucional respectiva o po</w:t>
      </w:r>
      <w:r w:rsidRPr="007C57D2">
        <w:rPr>
          <w:rFonts w:ascii="Times New Roman" w:hAnsi="Times New Roman"/>
          <w:sz w:val="28"/>
          <w:szCs w:val="28"/>
          <w:shd w:val="clear" w:color="auto" w:fill="FFFFFF"/>
          <w:lang w:val="es-ES"/>
        </w:rPr>
        <w:t>r la otra de las cámaras</w:t>
      </w:r>
      <w:r w:rsidRPr="007C57D2">
        <w:rPr>
          <w:rFonts w:ascii="Times New Roman" w:hAnsi="Times New Roman"/>
          <w:sz w:val="28"/>
          <w:szCs w:val="28"/>
          <w:shd w:val="clear" w:color="auto" w:fill="FFFFFF"/>
          <w:lang w:val="es-ES"/>
        </w:rPr>
        <w:t>’</w:t>
      </w:r>
      <w:r w:rsidRPr="007C57D2">
        <w:rPr>
          <w:rStyle w:val="Refdenotaalpie"/>
          <w:rFonts w:ascii="Times New Roman" w:hAnsi="Times New Roman"/>
          <w:sz w:val="28"/>
          <w:szCs w:val="28"/>
          <w:shd w:val="clear" w:color="auto" w:fill="FFFFFF"/>
          <w:lang w:val="es-ES"/>
        </w:rPr>
        <w:footnoteReference w:id="202"/>
      </w:r>
      <w:r w:rsidRPr="007C57D2">
        <w:rPr>
          <w:rFonts w:ascii="Times New Roman" w:hAnsi="Times New Roman"/>
          <w:sz w:val="28"/>
          <w:szCs w:val="28"/>
          <w:shd w:val="clear" w:color="auto" w:fill="FFFFFF"/>
          <w:lang w:val="es-ES"/>
        </w:rPr>
        <w:t xml:space="preserve">; (iii) la relación o coherencia de los cambios no deben ser </w:t>
      </w:r>
      <w:r w:rsidRPr="007C57D2">
        <w:rPr>
          <w:rFonts w:ascii="Times New Roman" w:hAnsi="Times New Roman"/>
          <w:sz w:val="28"/>
          <w:szCs w:val="28"/>
          <w:shd w:val="clear" w:color="auto" w:fill="FFFFFF"/>
          <w:lang w:val="es-ES"/>
        </w:rPr>
        <w:t>“</w:t>
      </w:r>
      <w:r w:rsidRPr="007C57D2">
        <w:rPr>
          <w:rFonts w:ascii="Times New Roman" w:hAnsi="Times New Roman"/>
          <w:sz w:val="28"/>
          <w:szCs w:val="28"/>
          <w:shd w:val="clear" w:color="auto" w:fill="FFFFFF"/>
          <w:lang w:val="es-ES"/>
        </w:rPr>
        <w:t>remot[a]s, distantes, o meramente tangenciales</w:t>
      </w:r>
      <w:r w:rsidRPr="007C57D2">
        <w:rPr>
          <w:rFonts w:ascii="Times New Roman" w:hAnsi="Times New Roman"/>
          <w:sz w:val="28"/>
          <w:szCs w:val="28"/>
          <w:shd w:val="clear" w:color="auto" w:fill="FFFFFF"/>
          <w:lang w:val="es-ES"/>
        </w:rPr>
        <w:t>”</w:t>
      </w:r>
      <w:r w:rsidRPr="007C57D2">
        <w:rPr>
          <w:rStyle w:val="Refdenotaalpie"/>
          <w:rFonts w:ascii="Times New Roman" w:hAnsi="Times New Roman"/>
          <w:sz w:val="28"/>
          <w:szCs w:val="28"/>
          <w:shd w:val="clear" w:color="auto" w:fill="FFFFFF"/>
          <w:lang w:val="es-ES"/>
        </w:rPr>
        <w:footnoteReference w:id="203"/>
      </w:r>
      <w:r w:rsidRPr="007C57D2">
        <w:rPr>
          <w:rFonts w:ascii="Times New Roman" w:hAnsi="Times New Roman"/>
          <w:sz w:val="28"/>
          <w:szCs w:val="28"/>
          <w:shd w:val="clear" w:color="auto" w:fill="FFFFFF"/>
          <w:lang w:val="es-ES"/>
        </w:rPr>
        <w:t xml:space="preserve">, sino que, por el contrario, deben guardar una relación de conexidad </w:t>
      </w:r>
      <w:r w:rsidRPr="007C57D2">
        <w:rPr>
          <w:rFonts w:ascii="Times New Roman" w:hAnsi="Times New Roman"/>
          <w:sz w:val="28"/>
          <w:szCs w:val="28"/>
          <w:shd w:val="clear" w:color="auto" w:fill="FFFFFF"/>
          <w:lang w:val="es-ES"/>
        </w:rPr>
        <w:t>“</w:t>
      </w:r>
      <w:r w:rsidRPr="007C57D2">
        <w:rPr>
          <w:rFonts w:ascii="Times New Roman" w:hAnsi="Times New Roman"/>
          <w:sz w:val="28"/>
          <w:szCs w:val="28"/>
          <w:shd w:val="clear" w:color="auto" w:fill="FFFFFF"/>
          <w:lang w:val="es-ES"/>
        </w:rPr>
        <w:t xml:space="preserve">clara y específica, estrecha, necesaria [y] </w:t>
      </w:r>
      <w:r w:rsidRPr="007C57D2">
        <w:rPr>
          <w:rFonts w:ascii="Times New Roman" w:hAnsi="Times New Roman"/>
          <w:sz w:val="28"/>
          <w:szCs w:val="28"/>
          <w:shd w:val="clear" w:color="auto" w:fill="FFFFFF"/>
          <w:lang w:val="es-ES"/>
        </w:rPr>
        <w:t>evidente</w:t>
      </w:r>
      <w:r w:rsidRPr="007C57D2">
        <w:rPr>
          <w:rFonts w:ascii="Times New Roman" w:hAnsi="Times New Roman"/>
          <w:sz w:val="28"/>
          <w:szCs w:val="28"/>
          <w:shd w:val="clear" w:color="auto" w:fill="FFFFFF"/>
          <w:lang w:val="es-ES"/>
        </w:rPr>
        <w:t>”</w:t>
      </w:r>
      <w:r w:rsidRPr="007C57D2">
        <w:rPr>
          <w:rStyle w:val="Refdenotaalpie"/>
          <w:rFonts w:ascii="Times New Roman" w:hAnsi="Times New Roman"/>
          <w:sz w:val="28"/>
          <w:szCs w:val="28"/>
          <w:shd w:val="clear" w:color="auto" w:fill="FFFFFF"/>
          <w:lang w:val="es-ES"/>
        </w:rPr>
        <w:footnoteReference w:id="204"/>
      </w:r>
      <w:r w:rsidRPr="007C57D2">
        <w:rPr>
          <w:rFonts w:ascii="Times New Roman" w:hAnsi="Times New Roman"/>
          <w:sz w:val="28"/>
          <w:szCs w:val="28"/>
          <w:shd w:val="clear" w:color="auto" w:fill="FFFFFF"/>
          <w:lang w:val="es-ES"/>
        </w:rPr>
        <w:t>; (iv) de acuerdo con el artículo 160.2 de la Constitución, no se excluye</w:t>
      </w:r>
      <w:r w:rsidRPr="007C57D2">
        <w:rPr>
          <w:rFonts w:ascii="Times New Roman" w:hAnsi="Times New Roman"/>
          <w:sz w:val="28"/>
          <w:szCs w:val="28"/>
          <w:shd w:val="clear" w:color="auto" w:fill="FFFFFF"/>
          <w:lang w:val="es-ES"/>
        </w:rPr>
        <w:t xml:space="preserve"> </w:t>
      </w:r>
      <w:r w:rsidRPr="007C57D2">
        <w:rPr>
          <w:rFonts w:ascii="Times New Roman" w:hAnsi="Times New Roman"/>
          <w:sz w:val="28"/>
          <w:szCs w:val="28"/>
          <w:shd w:val="clear" w:color="auto" w:fill="FFFFFF"/>
          <w:lang w:val="es-ES"/>
        </w:rPr>
        <w:t>la posibilidad de que surjan diferencias entre lo aprobado en segundo debate por cada cámara</w:t>
      </w:r>
      <w:r w:rsidRPr="007C57D2">
        <w:rPr>
          <w:rStyle w:val="Refdenotaalpie"/>
          <w:rFonts w:ascii="Times New Roman" w:hAnsi="Times New Roman"/>
          <w:sz w:val="28"/>
          <w:szCs w:val="28"/>
          <w:shd w:val="clear" w:color="auto" w:fill="FFFFFF"/>
          <w:lang w:val="es-ES"/>
        </w:rPr>
        <w:footnoteReference w:id="205"/>
      </w:r>
      <w:r w:rsidRPr="007C57D2">
        <w:rPr>
          <w:rFonts w:ascii="Times New Roman" w:hAnsi="Times New Roman"/>
          <w:sz w:val="28"/>
          <w:szCs w:val="28"/>
          <w:shd w:val="clear" w:color="auto" w:fill="FFFFFF"/>
          <w:lang w:val="es-ES"/>
        </w:rPr>
        <w:t>; (v) según el texto de los artículos 157 y 158 de la Constitución, el principi</w:t>
      </w:r>
      <w:r w:rsidRPr="007C57D2">
        <w:rPr>
          <w:rFonts w:ascii="Times New Roman" w:hAnsi="Times New Roman"/>
          <w:sz w:val="28"/>
          <w:szCs w:val="28"/>
          <w:shd w:val="clear" w:color="auto" w:fill="FFFFFF"/>
          <w:lang w:val="es-ES"/>
        </w:rPr>
        <w:t>o de identidad flexible exige el análisis del proyecto de ley en conjunto, no de cada artículo independientemente considerado, por lo que este análisis no debe contemplar los cambios en la literalidad de las disposiciones que conforman el proyecto radicado</w:t>
      </w:r>
      <w:r w:rsidRPr="007C57D2">
        <w:rPr>
          <w:rStyle w:val="Refdenotaalpie"/>
          <w:rFonts w:ascii="Times New Roman" w:hAnsi="Times New Roman"/>
          <w:sz w:val="28"/>
          <w:szCs w:val="28"/>
          <w:shd w:val="clear" w:color="auto" w:fill="FFFFFF"/>
          <w:lang w:val="es-ES"/>
        </w:rPr>
        <w:footnoteReference w:id="206"/>
      </w:r>
      <w:r w:rsidRPr="007C57D2">
        <w:rPr>
          <w:rFonts w:ascii="Times New Roman" w:hAnsi="Times New Roman"/>
          <w:sz w:val="28"/>
          <w:szCs w:val="28"/>
          <w:shd w:val="clear" w:color="auto" w:fill="FFFFFF"/>
          <w:lang w:val="es-ES"/>
        </w:rPr>
        <w:t>; finalmente, (vi) una irregularidad que atenta contra los principios de consecutividad e identidad flexible no se convalida por el hecho de haberse surtido el trámite de conciliación posterior</w:t>
      </w:r>
      <w:r w:rsidRPr="007C57D2">
        <w:rPr>
          <w:rStyle w:val="Refdenotaalpie"/>
          <w:rFonts w:ascii="Times New Roman" w:hAnsi="Times New Roman"/>
          <w:sz w:val="28"/>
          <w:szCs w:val="28"/>
          <w:shd w:val="clear" w:color="auto" w:fill="FFFFFF"/>
          <w:lang w:val="es-ES"/>
        </w:rPr>
        <w:footnoteReference w:id="207"/>
      </w:r>
      <w:r w:rsidRPr="007C57D2">
        <w:rPr>
          <w:rFonts w:ascii="Times New Roman" w:hAnsi="Times New Roman"/>
          <w:sz w:val="28"/>
          <w:szCs w:val="28"/>
          <w:shd w:val="clear" w:color="auto" w:fill="FFFFFF"/>
          <w:lang w:val="es-ES"/>
        </w:rPr>
        <w:t>”</w:t>
      </w:r>
      <w:r w:rsidRPr="007C57D2">
        <w:rPr>
          <w:rFonts w:ascii="Times New Roman" w:hAnsi="Times New Roman"/>
          <w:sz w:val="28"/>
          <w:szCs w:val="28"/>
          <w:shd w:val="clear" w:color="auto" w:fill="FFFFFF"/>
          <w:lang w:val="es-ES"/>
        </w:rPr>
        <w:t>.</w:t>
      </w:r>
    </w:p>
    <w:p w:rsidR="009B4916" w:rsidRPr="007C57D2" w:rsidRDefault="007C57D2" w:rsidP="008F3DAB">
      <w:pPr>
        <w:pStyle w:val="Prrafodelista"/>
        <w:tabs>
          <w:tab w:val="left" w:pos="360"/>
          <w:tab w:val="left" w:pos="567"/>
        </w:tabs>
        <w:ind w:left="0"/>
        <w:jc w:val="both"/>
        <w:rPr>
          <w:rFonts w:ascii="Times New Roman" w:hAnsi="Times New Roman"/>
          <w:b/>
          <w:bCs/>
          <w:sz w:val="28"/>
          <w:szCs w:val="28"/>
          <w:shd w:val="clear" w:color="auto" w:fill="FFFFFF"/>
        </w:rPr>
      </w:pPr>
    </w:p>
    <w:p w:rsidR="009B4916" w:rsidRPr="007C57D2" w:rsidRDefault="007C57D2" w:rsidP="008F3DAB">
      <w:pPr>
        <w:pStyle w:val="Prrafodelista"/>
        <w:numPr>
          <w:ilvl w:val="0"/>
          <w:numId w:val="3"/>
        </w:numPr>
        <w:tabs>
          <w:tab w:val="left" w:pos="360"/>
          <w:tab w:val="left" w:pos="567"/>
        </w:tabs>
        <w:ind w:left="0" w:firstLine="0"/>
        <w:jc w:val="both"/>
        <w:rPr>
          <w:rFonts w:ascii="Times New Roman" w:hAnsi="Times New Roman"/>
          <w:b/>
          <w:bCs/>
          <w:sz w:val="28"/>
          <w:szCs w:val="28"/>
          <w:shd w:val="clear" w:color="auto" w:fill="FFFFFF"/>
        </w:rPr>
      </w:pPr>
      <w:r w:rsidRPr="007C57D2">
        <w:rPr>
          <w:rFonts w:ascii="Times New Roman" w:hAnsi="Times New Roman"/>
          <w:sz w:val="28"/>
          <w:szCs w:val="28"/>
          <w:shd w:val="clear" w:color="auto" w:fill="FFFFFF"/>
        </w:rPr>
        <w:t>Las reglas anteriores no se oponen a la modificación de l</w:t>
      </w:r>
      <w:r w:rsidRPr="007C57D2">
        <w:rPr>
          <w:rFonts w:ascii="Times New Roman" w:hAnsi="Times New Roman"/>
          <w:sz w:val="28"/>
          <w:szCs w:val="28"/>
          <w:shd w:val="clear" w:color="auto" w:fill="FFFFFF"/>
        </w:rPr>
        <w:t xml:space="preserve">os proyectos de ley durante el trámite legislativo, pues </w:t>
      </w:r>
      <w:r w:rsidRPr="007C57D2">
        <w:rPr>
          <w:rFonts w:ascii="Times New Roman" w:hAnsi="Times New Roman"/>
          <w:sz w:val="28"/>
          <w:szCs w:val="28"/>
        </w:rPr>
        <w:t xml:space="preserve">si un artículo tiene una modificación o adición, que se incluye en el </w:t>
      </w:r>
      <w:r w:rsidRPr="007C57D2">
        <w:rPr>
          <w:rFonts w:ascii="Times New Roman" w:hAnsi="Times New Roman"/>
          <w:i/>
          <w:iCs/>
          <w:sz w:val="28"/>
          <w:szCs w:val="28"/>
        </w:rPr>
        <w:t xml:space="preserve">iter </w:t>
      </w:r>
      <w:r w:rsidRPr="007C57D2">
        <w:rPr>
          <w:rFonts w:ascii="Times New Roman" w:hAnsi="Times New Roman"/>
          <w:sz w:val="28"/>
          <w:szCs w:val="28"/>
        </w:rPr>
        <w:t xml:space="preserve">legislativo y que no se encontraba desde el inicio del trámite, no por ello debe declararse su inconstitucionalidad. Lo que </w:t>
      </w:r>
      <w:r w:rsidRPr="007C57D2">
        <w:rPr>
          <w:rFonts w:ascii="Times New Roman" w:hAnsi="Times New Roman"/>
          <w:sz w:val="28"/>
          <w:szCs w:val="28"/>
        </w:rPr>
        <w:t>prohíbe la jurisprudencia es incluir, en una fase avanzada del proceso legislativo, aspectos “autónomos, nuevos y separables”</w:t>
      </w:r>
      <w:r w:rsidRPr="007C57D2">
        <w:rPr>
          <w:rStyle w:val="Refdenotaalpie"/>
          <w:rFonts w:ascii="Times New Roman" w:hAnsi="Times New Roman"/>
          <w:sz w:val="28"/>
          <w:szCs w:val="28"/>
        </w:rPr>
        <w:footnoteReference w:id="208"/>
      </w:r>
      <w:r w:rsidRPr="007C57D2">
        <w:rPr>
          <w:rFonts w:ascii="Times New Roman" w:hAnsi="Times New Roman"/>
          <w:sz w:val="28"/>
          <w:szCs w:val="28"/>
        </w:rPr>
        <w:t xml:space="preserve">. Al respecto, en la Sentencia C-032 de 2021, </w:t>
      </w:r>
      <w:r w:rsidRPr="007C57D2">
        <w:rPr>
          <w:rFonts w:ascii="Times New Roman" w:hAnsi="Times New Roman"/>
          <w:sz w:val="28"/>
          <w:szCs w:val="28"/>
        </w:rPr>
        <w:t>la Sala indicó que no deberá entenderse como un elemento absolutamente novedoso aque</w:t>
      </w:r>
      <w:r w:rsidRPr="007C57D2">
        <w:rPr>
          <w:rFonts w:ascii="Times New Roman" w:hAnsi="Times New Roman"/>
          <w:sz w:val="28"/>
          <w:szCs w:val="28"/>
        </w:rPr>
        <w:t>l que, siendo incluido en una fase avanzada del proceso legislativo, guarde relación con el núcleo central del proyecto y con las materias que sí fueron debatidas en sesiones anteriores a su inclusión.</w:t>
      </w:r>
    </w:p>
    <w:p w:rsidR="009354F4"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p>
    <w:p w:rsidR="00F3297F" w:rsidRPr="007C57D2" w:rsidRDefault="007C57D2" w:rsidP="008F3DAB">
      <w:pPr>
        <w:tabs>
          <w:tab w:val="left" w:pos="360"/>
        </w:tabs>
        <w:spacing w:after="0" w:line="240" w:lineRule="auto"/>
        <w:jc w:val="both"/>
        <w:rPr>
          <w:rFonts w:ascii="Times New Roman" w:hAnsi="Times New Roman"/>
          <w:b/>
          <w:bCs/>
          <w:sz w:val="28"/>
          <w:szCs w:val="28"/>
          <w:shd w:val="clear" w:color="auto" w:fill="FFFFFF"/>
        </w:rPr>
      </w:pPr>
      <w:r w:rsidRPr="007C57D2">
        <w:rPr>
          <w:rFonts w:ascii="Times New Roman" w:hAnsi="Times New Roman"/>
          <w:b/>
          <w:bCs/>
          <w:sz w:val="28"/>
          <w:szCs w:val="28"/>
          <w:shd w:val="clear" w:color="auto" w:fill="FFFFFF"/>
        </w:rPr>
        <w:t>4.7.2 Verificación de los principios de consecutivida</w:t>
      </w:r>
      <w:r w:rsidRPr="007C57D2">
        <w:rPr>
          <w:rFonts w:ascii="Times New Roman" w:hAnsi="Times New Roman"/>
          <w:b/>
          <w:bCs/>
          <w:sz w:val="28"/>
          <w:szCs w:val="28"/>
          <w:shd w:val="clear" w:color="auto" w:fill="FFFFFF"/>
        </w:rPr>
        <w:t>d e identidad flexible</w:t>
      </w:r>
      <w:r w:rsidRPr="007C57D2">
        <w:rPr>
          <w:rFonts w:ascii="Times New Roman" w:hAnsi="Times New Roman"/>
          <w:b/>
          <w:bCs/>
          <w:sz w:val="28"/>
          <w:szCs w:val="28"/>
          <w:lang w:eastAsia="es-ES"/>
        </w:rPr>
        <w:t xml:space="preserve"> en el PLE</w:t>
      </w:r>
    </w:p>
    <w:p w:rsidR="00F3297F" w:rsidRPr="007C57D2" w:rsidRDefault="007C57D2" w:rsidP="008F3DAB">
      <w:pPr>
        <w:tabs>
          <w:tab w:val="left" w:pos="360"/>
        </w:tabs>
        <w:spacing w:after="0" w:line="240" w:lineRule="auto"/>
        <w:jc w:val="both"/>
        <w:rPr>
          <w:rFonts w:ascii="Times New Roman" w:hAnsi="Times New Roman"/>
          <w:sz w:val="28"/>
          <w:szCs w:val="28"/>
          <w:shd w:val="clear" w:color="auto" w:fill="FFFFFF"/>
        </w:rPr>
      </w:pPr>
    </w:p>
    <w:p w:rsidR="007571DF"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 xml:space="preserve">La Sala encuentra que el </w:t>
      </w:r>
      <w:r w:rsidRPr="007C57D2">
        <w:rPr>
          <w:rFonts w:ascii="Times New Roman" w:hAnsi="Times New Roman"/>
          <w:sz w:val="28"/>
          <w:szCs w:val="28"/>
          <w:shd w:val="clear" w:color="auto" w:fill="FFFFFF"/>
        </w:rPr>
        <w:t>PLE fue discutido y aprobado</w:t>
      </w:r>
      <w:r w:rsidRPr="007C57D2">
        <w:rPr>
          <w:rFonts w:ascii="Times New Roman" w:hAnsi="Times New Roman"/>
          <w:sz w:val="28"/>
          <w:szCs w:val="28"/>
          <w:shd w:val="clear" w:color="auto" w:fill="FFFFFF"/>
        </w:rPr>
        <w:t xml:space="preserve"> en las comisiones y plenarias de Cámara y Senado, como puede observarse en las gacetas del Congreso</w:t>
      </w:r>
      <w:r w:rsidRPr="007C57D2">
        <w:rPr>
          <w:rStyle w:val="Refdenotaalpie"/>
          <w:rFonts w:ascii="Times New Roman" w:hAnsi="Times New Roman"/>
          <w:sz w:val="28"/>
          <w:szCs w:val="28"/>
          <w:shd w:val="clear" w:color="auto" w:fill="FFFFFF"/>
        </w:rPr>
        <w:footnoteReference w:id="209"/>
      </w:r>
      <w:r w:rsidRPr="007C57D2">
        <w:rPr>
          <w:rFonts w:ascii="Times New Roman" w:hAnsi="Times New Roman"/>
          <w:sz w:val="28"/>
          <w:szCs w:val="28"/>
          <w:shd w:val="clear" w:color="auto" w:fill="FFFFFF"/>
        </w:rPr>
        <w:t>, por lo que se entiende satisfecho el principio de consecutividad</w:t>
      </w:r>
      <w:r w:rsidRPr="007C57D2">
        <w:rPr>
          <w:rFonts w:ascii="Times New Roman" w:hAnsi="Times New Roman"/>
          <w:sz w:val="28"/>
          <w:szCs w:val="28"/>
          <w:shd w:val="clear" w:color="auto" w:fill="FFFFFF"/>
        </w:rPr>
        <w:t>.</w:t>
      </w:r>
    </w:p>
    <w:p w:rsidR="007571DF" w:rsidRPr="007C57D2" w:rsidRDefault="007C57D2" w:rsidP="008F3DAB">
      <w:pPr>
        <w:pStyle w:val="Prrafodelista"/>
        <w:tabs>
          <w:tab w:val="left" w:pos="567"/>
        </w:tabs>
        <w:ind w:left="0"/>
        <w:jc w:val="both"/>
        <w:rPr>
          <w:rFonts w:ascii="Times New Roman" w:hAnsi="Times New Roman"/>
          <w:sz w:val="28"/>
          <w:szCs w:val="28"/>
          <w:shd w:val="clear" w:color="auto" w:fill="FFFFFF"/>
        </w:rPr>
      </w:pPr>
    </w:p>
    <w:p w:rsidR="004562FE" w:rsidRPr="007C57D2" w:rsidRDefault="007C57D2" w:rsidP="008F3DAB">
      <w:pPr>
        <w:pStyle w:val="Prrafodelista"/>
        <w:numPr>
          <w:ilvl w:val="0"/>
          <w:numId w:val="3"/>
        </w:numPr>
        <w:tabs>
          <w:tab w:val="left" w:pos="567"/>
        </w:tabs>
        <w:ind w:left="0" w:hanging="11"/>
        <w:jc w:val="both"/>
        <w:rPr>
          <w:rFonts w:ascii="Times New Roman" w:hAnsi="Times New Roman"/>
          <w:sz w:val="28"/>
          <w:szCs w:val="28"/>
          <w:shd w:val="clear" w:color="auto" w:fill="FFFFFF"/>
        </w:rPr>
      </w:pPr>
      <w:r w:rsidRPr="007C57D2">
        <w:rPr>
          <w:rFonts w:ascii="Times New Roman" w:hAnsi="Times New Roman"/>
          <w:sz w:val="28"/>
          <w:szCs w:val="28"/>
          <w:shd w:val="clear" w:color="auto" w:fill="FFFFFF"/>
        </w:rPr>
        <w:t>En cuanto al</w:t>
      </w:r>
      <w:r w:rsidRPr="007C57D2">
        <w:rPr>
          <w:rFonts w:ascii="Times New Roman" w:hAnsi="Times New Roman"/>
          <w:sz w:val="28"/>
          <w:szCs w:val="28"/>
          <w:shd w:val="clear" w:color="auto" w:fill="FFFFFF"/>
        </w:rPr>
        <w:t xml:space="preserve"> principio de</w:t>
      </w:r>
      <w:r w:rsidRPr="007C57D2">
        <w:rPr>
          <w:rFonts w:ascii="Times New Roman" w:hAnsi="Times New Roman"/>
          <w:sz w:val="28"/>
          <w:szCs w:val="28"/>
          <w:shd w:val="clear" w:color="auto" w:fill="FFFFFF"/>
        </w:rPr>
        <w:t xml:space="preserve"> identidad flexible, la Sala encuentra</w:t>
      </w:r>
      <w:r w:rsidRPr="007C57D2">
        <w:rPr>
          <w:rFonts w:ascii="Times New Roman" w:hAnsi="Times New Roman"/>
          <w:sz w:val="28"/>
          <w:szCs w:val="28"/>
          <w:shd w:val="clear" w:color="auto" w:fill="FFFFFF"/>
        </w:rPr>
        <w:t xml:space="preserve"> que</w:t>
      </w:r>
      <w:r w:rsidRPr="007C57D2">
        <w:rPr>
          <w:rFonts w:ascii="Times New Roman" w:hAnsi="Times New Roman"/>
          <w:sz w:val="28"/>
          <w:szCs w:val="28"/>
          <w:shd w:val="clear" w:color="auto" w:fill="FFFFFF"/>
        </w:rPr>
        <w:t xml:space="preserve">, en primer lugar, durante el trámite legislativo, </w:t>
      </w:r>
      <w:r w:rsidRPr="007C57D2">
        <w:rPr>
          <w:rFonts w:ascii="Times New Roman" w:hAnsi="Times New Roman"/>
          <w:sz w:val="28"/>
          <w:szCs w:val="28"/>
          <w:shd w:val="clear" w:color="auto" w:fill="FFFFFF"/>
        </w:rPr>
        <w:t>las comisiones y plenarias no incorporaron disposiciones nuevas o extrañas al articulado</w:t>
      </w:r>
      <w:r w:rsidRPr="007C57D2">
        <w:rPr>
          <w:rFonts w:ascii="Times New Roman" w:hAnsi="Times New Roman"/>
          <w:sz w:val="28"/>
          <w:szCs w:val="28"/>
          <w:shd w:val="clear" w:color="auto" w:fill="FFFFFF"/>
        </w:rPr>
        <w:t xml:space="preserve">. Por otra parte, la Sala observa que, durante </w:t>
      </w:r>
      <w:r w:rsidRPr="007C57D2">
        <w:rPr>
          <w:rFonts w:ascii="Times New Roman" w:hAnsi="Times New Roman"/>
          <w:sz w:val="28"/>
          <w:szCs w:val="28"/>
          <w:shd w:val="clear" w:color="auto" w:fill="FFFFFF"/>
        </w:rPr>
        <w:t>la</w:t>
      </w:r>
      <w:r w:rsidRPr="007C57D2">
        <w:rPr>
          <w:rFonts w:ascii="Times New Roman" w:hAnsi="Times New Roman"/>
          <w:sz w:val="28"/>
          <w:szCs w:val="28"/>
          <w:shd w:val="clear" w:color="auto" w:fill="FFFFFF"/>
        </w:rPr>
        <w:t xml:space="preserve"> deliberación y aprobación de</w:t>
      </w:r>
      <w:r w:rsidRPr="007C57D2">
        <w:rPr>
          <w:rFonts w:ascii="Times New Roman" w:hAnsi="Times New Roman"/>
          <w:sz w:val="28"/>
          <w:szCs w:val="28"/>
          <w:shd w:val="clear" w:color="auto" w:fill="FFFFFF"/>
        </w:rPr>
        <w:t>l articulado, los representantes y senadores propusieron, discutieron y acogieron modificaciones que se encaminaron a precisar a algunos elementos de la ley, preservando su núcleo temático y estructura</w:t>
      </w:r>
      <w:r w:rsidRPr="007C57D2">
        <w:rPr>
          <w:rFonts w:ascii="Times New Roman" w:hAnsi="Times New Roman"/>
          <w:sz w:val="28"/>
          <w:szCs w:val="28"/>
          <w:shd w:val="clear" w:color="auto" w:fill="FFFFFF"/>
        </w:rPr>
        <w:t xml:space="preserve">. A continuación, se presenta un cuadro que </w:t>
      </w:r>
      <w:r w:rsidRPr="007C57D2">
        <w:rPr>
          <w:rFonts w:ascii="Times New Roman" w:hAnsi="Times New Roman"/>
          <w:sz w:val="28"/>
          <w:szCs w:val="28"/>
        </w:rPr>
        <w:t xml:space="preserve">resume los ajustes introducidos al PLE mientras avanzaba su discusión en el Congreso de la República. </w:t>
      </w:r>
      <w:r w:rsidRPr="007C57D2">
        <w:rPr>
          <w:rFonts w:ascii="Times New Roman" w:hAnsi="Times New Roman"/>
          <w:sz w:val="28"/>
          <w:szCs w:val="28"/>
        </w:rPr>
        <w:t>Este cuadro compara la versión original del PLE, según el texto radicado en el Congreso de la República el 4 d</w:t>
      </w:r>
      <w:r w:rsidRPr="007C57D2">
        <w:rPr>
          <w:rFonts w:ascii="Times New Roman" w:hAnsi="Times New Roman"/>
          <w:sz w:val="28"/>
          <w:szCs w:val="28"/>
        </w:rPr>
        <w:t xml:space="preserve">e octubre de 2023, el cual fue publicado en la </w:t>
      </w:r>
      <w:r w:rsidRPr="007C57D2">
        <w:rPr>
          <w:rFonts w:ascii="Times New Roman" w:hAnsi="Times New Roman"/>
          <w:sz w:val="28"/>
          <w:szCs w:val="28"/>
          <w:lang w:eastAsia="es-MX"/>
        </w:rPr>
        <w:t>en la Gaceta del Congreso n.º 1439 del 10 de octubre de 2023, con el texto del PLE finalmente conciliado, de acuerdo con el informe respectivo publicado en las gacetas del Congreso n.°</w:t>
      </w:r>
      <w:r w:rsidRPr="007C57D2">
        <w:rPr>
          <w:rFonts w:ascii="Times New Roman" w:hAnsi="Times New Roman"/>
          <w:sz w:val="28"/>
          <w:shd w:val="clear" w:color="auto" w:fill="FFFFFF"/>
        </w:rPr>
        <w:t xml:space="preserve"> </w:t>
      </w:r>
      <w:r w:rsidRPr="007C57D2">
        <w:rPr>
          <w:rFonts w:ascii="Times New Roman" w:hAnsi="Times New Roman"/>
          <w:sz w:val="28"/>
          <w:szCs w:val="28"/>
          <w:lang w:eastAsia="es-MX"/>
        </w:rPr>
        <w:t>904 y 907 del 17 de juni</w:t>
      </w:r>
      <w:r w:rsidRPr="007C57D2">
        <w:rPr>
          <w:rFonts w:ascii="Times New Roman" w:hAnsi="Times New Roman"/>
          <w:sz w:val="28"/>
          <w:szCs w:val="28"/>
          <w:lang w:eastAsia="es-MX"/>
        </w:rPr>
        <w:t>o de 2024.</w:t>
      </w:r>
    </w:p>
    <w:p w:rsidR="0004768D" w:rsidRPr="007C57D2" w:rsidRDefault="007C57D2" w:rsidP="008F3DAB">
      <w:pPr>
        <w:spacing w:after="0" w:line="240" w:lineRule="auto"/>
        <w:rPr>
          <w:rFonts w:ascii="Times New Roman" w:hAnsi="Times New Roman"/>
          <w:sz w:val="28"/>
          <w:szCs w:val="28"/>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7415"/>
      </w:tblGrid>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Artículo</w:t>
            </w:r>
          </w:p>
        </w:tc>
        <w:tc>
          <w:tcPr>
            <w:tcW w:w="7415" w:type="dxa"/>
            <w:shd w:val="clear" w:color="auto" w:fill="auto"/>
          </w:tcPr>
          <w:p w:rsidR="00085ED1" w:rsidRPr="007C57D2" w:rsidRDefault="007C57D2" w:rsidP="007C57D2">
            <w:pPr>
              <w:spacing w:after="0" w:line="240" w:lineRule="auto"/>
              <w:jc w:val="center"/>
              <w:rPr>
                <w:rFonts w:ascii="Times New Roman" w:hAnsi="Times New Roman"/>
                <w:b/>
                <w:bCs/>
                <w:sz w:val="28"/>
                <w:shd w:val="clear" w:color="auto" w:fill="FFFFFF"/>
              </w:rPr>
            </w:pPr>
            <w:r w:rsidRPr="007C57D2">
              <w:rPr>
                <w:rFonts w:ascii="Times New Roman" w:hAnsi="Times New Roman"/>
                <w:b/>
                <w:bCs/>
                <w:sz w:val="28"/>
                <w:shd w:val="clear" w:color="auto" w:fill="FFFFFF"/>
              </w:rPr>
              <w:t>Modificaciones</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Se</w:t>
            </w:r>
            <w:r w:rsidRPr="007C57D2">
              <w:rPr>
                <w:rFonts w:ascii="Times New Roman" w:hAnsi="Times New Roman"/>
                <w:sz w:val="28"/>
                <w:shd w:val="clear" w:color="auto" w:fill="FFFFFF"/>
              </w:rPr>
              <w:t xml:space="preserve"> modificó el término “una herramienta” por “un sistema que </w:t>
            </w:r>
            <w:r w:rsidRPr="007C57D2">
              <w:rPr>
                <w:rFonts w:ascii="Times New Roman" w:hAnsi="Times New Roman"/>
                <w:sz w:val="28"/>
                <w:shd w:val="clear" w:color="auto" w:fill="FFFFFF"/>
              </w:rPr>
              <w:t>incorpora una herramienta (…)</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Este cambio se dio en el primer y </w:t>
            </w:r>
            <w:r w:rsidRPr="007C57D2">
              <w:rPr>
                <w:rFonts w:ascii="Times New Roman" w:hAnsi="Times New Roman"/>
                <w:sz w:val="28"/>
                <w:shd w:val="clear" w:color="auto" w:fill="FFFFFF"/>
              </w:rPr>
              <w:t xml:space="preserve">en </w:t>
            </w:r>
            <w:r w:rsidRPr="007C57D2">
              <w:rPr>
                <w:rFonts w:ascii="Times New Roman" w:hAnsi="Times New Roman"/>
                <w:sz w:val="28"/>
                <w:shd w:val="clear" w:color="auto" w:fill="FFFFFF"/>
              </w:rPr>
              <w:t xml:space="preserve">el </w:t>
            </w:r>
            <w:r w:rsidRPr="007C57D2">
              <w:rPr>
                <w:rFonts w:ascii="Times New Roman" w:hAnsi="Times New Roman"/>
                <w:sz w:val="28"/>
                <w:shd w:val="clear" w:color="auto" w:fill="FFFFFF"/>
              </w:rPr>
              <w:t xml:space="preserve">segundo debate en el Senado. </w:t>
            </w:r>
            <w:r w:rsidRPr="007C57D2">
              <w:rPr>
                <w:rFonts w:ascii="Times New Roman" w:hAnsi="Times New Roman"/>
                <w:sz w:val="28"/>
                <w:shd w:val="clear" w:color="auto" w:fill="FFFFFF"/>
              </w:rPr>
              <w:t xml:space="preserve">Sin embargo, el cambio no implica una alteración del objeto de la disposición, sino una precisión </w:t>
            </w:r>
            <w:r w:rsidRPr="007C57D2">
              <w:rPr>
                <w:rFonts w:ascii="Times New Roman" w:hAnsi="Times New Roman"/>
                <w:sz w:val="28"/>
                <w:shd w:val="clear" w:color="auto" w:fill="FFFFFF"/>
              </w:rPr>
              <w:t>en la</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redacción de la norma</w:t>
            </w:r>
            <w:r w:rsidRPr="007C57D2">
              <w:rPr>
                <w:rFonts w:ascii="Times New Roman" w:hAnsi="Times New Roman"/>
                <w:sz w:val="28"/>
                <w:shd w:val="clear" w:color="auto" w:fill="FFFFFF"/>
              </w:rPr>
              <w:t>.</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2</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w:t>
            </w:r>
            <w:r w:rsidRPr="007C57D2">
              <w:rPr>
                <w:rFonts w:ascii="Times New Roman" w:hAnsi="Times New Roman"/>
                <w:sz w:val="28"/>
                <w:shd w:val="clear" w:color="auto" w:fill="FFFFFF"/>
              </w:rPr>
              <w:t xml:space="preserve">los </w:t>
            </w:r>
            <w:r w:rsidRPr="007C57D2">
              <w:rPr>
                <w:rFonts w:ascii="Times New Roman" w:hAnsi="Times New Roman"/>
                <w:sz w:val="28"/>
                <w:shd w:val="clear" w:color="auto" w:fill="FFFFFF"/>
              </w:rPr>
              <w:t xml:space="preserve">debates en la Cámara de Representantes y </w:t>
            </w:r>
            <w:r w:rsidRPr="007C57D2">
              <w:rPr>
                <w:rFonts w:ascii="Times New Roman" w:hAnsi="Times New Roman"/>
                <w:sz w:val="28"/>
                <w:shd w:val="clear" w:color="auto" w:fill="FFFFFF"/>
              </w:rPr>
              <w:t xml:space="preserve">en los debates </w:t>
            </w:r>
            <w:r w:rsidRPr="007C57D2">
              <w:rPr>
                <w:rFonts w:ascii="Times New Roman" w:hAnsi="Times New Roman"/>
                <w:sz w:val="28"/>
                <w:shd w:val="clear" w:color="auto" w:fill="FFFFFF"/>
              </w:rPr>
              <w:t xml:space="preserve">en el Senado de la República, se hicieron ajustes en la </w:t>
            </w:r>
            <w:r w:rsidRPr="007C57D2">
              <w:rPr>
                <w:rFonts w:ascii="Times New Roman" w:hAnsi="Times New Roman"/>
                <w:sz w:val="28"/>
                <w:shd w:val="clear" w:color="auto" w:fill="FFFFFF"/>
              </w:rPr>
              <w:t>redacción</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 xml:space="preserve">Así, por ejemplo, se eliminó la definición de niños y niñas (antiguo literal a) y se precisaron varios términos </w:t>
            </w:r>
            <w:r w:rsidRPr="007C57D2">
              <w:rPr>
                <w:rFonts w:ascii="Times New Roman" w:hAnsi="Times New Roman"/>
                <w:sz w:val="28"/>
                <w:shd w:val="clear" w:color="auto" w:fill="FFFFFF"/>
              </w:rPr>
              <w:t>d</w:t>
            </w:r>
            <w:r w:rsidRPr="007C57D2">
              <w:rPr>
                <w:rFonts w:ascii="Times New Roman" w:hAnsi="Times New Roman"/>
                <w:sz w:val="28"/>
                <w:shd w:val="clear" w:color="auto" w:fill="FFFFFF"/>
              </w:rPr>
              <w:t>e distintos literales (</w:t>
            </w:r>
            <w:r w:rsidRPr="007C57D2">
              <w:rPr>
                <w:rFonts w:ascii="Times New Roman" w:hAnsi="Times New Roman"/>
                <w:sz w:val="28"/>
                <w:shd w:val="clear" w:color="auto" w:fill="FFFFFF"/>
              </w:rPr>
              <w:t>b,</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 xml:space="preserve">c, e, </w:t>
            </w:r>
            <w:r w:rsidRPr="007C57D2">
              <w:rPr>
                <w:rFonts w:ascii="Times New Roman" w:hAnsi="Times New Roman"/>
                <w:sz w:val="28"/>
                <w:shd w:val="clear" w:color="auto" w:fill="FFFFFF"/>
              </w:rPr>
              <w:t xml:space="preserve">f, </w:t>
            </w:r>
            <w:r w:rsidRPr="007C57D2">
              <w:rPr>
                <w:rFonts w:ascii="Times New Roman" w:hAnsi="Times New Roman"/>
                <w:sz w:val="28"/>
                <w:shd w:val="clear" w:color="auto" w:fill="FFFFFF"/>
              </w:rPr>
              <w:t>g</w:t>
            </w:r>
            <w:r w:rsidRPr="007C57D2">
              <w:rPr>
                <w:rFonts w:ascii="Times New Roman" w:hAnsi="Times New Roman"/>
                <w:sz w:val="28"/>
                <w:shd w:val="clear" w:color="auto" w:fill="FFFFFF"/>
              </w:rPr>
              <w:t xml:space="preserve"> y</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h</w:t>
            </w:r>
            <w:r w:rsidRPr="007C57D2">
              <w:rPr>
                <w:rFonts w:ascii="Times New Roman" w:hAnsi="Times New Roman"/>
                <w:sz w:val="28"/>
                <w:shd w:val="clear" w:color="auto" w:fill="FFFFFF"/>
              </w:rPr>
              <w:t>)</w:t>
            </w:r>
            <w:r w:rsidRPr="007C57D2">
              <w:rPr>
                <w:rFonts w:ascii="Times New Roman" w:hAnsi="Times New Roman"/>
                <w:sz w:val="28"/>
                <w:shd w:val="clear" w:color="auto" w:fill="FFFFFF"/>
              </w:rPr>
              <w:t>. Lo anterior,</w:t>
            </w:r>
            <w:r w:rsidRPr="007C57D2">
              <w:rPr>
                <w:rFonts w:ascii="Times New Roman" w:hAnsi="Times New Roman"/>
                <w:sz w:val="28"/>
                <w:shd w:val="clear" w:color="auto" w:fill="FFFFFF"/>
              </w:rPr>
              <w:t xml:space="preserve"> con el fin de </w:t>
            </w:r>
            <w:r w:rsidRPr="007C57D2">
              <w:rPr>
                <w:rFonts w:ascii="Times New Roman" w:hAnsi="Times New Roman"/>
                <w:sz w:val="28"/>
                <w:shd w:val="clear" w:color="auto" w:fill="FFFFFF"/>
              </w:rPr>
              <w:t>aclarar</w:t>
            </w:r>
            <w:r w:rsidRPr="007C57D2">
              <w:rPr>
                <w:rFonts w:ascii="Times New Roman" w:hAnsi="Times New Roman"/>
                <w:sz w:val="28"/>
                <w:shd w:val="clear" w:color="auto" w:fill="FFFFFF"/>
              </w:rPr>
              <w:t xml:space="preserve"> en qué consiste la Alerta Colombia, quiénes son l</w:t>
            </w:r>
            <w:r w:rsidRPr="007C57D2">
              <w:rPr>
                <w:rFonts w:ascii="Times New Roman" w:hAnsi="Times New Roman"/>
                <w:sz w:val="28"/>
                <w:shd w:val="clear" w:color="auto" w:fill="FFFFFF"/>
              </w:rPr>
              <w:t>os su</w:t>
            </w:r>
            <w:r w:rsidRPr="007C57D2">
              <w:rPr>
                <w:rFonts w:ascii="Times New Roman" w:hAnsi="Times New Roman"/>
                <w:sz w:val="28"/>
                <w:shd w:val="clear" w:color="auto" w:fill="FFFFFF"/>
              </w:rPr>
              <w:t>jetos responsables de hacer el reporte</w:t>
            </w:r>
            <w:r w:rsidRPr="007C57D2">
              <w:rPr>
                <w:rFonts w:ascii="Times New Roman" w:hAnsi="Times New Roman"/>
                <w:sz w:val="28"/>
                <w:shd w:val="clear" w:color="auto" w:fill="FFFFFF"/>
              </w:rPr>
              <w:t>, cuál es la participación de la Fiscalía General de la Nación y de la Policía Nacional</w:t>
            </w:r>
            <w:r w:rsidRPr="007C57D2">
              <w:rPr>
                <w:rFonts w:ascii="Times New Roman" w:hAnsi="Times New Roman"/>
                <w:sz w:val="28"/>
                <w:shd w:val="clear" w:color="auto" w:fill="FFFFFF"/>
              </w:rPr>
              <w:t xml:space="preserve">, y cómo debe entenderse el término </w:t>
            </w:r>
            <w:r w:rsidRPr="007C57D2">
              <w:rPr>
                <w:rFonts w:ascii="Times New Roman" w:hAnsi="Times New Roman"/>
                <w:sz w:val="28"/>
                <w:shd w:val="clear" w:color="auto" w:fill="FFFFFF"/>
              </w:rPr>
              <w:t>“</w:t>
            </w:r>
            <w:r w:rsidRPr="007C57D2">
              <w:rPr>
                <w:rFonts w:ascii="Times New Roman" w:hAnsi="Times New Roman"/>
                <w:sz w:val="28"/>
                <w:shd w:val="clear" w:color="auto" w:fill="FFFFFF"/>
              </w:rPr>
              <w:t>extraviada(o)</w:t>
            </w:r>
            <w:r w:rsidRPr="007C57D2">
              <w:rPr>
                <w:rFonts w:ascii="Times New Roman" w:hAnsi="Times New Roman"/>
                <w:sz w:val="28"/>
                <w:shd w:val="clear" w:color="auto" w:fill="FFFFFF"/>
              </w:rPr>
              <w:t>”</w:t>
            </w:r>
            <w:r w:rsidRPr="007C57D2">
              <w:rPr>
                <w:rFonts w:ascii="Times New Roman" w:hAnsi="Times New Roman"/>
                <w:sz w:val="28"/>
                <w:shd w:val="clear" w:color="auto" w:fill="FFFFFF"/>
              </w:rPr>
              <w:t>. Estos ajustes responden, a su vez, a los textos aproba</w:t>
            </w:r>
            <w:r w:rsidRPr="007C57D2">
              <w:rPr>
                <w:rFonts w:ascii="Times New Roman" w:hAnsi="Times New Roman"/>
                <w:sz w:val="28"/>
                <w:shd w:val="clear" w:color="auto" w:fill="FFFFFF"/>
              </w:rPr>
              <w:t>dos por</w:t>
            </w:r>
            <w:r w:rsidRPr="007C57D2">
              <w:rPr>
                <w:rFonts w:ascii="Times New Roman" w:hAnsi="Times New Roman"/>
                <w:sz w:val="28"/>
                <w:shd w:val="clear" w:color="auto" w:fill="FFFFFF"/>
              </w:rPr>
              <w:t xml:space="preserve"> cada comisión y cámara durante los debates. </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3</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los debates se modificó la redacción </w:t>
            </w:r>
            <w:r w:rsidRPr="007C57D2">
              <w:rPr>
                <w:rFonts w:ascii="Times New Roman" w:hAnsi="Times New Roman"/>
                <w:sz w:val="28"/>
                <w:shd w:val="clear" w:color="auto" w:fill="FFFFFF"/>
              </w:rPr>
              <w:t>para que</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mencionara</w:t>
            </w:r>
            <w:r w:rsidRPr="007C57D2">
              <w:rPr>
                <w:rFonts w:ascii="Times New Roman" w:hAnsi="Times New Roman"/>
                <w:sz w:val="28"/>
                <w:shd w:val="clear" w:color="auto" w:fill="FFFFFF"/>
              </w:rPr>
              <w:t xml:space="preserve"> la protección de los datos personales, precisara quién es el competente para autorizar </w:t>
            </w:r>
            <w:r w:rsidRPr="007C57D2">
              <w:rPr>
                <w:rFonts w:ascii="Times New Roman" w:hAnsi="Times New Roman"/>
                <w:sz w:val="28"/>
                <w:shd w:val="clear" w:color="auto" w:fill="FFFFFF"/>
              </w:rPr>
              <w:t xml:space="preserve">su uso </w:t>
            </w:r>
            <w:r w:rsidRPr="007C57D2">
              <w:rPr>
                <w:rFonts w:ascii="Times New Roman" w:hAnsi="Times New Roman"/>
                <w:sz w:val="28"/>
                <w:shd w:val="clear" w:color="auto" w:fill="FFFFFF"/>
              </w:rPr>
              <w:t xml:space="preserve">(se incluyó </w:t>
            </w:r>
            <w:r w:rsidRPr="007C57D2">
              <w:rPr>
                <w:rFonts w:ascii="Times New Roman" w:hAnsi="Times New Roman"/>
                <w:sz w:val="28"/>
                <w:shd w:val="clear" w:color="auto" w:fill="FFFFFF"/>
              </w:rPr>
              <w:t>“quien haga sus veces en el territorio</w:t>
            </w:r>
            <w:r w:rsidRPr="007C57D2">
              <w:rPr>
                <w:rFonts w:ascii="Times New Roman" w:hAnsi="Times New Roman"/>
                <w:sz w:val="28"/>
                <w:shd w:val="clear" w:color="auto" w:fill="FFFFFF"/>
              </w:rPr>
              <w:t>”</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 xml:space="preserve">y </w:t>
            </w:r>
            <w:r w:rsidRPr="007C57D2">
              <w:rPr>
                <w:rFonts w:ascii="Times New Roman" w:hAnsi="Times New Roman"/>
                <w:sz w:val="28"/>
                <w:shd w:val="clear" w:color="auto" w:fill="FFFFFF"/>
              </w:rPr>
              <w:t>determinara</w:t>
            </w:r>
            <w:r w:rsidRPr="007C57D2">
              <w:rPr>
                <w:rFonts w:ascii="Times New Roman" w:hAnsi="Times New Roman"/>
                <w:sz w:val="28"/>
                <w:shd w:val="clear" w:color="auto" w:fill="FFFFFF"/>
              </w:rPr>
              <w:t xml:space="preserve"> algunos elementos sobre los datos biométricos. Estos cambios</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no alteraron el núcleo temático del artículo.</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4</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los debates se ajustaron términos relacionados con </w:t>
            </w:r>
            <w:r w:rsidRPr="007C57D2">
              <w:rPr>
                <w:rFonts w:ascii="Times New Roman" w:hAnsi="Times New Roman"/>
                <w:sz w:val="28"/>
                <w:shd w:val="clear" w:color="auto" w:fill="FFFFFF"/>
              </w:rPr>
              <w:t xml:space="preserve">algunos literales, los cuales tratan sobre </w:t>
            </w:r>
            <w:r w:rsidRPr="007C57D2">
              <w:rPr>
                <w:rFonts w:ascii="Times New Roman" w:hAnsi="Times New Roman"/>
                <w:sz w:val="28"/>
                <w:shd w:val="clear" w:color="auto" w:fill="FFFFFF"/>
              </w:rPr>
              <w:t>la descripción de la vestimenta</w:t>
            </w:r>
            <w:r w:rsidRPr="007C57D2">
              <w:rPr>
                <w:rFonts w:ascii="Times New Roman" w:hAnsi="Times New Roman"/>
                <w:sz w:val="28"/>
                <w:shd w:val="clear" w:color="auto" w:fill="FFFFFF"/>
              </w:rPr>
              <w:t xml:space="preserve"> </w:t>
            </w:r>
            <w:r w:rsidRPr="007C57D2">
              <w:rPr>
                <w:rFonts w:ascii="Times New Roman" w:hAnsi="Times New Roman"/>
                <w:sz w:val="28"/>
                <w:shd w:val="clear" w:color="auto" w:fill="FFFFFF"/>
              </w:rPr>
              <w:t xml:space="preserve">del menor </w:t>
            </w:r>
            <w:r w:rsidRPr="007C57D2">
              <w:rPr>
                <w:rFonts w:ascii="Times New Roman" w:hAnsi="Times New Roman"/>
                <w:sz w:val="28"/>
                <w:shd w:val="clear" w:color="auto" w:fill="FFFFFF"/>
              </w:rPr>
              <w:t xml:space="preserve">de edad </w:t>
            </w:r>
            <w:r w:rsidRPr="007C57D2">
              <w:rPr>
                <w:rFonts w:ascii="Times New Roman" w:hAnsi="Times New Roman"/>
                <w:sz w:val="28"/>
                <w:shd w:val="clear" w:color="auto" w:fill="FFFFFF"/>
              </w:rPr>
              <w:t xml:space="preserve">extraviado </w:t>
            </w:r>
            <w:r w:rsidRPr="007C57D2">
              <w:rPr>
                <w:rFonts w:ascii="Times New Roman" w:hAnsi="Times New Roman"/>
                <w:sz w:val="28"/>
                <w:shd w:val="clear" w:color="auto" w:fill="FFFFFF"/>
              </w:rPr>
              <w:t>y las condiciones de tiempo</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modo y lugar</w:t>
            </w:r>
            <w:r w:rsidRPr="007C57D2">
              <w:rPr>
                <w:rFonts w:ascii="Times New Roman" w:hAnsi="Times New Roman"/>
                <w:sz w:val="28"/>
                <w:shd w:val="clear" w:color="auto" w:fill="FFFFFF"/>
              </w:rPr>
              <w:t xml:space="preserve"> en que puede</w:t>
            </w:r>
            <w:r w:rsidRPr="007C57D2">
              <w:rPr>
                <w:rFonts w:ascii="Times New Roman" w:hAnsi="Times New Roman"/>
                <w:sz w:val="28"/>
                <w:shd w:val="clear" w:color="auto" w:fill="FFFFFF"/>
              </w:rPr>
              <w:t>n</w:t>
            </w:r>
            <w:r w:rsidRPr="007C57D2">
              <w:rPr>
                <w:rFonts w:ascii="Times New Roman" w:hAnsi="Times New Roman"/>
                <w:sz w:val="28"/>
                <w:shd w:val="clear" w:color="auto" w:fill="FFFFFF"/>
              </w:rPr>
              <w:t xml:space="preserve"> ocurrir</w:t>
            </w:r>
            <w:r w:rsidRPr="007C57D2">
              <w:rPr>
                <w:rFonts w:ascii="Times New Roman" w:hAnsi="Times New Roman"/>
                <w:sz w:val="28"/>
                <w:shd w:val="clear" w:color="auto" w:fill="FFFFFF"/>
              </w:rPr>
              <w:t xml:space="preserve"> los hechos que dan lugar a la activación de la alerta</w:t>
            </w:r>
            <w:r w:rsidRPr="007C57D2">
              <w:rPr>
                <w:rFonts w:ascii="Times New Roman" w:hAnsi="Times New Roman"/>
                <w:sz w:val="28"/>
                <w:shd w:val="clear" w:color="auto" w:fill="FFFFFF"/>
              </w:rPr>
              <w:t xml:space="preserve">. Además, se incluyeron algunas </w:t>
            </w:r>
            <w:r w:rsidRPr="007C57D2">
              <w:rPr>
                <w:rFonts w:ascii="Times New Roman" w:hAnsi="Times New Roman"/>
                <w:sz w:val="28"/>
                <w:shd w:val="clear" w:color="auto" w:fill="FFFFFF"/>
              </w:rPr>
              <w:t>referencias</w:t>
            </w:r>
            <w:r w:rsidRPr="007C57D2">
              <w:rPr>
                <w:rFonts w:ascii="Times New Roman" w:hAnsi="Times New Roman"/>
                <w:sz w:val="28"/>
                <w:shd w:val="clear" w:color="auto" w:fill="FFFFFF"/>
              </w:rPr>
              <w:t xml:space="preserve"> a </w:t>
            </w:r>
            <w:r w:rsidRPr="007C57D2">
              <w:rPr>
                <w:rFonts w:ascii="Times New Roman" w:hAnsi="Times New Roman"/>
                <w:sz w:val="28"/>
                <w:shd w:val="clear" w:color="auto" w:fill="FFFFFF"/>
              </w:rPr>
              <w:t>la información genética,</w:t>
            </w:r>
            <w:r w:rsidRPr="007C57D2">
              <w:rPr>
                <w:rFonts w:ascii="Times New Roman" w:hAnsi="Times New Roman"/>
                <w:sz w:val="28"/>
                <w:shd w:val="clear" w:color="auto" w:fill="FFFFFF"/>
              </w:rPr>
              <w:t xml:space="preserve"> los datos biométricos </w:t>
            </w:r>
            <w:r w:rsidRPr="007C57D2">
              <w:rPr>
                <w:rFonts w:ascii="Times New Roman" w:hAnsi="Times New Roman"/>
                <w:sz w:val="28"/>
                <w:shd w:val="clear" w:color="auto" w:fill="FFFFFF"/>
              </w:rPr>
              <w:t xml:space="preserve">y el </w:t>
            </w:r>
            <w:r w:rsidRPr="007C57D2">
              <w:rPr>
                <w:rFonts w:ascii="Times New Roman" w:hAnsi="Times New Roman"/>
                <w:sz w:val="28"/>
                <w:shd w:val="clear" w:color="auto" w:fill="FFFFFF"/>
              </w:rPr>
              <w:t>S</w:t>
            </w:r>
            <w:r w:rsidRPr="007C57D2">
              <w:rPr>
                <w:rFonts w:ascii="Times New Roman" w:hAnsi="Times New Roman"/>
                <w:sz w:val="28"/>
                <w:shd w:val="clear" w:color="auto" w:fill="FFFFFF"/>
              </w:rPr>
              <w:t xml:space="preserve">istema </w:t>
            </w:r>
            <w:r w:rsidRPr="007C57D2">
              <w:rPr>
                <w:rFonts w:ascii="Times New Roman" w:hAnsi="Times New Roman"/>
                <w:sz w:val="28"/>
                <w:shd w:val="clear" w:color="auto" w:fill="FFFFFF"/>
              </w:rPr>
              <w:t>N</w:t>
            </w:r>
            <w:r w:rsidRPr="007C57D2">
              <w:rPr>
                <w:rFonts w:ascii="Times New Roman" w:hAnsi="Times New Roman"/>
                <w:sz w:val="28"/>
                <w:shd w:val="clear" w:color="auto" w:fill="FFFFFF"/>
              </w:rPr>
              <w:t xml:space="preserve">acional de </w:t>
            </w:r>
            <w:r w:rsidRPr="007C57D2">
              <w:rPr>
                <w:rFonts w:ascii="Times New Roman" w:hAnsi="Times New Roman"/>
                <w:sz w:val="28"/>
                <w:shd w:val="clear" w:color="auto" w:fill="FFFFFF"/>
              </w:rPr>
              <w:t>R</w:t>
            </w:r>
            <w:r w:rsidRPr="007C57D2">
              <w:rPr>
                <w:rFonts w:ascii="Times New Roman" w:hAnsi="Times New Roman"/>
                <w:sz w:val="28"/>
                <w:shd w:val="clear" w:color="auto" w:fill="FFFFFF"/>
              </w:rPr>
              <w:t>eporte.</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5</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Las comisiones y las plenarias precisaron algunos términos relacionados con el </w:t>
            </w:r>
            <w:r w:rsidRPr="007C57D2">
              <w:rPr>
                <w:rFonts w:ascii="Times New Roman" w:hAnsi="Times New Roman"/>
                <w:sz w:val="28"/>
                <w:shd w:val="clear" w:color="auto" w:fill="FFFFFF"/>
              </w:rPr>
              <w:t xml:space="preserve">Sistema Nacional de Reporte </w:t>
            </w:r>
            <w:r w:rsidRPr="007C57D2">
              <w:rPr>
                <w:rFonts w:ascii="Times New Roman" w:hAnsi="Times New Roman"/>
                <w:sz w:val="28"/>
                <w:shd w:val="clear" w:color="auto" w:fill="FFFFFF"/>
              </w:rPr>
              <w:t>y su operatividad, sin que se alterase s</w:t>
            </w:r>
            <w:r w:rsidRPr="007C57D2">
              <w:rPr>
                <w:rFonts w:ascii="Times New Roman" w:hAnsi="Times New Roman"/>
                <w:sz w:val="28"/>
                <w:shd w:val="clear" w:color="auto" w:fill="FFFFFF"/>
              </w:rPr>
              <w:t>u objeto, función y reglas esenciales.</w:t>
            </w:r>
            <w:r w:rsidRPr="007C57D2">
              <w:rPr>
                <w:rFonts w:ascii="Times New Roman" w:hAnsi="Times New Roman"/>
                <w:sz w:val="28"/>
                <w:shd w:val="clear" w:color="auto" w:fill="FFFFFF"/>
              </w:rPr>
              <w:t xml:space="preserve"> </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6</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Las comisiones y las plenarias modificaron </w:t>
            </w:r>
            <w:r w:rsidRPr="007C57D2">
              <w:rPr>
                <w:rFonts w:ascii="Times New Roman" w:hAnsi="Times New Roman"/>
                <w:sz w:val="28"/>
                <w:shd w:val="clear" w:color="auto" w:fill="FFFFFF"/>
              </w:rPr>
              <w:t>el título (resultando sólo “Divulgación”), ajust</w:t>
            </w:r>
            <w:r w:rsidRPr="007C57D2">
              <w:rPr>
                <w:rFonts w:ascii="Times New Roman" w:hAnsi="Times New Roman"/>
                <w:sz w:val="28"/>
                <w:shd w:val="clear" w:color="auto" w:fill="FFFFFF"/>
              </w:rPr>
              <w:t>aron</w:t>
            </w:r>
            <w:r w:rsidRPr="007C57D2">
              <w:rPr>
                <w:rFonts w:ascii="Times New Roman" w:hAnsi="Times New Roman"/>
                <w:sz w:val="28"/>
                <w:shd w:val="clear" w:color="auto" w:fill="FFFFFF"/>
              </w:rPr>
              <w:t xml:space="preserve"> la redacción de algunos apartados, incluy</w:t>
            </w:r>
            <w:r w:rsidRPr="007C57D2">
              <w:rPr>
                <w:rFonts w:ascii="Times New Roman" w:hAnsi="Times New Roman"/>
                <w:sz w:val="28"/>
                <w:shd w:val="clear" w:color="auto" w:fill="FFFFFF"/>
              </w:rPr>
              <w:t>eron</w:t>
            </w:r>
            <w:r w:rsidRPr="007C57D2">
              <w:rPr>
                <w:rFonts w:ascii="Times New Roman" w:hAnsi="Times New Roman"/>
                <w:sz w:val="28"/>
                <w:shd w:val="clear" w:color="auto" w:fill="FFFFFF"/>
              </w:rPr>
              <w:t xml:space="preserve"> al ICBF</w:t>
            </w:r>
            <w:r w:rsidRPr="007C57D2">
              <w:rPr>
                <w:rFonts w:ascii="Times New Roman" w:hAnsi="Times New Roman"/>
                <w:sz w:val="28"/>
                <w:shd w:val="clear" w:color="auto" w:fill="FFFFFF"/>
              </w:rPr>
              <w:t xml:space="preserve"> y excluy</w:t>
            </w:r>
            <w:r w:rsidRPr="007C57D2">
              <w:rPr>
                <w:rFonts w:ascii="Times New Roman" w:hAnsi="Times New Roman"/>
                <w:sz w:val="28"/>
                <w:shd w:val="clear" w:color="auto" w:fill="FFFFFF"/>
              </w:rPr>
              <w:t>eron</w:t>
            </w:r>
            <w:r w:rsidRPr="007C57D2">
              <w:rPr>
                <w:rFonts w:ascii="Times New Roman" w:hAnsi="Times New Roman"/>
                <w:sz w:val="28"/>
                <w:shd w:val="clear" w:color="auto" w:fill="FFFFFF"/>
              </w:rPr>
              <w:t xml:space="preserve"> a la Policía Nacional</w:t>
            </w:r>
            <w:r w:rsidRPr="007C57D2">
              <w:rPr>
                <w:rFonts w:ascii="Times New Roman" w:hAnsi="Times New Roman"/>
                <w:sz w:val="28"/>
                <w:shd w:val="clear" w:color="auto" w:fill="FFFFFF"/>
              </w:rPr>
              <w:t>, así como las obligaciones para las alcaldías y gobernaciones.</w:t>
            </w:r>
            <w:r w:rsidRPr="007C57D2">
              <w:rPr>
                <w:rFonts w:ascii="Times New Roman" w:hAnsi="Times New Roman"/>
                <w:sz w:val="28"/>
                <w:shd w:val="clear" w:color="auto" w:fill="FFFFFF"/>
              </w:rPr>
              <w:t xml:space="preserve"> Estos cambios </w:t>
            </w:r>
            <w:r w:rsidRPr="007C57D2">
              <w:rPr>
                <w:rFonts w:ascii="Times New Roman" w:hAnsi="Times New Roman"/>
                <w:sz w:val="28"/>
                <w:shd w:val="clear" w:color="auto" w:fill="FFFFFF"/>
              </w:rPr>
              <w:t xml:space="preserve">no afectan el contenido esencial de la disposición y </w:t>
            </w:r>
            <w:r w:rsidRPr="007C57D2">
              <w:rPr>
                <w:rFonts w:ascii="Times New Roman" w:hAnsi="Times New Roman"/>
                <w:sz w:val="28"/>
                <w:shd w:val="clear" w:color="auto" w:fill="FFFFFF"/>
              </w:rPr>
              <w:t>se sustentan en</w:t>
            </w:r>
            <w:r w:rsidRPr="007C57D2">
              <w:rPr>
                <w:rFonts w:ascii="Times New Roman" w:hAnsi="Times New Roman"/>
                <w:sz w:val="28"/>
                <w:shd w:val="clear" w:color="auto" w:fill="FFFFFF"/>
              </w:rPr>
              <w:t xml:space="preserve"> lo discutido y aprobado en cada debate.</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7</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w:t>
            </w:r>
            <w:r w:rsidRPr="007C57D2">
              <w:rPr>
                <w:rFonts w:ascii="Times New Roman" w:hAnsi="Times New Roman"/>
                <w:sz w:val="28"/>
                <w:shd w:val="clear" w:color="auto" w:fill="FFFFFF"/>
              </w:rPr>
              <w:t xml:space="preserve">el primer debate del Senado se eliminó </w:t>
            </w:r>
            <w:r w:rsidRPr="007C57D2">
              <w:rPr>
                <w:rFonts w:ascii="Times New Roman" w:hAnsi="Times New Roman"/>
                <w:sz w:val="28"/>
                <w:shd w:val="clear" w:color="auto" w:fill="FFFFFF"/>
              </w:rPr>
              <w:t>la regla relativa al consentimiento expreso e informado de los padres y tutores</w:t>
            </w:r>
            <w:r w:rsidRPr="007C57D2">
              <w:rPr>
                <w:rFonts w:ascii="Times New Roman" w:hAnsi="Times New Roman"/>
                <w:sz w:val="28"/>
                <w:shd w:val="clear" w:color="auto" w:fill="FFFFFF"/>
              </w:rPr>
              <w:t>, dejando solo la remis</w:t>
            </w:r>
            <w:r w:rsidRPr="007C57D2">
              <w:rPr>
                <w:rFonts w:ascii="Times New Roman" w:hAnsi="Times New Roman"/>
                <w:sz w:val="28"/>
                <w:shd w:val="clear" w:color="auto" w:fill="FFFFFF"/>
              </w:rPr>
              <w:t xml:space="preserve">ión a la Ley 1581 de 2012 en materia de protección de datos personales, asunto que fue el eje de la disposición desde la radicación del proyecto. </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8</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los debates se aclaró la labor del ICBF en la </w:t>
            </w:r>
            <w:r w:rsidRPr="007C57D2">
              <w:rPr>
                <w:rFonts w:ascii="Times New Roman" w:hAnsi="Times New Roman"/>
                <w:sz w:val="28"/>
                <w:shd w:val="clear" w:color="auto" w:fill="FFFFFF"/>
              </w:rPr>
              <w:t xml:space="preserve">eliminación de datos personales de niñas y niños </w:t>
            </w:r>
            <w:r w:rsidRPr="007C57D2">
              <w:rPr>
                <w:rFonts w:ascii="Times New Roman" w:hAnsi="Times New Roman"/>
                <w:sz w:val="28"/>
                <w:shd w:val="clear" w:color="auto" w:fill="FFFFFF"/>
              </w:rPr>
              <w:t>encontrados.</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9</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Se eliminaron algunos requisitos para la activación de la Alerta Colombia y se hicieron algunos ajustes en cuanto a la redacción y empleo de términos (p</w:t>
            </w:r>
            <w:r w:rsidRPr="007C57D2">
              <w:rPr>
                <w:rFonts w:ascii="Times New Roman" w:hAnsi="Times New Roman"/>
                <w:sz w:val="28"/>
                <w:shd w:val="clear" w:color="auto" w:fill="FFFFFF"/>
              </w:rPr>
              <w:t xml:space="preserve">or </w:t>
            </w:r>
            <w:r w:rsidRPr="007C57D2">
              <w:rPr>
                <w:rFonts w:ascii="Times New Roman" w:hAnsi="Times New Roman"/>
                <w:sz w:val="28"/>
                <w:shd w:val="clear" w:color="auto" w:fill="FFFFFF"/>
              </w:rPr>
              <w:t>ej</w:t>
            </w:r>
            <w:r w:rsidRPr="007C57D2">
              <w:rPr>
                <w:rFonts w:ascii="Times New Roman" w:hAnsi="Times New Roman"/>
                <w:sz w:val="28"/>
                <w:shd w:val="clear" w:color="auto" w:fill="FFFFFF"/>
              </w:rPr>
              <w:t>emplo</w:t>
            </w:r>
            <w:r w:rsidRPr="007C57D2">
              <w:rPr>
                <w:rFonts w:ascii="Times New Roman" w:hAnsi="Times New Roman"/>
                <w:sz w:val="28"/>
                <w:shd w:val="clear" w:color="auto" w:fill="FFFFFF"/>
              </w:rPr>
              <w:t>, se eliminó la expresión “patria potestad”). Estos ajustes, sin embargo, no a</w:t>
            </w:r>
            <w:r w:rsidRPr="007C57D2">
              <w:rPr>
                <w:rFonts w:ascii="Times New Roman" w:hAnsi="Times New Roman"/>
                <w:sz w:val="28"/>
                <w:shd w:val="clear" w:color="auto" w:fill="FFFFFF"/>
              </w:rPr>
              <w:t xml:space="preserve">lteran el objeto central de la disposición ni incluyen temáticas no tratadas </w:t>
            </w:r>
            <w:r w:rsidRPr="007C57D2">
              <w:rPr>
                <w:rFonts w:ascii="Times New Roman" w:hAnsi="Times New Roman"/>
                <w:sz w:val="28"/>
                <w:shd w:val="clear" w:color="auto" w:fill="FFFFFF"/>
              </w:rPr>
              <w:t>por las comisiones o plenarias.</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10</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Se ajustó la redacción en algunos apartados</w:t>
            </w:r>
            <w:r w:rsidRPr="007C57D2">
              <w:rPr>
                <w:rFonts w:ascii="Times New Roman" w:hAnsi="Times New Roman"/>
                <w:sz w:val="28"/>
                <w:shd w:val="clear" w:color="auto" w:fill="FFFFFF"/>
              </w:rPr>
              <w:t>, precisando el uso de medios</w:t>
            </w:r>
            <w:r w:rsidRPr="007C57D2">
              <w:rPr>
                <w:rFonts w:ascii="Times New Roman" w:hAnsi="Times New Roman"/>
                <w:sz w:val="28"/>
                <w:shd w:val="clear" w:color="auto" w:fill="FFFFFF"/>
              </w:rPr>
              <w:t xml:space="preserve"> de comunicación</w:t>
            </w:r>
            <w:r w:rsidRPr="007C57D2">
              <w:rPr>
                <w:rFonts w:ascii="Times New Roman" w:hAnsi="Times New Roman"/>
                <w:sz w:val="28"/>
                <w:shd w:val="clear" w:color="auto" w:fill="FFFFFF"/>
              </w:rPr>
              <w:t xml:space="preserve">, eliminando algunas expresiones y </w:t>
            </w:r>
            <w:r w:rsidRPr="007C57D2">
              <w:rPr>
                <w:rFonts w:ascii="Times New Roman" w:hAnsi="Times New Roman"/>
                <w:sz w:val="28"/>
                <w:shd w:val="clear" w:color="auto" w:fill="FFFFFF"/>
              </w:rPr>
              <w:t>a</w:t>
            </w:r>
            <w:r w:rsidRPr="007C57D2">
              <w:rPr>
                <w:rFonts w:ascii="Times New Roman" w:hAnsi="Times New Roman"/>
                <w:sz w:val="28"/>
                <w:shd w:val="clear" w:color="auto" w:fill="FFFFFF"/>
              </w:rPr>
              <w:t xml:space="preserve">dicionando el </w:t>
            </w:r>
            <w:r w:rsidRPr="007C57D2">
              <w:rPr>
                <w:rFonts w:ascii="Times New Roman" w:hAnsi="Times New Roman"/>
                <w:sz w:val="28"/>
                <w:shd w:val="clear" w:color="auto" w:fill="FFFFFF"/>
              </w:rPr>
              <w:t>parágrafo 3.</w:t>
            </w:r>
          </w:p>
        </w:tc>
      </w:tr>
      <w:tr w:rsidR="00A0085A" w:rsidRPr="007C57D2" w:rsidTr="007C57D2">
        <w:tc>
          <w:tcPr>
            <w:tcW w:w="1413" w:type="dxa"/>
            <w:shd w:val="clear" w:color="auto" w:fill="auto"/>
            <w:vAlign w:val="center"/>
          </w:tcPr>
          <w:p w:rsidR="00085ED1"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11</w:t>
            </w:r>
          </w:p>
        </w:tc>
        <w:tc>
          <w:tcPr>
            <w:tcW w:w="7415" w:type="dxa"/>
            <w:shd w:val="clear" w:color="auto" w:fill="auto"/>
          </w:tcPr>
          <w:p w:rsidR="00085ED1"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w:t>
            </w:r>
            <w:r w:rsidRPr="007C57D2">
              <w:rPr>
                <w:rFonts w:ascii="Times New Roman" w:hAnsi="Times New Roman"/>
                <w:sz w:val="28"/>
                <w:shd w:val="clear" w:color="auto" w:fill="FFFFFF"/>
              </w:rPr>
              <w:t>el primer debate en Senado</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se incluyó al ICBF como responsable del deber de </w:t>
            </w:r>
            <w:r w:rsidRPr="007C57D2">
              <w:rPr>
                <w:rFonts w:ascii="Times New Roman" w:hAnsi="Times New Roman"/>
                <w:sz w:val="28"/>
                <w:shd w:val="clear" w:color="auto" w:fill="FFFFFF"/>
              </w:rPr>
              <w:t xml:space="preserve">articular a los sujetos involucrados en </w:t>
            </w:r>
            <w:r w:rsidRPr="007C57D2">
              <w:rPr>
                <w:rFonts w:ascii="Times New Roman" w:hAnsi="Times New Roman"/>
                <w:sz w:val="28"/>
                <w:shd w:val="clear" w:color="auto" w:fill="FFFFFF"/>
              </w:rPr>
              <w:t xml:space="preserve">la divulgación de la Alerta Colombia. La modificación se hizo sobre </w:t>
            </w:r>
            <w:r w:rsidRPr="007C57D2">
              <w:rPr>
                <w:rFonts w:ascii="Times New Roman" w:hAnsi="Times New Roman"/>
                <w:sz w:val="28"/>
                <w:shd w:val="clear" w:color="auto" w:fill="FFFFFF"/>
              </w:rPr>
              <w:t xml:space="preserve">un parágrafo ya aprobado por la comisión y la </w:t>
            </w:r>
            <w:r w:rsidRPr="007C57D2">
              <w:rPr>
                <w:rFonts w:ascii="Times New Roman" w:hAnsi="Times New Roman"/>
                <w:sz w:val="28"/>
                <w:shd w:val="clear" w:color="auto" w:fill="FFFFFF"/>
              </w:rPr>
              <w:t>plenaria de la Cámara.</w:t>
            </w:r>
          </w:p>
        </w:tc>
      </w:tr>
      <w:tr w:rsidR="00A0085A" w:rsidRPr="007C57D2" w:rsidTr="007C57D2">
        <w:tc>
          <w:tcPr>
            <w:tcW w:w="1413" w:type="dxa"/>
            <w:shd w:val="clear" w:color="auto" w:fill="auto"/>
            <w:vAlign w:val="center"/>
          </w:tcPr>
          <w:p w:rsidR="004D0E8A"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12</w:t>
            </w:r>
          </w:p>
        </w:tc>
        <w:tc>
          <w:tcPr>
            <w:tcW w:w="7415" w:type="dxa"/>
            <w:shd w:val="clear" w:color="auto" w:fill="auto"/>
          </w:tcPr>
          <w:p w:rsidR="004D0E8A"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En el segundo debate en Cámara</w:t>
            </w:r>
            <w:r w:rsidRPr="007C57D2">
              <w:rPr>
                <w:rFonts w:ascii="Times New Roman" w:hAnsi="Times New Roman"/>
                <w:sz w:val="28"/>
                <w:shd w:val="clear" w:color="auto" w:fill="FFFFFF"/>
              </w:rPr>
              <w:t>,</w:t>
            </w:r>
            <w:r w:rsidRPr="007C57D2">
              <w:rPr>
                <w:rFonts w:ascii="Times New Roman" w:hAnsi="Times New Roman"/>
                <w:sz w:val="28"/>
                <w:shd w:val="clear" w:color="auto" w:fill="FFFFFF"/>
              </w:rPr>
              <w:t xml:space="preserve"> se </w:t>
            </w:r>
            <w:r w:rsidRPr="007C57D2">
              <w:rPr>
                <w:rFonts w:ascii="Times New Roman" w:hAnsi="Times New Roman"/>
                <w:sz w:val="28"/>
                <w:shd w:val="clear" w:color="auto" w:fill="FFFFFF"/>
              </w:rPr>
              <w:t>hicieron algunas precisiones sobre la terminología, que no alteran el contenido de la disposición (p</w:t>
            </w:r>
            <w:r w:rsidRPr="007C57D2">
              <w:rPr>
                <w:rFonts w:ascii="Times New Roman" w:hAnsi="Times New Roman"/>
                <w:sz w:val="28"/>
                <w:shd w:val="clear" w:color="auto" w:fill="FFFFFF"/>
              </w:rPr>
              <w:t xml:space="preserve">or </w:t>
            </w:r>
            <w:r w:rsidRPr="007C57D2">
              <w:rPr>
                <w:rFonts w:ascii="Times New Roman" w:hAnsi="Times New Roman"/>
                <w:sz w:val="28"/>
                <w:shd w:val="clear" w:color="auto" w:fill="FFFFFF"/>
              </w:rPr>
              <w:t>ej</w:t>
            </w:r>
            <w:r w:rsidRPr="007C57D2">
              <w:rPr>
                <w:rFonts w:ascii="Times New Roman" w:hAnsi="Times New Roman"/>
                <w:sz w:val="28"/>
                <w:shd w:val="clear" w:color="auto" w:fill="FFFFFF"/>
              </w:rPr>
              <w:t>emplo</w:t>
            </w:r>
            <w:r w:rsidRPr="007C57D2">
              <w:rPr>
                <w:rFonts w:ascii="Times New Roman" w:hAnsi="Times New Roman"/>
                <w:sz w:val="28"/>
                <w:shd w:val="clear" w:color="auto" w:fill="FFFFFF"/>
              </w:rPr>
              <w:t xml:space="preserve">, se reemplazó la expresión “erogación”, por </w:t>
            </w:r>
            <w:r w:rsidRPr="007C57D2">
              <w:rPr>
                <w:rFonts w:ascii="Times New Roman" w:hAnsi="Times New Roman"/>
                <w:sz w:val="28"/>
                <w:shd w:val="clear" w:color="auto" w:fill="FFFFFF"/>
              </w:rPr>
              <w:t>“costo”). En los debates en la comisión</w:t>
            </w:r>
            <w:r w:rsidRPr="007C57D2">
              <w:rPr>
                <w:rFonts w:ascii="Times New Roman" w:hAnsi="Times New Roman"/>
                <w:sz w:val="28"/>
                <w:shd w:val="clear" w:color="auto" w:fill="FFFFFF"/>
              </w:rPr>
              <w:t xml:space="preserve"> y plenaria del Senado, se mantuvieron dichos ajustes.</w:t>
            </w:r>
          </w:p>
        </w:tc>
      </w:tr>
      <w:tr w:rsidR="00A0085A" w:rsidRPr="007C57D2" w:rsidTr="007C57D2">
        <w:tc>
          <w:tcPr>
            <w:tcW w:w="1413" w:type="dxa"/>
            <w:shd w:val="clear" w:color="auto" w:fill="auto"/>
            <w:vAlign w:val="center"/>
          </w:tcPr>
          <w:p w:rsidR="004D0E8A"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13</w:t>
            </w:r>
          </w:p>
        </w:tc>
        <w:tc>
          <w:tcPr>
            <w:tcW w:w="7415" w:type="dxa"/>
            <w:shd w:val="clear" w:color="auto" w:fill="auto"/>
          </w:tcPr>
          <w:p w:rsidR="004D0E8A"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 xml:space="preserve">En primer y segundo debate </w:t>
            </w:r>
            <w:r w:rsidRPr="007C57D2">
              <w:rPr>
                <w:rFonts w:ascii="Times New Roman" w:hAnsi="Times New Roman"/>
                <w:sz w:val="28"/>
                <w:shd w:val="clear" w:color="auto" w:fill="FFFFFF"/>
              </w:rPr>
              <w:t>en el Senado se hicieron ajustes, incluyendo al ICBF y al Instituto Nacional de Medicina Legal</w:t>
            </w:r>
            <w:r w:rsidRPr="007C57D2">
              <w:rPr>
                <w:rFonts w:ascii="Times New Roman" w:hAnsi="Times New Roman"/>
                <w:sz w:val="28"/>
                <w:shd w:val="clear" w:color="auto" w:fill="FFFFFF"/>
              </w:rPr>
              <w:t xml:space="preserve"> como responsables </w:t>
            </w:r>
            <w:r w:rsidRPr="007C57D2">
              <w:rPr>
                <w:rFonts w:ascii="Times New Roman" w:hAnsi="Times New Roman"/>
                <w:sz w:val="28"/>
                <w:shd w:val="clear" w:color="auto" w:fill="FFFFFF"/>
              </w:rPr>
              <w:t>de</w:t>
            </w:r>
            <w:r w:rsidRPr="007C57D2">
              <w:rPr>
                <w:rFonts w:ascii="Times New Roman" w:hAnsi="Times New Roman"/>
                <w:sz w:val="28"/>
                <w:shd w:val="clear" w:color="auto" w:fill="FFFFFF"/>
              </w:rPr>
              <w:t xml:space="preserve"> la elaboración del informe anual sobre niñas y niños d</w:t>
            </w:r>
            <w:r w:rsidRPr="007C57D2">
              <w:rPr>
                <w:rFonts w:ascii="Times New Roman" w:hAnsi="Times New Roman"/>
                <w:sz w:val="28"/>
                <w:shd w:val="clear" w:color="auto" w:fill="FFFFFF"/>
              </w:rPr>
              <w:t xml:space="preserve">esaparecidos. </w:t>
            </w:r>
          </w:p>
        </w:tc>
      </w:tr>
      <w:tr w:rsidR="00A0085A" w:rsidRPr="007C57D2" w:rsidTr="007C57D2">
        <w:tc>
          <w:tcPr>
            <w:tcW w:w="1413" w:type="dxa"/>
            <w:shd w:val="clear" w:color="auto" w:fill="auto"/>
            <w:vAlign w:val="center"/>
          </w:tcPr>
          <w:p w:rsidR="004D0E8A"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14</w:t>
            </w:r>
          </w:p>
        </w:tc>
        <w:tc>
          <w:tcPr>
            <w:tcW w:w="7415" w:type="dxa"/>
            <w:shd w:val="clear" w:color="auto" w:fill="auto"/>
          </w:tcPr>
          <w:p w:rsidR="004D0E8A"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En el Segundo debate de Senado, s</w:t>
            </w:r>
            <w:r w:rsidRPr="007C57D2">
              <w:rPr>
                <w:rFonts w:ascii="Times New Roman" w:hAnsi="Times New Roman"/>
                <w:sz w:val="28"/>
                <w:shd w:val="clear" w:color="auto" w:fill="FFFFFF"/>
              </w:rPr>
              <w:t xml:space="preserve">e </w:t>
            </w:r>
            <w:r w:rsidRPr="007C57D2">
              <w:rPr>
                <w:rFonts w:ascii="Times New Roman" w:hAnsi="Times New Roman"/>
                <w:sz w:val="28"/>
                <w:shd w:val="clear" w:color="auto" w:fill="FFFFFF"/>
              </w:rPr>
              <w:t xml:space="preserve">modificó el plazo para el otorgamiento de facultades </w:t>
            </w:r>
            <w:r w:rsidRPr="007C57D2">
              <w:rPr>
                <w:rFonts w:ascii="Times New Roman" w:hAnsi="Times New Roman"/>
                <w:sz w:val="28"/>
                <w:shd w:val="clear" w:color="auto" w:fill="FFFFFF"/>
              </w:rPr>
              <w:t>de</w:t>
            </w:r>
            <w:r w:rsidRPr="007C57D2">
              <w:rPr>
                <w:rFonts w:ascii="Times New Roman" w:hAnsi="Times New Roman"/>
                <w:sz w:val="28"/>
                <w:shd w:val="clear" w:color="auto" w:fill="FFFFFF"/>
              </w:rPr>
              <w:t xml:space="preserve"> reglamenta</w:t>
            </w:r>
            <w:r w:rsidRPr="007C57D2">
              <w:rPr>
                <w:rFonts w:ascii="Times New Roman" w:hAnsi="Times New Roman"/>
                <w:sz w:val="28"/>
                <w:shd w:val="clear" w:color="auto" w:fill="FFFFFF"/>
              </w:rPr>
              <w:t>ción de</w:t>
            </w:r>
            <w:r w:rsidRPr="007C57D2">
              <w:rPr>
                <w:rFonts w:ascii="Times New Roman" w:hAnsi="Times New Roman"/>
                <w:sz w:val="28"/>
                <w:shd w:val="clear" w:color="auto" w:fill="FFFFFF"/>
              </w:rPr>
              <w:t xml:space="preserve"> la ley. </w:t>
            </w:r>
          </w:p>
        </w:tc>
      </w:tr>
      <w:tr w:rsidR="000237A4" w:rsidRPr="007C57D2" w:rsidTr="007C57D2">
        <w:tc>
          <w:tcPr>
            <w:tcW w:w="1413" w:type="dxa"/>
            <w:shd w:val="clear" w:color="auto" w:fill="auto"/>
            <w:vAlign w:val="center"/>
          </w:tcPr>
          <w:p w:rsidR="004D0E8A" w:rsidRPr="007C57D2" w:rsidRDefault="007C57D2" w:rsidP="007C57D2">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15</w:t>
            </w:r>
          </w:p>
        </w:tc>
        <w:tc>
          <w:tcPr>
            <w:tcW w:w="7415" w:type="dxa"/>
            <w:shd w:val="clear" w:color="auto" w:fill="auto"/>
          </w:tcPr>
          <w:p w:rsidR="004D0E8A" w:rsidRPr="007C57D2" w:rsidRDefault="007C57D2" w:rsidP="007C57D2">
            <w:pPr>
              <w:spacing w:after="0" w:line="240" w:lineRule="auto"/>
              <w:jc w:val="both"/>
              <w:rPr>
                <w:rFonts w:ascii="Times New Roman" w:hAnsi="Times New Roman"/>
                <w:sz w:val="28"/>
                <w:shd w:val="clear" w:color="auto" w:fill="FFFFFF"/>
              </w:rPr>
            </w:pPr>
            <w:r w:rsidRPr="007C57D2">
              <w:rPr>
                <w:rFonts w:ascii="Times New Roman" w:hAnsi="Times New Roman"/>
                <w:sz w:val="28"/>
                <w:shd w:val="clear" w:color="auto" w:fill="FFFFFF"/>
              </w:rPr>
              <w:t>No se presentaron variaciones sobre la entrada en vigor de la ley.</w:t>
            </w:r>
          </w:p>
        </w:tc>
      </w:tr>
    </w:tbl>
    <w:p w:rsidR="0004768D" w:rsidRPr="007C57D2" w:rsidRDefault="007C57D2" w:rsidP="008F3DAB">
      <w:pPr>
        <w:spacing w:after="0" w:line="240" w:lineRule="auto"/>
        <w:jc w:val="center"/>
        <w:rPr>
          <w:rFonts w:ascii="Times New Roman" w:hAnsi="Times New Roman"/>
          <w:sz w:val="28"/>
          <w:shd w:val="clear" w:color="auto" w:fill="FFFFFF"/>
        </w:rPr>
      </w:pPr>
      <w:r w:rsidRPr="007C57D2">
        <w:rPr>
          <w:rFonts w:ascii="Times New Roman" w:hAnsi="Times New Roman"/>
          <w:sz w:val="28"/>
          <w:shd w:val="clear" w:color="auto" w:fill="FFFFFF"/>
        </w:rPr>
        <w:t>Tabla 1</w:t>
      </w:r>
      <w:r w:rsidRPr="007C57D2">
        <w:rPr>
          <w:rFonts w:ascii="Times New Roman" w:hAnsi="Times New Roman"/>
          <w:sz w:val="28"/>
          <w:shd w:val="clear" w:color="auto" w:fill="FFFFFF"/>
        </w:rPr>
        <w:t>9</w:t>
      </w:r>
      <w:r w:rsidRPr="007C57D2">
        <w:rPr>
          <w:rFonts w:ascii="Times New Roman" w:hAnsi="Times New Roman"/>
          <w:sz w:val="28"/>
          <w:shd w:val="clear" w:color="auto" w:fill="FFFFFF"/>
        </w:rPr>
        <w:t xml:space="preserve">. </w:t>
      </w:r>
      <w:r w:rsidRPr="007C57D2">
        <w:rPr>
          <w:rFonts w:ascii="Times New Roman" w:hAnsi="Times New Roman"/>
          <w:i/>
          <w:iCs/>
          <w:sz w:val="28"/>
          <w:shd w:val="clear" w:color="auto" w:fill="FFFFFF"/>
        </w:rPr>
        <w:t xml:space="preserve">Verificación de los principios de </w:t>
      </w:r>
      <w:r w:rsidRPr="007C57D2">
        <w:rPr>
          <w:rFonts w:ascii="Times New Roman" w:hAnsi="Times New Roman"/>
          <w:i/>
          <w:iCs/>
          <w:sz w:val="28"/>
          <w:shd w:val="clear" w:color="auto" w:fill="FFFFFF"/>
        </w:rPr>
        <w:t>consecutividad e identidad flexible</w:t>
      </w:r>
    </w:p>
    <w:p w:rsidR="00C93059" w:rsidRPr="007C57D2" w:rsidRDefault="007C57D2" w:rsidP="008F3DAB">
      <w:pPr>
        <w:pStyle w:val="Prrafodelista"/>
        <w:rPr>
          <w:rFonts w:ascii="Times New Roman" w:hAnsi="Times New Roman"/>
          <w:sz w:val="28"/>
          <w:szCs w:val="28"/>
          <w:shd w:val="clear" w:color="auto" w:fill="FFFFFF"/>
        </w:rPr>
      </w:pPr>
    </w:p>
    <w:p w:rsidR="009354F4" w:rsidRPr="007C57D2" w:rsidRDefault="007C57D2" w:rsidP="008F3DAB">
      <w:pPr>
        <w:pStyle w:val="Prrafodelista"/>
        <w:numPr>
          <w:ilvl w:val="0"/>
          <w:numId w:val="3"/>
        </w:numPr>
        <w:tabs>
          <w:tab w:val="left" w:pos="360"/>
          <w:tab w:val="left" w:pos="567"/>
        </w:tabs>
        <w:ind w:left="0" w:hanging="11"/>
        <w:jc w:val="both"/>
        <w:rPr>
          <w:rFonts w:ascii="Times New Roman" w:hAnsi="Times New Roman"/>
          <w:b/>
          <w:bCs/>
          <w:sz w:val="28"/>
          <w:szCs w:val="28"/>
          <w:shd w:val="clear" w:color="auto" w:fill="FFFFFF"/>
        </w:rPr>
      </w:pPr>
      <w:r w:rsidRPr="007C57D2">
        <w:rPr>
          <w:rFonts w:ascii="Times New Roman" w:hAnsi="Times New Roman"/>
          <w:sz w:val="28"/>
          <w:szCs w:val="28"/>
          <w:shd w:val="clear" w:color="auto" w:fill="FFFFFF"/>
        </w:rPr>
        <w:t xml:space="preserve">Estos ajustes, como puede observarse, respetaron el contenido </w:t>
      </w:r>
      <w:r w:rsidRPr="007C57D2">
        <w:rPr>
          <w:rFonts w:ascii="Times New Roman" w:hAnsi="Times New Roman"/>
          <w:sz w:val="28"/>
          <w:szCs w:val="28"/>
          <w:shd w:val="clear" w:color="auto" w:fill="FFFFFF"/>
        </w:rPr>
        <w:t>y lo aprobado por cada una de las comisiones y plenarias, de modo que no alter</w:t>
      </w:r>
      <w:r w:rsidRPr="007C57D2">
        <w:rPr>
          <w:rFonts w:ascii="Times New Roman" w:hAnsi="Times New Roman"/>
          <w:sz w:val="28"/>
          <w:szCs w:val="28"/>
          <w:shd w:val="clear" w:color="auto" w:fill="FFFFFF"/>
        </w:rPr>
        <w:t>aron</w:t>
      </w:r>
      <w:r w:rsidRPr="007C57D2">
        <w:rPr>
          <w:rFonts w:ascii="Times New Roman" w:hAnsi="Times New Roman"/>
          <w:sz w:val="28"/>
          <w:szCs w:val="28"/>
          <w:shd w:val="clear" w:color="auto" w:fill="FFFFFF"/>
        </w:rPr>
        <w:t xml:space="preserve"> el núcleo temático de</w:t>
      </w:r>
      <w:r w:rsidRPr="007C57D2">
        <w:rPr>
          <w:rFonts w:ascii="Times New Roman" w:hAnsi="Times New Roman"/>
          <w:sz w:val="28"/>
          <w:szCs w:val="28"/>
          <w:shd w:val="clear" w:color="auto" w:fill="FFFFFF"/>
        </w:rPr>
        <w:t xml:space="preserve">l PLE </w:t>
      </w:r>
      <w:r w:rsidRPr="007C57D2">
        <w:rPr>
          <w:rFonts w:ascii="Times New Roman" w:hAnsi="Times New Roman"/>
          <w:sz w:val="28"/>
          <w:szCs w:val="28"/>
          <w:shd w:val="clear" w:color="auto" w:fill="FFFFFF"/>
        </w:rPr>
        <w:t xml:space="preserve">o de alguna de sus disposiciones. Por este motivo, el </w:t>
      </w:r>
      <w:r w:rsidRPr="007C57D2">
        <w:rPr>
          <w:rFonts w:ascii="Times New Roman" w:hAnsi="Times New Roman"/>
          <w:sz w:val="28"/>
          <w:szCs w:val="28"/>
          <w:shd w:val="clear" w:color="auto" w:fill="FFFFFF"/>
        </w:rPr>
        <w:t xml:space="preserve">trámite legislativo cumplió con </w:t>
      </w:r>
      <w:r w:rsidRPr="007C57D2">
        <w:rPr>
          <w:rFonts w:ascii="Times New Roman" w:hAnsi="Times New Roman"/>
          <w:sz w:val="28"/>
          <w:szCs w:val="28"/>
          <w:shd w:val="clear" w:color="auto" w:fill="FFFFFF"/>
        </w:rPr>
        <w:t xml:space="preserve">los </w:t>
      </w:r>
      <w:r w:rsidRPr="007C57D2">
        <w:rPr>
          <w:rFonts w:ascii="Times New Roman" w:hAnsi="Times New Roman"/>
          <w:sz w:val="28"/>
          <w:szCs w:val="28"/>
          <w:shd w:val="clear" w:color="auto" w:fill="FFFFFF"/>
        </w:rPr>
        <w:t>principio</w:t>
      </w:r>
      <w:r w:rsidRPr="007C57D2">
        <w:rPr>
          <w:rFonts w:ascii="Times New Roman" w:hAnsi="Times New Roman"/>
          <w:sz w:val="28"/>
          <w:szCs w:val="28"/>
          <w:shd w:val="clear" w:color="auto" w:fill="FFFFFF"/>
        </w:rPr>
        <w:t>s</w:t>
      </w:r>
      <w:r w:rsidRPr="007C57D2">
        <w:rPr>
          <w:rFonts w:ascii="Times New Roman" w:hAnsi="Times New Roman"/>
          <w:sz w:val="28"/>
          <w:szCs w:val="28"/>
          <w:shd w:val="clear" w:color="auto" w:fill="FFFFFF"/>
        </w:rPr>
        <w:t xml:space="preserve"> de identidad flexible</w:t>
      </w:r>
      <w:r w:rsidRPr="007C57D2">
        <w:rPr>
          <w:rFonts w:ascii="Times New Roman" w:hAnsi="Times New Roman"/>
          <w:sz w:val="28"/>
          <w:szCs w:val="28"/>
          <w:shd w:val="clear" w:color="auto" w:fill="FFFFFF"/>
        </w:rPr>
        <w:t xml:space="preserve"> y consecutividad</w:t>
      </w:r>
      <w:r w:rsidRPr="007C57D2">
        <w:rPr>
          <w:rFonts w:ascii="Times New Roman" w:hAnsi="Times New Roman"/>
          <w:sz w:val="28"/>
          <w:szCs w:val="28"/>
          <w:shd w:val="clear" w:color="auto" w:fill="FFFFFF"/>
        </w:rPr>
        <w:t xml:space="preserve">. </w:t>
      </w:r>
    </w:p>
    <w:p w:rsidR="0067106C" w:rsidRPr="007C57D2" w:rsidRDefault="007C57D2" w:rsidP="008F3DAB">
      <w:pPr>
        <w:pStyle w:val="Prrafodelista"/>
        <w:tabs>
          <w:tab w:val="left" w:pos="360"/>
          <w:tab w:val="left" w:pos="567"/>
        </w:tabs>
        <w:ind w:left="0"/>
        <w:jc w:val="both"/>
        <w:rPr>
          <w:rFonts w:ascii="Times New Roman" w:hAnsi="Times New Roman"/>
          <w:b/>
          <w:bCs/>
          <w:sz w:val="28"/>
          <w:szCs w:val="28"/>
          <w:shd w:val="clear" w:color="auto" w:fill="FFFFFF"/>
        </w:rPr>
      </w:pPr>
    </w:p>
    <w:p w:rsidR="007760F3" w:rsidRPr="007C57D2" w:rsidRDefault="007C57D2" w:rsidP="008F3DAB">
      <w:pPr>
        <w:tabs>
          <w:tab w:val="left" w:pos="360"/>
        </w:tabs>
        <w:spacing w:after="0" w:line="240" w:lineRule="auto"/>
        <w:jc w:val="both"/>
        <w:rPr>
          <w:rFonts w:ascii="Times New Roman" w:hAnsi="Times New Roman"/>
          <w:b/>
          <w:bCs/>
          <w:sz w:val="28"/>
          <w:szCs w:val="28"/>
          <w:shd w:val="clear" w:color="auto" w:fill="FFFF00"/>
          <w:lang w:eastAsia="es-ES"/>
        </w:rPr>
      </w:pPr>
      <w:r w:rsidRPr="007C57D2">
        <w:rPr>
          <w:rFonts w:ascii="Times New Roman" w:hAnsi="Times New Roman"/>
          <w:b/>
          <w:bCs/>
          <w:sz w:val="28"/>
          <w:szCs w:val="28"/>
          <w:shd w:val="clear" w:color="auto" w:fill="FFFFFF"/>
        </w:rPr>
        <w:t xml:space="preserve">4.8 </w:t>
      </w:r>
      <w:r w:rsidRPr="007C57D2">
        <w:rPr>
          <w:rFonts w:ascii="Times New Roman" w:hAnsi="Times New Roman"/>
          <w:b/>
          <w:bCs/>
          <w:sz w:val="28"/>
          <w:szCs w:val="28"/>
        </w:rPr>
        <w:t>Requisito de consulta previa</w:t>
      </w:r>
    </w:p>
    <w:p w:rsidR="00030338" w:rsidRPr="007C57D2" w:rsidRDefault="007C57D2" w:rsidP="008F3DAB">
      <w:pPr>
        <w:pStyle w:val="Prrafodelista"/>
        <w:tabs>
          <w:tab w:val="left" w:pos="567"/>
        </w:tabs>
        <w:ind w:left="0"/>
        <w:jc w:val="both"/>
        <w:rPr>
          <w:rFonts w:ascii="Times New Roman" w:hAnsi="Times New Roman"/>
          <w:sz w:val="28"/>
          <w:szCs w:val="28"/>
          <w:lang w:eastAsia="es-MX"/>
        </w:rPr>
      </w:pPr>
    </w:p>
    <w:p w:rsidR="005D1B57"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En varias oportunidades, este tribunal ha sostenido que, en concordancia con lo</w:t>
      </w:r>
      <w:r w:rsidRPr="007C57D2">
        <w:rPr>
          <w:rFonts w:ascii="Times New Roman" w:hAnsi="Times New Roman"/>
          <w:sz w:val="28"/>
          <w:szCs w:val="28"/>
          <w:lang w:eastAsia="es-MX"/>
        </w:rPr>
        <w:t xml:space="preserve"> estatuido en los artículos 1, 2, 7, 70, 329 y 330 de la Carta y 6.1.a del Convenio 169 de la Organización Internacional del Trabajo (OIT) sobre Pueblos Indígenas y Tribales</w:t>
      </w:r>
      <w:r w:rsidRPr="007C57D2">
        <w:rPr>
          <w:rFonts w:ascii="Times New Roman" w:hAnsi="Times New Roman"/>
          <w:sz w:val="28"/>
          <w:vertAlign w:val="superscript"/>
        </w:rPr>
        <w:footnoteReference w:id="210"/>
      </w:r>
      <w:r w:rsidRPr="007C57D2">
        <w:rPr>
          <w:rFonts w:ascii="Times New Roman" w:hAnsi="Times New Roman"/>
          <w:sz w:val="28"/>
          <w:szCs w:val="28"/>
          <w:lang w:eastAsia="es-MX"/>
        </w:rPr>
        <w:t xml:space="preserve">, las comunidades étnicas son titulares del derecho fundamental a la consulta </w:t>
      </w:r>
      <w:r w:rsidRPr="007C57D2">
        <w:rPr>
          <w:rFonts w:ascii="Times New Roman" w:hAnsi="Times New Roman"/>
          <w:sz w:val="28"/>
          <w:szCs w:val="28"/>
          <w:lang w:eastAsia="es-MX"/>
        </w:rPr>
        <w:t>previa</w:t>
      </w:r>
      <w:r w:rsidRPr="007C57D2">
        <w:rPr>
          <w:rFonts w:ascii="Times New Roman" w:hAnsi="Times New Roman"/>
          <w:sz w:val="28"/>
          <w:vertAlign w:val="superscript"/>
        </w:rPr>
        <w:footnoteReference w:id="211"/>
      </w:r>
      <w:r w:rsidRPr="007C57D2">
        <w:rPr>
          <w:rFonts w:ascii="Times New Roman" w:hAnsi="Times New Roman"/>
          <w:sz w:val="28"/>
          <w:szCs w:val="28"/>
          <w:lang w:eastAsia="es-MX"/>
        </w:rPr>
        <w:t xml:space="preserve">. </w:t>
      </w:r>
    </w:p>
    <w:p w:rsidR="005D1B57" w:rsidRPr="007C57D2" w:rsidRDefault="007C57D2" w:rsidP="008F3DAB">
      <w:pPr>
        <w:pStyle w:val="Prrafodelista"/>
        <w:tabs>
          <w:tab w:val="left" w:pos="284"/>
          <w:tab w:val="left" w:pos="567"/>
        </w:tabs>
        <w:ind w:left="0"/>
        <w:jc w:val="both"/>
        <w:rPr>
          <w:rFonts w:ascii="Times New Roman" w:hAnsi="Times New Roman"/>
          <w:sz w:val="28"/>
          <w:szCs w:val="28"/>
          <w:lang w:eastAsia="es-MX"/>
        </w:rPr>
      </w:pPr>
    </w:p>
    <w:p w:rsidR="00177586" w:rsidRPr="007C57D2" w:rsidRDefault="007C57D2" w:rsidP="008F3DAB">
      <w:pPr>
        <w:pStyle w:val="Prrafodelista"/>
        <w:numPr>
          <w:ilvl w:val="0"/>
          <w:numId w:val="3"/>
        </w:numPr>
        <w:tabs>
          <w:tab w:val="left" w:pos="284"/>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Puntualmente, el artículo 6.1.a del convenio antes mencionado dispone que los gobiernos deberán consultar a los pueblos indígenas y tribales “las medidas legislativas o administrativas susceptibles de afectarles directamente”. Esta </w:t>
      </w:r>
      <w:r w:rsidRPr="007C57D2">
        <w:rPr>
          <w:rFonts w:ascii="Times New Roman" w:hAnsi="Times New Roman"/>
          <w:i/>
          <w:iCs/>
          <w:sz w:val="28"/>
          <w:szCs w:val="28"/>
          <w:lang w:eastAsia="es-MX"/>
        </w:rPr>
        <w:t>afectación di</w:t>
      </w:r>
      <w:r w:rsidRPr="007C57D2">
        <w:rPr>
          <w:rFonts w:ascii="Times New Roman" w:hAnsi="Times New Roman"/>
          <w:i/>
          <w:iCs/>
          <w:sz w:val="28"/>
          <w:szCs w:val="28"/>
          <w:lang w:eastAsia="es-MX"/>
        </w:rPr>
        <w:t>recta</w:t>
      </w:r>
      <w:r w:rsidRPr="007C57D2">
        <w:rPr>
          <w:rFonts w:ascii="Times New Roman" w:hAnsi="Times New Roman"/>
          <w:sz w:val="28"/>
          <w:szCs w:val="28"/>
          <w:lang w:eastAsia="es-MX"/>
        </w:rPr>
        <w:t xml:space="preserve"> ha sido definida por la jurisprudencia como “el impacto positivo o negativo que puede tener una medida sobre las condiciones sociales, económicas, ambientales o culturales que constituyen la base de la cohesión social de una determinada comunidad étn</w:t>
      </w:r>
      <w:r w:rsidRPr="007C57D2">
        <w:rPr>
          <w:rFonts w:ascii="Times New Roman" w:hAnsi="Times New Roman"/>
          <w:sz w:val="28"/>
          <w:szCs w:val="28"/>
          <w:lang w:eastAsia="es-MX"/>
        </w:rPr>
        <w:t>ica”</w:t>
      </w:r>
      <w:r w:rsidRPr="007C57D2">
        <w:rPr>
          <w:rFonts w:ascii="Times New Roman" w:hAnsi="Times New Roman"/>
          <w:sz w:val="28"/>
          <w:vertAlign w:val="superscript"/>
        </w:rPr>
        <w:footnoteReference w:id="212"/>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De acuerdo con la jurisprudencia, e</w:t>
      </w:r>
      <w:r w:rsidRPr="007C57D2">
        <w:rPr>
          <w:rFonts w:ascii="Times New Roman" w:hAnsi="Times New Roman"/>
          <w:sz w:val="28"/>
          <w:szCs w:val="28"/>
          <w:lang w:eastAsia="es-MX"/>
        </w:rPr>
        <w:t>l requisito de consulta previa también es exigible en el trámite de proyectos de leyes estatutarias que afecten directamente a esas comunidades</w:t>
      </w:r>
      <w:r w:rsidRPr="007C57D2">
        <w:rPr>
          <w:rStyle w:val="Refdenotaalpie"/>
          <w:rFonts w:ascii="Times New Roman" w:hAnsi="Times New Roman"/>
          <w:sz w:val="28"/>
          <w:szCs w:val="28"/>
          <w:lang w:eastAsia="es-MX"/>
        </w:rPr>
        <w:footnoteReference w:id="213"/>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p>
    <w:p w:rsidR="00177586" w:rsidRPr="007C57D2" w:rsidRDefault="007C57D2" w:rsidP="008F3DAB">
      <w:pPr>
        <w:pStyle w:val="Prrafodelista"/>
        <w:tabs>
          <w:tab w:val="left" w:pos="284"/>
          <w:tab w:val="left" w:pos="567"/>
        </w:tabs>
        <w:ind w:left="0"/>
        <w:jc w:val="both"/>
        <w:rPr>
          <w:rFonts w:ascii="Times New Roman" w:hAnsi="Times New Roman"/>
          <w:sz w:val="28"/>
          <w:szCs w:val="28"/>
          <w:lang w:eastAsia="es-MX"/>
        </w:rPr>
      </w:pPr>
    </w:p>
    <w:p w:rsidR="00177586" w:rsidRPr="007C57D2" w:rsidRDefault="007C57D2" w:rsidP="008F3DAB">
      <w:pPr>
        <w:pStyle w:val="Prrafodelista"/>
        <w:numPr>
          <w:ilvl w:val="0"/>
          <w:numId w:val="3"/>
        </w:numPr>
        <w:tabs>
          <w:tab w:val="left" w:pos="284"/>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En concordancia con la jurisprudencia, </w:t>
      </w:r>
      <w:r w:rsidRPr="007C57D2">
        <w:rPr>
          <w:rFonts w:ascii="Times New Roman" w:hAnsi="Times New Roman"/>
          <w:sz w:val="28"/>
          <w:szCs w:val="28"/>
        </w:rPr>
        <w:t>para determinar los casos e</w:t>
      </w:r>
      <w:r w:rsidRPr="007C57D2">
        <w:rPr>
          <w:rFonts w:ascii="Times New Roman" w:hAnsi="Times New Roman"/>
          <w:sz w:val="28"/>
          <w:szCs w:val="28"/>
        </w:rPr>
        <w:t xml:space="preserve">n que se presenta una </w:t>
      </w:r>
      <w:r w:rsidRPr="007C57D2">
        <w:rPr>
          <w:rFonts w:ascii="Times New Roman" w:hAnsi="Times New Roman"/>
          <w:i/>
          <w:sz w:val="28"/>
          <w:szCs w:val="28"/>
        </w:rPr>
        <w:t>afectación directa</w:t>
      </w:r>
      <w:r w:rsidRPr="007C57D2">
        <w:rPr>
          <w:rFonts w:ascii="Times New Roman" w:hAnsi="Times New Roman"/>
          <w:sz w:val="28"/>
          <w:szCs w:val="28"/>
        </w:rPr>
        <w:t xml:space="preserve"> de los grupos étnicos diferenciados, se deben seguir los </w:t>
      </w:r>
      <w:r w:rsidRPr="007C57D2">
        <w:rPr>
          <w:rFonts w:ascii="Times New Roman" w:hAnsi="Times New Roman"/>
          <w:sz w:val="28"/>
          <w:szCs w:val="28"/>
        </w:rPr>
        <w:t xml:space="preserve">siguientes </w:t>
      </w:r>
      <w:r w:rsidRPr="007C57D2">
        <w:rPr>
          <w:rFonts w:ascii="Times New Roman" w:hAnsi="Times New Roman"/>
          <w:sz w:val="28"/>
          <w:szCs w:val="28"/>
        </w:rPr>
        <w:t>criterios</w:t>
      </w:r>
      <w:r w:rsidRPr="007C57D2">
        <w:rPr>
          <w:rStyle w:val="Refdenotaalpie"/>
          <w:rFonts w:ascii="Times New Roman" w:hAnsi="Times New Roman"/>
          <w:sz w:val="28"/>
          <w:szCs w:val="28"/>
        </w:rPr>
        <w:footnoteReference w:id="214"/>
      </w:r>
      <w:r w:rsidRPr="007C57D2">
        <w:rPr>
          <w:rFonts w:ascii="Times New Roman" w:hAnsi="Times New Roman"/>
          <w:sz w:val="28"/>
          <w:szCs w:val="28"/>
        </w:rPr>
        <w:t xml:space="preserve">: (i) se trata de un medida que regula algún </w:t>
      </w:r>
      <w:r w:rsidRPr="007C57D2">
        <w:rPr>
          <w:rFonts w:ascii="Times New Roman" w:hAnsi="Times New Roman"/>
          <w:sz w:val="28"/>
          <w:szCs w:val="28"/>
        </w:rPr>
        <w:t xml:space="preserve">derecho o materia prevista en el Convenio 169 de la OIT o en los artículos 329 y 330 superiores; </w:t>
      </w:r>
      <w:r w:rsidRPr="007C57D2">
        <w:rPr>
          <w:rFonts w:ascii="Times New Roman" w:hAnsi="Times New Roman"/>
          <w:sz w:val="28"/>
          <w:szCs w:val="28"/>
          <w:bdr w:val="none" w:sz="0" w:space="0" w:color="auto" w:frame="1"/>
        </w:rPr>
        <w:t xml:space="preserve">(ii) la medida repercute </w:t>
      </w:r>
      <w:r w:rsidRPr="007C57D2">
        <w:rPr>
          <w:rFonts w:ascii="Times New Roman" w:hAnsi="Times New Roman"/>
          <w:sz w:val="28"/>
          <w:szCs w:val="28"/>
        </w:rPr>
        <w:t xml:space="preserve">directa y específicamente sobre las comunidades étnicas, al margen de que el efecto sea negativo o positivo, porque </w:t>
      </w:r>
      <w:r w:rsidRPr="007C57D2">
        <w:rPr>
          <w:rFonts w:ascii="Times New Roman" w:hAnsi="Times New Roman"/>
          <w:sz w:val="28"/>
          <w:szCs w:val="28"/>
          <w:lang w:val="es-ES"/>
        </w:rPr>
        <w:t>modifica su situac</w:t>
      </w:r>
      <w:r w:rsidRPr="007C57D2">
        <w:rPr>
          <w:rFonts w:ascii="Times New Roman" w:hAnsi="Times New Roman"/>
          <w:sz w:val="28"/>
          <w:szCs w:val="28"/>
          <w:lang w:val="es-ES"/>
        </w:rPr>
        <w:t>ión o posición jurídica</w:t>
      </w:r>
      <w:r w:rsidRPr="007C57D2">
        <w:rPr>
          <w:rFonts w:ascii="Times New Roman" w:hAnsi="Times New Roman"/>
          <w:sz w:val="28"/>
          <w:szCs w:val="28"/>
        </w:rPr>
        <w:t xml:space="preserve">; (iii) </w:t>
      </w:r>
      <w:r w:rsidRPr="007C57D2">
        <w:rPr>
          <w:rFonts w:ascii="Times New Roman" w:hAnsi="Times New Roman"/>
          <w:sz w:val="28"/>
          <w:szCs w:val="28"/>
          <w:lang w:val="es-ES"/>
        </w:rPr>
        <w:t xml:space="preserve">el objeto principal de la regulación es una o varias comunidades étnicas o pueblos tribales; (iv) a pesar de su carácter general, la medida tiene una </w:t>
      </w:r>
      <w:r w:rsidRPr="007C57D2">
        <w:rPr>
          <w:rFonts w:ascii="Times New Roman" w:hAnsi="Times New Roman"/>
          <w:i/>
          <w:iCs/>
          <w:sz w:val="28"/>
          <w:szCs w:val="28"/>
          <w:lang w:val="es-ES"/>
        </w:rPr>
        <w:t xml:space="preserve">incidencia diferencial </w:t>
      </w:r>
      <w:r w:rsidRPr="007C57D2">
        <w:rPr>
          <w:rFonts w:ascii="Times New Roman" w:hAnsi="Times New Roman"/>
          <w:sz w:val="28"/>
          <w:szCs w:val="28"/>
          <w:lang w:val="es-ES"/>
        </w:rPr>
        <w:t>en las comunidades étnicas, o regula sistemáticament</w:t>
      </w:r>
      <w:r w:rsidRPr="007C57D2">
        <w:rPr>
          <w:rFonts w:ascii="Times New Roman" w:hAnsi="Times New Roman"/>
          <w:sz w:val="28"/>
          <w:szCs w:val="28"/>
          <w:lang w:val="es-ES"/>
        </w:rPr>
        <w:t xml:space="preserve">e materias que conforman </w:t>
      </w:r>
      <w:r w:rsidRPr="007C57D2">
        <w:rPr>
          <w:rFonts w:ascii="Times New Roman" w:hAnsi="Times New Roman"/>
          <w:sz w:val="28"/>
          <w:szCs w:val="28"/>
          <w:lang w:val="es-ES"/>
        </w:rPr>
        <w:t xml:space="preserve">la </w:t>
      </w:r>
      <w:r w:rsidRPr="007C57D2">
        <w:rPr>
          <w:rFonts w:ascii="Times New Roman" w:hAnsi="Times New Roman"/>
          <w:sz w:val="28"/>
          <w:szCs w:val="28"/>
          <w:lang w:val="es-ES"/>
        </w:rPr>
        <w:t>identidad de estas, y (v)</w:t>
      </w:r>
      <w:r w:rsidRPr="007C57D2">
        <w:rPr>
          <w:rFonts w:ascii="Times New Roman" w:hAnsi="Times New Roman"/>
          <w:sz w:val="28"/>
          <w:szCs w:val="28"/>
        </w:rPr>
        <w:t xml:space="preserve"> la disposición está vinculada con el </w:t>
      </w:r>
      <w:r w:rsidRPr="007C57D2">
        <w:rPr>
          <w:rFonts w:ascii="Times New Roman" w:hAnsi="Times New Roman"/>
          <w:i/>
          <w:sz w:val="28"/>
          <w:szCs w:val="28"/>
        </w:rPr>
        <w:t>ethos</w:t>
      </w:r>
      <w:r w:rsidRPr="007C57D2">
        <w:rPr>
          <w:rFonts w:ascii="Times New Roman" w:hAnsi="Times New Roman"/>
          <w:sz w:val="28"/>
          <w:szCs w:val="28"/>
        </w:rPr>
        <w:t xml:space="preserve"> o la identidad étnica de alguna comunidad.</w:t>
      </w:r>
    </w:p>
    <w:p w:rsidR="00177586"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7760F3"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shd w:val="clear" w:color="auto" w:fill="FFFF00"/>
          <w:lang w:eastAsia="es-ES"/>
        </w:rPr>
      </w:pPr>
      <w:r w:rsidRPr="007C57D2">
        <w:rPr>
          <w:rFonts w:ascii="Times New Roman" w:hAnsi="Times New Roman"/>
          <w:iCs/>
          <w:sz w:val="28"/>
          <w:szCs w:val="28"/>
          <w:lang w:eastAsia="es-CO"/>
        </w:rPr>
        <w:t xml:space="preserve">En aplicación de lo expuesto, la Sala constata que </w:t>
      </w:r>
      <w:r w:rsidRPr="007C57D2">
        <w:rPr>
          <w:rFonts w:ascii="Times New Roman" w:hAnsi="Times New Roman"/>
          <w:iCs/>
          <w:sz w:val="28"/>
          <w:szCs w:val="28"/>
          <w:lang w:eastAsia="es-CO"/>
        </w:rPr>
        <w:t xml:space="preserve">el PLE </w:t>
      </w:r>
      <w:r w:rsidRPr="007C57D2">
        <w:rPr>
          <w:rFonts w:ascii="Times New Roman" w:hAnsi="Times New Roman"/>
          <w:iCs/>
          <w:sz w:val="28"/>
          <w:szCs w:val="28"/>
          <w:lang w:eastAsia="es-CO"/>
        </w:rPr>
        <w:t xml:space="preserve">no </w:t>
      </w:r>
      <w:r w:rsidRPr="007C57D2">
        <w:rPr>
          <w:rFonts w:ascii="Times New Roman" w:hAnsi="Times New Roman"/>
          <w:sz w:val="28"/>
          <w:szCs w:val="28"/>
          <w:lang w:eastAsia="es-MX"/>
        </w:rPr>
        <w:t xml:space="preserve">contiene medidas que afecten de forma directa a las </w:t>
      </w:r>
      <w:r w:rsidRPr="007C57D2">
        <w:rPr>
          <w:rFonts w:ascii="Times New Roman" w:hAnsi="Times New Roman"/>
          <w:sz w:val="28"/>
          <w:szCs w:val="28"/>
          <w:lang w:eastAsia="es-MX"/>
        </w:rPr>
        <w:t>comunidades indígenas y afrodescendientes colombianas</w:t>
      </w:r>
      <w:r w:rsidRPr="007C57D2">
        <w:rPr>
          <w:rFonts w:ascii="Times New Roman" w:hAnsi="Times New Roman"/>
          <w:sz w:val="28"/>
          <w:szCs w:val="28"/>
          <w:lang w:eastAsia="es-MX"/>
        </w:rPr>
        <w:t>, pues se trata de una norma de carácter general</w:t>
      </w:r>
      <w:r w:rsidRPr="007C57D2">
        <w:rPr>
          <w:rStyle w:val="Refdenotaalpie"/>
          <w:rFonts w:ascii="Times New Roman" w:hAnsi="Times New Roman"/>
          <w:sz w:val="28"/>
          <w:szCs w:val="28"/>
          <w:lang w:eastAsia="es-MX"/>
        </w:rPr>
        <w:footnoteReference w:id="215"/>
      </w:r>
      <w:r w:rsidRPr="007C57D2">
        <w:rPr>
          <w:rFonts w:ascii="Times New Roman" w:hAnsi="Times New Roman"/>
          <w:sz w:val="28"/>
          <w:szCs w:val="28"/>
          <w:lang w:eastAsia="es-MX"/>
        </w:rPr>
        <w:t xml:space="preserve">, que no </w:t>
      </w:r>
      <w:r w:rsidRPr="007C57D2">
        <w:rPr>
          <w:rFonts w:ascii="Times New Roman" w:hAnsi="Times New Roman"/>
          <w:sz w:val="28"/>
          <w:szCs w:val="28"/>
        </w:rPr>
        <w:t>desarrolla las materias contenidas en el Convenio 169 de la OIT</w:t>
      </w:r>
      <w:r w:rsidRPr="007C57D2">
        <w:rPr>
          <w:rStyle w:val="Refdenotaalpie"/>
          <w:rFonts w:ascii="Times New Roman" w:hAnsi="Times New Roman"/>
          <w:sz w:val="28"/>
          <w:szCs w:val="28"/>
        </w:rPr>
        <w:footnoteReference w:id="216"/>
      </w:r>
      <w:r w:rsidRPr="007C57D2">
        <w:rPr>
          <w:rFonts w:ascii="Times New Roman" w:hAnsi="Times New Roman"/>
          <w:sz w:val="28"/>
          <w:szCs w:val="28"/>
        </w:rPr>
        <w:t xml:space="preserve"> o en los artículos 329 y  de la Constitución</w:t>
      </w:r>
      <w:r w:rsidRPr="007C57D2">
        <w:rPr>
          <w:rStyle w:val="Refdenotaalpie"/>
          <w:rFonts w:ascii="Times New Roman" w:hAnsi="Times New Roman"/>
          <w:sz w:val="28"/>
          <w:szCs w:val="28"/>
        </w:rPr>
        <w:footnoteReference w:id="217"/>
      </w:r>
      <w:r w:rsidRPr="007C57D2">
        <w:rPr>
          <w:rFonts w:ascii="Times New Roman" w:hAnsi="Times New Roman"/>
          <w:sz w:val="28"/>
          <w:szCs w:val="28"/>
        </w:rPr>
        <w:t>.</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El PLE</w:t>
      </w:r>
      <w:r w:rsidRPr="007C57D2">
        <w:rPr>
          <w:rFonts w:ascii="Times New Roman" w:hAnsi="Times New Roman"/>
          <w:sz w:val="28"/>
          <w:szCs w:val="28"/>
          <w:lang w:eastAsia="es-MX"/>
        </w:rPr>
        <w:t xml:space="preserve"> se limita a </w:t>
      </w:r>
      <w:r w:rsidRPr="007C57D2">
        <w:rPr>
          <w:rFonts w:ascii="Times New Roman" w:hAnsi="Times New Roman"/>
          <w:sz w:val="28"/>
          <w:szCs w:val="28"/>
          <w:lang w:eastAsia="es-MX"/>
        </w:rPr>
        <w:t>crear la Alert</w:t>
      </w:r>
      <w:r w:rsidRPr="007C57D2">
        <w:rPr>
          <w:rFonts w:ascii="Times New Roman" w:hAnsi="Times New Roman"/>
          <w:sz w:val="28"/>
          <w:szCs w:val="28"/>
          <w:lang w:eastAsia="es-MX"/>
        </w:rPr>
        <w:t>a Colombia y establecer normas que permitan su acceso, activación y difusión</w:t>
      </w:r>
      <w:r w:rsidRPr="007C57D2">
        <w:rPr>
          <w:rFonts w:ascii="Times New Roman" w:hAnsi="Times New Roman"/>
          <w:sz w:val="28"/>
          <w:szCs w:val="28"/>
          <w:lang w:eastAsia="es-MX"/>
        </w:rPr>
        <w:t xml:space="preserve">, y su objeto no es la </w:t>
      </w:r>
      <w:r w:rsidRPr="007C57D2">
        <w:rPr>
          <w:rFonts w:ascii="Times New Roman" w:hAnsi="Times New Roman"/>
          <w:sz w:val="28"/>
          <w:szCs w:val="28"/>
          <w:lang w:val="es-ES"/>
        </w:rPr>
        <w:t>regulación de una o varias comunidades étnicas o pueblos tribales</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Esta regulación no tiene un impacto </w:t>
      </w:r>
      <w:r w:rsidRPr="007C57D2">
        <w:rPr>
          <w:rFonts w:ascii="Times New Roman" w:hAnsi="Times New Roman"/>
          <w:sz w:val="28"/>
          <w:szCs w:val="28"/>
          <w:lang w:eastAsia="es-MX"/>
        </w:rPr>
        <w:t xml:space="preserve">particular, </w:t>
      </w:r>
      <w:r w:rsidRPr="007C57D2">
        <w:rPr>
          <w:rFonts w:ascii="Times New Roman" w:hAnsi="Times New Roman"/>
          <w:sz w:val="28"/>
          <w:szCs w:val="28"/>
          <w:lang w:eastAsia="es-MX"/>
        </w:rPr>
        <w:t>positivo o negativo</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sobre las condiciones</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sociales, económicas, ambientales o culturales </w:t>
      </w:r>
      <w:r w:rsidRPr="007C57D2">
        <w:rPr>
          <w:rFonts w:ascii="Times New Roman" w:hAnsi="Times New Roman"/>
          <w:sz w:val="28"/>
          <w:szCs w:val="28"/>
          <w:lang w:eastAsia="es-MX"/>
        </w:rPr>
        <w:t xml:space="preserve">de dichas comunidades, </w:t>
      </w:r>
      <w:r w:rsidRPr="007C57D2">
        <w:rPr>
          <w:rFonts w:ascii="Times New Roman" w:hAnsi="Times New Roman"/>
          <w:sz w:val="28"/>
          <w:szCs w:val="28"/>
          <w:lang w:eastAsia="es-MX"/>
        </w:rPr>
        <w:t>y tampoco en su identidad como pueblos</w:t>
      </w:r>
      <w:r w:rsidRPr="007C57D2">
        <w:rPr>
          <w:rStyle w:val="Refdenotaalpie"/>
          <w:rFonts w:ascii="Times New Roman" w:hAnsi="Times New Roman"/>
          <w:sz w:val="28"/>
          <w:szCs w:val="28"/>
        </w:rPr>
        <w:footnoteReference w:id="218"/>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por lo que </w:t>
      </w:r>
      <w:r w:rsidRPr="007C57D2">
        <w:rPr>
          <w:rFonts w:ascii="Times New Roman" w:hAnsi="Times New Roman"/>
          <w:sz w:val="28"/>
          <w:szCs w:val="28"/>
          <w:lang w:eastAsia="es-MX"/>
        </w:rPr>
        <w:t>el PLE</w:t>
      </w:r>
      <w:r w:rsidRPr="007C57D2">
        <w:rPr>
          <w:rFonts w:ascii="Times New Roman" w:hAnsi="Times New Roman"/>
          <w:sz w:val="28"/>
          <w:szCs w:val="28"/>
          <w:lang w:eastAsia="es-MX"/>
        </w:rPr>
        <w:t xml:space="preserve"> no debía someterse a un procedimiento de consulta previa. </w:t>
      </w:r>
    </w:p>
    <w:p w:rsidR="00AD512F"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5A3A90"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shd w:val="clear" w:color="auto" w:fill="FFFF00"/>
          <w:lang w:eastAsia="es-ES"/>
        </w:rPr>
      </w:pPr>
      <w:r w:rsidRPr="007C57D2">
        <w:rPr>
          <w:rFonts w:ascii="Times New Roman" w:hAnsi="Times New Roman"/>
          <w:sz w:val="28"/>
          <w:szCs w:val="28"/>
          <w:lang w:eastAsia="es-MX"/>
        </w:rPr>
        <w:t xml:space="preserve">Ahora bien, la </w:t>
      </w:r>
      <w:r w:rsidRPr="007C57D2">
        <w:rPr>
          <w:rFonts w:ascii="Times New Roman" w:hAnsi="Times New Roman"/>
          <w:sz w:val="28"/>
          <w:szCs w:val="28"/>
          <w:lang w:eastAsia="es-MX"/>
        </w:rPr>
        <w:t>Corporación</w:t>
      </w:r>
      <w:r w:rsidRPr="007C57D2">
        <w:rPr>
          <w:rFonts w:ascii="Times New Roman" w:hAnsi="Times New Roman"/>
          <w:sz w:val="28"/>
          <w:szCs w:val="28"/>
          <w:lang w:eastAsia="es-MX"/>
        </w:rPr>
        <w:t xml:space="preserve"> considera necesario precisar que el PLE sí cobija a los niños y niñas de las comunidades indígenas y afrodescendientes colombianas. La manera en que procederá la autorización de los datos biométricos y personales de los niños y las niñas, el acceso al Sis</w:t>
      </w:r>
      <w:r w:rsidRPr="007C57D2">
        <w:rPr>
          <w:rFonts w:ascii="Times New Roman" w:hAnsi="Times New Roman"/>
          <w:sz w:val="28"/>
          <w:szCs w:val="28"/>
          <w:lang w:eastAsia="es-MX"/>
        </w:rPr>
        <w:t>tema Nacional de Reporte Virtual, la activación de la Alerta Colombia, la difusión de la información allí contenida y la implementación de los mecanismos de búsqueda son materias que</w:t>
      </w:r>
      <w:r w:rsidRPr="007C57D2">
        <w:rPr>
          <w:rFonts w:ascii="Times New Roman" w:hAnsi="Times New Roman"/>
          <w:sz w:val="28"/>
          <w:szCs w:val="28"/>
          <w:lang w:eastAsia="es-MX"/>
        </w:rPr>
        <w:t>, en virtud de lo dispuesto en el artículo 14 del PLE, deberán ser reglame</w:t>
      </w:r>
      <w:r w:rsidRPr="007C57D2">
        <w:rPr>
          <w:rFonts w:ascii="Times New Roman" w:hAnsi="Times New Roman"/>
          <w:sz w:val="28"/>
          <w:szCs w:val="28"/>
          <w:lang w:eastAsia="es-MX"/>
        </w:rPr>
        <w:t>ntadas por el Gobierno nacional. Este deberá determinar si dicha reglamentación causa una afectación directa sobre las comunidades indígenas y afrodescendientes y, por tanto, si, respecto de esa norma jurídica, es preciso agotar un proceso de consulta prev</w:t>
      </w:r>
      <w:r w:rsidRPr="007C57D2">
        <w:rPr>
          <w:rFonts w:ascii="Times New Roman" w:hAnsi="Times New Roman"/>
          <w:sz w:val="28"/>
          <w:szCs w:val="28"/>
          <w:lang w:eastAsia="es-MX"/>
        </w:rPr>
        <w:t xml:space="preserve">ia. </w:t>
      </w:r>
      <w:r w:rsidRPr="007C57D2">
        <w:rPr>
          <w:rFonts w:ascii="Times New Roman" w:hAnsi="Times New Roman"/>
          <w:sz w:val="28"/>
          <w:szCs w:val="28"/>
          <w:lang w:eastAsia="es-MX"/>
        </w:rPr>
        <w:t xml:space="preserve"> </w:t>
      </w:r>
    </w:p>
    <w:p w:rsidR="005A3A90"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673D7C"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shd w:val="clear" w:color="auto" w:fill="FFFF00"/>
          <w:lang w:eastAsia="es-ES"/>
        </w:rPr>
      </w:pPr>
      <w:r w:rsidRPr="007C57D2">
        <w:rPr>
          <w:rFonts w:ascii="Times New Roman" w:hAnsi="Times New Roman"/>
          <w:sz w:val="28"/>
          <w:szCs w:val="28"/>
          <w:lang w:eastAsia="es-MX"/>
        </w:rPr>
        <w:t xml:space="preserve"> Con todo, resulta pertinente advertir que la exigencia del procedimiento de consulta previa sobre la implementación</w:t>
      </w:r>
      <w:r w:rsidRPr="007C57D2">
        <w:rPr>
          <w:rFonts w:ascii="Times New Roman" w:hAnsi="Times New Roman"/>
          <w:sz w:val="28"/>
          <w:szCs w:val="28"/>
          <w:lang w:eastAsia="es-MX"/>
        </w:rPr>
        <w:t xml:space="preserve"> de </w:t>
      </w:r>
      <w:r w:rsidRPr="007C57D2">
        <w:rPr>
          <w:rFonts w:ascii="Times New Roman" w:hAnsi="Times New Roman"/>
          <w:sz w:val="28"/>
          <w:szCs w:val="28"/>
          <w:lang w:eastAsia="es-MX"/>
        </w:rPr>
        <w:t>la Alerta Colombia en los territorios de esas comunidades</w:t>
      </w:r>
      <w:r w:rsidRPr="007C57D2">
        <w:rPr>
          <w:rFonts w:ascii="Times New Roman" w:hAnsi="Times New Roman"/>
          <w:sz w:val="28"/>
          <w:szCs w:val="28"/>
          <w:lang w:eastAsia="es-MX"/>
        </w:rPr>
        <w:t>, cuando un niño o niña indígena o afrocolombiano se extravíe,</w:t>
      </w:r>
      <w:r w:rsidRPr="007C57D2">
        <w:rPr>
          <w:rFonts w:ascii="Times New Roman" w:hAnsi="Times New Roman"/>
          <w:sz w:val="28"/>
          <w:szCs w:val="28"/>
          <w:lang w:eastAsia="es-MX"/>
        </w:rPr>
        <w:t xml:space="preserve"> podría afectar la operatividad y el carácter urgente de la Alerta. Esto no significa que la implementación del PLE en esos territorio</w:t>
      </w:r>
      <w:r w:rsidRPr="007C57D2">
        <w:rPr>
          <w:rFonts w:ascii="Times New Roman" w:hAnsi="Times New Roman"/>
          <w:sz w:val="28"/>
          <w:szCs w:val="28"/>
          <w:lang w:eastAsia="es-MX"/>
        </w:rPr>
        <w:t>s</w:t>
      </w:r>
      <w:r w:rsidRPr="007C57D2">
        <w:rPr>
          <w:rFonts w:ascii="Times New Roman" w:hAnsi="Times New Roman"/>
          <w:sz w:val="28"/>
          <w:szCs w:val="28"/>
          <w:lang w:eastAsia="es-MX"/>
        </w:rPr>
        <w:t xml:space="preserve"> no deba </w:t>
      </w:r>
      <w:r w:rsidRPr="007C57D2">
        <w:rPr>
          <w:rFonts w:ascii="Times New Roman" w:hAnsi="Times New Roman"/>
          <w:sz w:val="28"/>
          <w:szCs w:val="28"/>
          <w:lang w:eastAsia="es-MX"/>
        </w:rPr>
        <w:t>sujetarse a las condiciones de cada comunidad, de acuerdo con sus usos, costumbres y necesidades específicas</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Po</w:t>
      </w:r>
      <w:r w:rsidRPr="007C57D2">
        <w:rPr>
          <w:rFonts w:ascii="Times New Roman" w:hAnsi="Times New Roman"/>
          <w:sz w:val="28"/>
          <w:szCs w:val="28"/>
          <w:lang w:eastAsia="es-MX"/>
        </w:rPr>
        <w:t xml:space="preserve">r </w:t>
      </w:r>
      <w:r w:rsidRPr="007C57D2">
        <w:rPr>
          <w:rFonts w:ascii="Times New Roman" w:hAnsi="Times New Roman"/>
          <w:sz w:val="28"/>
          <w:szCs w:val="28"/>
          <w:lang w:eastAsia="es-MX"/>
        </w:rPr>
        <w:t>el contrario, aquella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siempre </w:t>
      </w:r>
      <w:r w:rsidRPr="007C57D2">
        <w:rPr>
          <w:rFonts w:ascii="Times New Roman" w:hAnsi="Times New Roman"/>
          <w:sz w:val="28"/>
          <w:szCs w:val="28"/>
          <w:lang w:eastAsia="es-MX"/>
        </w:rPr>
        <w:t>deberá incorporar un enfoque diferencial que garantice el respeto por su diversidad cultural y los derechos de los niños y las niñas que integran esas comunidades.</w:t>
      </w:r>
    </w:p>
    <w:p w:rsidR="00673D7C"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8F3DAB"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8F3DAB"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8F3DAB"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8F3DAB" w:rsidRPr="007C57D2" w:rsidRDefault="007C57D2" w:rsidP="008F3DAB">
      <w:pPr>
        <w:pStyle w:val="Prrafodelista"/>
        <w:tabs>
          <w:tab w:val="left" w:pos="567"/>
        </w:tabs>
        <w:ind w:left="0"/>
        <w:jc w:val="both"/>
        <w:rPr>
          <w:rFonts w:ascii="Times New Roman" w:hAnsi="Times New Roman"/>
          <w:b/>
          <w:bCs/>
          <w:sz w:val="28"/>
          <w:szCs w:val="28"/>
          <w:shd w:val="clear" w:color="auto" w:fill="FFFF00"/>
          <w:lang w:eastAsia="es-ES"/>
        </w:rPr>
      </w:pPr>
    </w:p>
    <w:p w:rsidR="007760F3" w:rsidRPr="007C57D2" w:rsidRDefault="007C57D2" w:rsidP="008F3DAB">
      <w:pPr>
        <w:tabs>
          <w:tab w:val="left" w:pos="360"/>
        </w:tabs>
        <w:spacing w:after="0" w:line="240" w:lineRule="auto"/>
        <w:jc w:val="both"/>
        <w:rPr>
          <w:rFonts w:ascii="Times New Roman" w:hAnsi="Times New Roman"/>
          <w:b/>
          <w:bCs/>
          <w:sz w:val="28"/>
          <w:szCs w:val="28"/>
        </w:rPr>
      </w:pPr>
      <w:r w:rsidRPr="007C57D2">
        <w:rPr>
          <w:rFonts w:ascii="Times New Roman" w:hAnsi="Times New Roman"/>
          <w:b/>
          <w:bCs/>
          <w:sz w:val="28"/>
          <w:szCs w:val="28"/>
        </w:rPr>
        <w:t xml:space="preserve">4.9. El requisito de análisis del impacto fiscal </w:t>
      </w:r>
    </w:p>
    <w:p w:rsidR="007760F3" w:rsidRPr="007C57D2" w:rsidRDefault="007C57D2" w:rsidP="008F3DAB">
      <w:pPr>
        <w:tabs>
          <w:tab w:val="left" w:pos="360"/>
        </w:tabs>
        <w:spacing w:after="0" w:line="240" w:lineRule="auto"/>
        <w:jc w:val="both"/>
        <w:rPr>
          <w:rFonts w:ascii="Times New Roman" w:hAnsi="Times New Roman"/>
          <w:b/>
          <w:bCs/>
          <w:sz w:val="28"/>
          <w:szCs w:val="28"/>
        </w:rPr>
      </w:pPr>
    </w:p>
    <w:p w:rsidR="007760F3" w:rsidRPr="007C57D2" w:rsidRDefault="007C57D2" w:rsidP="008F3DAB">
      <w:pPr>
        <w:pStyle w:val="Prrafodelista"/>
        <w:tabs>
          <w:tab w:val="left" w:pos="360"/>
        </w:tabs>
        <w:ind w:left="0"/>
        <w:jc w:val="both"/>
        <w:rPr>
          <w:rFonts w:ascii="Times New Roman" w:hAnsi="Times New Roman"/>
          <w:b/>
          <w:bCs/>
          <w:sz w:val="28"/>
          <w:szCs w:val="28"/>
        </w:rPr>
      </w:pPr>
      <w:r w:rsidRPr="007C57D2">
        <w:rPr>
          <w:rFonts w:ascii="Times New Roman" w:hAnsi="Times New Roman"/>
          <w:b/>
          <w:bCs/>
          <w:sz w:val="28"/>
          <w:szCs w:val="28"/>
        </w:rPr>
        <w:t>4.9.</w:t>
      </w:r>
      <w:r w:rsidRPr="007C57D2">
        <w:rPr>
          <w:rFonts w:ascii="Times New Roman" w:hAnsi="Times New Roman"/>
          <w:b/>
          <w:bCs/>
          <w:sz w:val="28"/>
          <w:szCs w:val="28"/>
        </w:rPr>
        <w:t>1. El análisis del impacto fiscal. Reiteración de jurisprudencia</w:t>
      </w:r>
    </w:p>
    <w:p w:rsidR="007760F3" w:rsidRPr="007C57D2" w:rsidRDefault="007C57D2" w:rsidP="008F3DAB">
      <w:pPr>
        <w:pStyle w:val="Prrafodelista"/>
        <w:tabs>
          <w:tab w:val="left" w:pos="567"/>
        </w:tabs>
        <w:ind w:left="0"/>
        <w:jc w:val="both"/>
        <w:rPr>
          <w:rFonts w:ascii="Times New Roman" w:hAnsi="Times New Roman"/>
          <w:sz w:val="28"/>
          <w:szCs w:val="28"/>
          <w:lang w:eastAsia="es-MX"/>
        </w:rPr>
      </w:pPr>
    </w:p>
    <w:p w:rsidR="00030338"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rPr>
        <w:t>De conformidad con lo dispuesto en el artículo 7 de la Ley 819 de 2003,</w:t>
      </w:r>
      <w:r w:rsidRPr="007C57D2">
        <w:rPr>
          <w:rFonts w:ascii="Times New Roman" w:hAnsi="Times New Roman"/>
          <w:sz w:val="28"/>
          <w:szCs w:val="28"/>
          <w:lang w:eastAsia="es-MX"/>
        </w:rPr>
        <w:t xml:space="preserve"> el impacto fiscal de los proyectos de ley</w:t>
      </w:r>
      <w:r w:rsidRPr="007C57D2">
        <w:rPr>
          <w:rFonts w:ascii="Times New Roman" w:hAnsi="Times New Roman"/>
          <w:sz w:val="28"/>
          <w:lang w:eastAsia="es-MX"/>
        </w:rPr>
        <w:t xml:space="preserve"> </w:t>
      </w:r>
      <w:r w:rsidRPr="007C57D2">
        <w:rPr>
          <w:rFonts w:ascii="Times New Roman" w:hAnsi="Times New Roman"/>
          <w:sz w:val="28"/>
          <w:szCs w:val="28"/>
          <w:lang w:eastAsia="es-MX"/>
        </w:rPr>
        <w:t>que ordenen gasto u otorguen beneficios tributarios deberá hacerse explícito</w:t>
      </w:r>
      <w:r w:rsidRPr="007C57D2">
        <w:rPr>
          <w:rFonts w:ascii="Times New Roman" w:hAnsi="Times New Roman"/>
          <w:sz w:val="28"/>
          <w:szCs w:val="28"/>
          <w:lang w:eastAsia="es-MX"/>
        </w:rPr>
        <w:t xml:space="preserve"> y ser compatible con el Marco Fiscal de Mediano Plazo (MFMP)</w:t>
      </w:r>
      <w:r w:rsidRPr="007C57D2">
        <w:rPr>
          <w:rStyle w:val="Refdenotaalpie"/>
          <w:rFonts w:ascii="Times New Roman" w:hAnsi="Times New Roman"/>
          <w:sz w:val="28"/>
          <w:szCs w:val="28"/>
          <w:lang w:eastAsia="es-MX"/>
        </w:rPr>
        <w:footnoteReference w:id="219"/>
      </w:r>
      <w:r w:rsidRPr="007C57D2">
        <w:rPr>
          <w:rFonts w:ascii="Times New Roman" w:hAnsi="Times New Roman"/>
          <w:sz w:val="28"/>
          <w:szCs w:val="28"/>
          <w:lang w:eastAsia="es-MX"/>
        </w:rPr>
        <w:t>. Con este propósito, dice la norma, los costos fiscales de la iniciativa y la fuente de ingreso adicional para el financiamiento de dichos costos deberán incluirse expresamente en la exposición</w:t>
      </w:r>
      <w:r w:rsidRPr="007C57D2">
        <w:rPr>
          <w:rFonts w:ascii="Times New Roman" w:hAnsi="Times New Roman"/>
          <w:sz w:val="28"/>
          <w:szCs w:val="28"/>
          <w:lang w:eastAsia="es-MX"/>
        </w:rPr>
        <w:t xml:space="preserve"> de motivos y en las ponencias de trámite. Por su parte, el Ministerio de Hacienda y Crédito Público (MHCP) deberá rendir el concepto respectivo durante el trámite legislativo. Además, en concordancia con el mismo texto, los proyectos de ley de iniciativa </w:t>
      </w:r>
      <w:r w:rsidRPr="007C57D2">
        <w:rPr>
          <w:rFonts w:ascii="Times New Roman" w:hAnsi="Times New Roman"/>
          <w:sz w:val="28"/>
          <w:szCs w:val="28"/>
          <w:lang w:eastAsia="es-MX"/>
        </w:rPr>
        <w:t>gubernamental</w:t>
      </w:r>
      <w:r w:rsidRPr="007C57D2">
        <w:rPr>
          <w:rFonts w:ascii="Times New Roman" w:hAnsi="Times New Roman"/>
          <w:sz w:val="28"/>
        </w:rPr>
        <w:t xml:space="preserve"> </w:t>
      </w:r>
      <w:r w:rsidRPr="007C57D2">
        <w:rPr>
          <w:rFonts w:ascii="Times New Roman" w:hAnsi="Times New Roman"/>
          <w:sz w:val="28"/>
          <w:szCs w:val="28"/>
          <w:lang w:eastAsia="es-MX"/>
        </w:rPr>
        <w:t>que planteen un gasto adicional o una reducción de ingresos deberán contener la correspondiente fuente sustitutiva por aumento del gasto o disminución de los ingresos. Estas proyecciones deberán ser analizadas y aprobadas, también, por el MHC</w:t>
      </w:r>
      <w:r w:rsidRPr="007C57D2">
        <w:rPr>
          <w:rFonts w:ascii="Times New Roman" w:hAnsi="Times New Roman"/>
          <w:sz w:val="28"/>
          <w:szCs w:val="28"/>
          <w:lang w:eastAsia="es-MX"/>
        </w:rPr>
        <w:t>P.</w:t>
      </w:r>
    </w:p>
    <w:p w:rsidR="00030338" w:rsidRPr="007C57D2" w:rsidRDefault="007C57D2" w:rsidP="008F3DAB">
      <w:pPr>
        <w:pStyle w:val="Prrafodelista"/>
        <w:tabs>
          <w:tab w:val="left" w:pos="567"/>
        </w:tabs>
        <w:ind w:left="0"/>
        <w:jc w:val="both"/>
        <w:rPr>
          <w:rFonts w:ascii="Times New Roman" w:hAnsi="Times New Roman"/>
          <w:sz w:val="28"/>
          <w:szCs w:val="28"/>
          <w:lang w:eastAsia="es-MX"/>
        </w:rPr>
      </w:pPr>
    </w:p>
    <w:p w:rsidR="00562DDB"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jurisprudencia ha </w:t>
      </w:r>
      <w:r w:rsidRPr="007C57D2">
        <w:rPr>
          <w:rFonts w:ascii="Times New Roman" w:hAnsi="Times New Roman"/>
          <w:sz w:val="28"/>
          <w:szCs w:val="28"/>
          <w:lang w:eastAsia="es-MX"/>
        </w:rPr>
        <w:t>definido</w:t>
      </w:r>
      <w:r w:rsidRPr="007C57D2">
        <w:rPr>
          <w:rFonts w:ascii="Times New Roman" w:hAnsi="Times New Roman"/>
          <w:sz w:val="28"/>
          <w:szCs w:val="28"/>
          <w:lang w:eastAsia="es-MX"/>
        </w:rPr>
        <w:t xml:space="preserve"> reglas que varían el </w:t>
      </w:r>
      <w:r w:rsidRPr="007C57D2">
        <w:rPr>
          <w:rFonts w:ascii="Times New Roman" w:hAnsi="Times New Roman"/>
          <w:bCs/>
          <w:iCs/>
          <w:sz w:val="28"/>
          <w:szCs w:val="28"/>
        </w:rPr>
        <w:t xml:space="preserve">grado de exigencia que debe aplicar esta </w:t>
      </w:r>
      <w:r w:rsidRPr="007C57D2">
        <w:rPr>
          <w:rFonts w:ascii="Times New Roman" w:hAnsi="Times New Roman"/>
          <w:bCs/>
          <w:iCs/>
          <w:sz w:val="28"/>
          <w:szCs w:val="28"/>
        </w:rPr>
        <w:t>Corporación</w:t>
      </w:r>
      <w:r w:rsidRPr="007C57D2">
        <w:rPr>
          <w:rFonts w:ascii="Times New Roman" w:hAnsi="Times New Roman"/>
          <w:bCs/>
          <w:iCs/>
          <w:sz w:val="28"/>
          <w:szCs w:val="28"/>
        </w:rPr>
        <w:t xml:space="preserve"> para juzgar el cumplimiento de las obligaciones que impone la citada norma, según se trate de proyectos de iniciativa gubernamental, </w:t>
      </w:r>
      <w:r w:rsidRPr="007C57D2">
        <w:rPr>
          <w:rFonts w:ascii="Times New Roman" w:hAnsi="Times New Roman"/>
          <w:bCs/>
          <w:iCs/>
          <w:sz w:val="28"/>
          <w:szCs w:val="28"/>
        </w:rPr>
        <w:t>congresional</w:t>
      </w:r>
      <w:r w:rsidRPr="007C57D2">
        <w:rPr>
          <w:rFonts w:ascii="Times New Roman" w:hAnsi="Times New Roman"/>
          <w:bCs/>
          <w:iCs/>
          <w:sz w:val="28"/>
          <w:szCs w:val="28"/>
        </w:rPr>
        <w:t xml:space="preserve"> o mixta</w:t>
      </w:r>
      <w:r w:rsidRPr="007C57D2">
        <w:rPr>
          <w:rStyle w:val="Refdenotaalpie"/>
          <w:rFonts w:ascii="Times New Roman" w:hAnsi="Times New Roman"/>
          <w:bCs/>
          <w:iCs/>
          <w:sz w:val="28"/>
          <w:szCs w:val="28"/>
        </w:rPr>
        <w:footnoteReference w:id="220"/>
      </w:r>
      <w:r w:rsidRPr="007C57D2">
        <w:rPr>
          <w:rFonts w:ascii="Times New Roman" w:hAnsi="Times New Roman"/>
          <w:bCs/>
          <w:iCs/>
          <w:sz w:val="28"/>
          <w:szCs w:val="28"/>
        </w:rPr>
        <w:t xml:space="preserve">. </w:t>
      </w:r>
      <w:r w:rsidRPr="007C57D2">
        <w:rPr>
          <w:rFonts w:ascii="Times New Roman" w:hAnsi="Times New Roman"/>
          <w:bCs/>
          <w:iCs/>
          <w:sz w:val="28"/>
          <w:szCs w:val="28"/>
        </w:rPr>
        <w:t>Para empezar, conviene precisar</w:t>
      </w:r>
      <w:r w:rsidRPr="007C57D2">
        <w:rPr>
          <w:rFonts w:ascii="Times New Roman" w:hAnsi="Times New Roman"/>
          <w:bCs/>
          <w:iCs/>
          <w:sz w:val="28"/>
          <w:szCs w:val="28"/>
        </w:rPr>
        <w:t xml:space="preserve"> l</w:t>
      </w:r>
      <w:r w:rsidRPr="007C57D2">
        <w:rPr>
          <w:rFonts w:ascii="Times New Roman" w:hAnsi="Times New Roman"/>
          <w:bCs/>
          <w:iCs/>
          <w:sz w:val="28"/>
          <w:szCs w:val="28"/>
        </w:rPr>
        <w:t xml:space="preserve">as reglas generales aplicables a </w:t>
      </w:r>
      <w:r w:rsidRPr="007C57D2">
        <w:rPr>
          <w:rFonts w:ascii="Times New Roman" w:hAnsi="Times New Roman"/>
          <w:sz w:val="28"/>
          <w:szCs w:val="28"/>
          <w:shd w:val="clear" w:color="auto" w:fill="FFFFFF"/>
        </w:rPr>
        <w:t>los tres tipos de iniciativa legislativa</w:t>
      </w:r>
      <w:r w:rsidRPr="007C57D2">
        <w:rPr>
          <w:rStyle w:val="Refdenotaalpie"/>
          <w:rFonts w:ascii="Times New Roman" w:hAnsi="Times New Roman"/>
          <w:sz w:val="28"/>
          <w:szCs w:val="28"/>
          <w:shd w:val="clear" w:color="auto" w:fill="FFFFFF"/>
        </w:rPr>
        <w:footnoteReference w:id="221"/>
      </w:r>
      <w:r w:rsidRPr="007C57D2">
        <w:rPr>
          <w:rFonts w:ascii="Times New Roman" w:hAnsi="Times New Roman"/>
          <w:sz w:val="28"/>
          <w:szCs w:val="28"/>
          <w:shd w:val="clear" w:color="auto" w:fill="FFFFFF"/>
        </w:rPr>
        <w:t xml:space="preserve">: </w:t>
      </w:r>
      <w:r w:rsidRPr="007C57D2">
        <w:rPr>
          <w:rFonts w:ascii="Times New Roman" w:hAnsi="Times New Roman"/>
          <w:bCs/>
          <w:iCs/>
          <w:sz w:val="28"/>
          <w:szCs w:val="28"/>
        </w:rPr>
        <w:t>primera,</w:t>
      </w:r>
      <w:r w:rsidRPr="007C57D2">
        <w:rPr>
          <w:rFonts w:ascii="Times New Roman" w:hAnsi="Times New Roman"/>
          <w:bCs/>
          <w:iCs/>
          <w:sz w:val="28"/>
          <w:szCs w:val="28"/>
        </w:rPr>
        <w:t xml:space="preserve"> </w:t>
      </w:r>
      <w:r w:rsidRPr="007C57D2">
        <w:rPr>
          <w:rFonts w:ascii="Times New Roman" w:hAnsi="Times New Roman"/>
          <w:sz w:val="28"/>
          <w:szCs w:val="28"/>
          <w:lang w:eastAsia="es-MX"/>
        </w:rPr>
        <w:t>el análisis del impacto fiscal es exigible a todos los proyectos de ley</w:t>
      </w:r>
      <w:r w:rsidRPr="007C57D2">
        <w:rPr>
          <w:rFonts w:ascii="Times New Roman" w:hAnsi="Times New Roman"/>
          <w:sz w:val="28"/>
          <w:szCs w:val="28"/>
          <w:shd w:val="clear" w:color="auto" w:fill="FFFFFF"/>
        </w:rPr>
        <w:t xml:space="preserve"> que prevean una orden de gasto o un beneficio tributari</w:t>
      </w:r>
      <w:r w:rsidRPr="007C57D2">
        <w:rPr>
          <w:rFonts w:ascii="Times New Roman" w:hAnsi="Times New Roman"/>
          <w:sz w:val="28"/>
          <w:szCs w:val="28"/>
          <w:shd w:val="clear" w:color="auto" w:fill="FFFFFF"/>
        </w:rPr>
        <w:t>o —este mandato</w:t>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será desarrollado con más detalle en páginas posteriores—; </w:t>
      </w:r>
      <w:r w:rsidRPr="007C57D2">
        <w:rPr>
          <w:rFonts w:ascii="Times New Roman" w:hAnsi="Times New Roman"/>
          <w:sz w:val="28"/>
          <w:szCs w:val="28"/>
          <w:shd w:val="clear" w:color="auto" w:fill="FFFFFF"/>
        </w:rPr>
        <w:t>segunda,</w:t>
      </w:r>
      <w:r w:rsidRPr="007C57D2">
        <w:rPr>
          <w:rFonts w:ascii="Times New Roman" w:hAnsi="Times New Roman"/>
          <w:sz w:val="28"/>
          <w:szCs w:val="28"/>
          <w:shd w:val="clear" w:color="auto" w:fill="FFFFFF"/>
        </w:rPr>
        <w:t xml:space="preserve"> este análisis debe cumplir dos condiciones mínimas: ser explícito y ser compatible con el MFMP; </w:t>
      </w:r>
      <w:r w:rsidRPr="007C57D2">
        <w:rPr>
          <w:rFonts w:ascii="Times New Roman" w:hAnsi="Times New Roman"/>
          <w:sz w:val="28"/>
          <w:szCs w:val="28"/>
          <w:shd w:val="clear" w:color="auto" w:fill="FFFFFF"/>
        </w:rPr>
        <w:t>tercera,</w:t>
      </w:r>
      <w:r w:rsidRPr="007C57D2">
        <w:rPr>
          <w:rFonts w:ascii="Times New Roman" w:hAnsi="Times New Roman"/>
          <w:sz w:val="28"/>
          <w:szCs w:val="28"/>
        </w:rPr>
        <w:t xml:space="preserve"> el MHCP </w:t>
      </w:r>
      <w:r w:rsidRPr="007C57D2">
        <w:rPr>
          <w:rFonts w:ascii="Times New Roman" w:hAnsi="Times New Roman"/>
          <w:sz w:val="28"/>
          <w:szCs w:val="28"/>
        </w:rPr>
        <w:t>debe</w:t>
      </w:r>
      <w:r w:rsidRPr="007C57D2">
        <w:rPr>
          <w:rFonts w:ascii="Times New Roman" w:hAnsi="Times New Roman"/>
          <w:sz w:val="28"/>
          <w:szCs w:val="28"/>
        </w:rPr>
        <w:t xml:space="preserve"> rendir </w:t>
      </w:r>
      <w:r w:rsidRPr="007C57D2">
        <w:rPr>
          <w:rFonts w:ascii="Times New Roman" w:hAnsi="Times New Roman"/>
          <w:sz w:val="28"/>
          <w:szCs w:val="28"/>
        </w:rPr>
        <w:t xml:space="preserve">oportunamente </w:t>
      </w:r>
      <w:r w:rsidRPr="007C57D2">
        <w:rPr>
          <w:rFonts w:ascii="Times New Roman" w:hAnsi="Times New Roman"/>
          <w:sz w:val="28"/>
          <w:szCs w:val="28"/>
        </w:rPr>
        <w:t xml:space="preserve">un concepto sobre la consistencia del análisis de los costos fiscales de la iniciativa; </w:t>
      </w:r>
      <w:r w:rsidRPr="007C57D2">
        <w:rPr>
          <w:rFonts w:ascii="Times New Roman" w:hAnsi="Times New Roman"/>
          <w:sz w:val="28"/>
          <w:szCs w:val="28"/>
        </w:rPr>
        <w:t xml:space="preserve">y </w:t>
      </w:r>
      <w:r w:rsidRPr="007C57D2">
        <w:rPr>
          <w:rFonts w:ascii="Times New Roman" w:hAnsi="Times New Roman"/>
          <w:sz w:val="28"/>
          <w:szCs w:val="28"/>
        </w:rPr>
        <w:t>cuarta,</w:t>
      </w:r>
      <w:r w:rsidRPr="007C57D2">
        <w:rPr>
          <w:rFonts w:ascii="Times New Roman" w:hAnsi="Times New Roman"/>
          <w:sz w:val="28"/>
          <w:szCs w:val="28"/>
        </w:rPr>
        <w:t xml:space="preserve"> e</w:t>
      </w:r>
      <w:r w:rsidRPr="007C57D2">
        <w:rPr>
          <w:rFonts w:ascii="Times New Roman" w:hAnsi="Times New Roman"/>
          <w:bCs/>
          <w:sz w:val="28"/>
          <w:szCs w:val="28"/>
          <w:shd w:val="clear" w:color="auto" w:fill="FFFFFF"/>
        </w:rPr>
        <w:t>l Congreso deberá estudiar y discutir el concepto del MHCP con el fin de admitirlo o rechazarlo</w:t>
      </w:r>
      <w:r w:rsidRPr="007C57D2">
        <w:rPr>
          <w:rFonts w:ascii="Times New Roman" w:hAnsi="Times New Roman"/>
          <w:bCs/>
          <w:sz w:val="28"/>
          <w:szCs w:val="28"/>
          <w:shd w:val="clear" w:color="auto" w:fill="FFFFFF"/>
        </w:rPr>
        <w:t>.</w:t>
      </w:r>
      <w:r w:rsidRPr="007C57D2">
        <w:rPr>
          <w:rFonts w:ascii="Times New Roman" w:hAnsi="Times New Roman"/>
          <w:bCs/>
          <w:sz w:val="28"/>
          <w:szCs w:val="28"/>
          <w:shd w:val="clear" w:color="auto" w:fill="FFFFFF"/>
        </w:rPr>
        <w:t xml:space="preserve"> </w:t>
      </w:r>
    </w:p>
    <w:p w:rsidR="00562DDB" w:rsidRPr="007C57D2" w:rsidRDefault="007C57D2" w:rsidP="008F3DAB">
      <w:pPr>
        <w:pStyle w:val="Prrafodelista"/>
        <w:tabs>
          <w:tab w:val="left" w:pos="567"/>
        </w:tabs>
        <w:ind w:left="0"/>
        <w:jc w:val="both"/>
        <w:rPr>
          <w:rFonts w:ascii="Times New Roman" w:hAnsi="Times New Roman"/>
          <w:sz w:val="28"/>
          <w:szCs w:val="28"/>
          <w:lang w:eastAsia="es-MX"/>
        </w:rPr>
      </w:pPr>
    </w:p>
    <w:p w:rsidR="007944B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bCs/>
          <w:iCs/>
          <w:sz w:val="28"/>
          <w:szCs w:val="28"/>
        </w:rPr>
        <w:t>Ahora bien, d</w:t>
      </w:r>
      <w:r w:rsidRPr="007C57D2">
        <w:rPr>
          <w:rFonts w:ascii="Times New Roman" w:hAnsi="Times New Roman"/>
          <w:bCs/>
          <w:iCs/>
          <w:sz w:val="28"/>
          <w:szCs w:val="28"/>
        </w:rPr>
        <w:t xml:space="preserve">ado que el PLE </w:t>
      </w:r>
      <w:r w:rsidRPr="007C57D2">
        <w:rPr>
          <w:rFonts w:ascii="Times New Roman" w:hAnsi="Times New Roman"/>
          <w:bCs/>
          <w:iCs/>
          <w:sz w:val="28"/>
          <w:szCs w:val="28"/>
        </w:rPr>
        <w:t xml:space="preserve">es una iniciativa congresional, </w:t>
      </w:r>
      <w:r w:rsidRPr="007C57D2">
        <w:rPr>
          <w:rFonts w:ascii="Times New Roman" w:hAnsi="Times New Roman"/>
          <w:bCs/>
          <w:iCs/>
          <w:sz w:val="28"/>
          <w:szCs w:val="28"/>
        </w:rPr>
        <w:t xml:space="preserve">resulta del caso </w:t>
      </w:r>
      <w:r w:rsidRPr="007C57D2">
        <w:rPr>
          <w:rFonts w:ascii="Times New Roman" w:hAnsi="Times New Roman"/>
          <w:bCs/>
          <w:iCs/>
          <w:sz w:val="28"/>
          <w:szCs w:val="28"/>
        </w:rPr>
        <w:t xml:space="preserve">reiterar </w:t>
      </w:r>
      <w:r w:rsidRPr="007C57D2">
        <w:rPr>
          <w:rFonts w:ascii="Times New Roman" w:hAnsi="Times New Roman"/>
          <w:bCs/>
          <w:iCs/>
          <w:sz w:val="28"/>
          <w:szCs w:val="28"/>
        </w:rPr>
        <w:t xml:space="preserve">que </w:t>
      </w:r>
      <w:r w:rsidRPr="007C57D2">
        <w:rPr>
          <w:rFonts w:ascii="Times New Roman" w:hAnsi="Times New Roman"/>
          <w:bCs/>
          <w:iCs/>
          <w:sz w:val="28"/>
          <w:szCs w:val="28"/>
        </w:rPr>
        <w:t>las reglas aplicables, en materia del requisito de análisis de impacto fiscal, a ese tipo de iniciativas legislativas</w:t>
      </w:r>
      <w:r w:rsidRPr="007C57D2">
        <w:rPr>
          <w:rFonts w:ascii="Times New Roman" w:hAnsi="Times New Roman"/>
          <w:bCs/>
          <w:iCs/>
          <w:sz w:val="28"/>
          <w:szCs w:val="28"/>
        </w:rPr>
        <w:t xml:space="preserve"> </w:t>
      </w:r>
      <w:r w:rsidRPr="007C57D2">
        <w:rPr>
          <w:rFonts w:ascii="Times New Roman" w:hAnsi="Times New Roman"/>
          <w:bCs/>
          <w:iCs/>
          <w:sz w:val="28"/>
          <w:szCs w:val="28"/>
        </w:rPr>
        <w:t>son las siguientes</w:t>
      </w:r>
      <w:r w:rsidRPr="007C57D2">
        <w:rPr>
          <w:rStyle w:val="Refdenotaalpie"/>
          <w:rFonts w:ascii="Times New Roman" w:hAnsi="Times New Roman"/>
          <w:sz w:val="28"/>
          <w:szCs w:val="28"/>
          <w:shd w:val="clear" w:color="auto" w:fill="FFFFFF"/>
        </w:rPr>
        <w:footnoteReference w:id="222"/>
      </w:r>
      <w:r w:rsidRPr="007C57D2">
        <w:rPr>
          <w:rFonts w:ascii="Times New Roman" w:hAnsi="Times New Roman"/>
          <w:bCs/>
          <w:iCs/>
          <w:sz w:val="28"/>
          <w:szCs w:val="28"/>
        </w:rPr>
        <w:t xml:space="preserve">: </w:t>
      </w:r>
      <w:r w:rsidRPr="007C57D2">
        <w:rPr>
          <w:rFonts w:ascii="Times New Roman" w:hAnsi="Times New Roman"/>
          <w:bCs/>
          <w:iCs/>
          <w:sz w:val="28"/>
          <w:szCs w:val="28"/>
        </w:rPr>
        <w:t>(i) los congresistas están obligados a incluir en la ex</w:t>
      </w:r>
      <w:r w:rsidRPr="007C57D2">
        <w:rPr>
          <w:rFonts w:ascii="Times New Roman" w:hAnsi="Times New Roman"/>
          <w:bCs/>
          <w:iCs/>
          <w:sz w:val="28"/>
          <w:szCs w:val="28"/>
        </w:rPr>
        <w:t>posición de motivos y en las ponencias de trámite los costos fiscales de sus iniciativas y las posibles fuentes para su financiamiento; (ii) la obligación de Congreso en esta materia “</w:t>
      </w:r>
      <w:r w:rsidRPr="007C57D2">
        <w:rPr>
          <w:rFonts w:ascii="Times New Roman" w:hAnsi="Times New Roman"/>
          <w:sz w:val="28"/>
          <w:szCs w:val="28"/>
          <w:shd w:val="clear" w:color="auto" w:fill="FFFFFF"/>
        </w:rPr>
        <w:t>no exige un análisis detallado o exhaustivo del costo fiscal y de las fu</w:t>
      </w:r>
      <w:r w:rsidRPr="007C57D2">
        <w:rPr>
          <w:rFonts w:ascii="Times New Roman" w:hAnsi="Times New Roman"/>
          <w:sz w:val="28"/>
          <w:szCs w:val="28"/>
          <w:shd w:val="clear" w:color="auto" w:fill="FFFFFF"/>
        </w:rPr>
        <w:t>entes de financiamiento, aunque sí demanda una mínima consideración al respecto, de modo que sea posible establecer los referentes básicos para analizar los efectos fiscales”</w:t>
      </w:r>
      <w:r w:rsidRPr="007C57D2">
        <w:rPr>
          <w:rStyle w:val="Refdenotaalpie"/>
          <w:rFonts w:ascii="Times New Roman" w:hAnsi="Times New Roman"/>
          <w:sz w:val="28"/>
          <w:szCs w:val="28"/>
          <w:shd w:val="clear" w:color="auto" w:fill="FFFFFF"/>
        </w:rPr>
        <w:footnoteReference w:id="223"/>
      </w:r>
      <w:r w:rsidRPr="007C57D2">
        <w:rPr>
          <w:rFonts w:ascii="Times New Roman" w:hAnsi="Times New Roman"/>
          <w:sz w:val="28"/>
          <w:szCs w:val="28"/>
          <w:shd w:val="clear" w:color="auto" w:fill="FFFFFF"/>
        </w:rPr>
        <w:t>; (i</w:t>
      </w:r>
      <w:r w:rsidRPr="007C57D2">
        <w:rPr>
          <w:rFonts w:ascii="Times New Roman" w:hAnsi="Times New Roman"/>
          <w:sz w:val="28"/>
          <w:szCs w:val="28"/>
          <w:shd w:val="clear" w:color="auto" w:fill="FFFFFF"/>
        </w:rPr>
        <w:t>ii</w:t>
      </w:r>
      <w:r w:rsidRPr="007C57D2">
        <w:rPr>
          <w:rFonts w:ascii="Times New Roman" w:hAnsi="Times New Roman"/>
          <w:sz w:val="28"/>
          <w:szCs w:val="28"/>
          <w:shd w:val="clear" w:color="auto" w:fill="FFFFFF"/>
        </w:rPr>
        <w:t xml:space="preserve">) “la carga principal se encuentra radicada en el MHCP por sus </w:t>
      </w:r>
      <w:r w:rsidRPr="007C57D2">
        <w:rPr>
          <w:rFonts w:ascii="Times New Roman" w:hAnsi="Times New Roman"/>
          <w:sz w:val="28"/>
          <w:szCs w:val="28"/>
          <w:shd w:val="clear" w:color="auto" w:fill="FFFFFF"/>
        </w:rPr>
        <w:t>conocimientos técnicos y por su condición de principal ejecutor del gasto público”</w:t>
      </w:r>
      <w:r w:rsidRPr="007C57D2">
        <w:rPr>
          <w:rStyle w:val="Refdenotaalpie"/>
          <w:rFonts w:ascii="Times New Roman" w:hAnsi="Times New Roman"/>
          <w:sz w:val="28"/>
          <w:szCs w:val="28"/>
          <w:shd w:val="clear" w:color="auto" w:fill="FFFFFF"/>
        </w:rPr>
        <w:footnoteReference w:id="224"/>
      </w:r>
      <w:r w:rsidRPr="007C57D2">
        <w:rPr>
          <w:rFonts w:ascii="Times New Roman" w:hAnsi="Times New Roman"/>
          <w:sz w:val="28"/>
          <w:szCs w:val="28"/>
          <w:shd w:val="clear" w:color="auto" w:fill="FFFFFF"/>
        </w:rPr>
        <w:t>; y (</w:t>
      </w:r>
      <w:r w:rsidRPr="007C57D2">
        <w:rPr>
          <w:rFonts w:ascii="Times New Roman" w:hAnsi="Times New Roman"/>
          <w:sz w:val="28"/>
          <w:szCs w:val="28"/>
          <w:shd w:val="clear" w:color="auto" w:fill="FFFFFF"/>
        </w:rPr>
        <w:t>i</w:t>
      </w:r>
      <w:r w:rsidRPr="007C57D2">
        <w:rPr>
          <w:rFonts w:ascii="Times New Roman" w:hAnsi="Times New Roman"/>
          <w:sz w:val="28"/>
          <w:szCs w:val="28"/>
          <w:shd w:val="clear" w:color="auto" w:fill="FFFFFF"/>
        </w:rPr>
        <w:t xml:space="preserve">v) el incumplimiento del </w:t>
      </w:r>
      <w:r w:rsidRPr="007C57D2">
        <w:rPr>
          <w:rFonts w:ascii="Times New Roman" w:hAnsi="Times New Roman"/>
          <w:sz w:val="28"/>
          <w:szCs w:val="28"/>
          <w:shd w:val="clear" w:color="auto" w:fill="FFFFFF"/>
        </w:rPr>
        <w:t>MHCP</w:t>
      </w:r>
      <w:r w:rsidRPr="007C57D2">
        <w:rPr>
          <w:rFonts w:ascii="Times New Roman" w:hAnsi="Times New Roman"/>
          <w:sz w:val="28"/>
          <w:szCs w:val="28"/>
          <w:shd w:val="clear" w:color="auto" w:fill="FFFFFF"/>
        </w:rPr>
        <w:t xml:space="preserve"> de rendir concepto</w:t>
      </w:r>
      <w:r w:rsidRPr="007C57D2">
        <w:rPr>
          <w:rFonts w:ascii="Times New Roman" w:hAnsi="Times New Roman"/>
          <w:sz w:val="28"/>
          <w:szCs w:val="28"/>
          <w:shd w:val="clear" w:color="auto" w:fill="FFFFFF"/>
        </w:rPr>
        <w:t xml:space="preserve"> y el silencio u oposición del Gobierno a la iniciativa</w:t>
      </w:r>
      <w:r w:rsidRPr="007C57D2">
        <w:rPr>
          <w:rFonts w:ascii="Times New Roman" w:hAnsi="Times New Roman"/>
          <w:sz w:val="28"/>
          <w:szCs w:val="28"/>
          <w:shd w:val="clear" w:color="auto" w:fill="FFFFFF"/>
        </w:rPr>
        <w:t xml:space="preserve"> no afecta</w:t>
      </w:r>
      <w:r w:rsidRPr="007C57D2">
        <w:rPr>
          <w:rFonts w:ascii="Times New Roman" w:hAnsi="Times New Roman"/>
          <w:sz w:val="28"/>
          <w:szCs w:val="28"/>
          <w:shd w:val="clear" w:color="auto" w:fill="FFFFFF"/>
        </w:rPr>
        <w:t>n</w:t>
      </w:r>
      <w:r w:rsidRPr="007C57D2">
        <w:rPr>
          <w:rFonts w:ascii="Times New Roman" w:hAnsi="Times New Roman"/>
          <w:sz w:val="28"/>
          <w:szCs w:val="28"/>
          <w:shd w:val="clear" w:color="auto" w:fill="FFFFFF"/>
        </w:rPr>
        <w:t xml:space="preserve"> la decisión del Congreso cuando este ha cumplido su </w:t>
      </w:r>
      <w:r w:rsidRPr="007C57D2">
        <w:rPr>
          <w:rFonts w:ascii="Times New Roman" w:hAnsi="Times New Roman"/>
          <w:sz w:val="28"/>
          <w:szCs w:val="28"/>
          <w:shd w:val="clear" w:color="auto" w:fill="FFFFFF"/>
        </w:rPr>
        <w:t>deber</w:t>
      </w:r>
      <w:r w:rsidRPr="007C57D2">
        <w:rPr>
          <w:rStyle w:val="Refdenotaalpie"/>
          <w:rFonts w:ascii="Times New Roman" w:hAnsi="Times New Roman"/>
          <w:sz w:val="28"/>
          <w:szCs w:val="28"/>
          <w:shd w:val="clear" w:color="auto" w:fill="FFFFFF"/>
        </w:rPr>
        <w:footnoteReference w:id="225"/>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 xml:space="preserve"> </w:t>
      </w:r>
    </w:p>
    <w:p w:rsidR="00BC0634" w:rsidRPr="007C57D2" w:rsidRDefault="007C57D2" w:rsidP="008F3DAB">
      <w:pPr>
        <w:pStyle w:val="Prrafodelista"/>
        <w:tabs>
          <w:tab w:val="left" w:pos="567"/>
        </w:tabs>
        <w:ind w:left="0"/>
        <w:jc w:val="both"/>
        <w:rPr>
          <w:rFonts w:ascii="Times New Roman" w:hAnsi="Times New Roman"/>
          <w:sz w:val="28"/>
          <w:szCs w:val="28"/>
          <w:lang w:eastAsia="es-MX"/>
        </w:rPr>
      </w:pPr>
    </w:p>
    <w:p w:rsidR="00387C4B"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Ahora bien, respecto del </w:t>
      </w:r>
      <w:r w:rsidRPr="007C57D2">
        <w:rPr>
          <w:rFonts w:ascii="Times New Roman" w:hAnsi="Times New Roman"/>
          <w:sz w:val="28"/>
          <w:szCs w:val="28"/>
          <w:shd w:val="clear" w:color="auto" w:fill="FFFFFF"/>
        </w:rPr>
        <w:t xml:space="preserve">primer </w:t>
      </w:r>
      <w:r w:rsidRPr="007C57D2">
        <w:rPr>
          <w:rFonts w:ascii="Times New Roman" w:hAnsi="Times New Roman"/>
          <w:sz w:val="28"/>
          <w:szCs w:val="28"/>
          <w:shd w:val="clear" w:color="auto" w:fill="FFFFFF"/>
        </w:rPr>
        <w:t xml:space="preserve">requisito general </w:t>
      </w:r>
      <w:r w:rsidRPr="007C57D2">
        <w:rPr>
          <w:rFonts w:ascii="Times New Roman" w:hAnsi="Times New Roman"/>
          <w:sz w:val="28"/>
          <w:szCs w:val="28"/>
          <w:shd w:val="clear" w:color="auto" w:fill="FFFFFF"/>
        </w:rPr>
        <w:t xml:space="preserve">aplicable a los tres tipos de iniciativas legislativas, la Sala Plena ha </w:t>
      </w:r>
      <w:r w:rsidRPr="007C57D2">
        <w:rPr>
          <w:rFonts w:ascii="Times New Roman" w:hAnsi="Times New Roman"/>
          <w:sz w:val="28"/>
          <w:szCs w:val="28"/>
          <w:shd w:val="clear" w:color="auto" w:fill="FFFFFF"/>
        </w:rPr>
        <w:t>precisado</w:t>
      </w:r>
      <w:r w:rsidRPr="007C57D2">
        <w:rPr>
          <w:rFonts w:ascii="Times New Roman" w:hAnsi="Times New Roman"/>
          <w:sz w:val="28"/>
          <w:szCs w:val="28"/>
          <w:shd w:val="clear" w:color="auto" w:fill="FFFFFF"/>
        </w:rPr>
        <w:t xml:space="preserve"> los conceptos de “beneficio tributario” y “orden de gasto”</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Sobre el particular</w:t>
      </w:r>
      <w:r w:rsidRPr="007C57D2">
        <w:rPr>
          <w:rFonts w:ascii="Times New Roman" w:hAnsi="Times New Roman"/>
          <w:sz w:val="28"/>
          <w:szCs w:val="28"/>
          <w:lang w:eastAsia="es-MX"/>
        </w:rPr>
        <w:t xml:space="preserve">, </w:t>
      </w:r>
      <w:r w:rsidRPr="007C57D2">
        <w:rPr>
          <w:rFonts w:ascii="Times New Roman" w:hAnsi="Times New Roman"/>
          <w:sz w:val="28"/>
          <w:szCs w:val="28"/>
          <w:shd w:val="clear" w:color="auto" w:fill="FFFFFF"/>
        </w:rPr>
        <w:t xml:space="preserve">la Sala Plena ha </w:t>
      </w:r>
      <w:r w:rsidRPr="007C57D2">
        <w:rPr>
          <w:rFonts w:ascii="Times New Roman" w:hAnsi="Times New Roman"/>
          <w:sz w:val="28"/>
          <w:szCs w:val="28"/>
          <w:shd w:val="clear" w:color="auto" w:fill="FFFFFF"/>
        </w:rPr>
        <w:t>afirmado</w:t>
      </w:r>
      <w:r w:rsidRPr="007C57D2">
        <w:rPr>
          <w:rFonts w:ascii="Times New Roman" w:hAnsi="Times New Roman"/>
          <w:sz w:val="28"/>
          <w:szCs w:val="28"/>
          <w:shd w:val="clear" w:color="auto" w:fill="FFFFFF"/>
        </w:rPr>
        <w:t xml:space="preserve"> que, “[p]ara que una determinada disposición se pueda considerar como un beneficio tributario, debe tener esencialmente el propósito de colocar al sujeto o actividad destinataria de la misma en una situación preferencial o de privilegio, con fines esencia</w:t>
      </w:r>
      <w:r w:rsidRPr="007C57D2">
        <w:rPr>
          <w:rFonts w:ascii="Times New Roman" w:hAnsi="Times New Roman"/>
          <w:sz w:val="28"/>
          <w:szCs w:val="28"/>
          <w:shd w:val="clear" w:color="auto" w:fill="FFFFFF"/>
        </w:rPr>
        <w:t>lmente extrafiscales”</w:t>
      </w:r>
      <w:r w:rsidRPr="007C57D2">
        <w:rPr>
          <w:rStyle w:val="Refdenotaalpie"/>
          <w:rFonts w:ascii="Times New Roman" w:hAnsi="Times New Roman"/>
          <w:sz w:val="28"/>
          <w:szCs w:val="28"/>
          <w:shd w:val="clear" w:color="auto" w:fill="FFFFFF"/>
        </w:rPr>
        <w:footnoteReference w:id="226"/>
      </w:r>
      <w:r w:rsidRPr="007C57D2">
        <w:rPr>
          <w:rFonts w:ascii="Times New Roman" w:hAnsi="Times New Roman"/>
          <w:sz w:val="28"/>
          <w:szCs w:val="28"/>
          <w:shd w:val="clear" w:color="auto" w:fill="FFFFFF"/>
        </w:rPr>
        <w:t xml:space="preserve">. Por otro lado, </w:t>
      </w:r>
      <w:r w:rsidRPr="007C57D2">
        <w:rPr>
          <w:rFonts w:ascii="Times New Roman" w:hAnsi="Times New Roman"/>
          <w:sz w:val="28"/>
          <w:szCs w:val="28"/>
          <w:shd w:val="clear" w:color="auto" w:fill="FFFFFF"/>
        </w:rPr>
        <w:t xml:space="preserve">frente al segundo, la Corte ha considerado que </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lang w:val="es-ES"/>
        </w:rPr>
        <w:t>una ley ordena un gasto cuando en ella hay un mandato imperativo de gasto que obre como título jurídico suficiente y obligatorio para incluir una partida en la ley de pr</w:t>
      </w:r>
      <w:r w:rsidRPr="007C57D2">
        <w:rPr>
          <w:rFonts w:ascii="Times New Roman" w:hAnsi="Times New Roman"/>
          <w:sz w:val="28"/>
          <w:szCs w:val="28"/>
          <w:shd w:val="clear" w:color="auto" w:fill="FFFFFF"/>
          <w:lang w:val="es-ES"/>
        </w:rPr>
        <w:t>esupuesto”</w:t>
      </w:r>
      <w:r w:rsidRPr="007C57D2">
        <w:rPr>
          <w:rStyle w:val="Refdenotaalpie"/>
          <w:rFonts w:ascii="Times New Roman" w:hAnsi="Times New Roman"/>
          <w:sz w:val="28"/>
          <w:szCs w:val="28"/>
          <w:shd w:val="clear" w:color="auto" w:fill="FFFFFF"/>
          <w:lang w:val="es-ES"/>
        </w:rPr>
        <w:footnoteReference w:id="227"/>
      </w:r>
      <w:r w:rsidRPr="007C57D2">
        <w:rPr>
          <w:rFonts w:ascii="Times New Roman" w:hAnsi="Times New Roman"/>
          <w:sz w:val="28"/>
          <w:szCs w:val="28"/>
          <w:shd w:val="clear" w:color="auto" w:fill="FFFFFF"/>
          <w:lang w:val="es-ES"/>
        </w:rPr>
        <w:t>.</w:t>
      </w:r>
      <w:r w:rsidRPr="007C57D2">
        <w:rPr>
          <w:rFonts w:ascii="Times New Roman" w:hAnsi="Times New Roman"/>
          <w:sz w:val="28"/>
          <w:szCs w:val="28"/>
          <w:shd w:val="clear" w:color="auto" w:fill="FFFFFF"/>
          <w:lang w:val="es-ES"/>
        </w:rPr>
        <w:t xml:space="preserve"> </w:t>
      </w:r>
    </w:p>
    <w:p w:rsidR="00387C4B" w:rsidRPr="007C57D2" w:rsidRDefault="007C57D2" w:rsidP="008F3DAB">
      <w:pPr>
        <w:pStyle w:val="Prrafodelista"/>
        <w:tabs>
          <w:tab w:val="left" w:pos="567"/>
        </w:tabs>
        <w:ind w:left="0"/>
        <w:jc w:val="both"/>
        <w:rPr>
          <w:rFonts w:ascii="Times New Roman" w:hAnsi="Times New Roman"/>
          <w:sz w:val="28"/>
          <w:szCs w:val="28"/>
          <w:lang w:eastAsia="es-MX"/>
        </w:rPr>
      </w:pPr>
    </w:p>
    <w:p w:rsidR="00D44F7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shd w:val="clear" w:color="auto" w:fill="FFFFFF"/>
          <w:lang w:val="es-ES"/>
        </w:rPr>
        <w:t xml:space="preserve">Para determinar si el PLE debía cumplir el requisito de análisis de impacto fiscal, </w:t>
      </w:r>
      <w:r w:rsidRPr="007C57D2">
        <w:rPr>
          <w:rFonts w:ascii="Times New Roman" w:hAnsi="Times New Roman"/>
          <w:sz w:val="28"/>
          <w:szCs w:val="28"/>
          <w:shd w:val="clear" w:color="auto" w:fill="FFFFFF"/>
          <w:lang w:val="es-ES"/>
        </w:rPr>
        <w:t>a continuación, la Corte profundizará en la noción “orden de gasto”</w:t>
      </w:r>
      <w:r w:rsidRPr="007C57D2">
        <w:rPr>
          <w:rFonts w:ascii="Times New Roman" w:hAnsi="Times New Roman"/>
          <w:sz w:val="28"/>
          <w:szCs w:val="28"/>
          <w:shd w:val="clear" w:color="auto" w:fill="FFFFFF"/>
          <w:lang w:val="es-ES"/>
        </w:rPr>
        <w:t>. Con este propósito reiterará</w:t>
      </w:r>
      <w:r w:rsidRPr="007C57D2">
        <w:rPr>
          <w:rFonts w:ascii="Times New Roman" w:hAnsi="Times New Roman"/>
          <w:sz w:val="28"/>
          <w:szCs w:val="28"/>
          <w:shd w:val="clear" w:color="auto" w:fill="FFFFFF"/>
          <w:lang w:val="es-ES"/>
        </w:rPr>
        <w:t xml:space="preserve"> dos sentencias recientes que sistematizan </w:t>
      </w:r>
      <w:r w:rsidRPr="007C57D2">
        <w:rPr>
          <w:rFonts w:ascii="Times New Roman" w:hAnsi="Times New Roman"/>
          <w:sz w:val="28"/>
          <w:szCs w:val="28"/>
          <w:shd w:val="clear" w:color="auto" w:fill="FFFFFF"/>
          <w:lang w:val="es-ES"/>
        </w:rPr>
        <w:t xml:space="preserve">y contienen </w:t>
      </w:r>
      <w:r w:rsidRPr="007C57D2">
        <w:rPr>
          <w:rFonts w:ascii="Times New Roman" w:hAnsi="Times New Roman"/>
          <w:sz w:val="28"/>
          <w:szCs w:val="28"/>
          <w:shd w:val="clear" w:color="auto" w:fill="FFFFFF"/>
          <w:lang w:val="es-ES"/>
        </w:rPr>
        <w:t xml:space="preserve">la </w:t>
      </w:r>
      <w:r w:rsidRPr="007C57D2">
        <w:rPr>
          <w:rFonts w:ascii="Times New Roman" w:hAnsi="Times New Roman"/>
          <w:sz w:val="28"/>
          <w:szCs w:val="28"/>
          <w:shd w:val="clear" w:color="auto" w:fill="FFFFFF"/>
          <w:lang w:val="es-ES"/>
        </w:rPr>
        <w:t>jurisprudencia en vigor</w:t>
      </w:r>
      <w:r w:rsidRPr="007C57D2">
        <w:rPr>
          <w:rFonts w:ascii="Times New Roman" w:hAnsi="Times New Roman"/>
          <w:sz w:val="28"/>
          <w:szCs w:val="28"/>
          <w:shd w:val="clear" w:color="auto" w:fill="FFFFFF"/>
          <w:lang w:val="es-ES"/>
        </w:rPr>
        <w:t xml:space="preserve"> sobre esta materia</w:t>
      </w:r>
      <w:r w:rsidRPr="007C57D2">
        <w:rPr>
          <w:rFonts w:ascii="Times New Roman" w:hAnsi="Times New Roman"/>
          <w:sz w:val="28"/>
          <w:szCs w:val="28"/>
          <w:shd w:val="clear" w:color="auto" w:fill="FFFFFF"/>
          <w:lang w:val="es-ES"/>
        </w:rPr>
        <w:t>. Est</w:t>
      </w:r>
      <w:r w:rsidRPr="007C57D2">
        <w:rPr>
          <w:rFonts w:ascii="Times New Roman" w:hAnsi="Times New Roman"/>
          <w:sz w:val="28"/>
          <w:szCs w:val="28"/>
          <w:shd w:val="clear" w:color="auto" w:fill="FFFFFF"/>
          <w:lang w:val="es-ES"/>
        </w:rPr>
        <w:t>a delimitación del análisis</w:t>
      </w:r>
      <w:r w:rsidRPr="007C57D2">
        <w:rPr>
          <w:rFonts w:ascii="Times New Roman" w:hAnsi="Times New Roman"/>
          <w:sz w:val="28"/>
          <w:szCs w:val="28"/>
          <w:shd w:val="clear" w:color="auto" w:fill="FFFFFF"/>
          <w:lang w:val="es-ES"/>
        </w:rPr>
        <w:t xml:space="preserve"> se debe a que, </w:t>
      </w:r>
      <w:r w:rsidRPr="007C57D2">
        <w:rPr>
          <w:rFonts w:ascii="Times New Roman" w:hAnsi="Times New Roman"/>
          <w:sz w:val="28"/>
          <w:szCs w:val="28"/>
          <w:shd w:val="clear" w:color="auto" w:fill="FFFFFF"/>
          <w:lang w:val="es-ES"/>
        </w:rPr>
        <w:t xml:space="preserve">de acuerdo con </w:t>
      </w:r>
      <w:r w:rsidRPr="007C57D2">
        <w:rPr>
          <w:rFonts w:ascii="Times New Roman" w:hAnsi="Times New Roman"/>
          <w:sz w:val="28"/>
          <w:szCs w:val="28"/>
          <w:shd w:val="clear" w:color="auto" w:fill="FFFFFF"/>
          <w:lang w:val="es-ES"/>
        </w:rPr>
        <w:t>su</w:t>
      </w:r>
      <w:r w:rsidRPr="007C57D2">
        <w:rPr>
          <w:rFonts w:ascii="Times New Roman" w:hAnsi="Times New Roman"/>
          <w:sz w:val="28"/>
          <w:szCs w:val="28"/>
          <w:shd w:val="clear" w:color="auto" w:fill="FFFFFF"/>
          <w:lang w:val="es-ES"/>
        </w:rPr>
        <w:t xml:space="preserve"> alcance, objetivo y contenido</w:t>
      </w:r>
      <w:r w:rsidRPr="007C57D2">
        <w:rPr>
          <w:rFonts w:ascii="Times New Roman" w:hAnsi="Times New Roman"/>
          <w:sz w:val="28"/>
          <w:szCs w:val="28"/>
          <w:shd w:val="clear" w:color="auto" w:fill="FFFFFF"/>
          <w:lang w:val="es-ES"/>
        </w:rPr>
        <w:t xml:space="preserve"> </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lang w:val="es-ES"/>
        </w:rPr>
        <w:t>descritos en el apartado 3.1 de la presente sentencia</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lang w:val="es-ES"/>
        </w:rPr>
        <w:t xml:space="preserve">, </w:t>
      </w:r>
      <w:r w:rsidRPr="007C57D2">
        <w:rPr>
          <w:rFonts w:ascii="Times New Roman" w:hAnsi="Times New Roman"/>
          <w:sz w:val="28"/>
          <w:szCs w:val="28"/>
          <w:shd w:val="clear" w:color="auto" w:fill="FFFFFF"/>
          <w:lang w:val="es-ES"/>
        </w:rPr>
        <w:t>ninguna de las normas del PLE contiene un</w:t>
      </w:r>
      <w:r w:rsidRPr="007C57D2">
        <w:rPr>
          <w:rFonts w:ascii="Times New Roman" w:hAnsi="Times New Roman"/>
          <w:sz w:val="28"/>
          <w:szCs w:val="28"/>
          <w:shd w:val="clear" w:color="auto" w:fill="FFFFFF"/>
          <w:lang w:val="es-ES"/>
        </w:rPr>
        <w:t xml:space="preserve"> beneficio tributario</w:t>
      </w:r>
      <w:r w:rsidRPr="007C57D2">
        <w:rPr>
          <w:rFonts w:ascii="Times New Roman" w:hAnsi="Times New Roman"/>
          <w:sz w:val="28"/>
          <w:szCs w:val="28"/>
          <w:shd w:val="clear" w:color="auto" w:fill="FFFFFF"/>
          <w:lang w:val="es-ES"/>
        </w:rPr>
        <w:t>.</w:t>
      </w:r>
      <w:r w:rsidRPr="007C57D2">
        <w:rPr>
          <w:rFonts w:ascii="Times New Roman" w:hAnsi="Times New Roman"/>
          <w:sz w:val="28"/>
          <w:szCs w:val="28"/>
          <w:shd w:val="clear" w:color="auto" w:fill="FFFFFF"/>
          <w:lang w:val="es-ES"/>
        </w:rPr>
        <w:t xml:space="preserve"> </w:t>
      </w:r>
    </w:p>
    <w:p w:rsidR="001A11A1" w:rsidRPr="007C57D2" w:rsidRDefault="007C57D2" w:rsidP="008F3DAB">
      <w:pPr>
        <w:pStyle w:val="Prrafodelista"/>
        <w:tabs>
          <w:tab w:val="left" w:pos="567"/>
        </w:tabs>
        <w:ind w:left="0"/>
        <w:jc w:val="both"/>
        <w:rPr>
          <w:rFonts w:ascii="Times New Roman" w:hAnsi="Times New Roman"/>
          <w:sz w:val="28"/>
          <w:szCs w:val="28"/>
          <w:lang w:eastAsia="es-MX"/>
        </w:rPr>
      </w:pPr>
    </w:p>
    <w:p w:rsidR="000B6C1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primera decisión es </w:t>
      </w:r>
      <w:r w:rsidRPr="007C57D2">
        <w:rPr>
          <w:rFonts w:ascii="Times New Roman" w:hAnsi="Times New Roman"/>
          <w:sz w:val="28"/>
          <w:szCs w:val="28"/>
          <w:lang w:eastAsia="es-MX"/>
        </w:rPr>
        <w:t xml:space="preserve">la </w:t>
      </w:r>
      <w:bookmarkStart w:id="23" w:name="_Hlk207290086"/>
      <w:r w:rsidRPr="007C57D2">
        <w:rPr>
          <w:rFonts w:ascii="Times New Roman" w:hAnsi="Times New Roman"/>
          <w:sz w:val="28"/>
          <w:szCs w:val="28"/>
          <w:lang w:eastAsia="es-MX"/>
        </w:rPr>
        <w:t>Sentencia C-093 de 2024</w:t>
      </w:r>
      <w:bookmarkEnd w:id="23"/>
      <w:r w:rsidRPr="007C57D2">
        <w:rPr>
          <w:rFonts w:ascii="Times New Roman" w:hAnsi="Times New Roman"/>
          <w:sz w:val="28"/>
          <w:szCs w:val="28"/>
          <w:lang w:eastAsia="es-MX"/>
        </w:rPr>
        <w:t>, reiterada en la Sentencia C-480</w:t>
      </w:r>
      <w:r w:rsidRPr="007C57D2">
        <w:rPr>
          <w:rFonts w:ascii="Times New Roman" w:hAnsi="Times New Roman"/>
          <w:sz w:val="28"/>
          <w:szCs w:val="28"/>
          <w:lang w:eastAsia="es-MX"/>
        </w:rPr>
        <w:t xml:space="preserve"> del mismo año</w:t>
      </w:r>
      <w:r w:rsidRPr="007C57D2">
        <w:rPr>
          <w:rFonts w:ascii="Times New Roman" w:hAnsi="Times New Roman"/>
          <w:sz w:val="28"/>
          <w:szCs w:val="28"/>
          <w:lang w:eastAsia="es-MX"/>
        </w:rPr>
        <w:t>. Esta providencia</w:t>
      </w:r>
      <w:r w:rsidRPr="007C57D2">
        <w:rPr>
          <w:rFonts w:ascii="Times New Roman" w:hAnsi="Times New Roman"/>
          <w:sz w:val="28"/>
          <w:szCs w:val="28"/>
          <w:lang w:eastAsia="es-MX"/>
        </w:rPr>
        <w:t xml:space="preserve"> reconstruyó los diferentes momentos de la línea jurisprudencial que aborda est</w:t>
      </w:r>
      <w:r w:rsidRPr="007C57D2">
        <w:rPr>
          <w:rFonts w:ascii="Times New Roman" w:hAnsi="Times New Roman"/>
          <w:sz w:val="28"/>
          <w:szCs w:val="28"/>
          <w:lang w:eastAsia="es-MX"/>
        </w:rPr>
        <w:t>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tema</w:t>
      </w:r>
      <w:r w:rsidRPr="007C57D2">
        <w:rPr>
          <w:rFonts w:ascii="Times New Roman" w:hAnsi="Times New Roman"/>
          <w:sz w:val="28"/>
          <w:szCs w:val="28"/>
          <w:lang w:eastAsia="es-MX"/>
        </w:rPr>
        <w:t xml:space="preserve">. Así, recordó que </w:t>
      </w:r>
      <w:r w:rsidRPr="007C57D2">
        <w:rPr>
          <w:rFonts w:ascii="Times New Roman" w:hAnsi="Times New Roman"/>
          <w:sz w:val="28"/>
          <w:szCs w:val="28"/>
          <w:lang w:eastAsia="es-MX"/>
        </w:rPr>
        <w:t xml:space="preserve">entre los </w:t>
      </w:r>
      <w:r w:rsidRPr="007C57D2">
        <w:rPr>
          <w:rFonts w:ascii="Times New Roman" w:hAnsi="Times New Roman"/>
          <w:sz w:val="28"/>
          <w:szCs w:val="28"/>
          <w:lang w:eastAsia="es-MX"/>
        </w:rPr>
        <w:t>años 2005 y 2019</w:t>
      </w:r>
      <w:r w:rsidRPr="007C57D2">
        <w:rPr>
          <w:rFonts w:ascii="Times New Roman" w:hAnsi="Times New Roman"/>
          <w:sz w:val="28"/>
          <w:szCs w:val="28"/>
          <w:lang w:eastAsia="es-MX"/>
        </w:rPr>
        <w:t xml:space="preserve">, con fundamento en un </w:t>
      </w:r>
      <w:r w:rsidRPr="007C57D2">
        <w:rPr>
          <w:rFonts w:ascii="Times New Roman" w:hAnsi="Times New Roman"/>
          <w:i/>
          <w:iCs/>
          <w:sz w:val="28"/>
          <w:szCs w:val="28"/>
          <w:lang w:eastAsia="es-MX"/>
        </w:rPr>
        <w:t>criterio gramatical</w:t>
      </w:r>
      <w:r w:rsidRPr="007C57D2">
        <w:rPr>
          <w:rFonts w:ascii="Times New Roman" w:hAnsi="Times New Roman"/>
          <w:sz w:val="28"/>
          <w:szCs w:val="28"/>
          <w:lang w:eastAsia="es-MX"/>
        </w:rPr>
        <w:t xml:space="preserve">, la </w:t>
      </w:r>
      <w:r w:rsidRPr="007C57D2">
        <w:rPr>
          <w:rFonts w:ascii="Times New Roman" w:hAnsi="Times New Roman"/>
          <w:sz w:val="28"/>
          <w:szCs w:val="28"/>
          <w:lang w:eastAsia="es-MX"/>
        </w:rPr>
        <w:t>Corporación</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diferenció</w:t>
      </w:r>
      <w:r w:rsidRPr="007C57D2">
        <w:rPr>
          <w:rFonts w:ascii="Times New Roman" w:hAnsi="Times New Roman"/>
          <w:sz w:val="28"/>
          <w:szCs w:val="28"/>
          <w:lang w:eastAsia="es-MX"/>
        </w:rPr>
        <w:t xml:space="preserve"> entre las normas que </w:t>
      </w:r>
      <w:r w:rsidRPr="007C57D2">
        <w:rPr>
          <w:rFonts w:ascii="Times New Roman" w:hAnsi="Times New Roman"/>
          <w:i/>
          <w:iCs/>
          <w:sz w:val="28"/>
          <w:szCs w:val="28"/>
          <w:lang w:eastAsia="es-MX"/>
        </w:rPr>
        <w:t>ordenan un gasto</w:t>
      </w:r>
      <w:r w:rsidRPr="007C57D2">
        <w:rPr>
          <w:rFonts w:ascii="Times New Roman" w:hAnsi="Times New Roman"/>
          <w:sz w:val="28"/>
          <w:szCs w:val="28"/>
          <w:lang w:eastAsia="es-MX"/>
        </w:rPr>
        <w:t xml:space="preserve"> de las que </w:t>
      </w:r>
      <w:r w:rsidRPr="007C57D2">
        <w:rPr>
          <w:rFonts w:ascii="Times New Roman" w:hAnsi="Times New Roman"/>
          <w:i/>
          <w:iCs/>
          <w:sz w:val="28"/>
          <w:szCs w:val="28"/>
          <w:lang w:eastAsia="es-MX"/>
        </w:rPr>
        <w:t>autorizan un gasto</w:t>
      </w:r>
      <w:r w:rsidRPr="007C57D2">
        <w:rPr>
          <w:rStyle w:val="Refdenotaalpie"/>
          <w:rFonts w:ascii="Times New Roman" w:hAnsi="Times New Roman"/>
          <w:sz w:val="28"/>
          <w:szCs w:val="28"/>
          <w:lang w:eastAsia="es-MX"/>
        </w:rPr>
        <w:footnoteReference w:id="228"/>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No obstante, l</w:t>
      </w:r>
      <w:r w:rsidRPr="007C57D2">
        <w:rPr>
          <w:rFonts w:ascii="Times New Roman" w:hAnsi="Times New Roman"/>
          <w:sz w:val="28"/>
          <w:szCs w:val="28"/>
          <w:lang w:eastAsia="es-MX"/>
        </w:rPr>
        <w:t>a citada providencia destacó que algunas de estas sentencias</w:t>
      </w:r>
      <w:r w:rsidRPr="007C57D2">
        <w:rPr>
          <w:rFonts w:ascii="Times New Roman" w:hAnsi="Times New Roman"/>
          <w:sz w:val="28"/>
          <w:szCs w:val="28"/>
          <w:lang w:eastAsia="es-MX"/>
        </w:rPr>
        <w:t xml:space="preserve"> </w:t>
      </w:r>
      <w:r w:rsidRPr="007C57D2">
        <w:rPr>
          <w:rFonts w:ascii="Times New Roman" w:hAnsi="Times New Roman"/>
          <w:sz w:val="28"/>
          <w:szCs w:val="28"/>
          <w:shd w:val="clear" w:color="auto" w:fill="FFFFFF"/>
        </w:rPr>
        <w:t>—por ejemplo, las sentenc</w:t>
      </w:r>
      <w:r w:rsidRPr="007C57D2">
        <w:rPr>
          <w:rFonts w:ascii="Times New Roman" w:hAnsi="Times New Roman"/>
          <w:sz w:val="28"/>
          <w:szCs w:val="28"/>
          <w:shd w:val="clear" w:color="auto" w:fill="FFFFFF"/>
        </w:rPr>
        <w:t>ias C-373 de 2010, C-490 de 2011 y C-274 de 2013</w:t>
      </w:r>
      <w:r w:rsidRPr="007C57D2">
        <w:rPr>
          <w:rFonts w:ascii="Times New Roman" w:hAnsi="Times New Roman"/>
          <w:sz w:val="28"/>
          <w:szCs w:val="28"/>
          <w:shd w:val="clear" w:color="auto" w:fill="FFFFFF"/>
        </w:rPr>
        <w:t>—</w:t>
      </w:r>
      <w:r w:rsidRPr="007C57D2">
        <w:rPr>
          <w:rFonts w:ascii="Times New Roman" w:hAnsi="Times New Roman"/>
          <w:sz w:val="28"/>
          <w:szCs w:val="28"/>
          <w:shd w:val="clear" w:color="auto" w:fill="FFFFFF"/>
        </w:rPr>
        <w:t>,</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acudieron</w:t>
      </w:r>
      <w:r w:rsidRPr="007C57D2">
        <w:rPr>
          <w:rFonts w:ascii="Times New Roman" w:hAnsi="Times New Roman"/>
          <w:sz w:val="28"/>
          <w:szCs w:val="28"/>
          <w:lang w:eastAsia="es-MX"/>
        </w:rPr>
        <w:t xml:space="preserve"> a otros criterios concurrentes con el denominado gramatical. En esas oportunidades, la Corte precisó que </w:t>
      </w:r>
      <w:r w:rsidRPr="007C57D2">
        <w:rPr>
          <w:rFonts w:ascii="Times New Roman" w:hAnsi="Times New Roman"/>
          <w:sz w:val="28"/>
          <w:szCs w:val="28"/>
          <w:lang w:eastAsia="es-MX"/>
        </w:rPr>
        <w:t xml:space="preserve">no </w:t>
      </w:r>
      <w:r w:rsidRPr="007C57D2">
        <w:rPr>
          <w:rFonts w:ascii="Times New Roman" w:hAnsi="Times New Roman"/>
          <w:sz w:val="28"/>
          <w:szCs w:val="28"/>
          <w:lang w:eastAsia="es-MX"/>
        </w:rPr>
        <w:t>resulta</w:t>
      </w:r>
      <w:r w:rsidRPr="007C57D2">
        <w:rPr>
          <w:rFonts w:ascii="Times New Roman" w:hAnsi="Times New Roman"/>
          <w:sz w:val="28"/>
          <w:szCs w:val="28"/>
          <w:lang w:eastAsia="es-MX"/>
        </w:rPr>
        <w:t xml:space="preserve"> viable imponer las cargas que el artículo </w:t>
      </w:r>
      <w:r w:rsidRPr="007C57D2">
        <w:rPr>
          <w:rFonts w:ascii="Times New Roman" w:hAnsi="Times New Roman"/>
          <w:sz w:val="28"/>
          <w:szCs w:val="28"/>
        </w:rPr>
        <w:t>7 de la Ley 819 de 2003</w:t>
      </w:r>
      <w:r w:rsidRPr="007C57D2">
        <w:rPr>
          <w:rFonts w:ascii="Times New Roman" w:hAnsi="Times New Roman"/>
          <w:sz w:val="28"/>
          <w:szCs w:val="28"/>
          <w:lang w:eastAsia="es-MX"/>
        </w:rPr>
        <w:t xml:space="preserve"> dispone respecto de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“los costos fiscales que genera cada una de las leyes aprobadas por el Congreso de la República”</w:t>
      </w:r>
      <w:r w:rsidRPr="007C57D2">
        <w:rPr>
          <w:rStyle w:val="Refdenotaalpie"/>
          <w:rFonts w:ascii="Times New Roman" w:hAnsi="Times New Roman"/>
          <w:sz w:val="28"/>
          <w:szCs w:val="28"/>
          <w:lang w:eastAsia="es-MX"/>
        </w:rPr>
        <w:footnoteReference w:id="229"/>
      </w:r>
      <w:r w:rsidRPr="007C57D2">
        <w:rPr>
          <w:rFonts w:ascii="Times New Roman" w:hAnsi="Times New Roman"/>
          <w:sz w:val="28"/>
          <w:szCs w:val="28"/>
          <w:lang w:eastAsia="es-MX"/>
        </w:rPr>
        <w:t xml:space="preserve">. </w:t>
      </w:r>
    </w:p>
    <w:p w:rsidR="00A66381"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Lo anterior es así porque,</w:t>
      </w:r>
      <w:r w:rsidRPr="007C57D2">
        <w:rPr>
          <w:rFonts w:ascii="Times New Roman" w:hAnsi="Times New Roman"/>
          <w:sz w:val="28"/>
          <w:szCs w:val="28"/>
          <w:lang w:eastAsia="es-MX"/>
        </w:rPr>
        <w:t xml:space="preserve"> “aunque la mayoría de las normas puede generar responsabilidades fiscales para el Estado, lo cierto es que e</w:t>
      </w:r>
      <w:r w:rsidRPr="007C57D2">
        <w:rPr>
          <w:rFonts w:ascii="Times New Roman" w:hAnsi="Times New Roman"/>
          <w:sz w:val="28"/>
          <w:szCs w:val="28"/>
          <w:lang w:eastAsia="es-MX"/>
        </w:rPr>
        <w:t>stas se encuentran sometidas a la programación y disponibilidad presupuestal correspondiente, por lo que, en sí mismas, no suponen una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orden de gastos</w:t>
      </w:r>
      <w:r w:rsidRPr="007C57D2">
        <w:rPr>
          <w:rFonts w:ascii="Times New Roman" w:hAnsi="Times New Roman"/>
          <w:i/>
          <w:iCs/>
          <w:sz w:val="28"/>
          <w:szCs w:val="28"/>
          <w:lang w:eastAsia="es-MX"/>
        </w:rPr>
        <w:t>”</w:t>
      </w:r>
      <w:r w:rsidRPr="007C57D2">
        <w:rPr>
          <w:rStyle w:val="Refdenotaalpie"/>
          <w:rFonts w:ascii="Times New Roman" w:hAnsi="Times New Roman"/>
          <w:sz w:val="28"/>
          <w:szCs w:val="28"/>
          <w:lang w:eastAsia="es-MX"/>
        </w:rPr>
        <w:footnoteReference w:id="230"/>
      </w:r>
      <w:r w:rsidRPr="007C57D2">
        <w:rPr>
          <w:rFonts w:ascii="Times New Roman" w:hAnsi="Times New Roman"/>
          <w:sz w:val="28"/>
          <w:szCs w:val="28"/>
          <w:lang w:eastAsia="es-MX"/>
        </w:rPr>
        <w:t>.</w:t>
      </w:r>
      <w:r w:rsidRPr="007C57D2">
        <w:rPr>
          <w:rFonts w:ascii="Times New Roman" w:hAnsi="Times New Roman"/>
          <w:i/>
          <w:iCs/>
          <w:sz w:val="28"/>
          <w:szCs w:val="28"/>
          <w:lang w:eastAsia="es-MX"/>
        </w:rPr>
        <w:t xml:space="preserve"> </w:t>
      </w:r>
      <w:r w:rsidRPr="007C57D2">
        <w:rPr>
          <w:rFonts w:ascii="Times New Roman" w:hAnsi="Times New Roman"/>
          <w:sz w:val="28"/>
          <w:szCs w:val="28"/>
          <w:lang w:eastAsia="es-MX"/>
        </w:rPr>
        <w:t xml:space="preserve">De este modo, </w:t>
      </w:r>
      <w:r w:rsidRPr="007C57D2">
        <w:rPr>
          <w:rFonts w:ascii="Times New Roman" w:hAnsi="Times New Roman"/>
          <w:sz w:val="28"/>
          <w:szCs w:val="28"/>
          <w:lang w:eastAsia="es-MX"/>
        </w:rPr>
        <w:t xml:space="preserve">tales pronunciamientos consideraron que </w:t>
      </w:r>
      <w:r w:rsidRPr="007C57D2">
        <w:rPr>
          <w:rFonts w:ascii="Times New Roman" w:hAnsi="Times New Roman"/>
          <w:sz w:val="28"/>
          <w:szCs w:val="28"/>
          <w:lang w:eastAsia="es-MX"/>
        </w:rPr>
        <w:t xml:space="preserve">no toda norma </w:t>
      </w:r>
      <w:r w:rsidRPr="007C57D2">
        <w:rPr>
          <w:rFonts w:ascii="Times New Roman" w:hAnsi="Times New Roman"/>
          <w:sz w:val="28"/>
          <w:szCs w:val="28"/>
          <w:lang w:eastAsia="es-MX"/>
        </w:rPr>
        <w:t>cuya implementación tiene</w:t>
      </w:r>
      <w:r w:rsidRPr="007C57D2">
        <w:rPr>
          <w:rFonts w:ascii="Times New Roman" w:hAnsi="Times New Roman"/>
          <w:sz w:val="28"/>
          <w:szCs w:val="28"/>
          <w:lang w:eastAsia="es-MX"/>
        </w:rPr>
        <w:t xml:space="preserve"> un costo fiscal puede ser asimilada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a</w:t>
      </w:r>
      <w:r w:rsidRPr="007C57D2">
        <w:rPr>
          <w:rFonts w:ascii="Times New Roman" w:hAnsi="Times New Roman"/>
          <w:sz w:val="28"/>
          <w:szCs w:val="28"/>
          <w:lang w:eastAsia="es-MX"/>
        </w:rPr>
        <w:t xml:space="preserve"> una </w:t>
      </w:r>
      <w:r w:rsidRPr="007C57D2">
        <w:rPr>
          <w:rFonts w:ascii="Times New Roman" w:hAnsi="Times New Roman"/>
          <w:sz w:val="28"/>
          <w:szCs w:val="28"/>
          <w:lang w:eastAsia="es-MX"/>
        </w:rPr>
        <w:t>orden de</w:t>
      </w:r>
      <w:r w:rsidRPr="007C57D2">
        <w:rPr>
          <w:rFonts w:ascii="Times New Roman" w:hAnsi="Times New Roman"/>
          <w:i/>
          <w:iCs/>
          <w:sz w:val="28"/>
          <w:szCs w:val="28"/>
          <w:lang w:eastAsia="es-MX"/>
        </w:rPr>
        <w:t xml:space="preserve"> </w:t>
      </w:r>
      <w:r w:rsidRPr="007C57D2">
        <w:rPr>
          <w:rFonts w:ascii="Times New Roman" w:hAnsi="Times New Roman"/>
          <w:sz w:val="28"/>
          <w:szCs w:val="28"/>
          <w:lang w:eastAsia="es-MX"/>
        </w:rPr>
        <w:t>gastos</w:t>
      </w:r>
      <w:r w:rsidRPr="007C57D2">
        <w:rPr>
          <w:rFonts w:ascii="Times New Roman" w:hAnsi="Times New Roman"/>
          <w:sz w:val="28"/>
          <w:szCs w:val="28"/>
          <w:lang w:eastAsia="es-MX"/>
        </w:rPr>
        <w:t xml:space="preserve">, porque </w:t>
      </w:r>
      <w:r w:rsidRPr="007C57D2">
        <w:rPr>
          <w:rFonts w:ascii="Times New Roman" w:hAnsi="Times New Roman"/>
          <w:sz w:val="28"/>
          <w:szCs w:val="28"/>
          <w:lang w:eastAsia="es-MX"/>
        </w:rPr>
        <w:t>el Gobierno nacional puede decidir “la incorporación de las partidas presupuestales que se requieran, de acuerdo con los recursos disponibles y con los lineamientos del marco fiscal de medi</w:t>
      </w:r>
      <w:r w:rsidRPr="007C57D2">
        <w:rPr>
          <w:rFonts w:ascii="Times New Roman" w:hAnsi="Times New Roman"/>
          <w:sz w:val="28"/>
          <w:szCs w:val="28"/>
          <w:lang w:eastAsia="es-MX"/>
        </w:rPr>
        <w:t>ano plazo”</w:t>
      </w:r>
      <w:r w:rsidRPr="007C57D2">
        <w:rPr>
          <w:rStyle w:val="Refdenotaalpie"/>
          <w:rFonts w:ascii="Times New Roman" w:hAnsi="Times New Roman"/>
          <w:sz w:val="28"/>
          <w:szCs w:val="28"/>
          <w:lang w:eastAsia="es-MX"/>
        </w:rPr>
        <w:footnoteReference w:id="231"/>
      </w:r>
      <w:r w:rsidRPr="007C57D2">
        <w:rPr>
          <w:rFonts w:ascii="Times New Roman" w:hAnsi="Times New Roman"/>
          <w:sz w:val="28"/>
          <w:szCs w:val="28"/>
          <w:lang w:eastAsia="es-MX"/>
        </w:rPr>
        <w:t>.</w:t>
      </w:r>
    </w:p>
    <w:p w:rsidR="005C245C" w:rsidRPr="007C57D2" w:rsidRDefault="007C57D2" w:rsidP="008F3DAB">
      <w:pPr>
        <w:pStyle w:val="Prrafodelista"/>
        <w:tabs>
          <w:tab w:val="left" w:pos="567"/>
        </w:tabs>
        <w:ind w:left="0"/>
        <w:jc w:val="both"/>
        <w:rPr>
          <w:rFonts w:ascii="Times New Roman" w:hAnsi="Times New Roman"/>
          <w:sz w:val="28"/>
          <w:szCs w:val="28"/>
          <w:lang w:eastAsia="es-MX"/>
        </w:rPr>
      </w:pPr>
    </w:p>
    <w:p w:rsidR="005A4D99"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Posteriormente, la Sentencia</w:t>
      </w:r>
      <w:r w:rsidRPr="007C57D2">
        <w:rPr>
          <w:rFonts w:ascii="Times New Roman" w:hAnsi="Times New Roman"/>
          <w:sz w:val="28"/>
          <w:szCs w:val="28"/>
          <w:lang w:eastAsia="es-MX"/>
        </w:rPr>
        <w:t xml:space="preserve"> C-093 de 2024</w:t>
      </w:r>
      <w:r w:rsidRPr="007C57D2">
        <w:rPr>
          <w:rFonts w:ascii="Times New Roman" w:hAnsi="Times New Roman"/>
          <w:sz w:val="28"/>
          <w:szCs w:val="28"/>
          <w:lang w:eastAsia="es-MX"/>
        </w:rPr>
        <w:t xml:space="preserve"> explicó que</w:t>
      </w:r>
      <w:r w:rsidRPr="007C57D2">
        <w:rPr>
          <w:rFonts w:ascii="Times New Roman" w:hAnsi="Times New Roman"/>
          <w:sz w:val="28"/>
          <w:szCs w:val="28"/>
          <w:lang w:eastAsia="es-MX"/>
        </w:rPr>
        <w:t xml:space="preserve">, mediante las sentencias C-110 de 2019 y C-075 de 2022, precursoras de la jurisprudencia en vigor, la Sala incorporó al análisis </w:t>
      </w:r>
      <w:r w:rsidRPr="007C57D2">
        <w:rPr>
          <w:rFonts w:ascii="Times New Roman" w:hAnsi="Times New Roman"/>
          <w:sz w:val="28"/>
          <w:szCs w:val="28"/>
          <w:lang w:eastAsia="es-MX"/>
        </w:rPr>
        <w:t xml:space="preserve">el </w:t>
      </w:r>
      <w:r w:rsidRPr="007C57D2">
        <w:rPr>
          <w:rFonts w:ascii="Times New Roman" w:hAnsi="Times New Roman"/>
          <w:i/>
          <w:iCs/>
          <w:sz w:val="28"/>
          <w:szCs w:val="28"/>
          <w:lang w:eastAsia="es-MX"/>
        </w:rPr>
        <w:t>criterio funcional</w:t>
      </w:r>
      <w:r w:rsidRPr="007C57D2">
        <w:rPr>
          <w:rFonts w:ascii="Times New Roman" w:hAnsi="Times New Roman"/>
          <w:sz w:val="28"/>
          <w:szCs w:val="28"/>
          <w:lang w:eastAsia="es-MX"/>
        </w:rPr>
        <w:t xml:space="preserve">. Estas primeras sentencias de la segunda etapa de la jurisprudencia señalaron </w:t>
      </w:r>
      <w:r w:rsidRPr="007C57D2">
        <w:rPr>
          <w:rFonts w:ascii="Times New Roman" w:hAnsi="Times New Roman"/>
          <w:sz w:val="28"/>
          <w:szCs w:val="28"/>
          <w:lang w:eastAsia="es-MX"/>
        </w:rPr>
        <w:t>dos elementos que permit</w:t>
      </w:r>
      <w:r w:rsidRPr="007C57D2">
        <w:rPr>
          <w:rFonts w:ascii="Times New Roman" w:hAnsi="Times New Roman"/>
          <w:sz w:val="28"/>
          <w:szCs w:val="28"/>
          <w:lang w:eastAsia="es-MX"/>
        </w:rPr>
        <w:t>e</w:t>
      </w:r>
      <w:r w:rsidRPr="007C57D2">
        <w:rPr>
          <w:rFonts w:ascii="Times New Roman" w:hAnsi="Times New Roman"/>
          <w:sz w:val="28"/>
          <w:szCs w:val="28"/>
          <w:lang w:eastAsia="es-MX"/>
        </w:rPr>
        <w:t>n identificar si una medida cont</w:t>
      </w:r>
      <w:r w:rsidRPr="007C57D2">
        <w:rPr>
          <w:rFonts w:ascii="Times New Roman" w:hAnsi="Times New Roman"/>
          <w:sz w:val="28"/>
          <w:szCs w:val="28"/>
          <w:lang w:eastAsia="es-MX"/>
        </w:rPr>
        <w:t>iene</w:t>
      </w:r>
      <w:r w:rsidRPr="007C57D2">
        <w:rPr>
          <w:rFonts w:ascii="Times New Roman" w:hAnsi="Times New Roman"/>
          <w:sz w:val="28"/>
          <w:szCs w:val="28"/>
          <w:lang w:eastAsia="es-MX"/>
        </w:rPr>
        <w:t xml:space="preserve"> una orden de gasto: (i) el cumplimiento de la disposición es inmediato, por lo que no se trata de una simple habili</w:t>
      </w:r>
      <w:r w:rsidRPr="007C57D2">
        <w:rPr>
          <w:rFonts w:ascii="Times New Roman" w:hAnsi="Times New Roman"/>
          <w:sz w:val="28"/>
          <w:szCs w:val="28"/>
          <w:lang w:eastAsia="es-MX"/>
        </w:rPr>
        <w:t xml:space="preserve">tación, y (ii) </w:t>
      </w:r>
      <w:r w:rsidRPr="007C57D2">
        <w:rPr>
          <w:rFonts w:ascii="Times New Roman" w:hAnsi="Times New Roman"/>
          <w:sz w:val="28"/>
          <w:szCs w:val="28"/>
          <w:lang w:eastAsia="es-MX"/>
        </w:rPr>
        <w:t xml:space="preserve">la norma despoja al </w:t>
      </w:r>
      <w:r w:rsidRPr="007C57D2">
        <w:rPr>
          <w:rFonts w:ascii="Times New Roman" w:hAnsi="Times New Roman"/>
          <w:sz w:val="28"/>
          <w:szCs w:val="28"/>
          <w:lang w:eastAsia="es-MX"/>
        </w:rPr>
        <w:t>Gobierno nacional de un margen de valoración respecto de la incorporación de las partidas presupuestales requeridas, así como de la compatibilidad de las medidas con el MFMP.</w:t>
      </w:r>
      <w:r w:rsidRPr="007C57D2">
        <w:rPr>
          <w:rFonts w:ascii="Times New Roman" w:hAnsi="Times New Roman"/>
          <w:sz w:val="28"/>
          <w:szCs w:val="28"/>
          <w:lang w:eastAsia="es-MX"/>
        </w:rPr>
        <w:t xml:space="preserve"> </w:t>
      </w:r>
    </w:p>
    <w:p w:rsidR="005A4D99" w:rsidRPr="007C57D2" w:rsidRDefault="007C57D2" w:rsidP="008F3DAB">
      <w:pPr>
        <w:pStyle w:val="Prrafodelista"/>
        <w:tabs>
          <w:tab w:val="left" w:pos="567"/>
        </w:tabs>
        <w:ind w:left="0"/>
        <w:jc w:val="both"/>
        <w:rPr>
          <w:rFonts w:ascii="Times New Roman" w:hAnsi="Times New Roman"/>
          <w:sz w:val="28"/>
          <w:szCs w:val="28"/>
          <w:lang w:eastAsia="es-MX"/>
        </w:rPr>
      </w:pPr>
    </w:p>
    <w:p w:rsidR="005C245C"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La Sentencia C-093 de 2024 expuso que, en la</w:t>
      </w:r>
      <w:r w:rsidRPr="007C57D2">
        <w:rPr>
          <w:rFonts w:ascii="Times New Roman" w:hAnsi="Times New Roman"/>
          <w:sz w:val="28"/>
          <w:szCs w:val="28"/>
          <w:lang w:eastAsia="es-MX"/>
        </w:rPr>
        <w:t>s decisiones siguientes y, en particular, en las sentencias C-085 y C-</w:t>
      </w:r>
      <w:r w:rsidRPr="007C57D2">
        <w:rPr>
          <w:rFonts w:ascii="Times New Roman" w:hAnsi="Times New Roman"/>
          <w:sz w:val="28"/>
          <w:szCs w:val="28"/>
          <w:lang w:eastAsia="es-MX"/>
        </w:rPr>
        <w:t>447</w:t>
      </w:r>
      <w:r w:rsidRPr="007C57D2">
        <w:rPr>
          <w:rFonts w:ascii="Times New Roman" w:hAnsi="Times New Roman"/>
          <w:sz w:val="28"/>
          <w:szCs w:val="28"/>
          <w:lang w:eastAsia="es-MX"/>
        </w:rPr>
        <w:t xml:space="preserve"> de 2022, y C-134 de 2023, con base en los precedentes anteriores, la Sala concluyó que, de acuerdo con el criterio funcional, la norma legal </w:t>
      </w:r>
      <w:r w:rsidRPr="007C57D2">
        <w:rPr>
          <w:rFonts w:ascii="Times New Roman" w:hAnsi="Times New Roman"/>
          <w:sz w:val="28"/>
          <w:szCs w:val="28"/>
          <w:lang w:eastAsia="es-MX"/>
        </w:rPr>
        <w:t>cuyo gasto</w:t>
      </w:r>
      <w:r w:rsidRPr="007C57D2">
        <w:rPr>
          <w:rFonts w:ascii="Times New Roman" w:hAnsi="Times New Roman"/>
          <w:sz w:val="28"/>
          <w:szCs w:val="28"/>
          <w:lang w:eastAsia="es-MX"/>
        </w:rPr>
        <w:t xml:space="preserve"> se pueda o no incluir en el pr</w:t>
      </w:r>
      <w:r w:rsidRPr="007C57D2">
        <w:rPr>
          <w:rFonts w:ascii="Times New Roman" w:hAnsi="Times New Roman"/>
          <w:sz w:val="28"/>
          <w:szCs w:val="28"/>
          <w:lang w:eastAsia="es-MX"/>
        </w:rPr>
        <w:t xml:space="preserve">esupuesto a discreción del Gobierno nacional no constituye una orden de gasto. Tampoco </w:t>
      </w:r>
      <w:r w:rsidRPr="007C57D2">
        <w:rPr>
          <w:rFonts w:ascii="Times New Roman" w:hAnsi="Times New Roman"/>
          <w:sz w:val="28"/>
          <w:szCs w:val="28"/>
          <w:lang w:eastAsia="es-MX"/>
        </w:rPr>
        <w:t>lo son las normas con las siguientes características: (i)</w:t>
      </w:r>
      <w:r w:rsidRPr="007C57D2">
        <w:rPr>
          <w:rFonts w:ascii="Times New Roman" w:hAnsi="Times New Roman"/>
          <w:sz w:val="28"/>
          <w:szCs w:val="28"/>
          <w:lang w:eastAsia="es-MX"/>
        </w:rPr>
        <w:t xml:space="preserve"> “no es claro si se prescribe una orden o una autorización de gasto, ya que el Gobierno también puede definir có</w:t>
      </w:r>
      <w:r w:rsidRPr="007C57D2">
        <w:rPr>
          <w:rFonts w:ascii="Times New Roman" w:hAnsi="Times New Roman"/>
          <w:sz w:val="28"/>
          <w:szCs w:val="28"/>
          <w:lang w:eastAsia="es-MX"/>
        </w:rPr>
        <w:t>mo ejecuta la disposición”</w:t>
      </w:r>
      <w:r w:rsidRPr="007C57D2">
        <w:rPr>
          <w:rStyle w:val="Refdenotaalpie"/>
          <w:rFonts w:ascii="Times New Roman" w:hAnsi="Times New Roman"/>
          <w:sz w:val="28"/>
          <w:szCs w:val="28"/>
          <w:lang w:eastAsia="es-MX"/>
        </w:rPr>
        <w:footnoteReference w:id="232"/>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(ii) </w:t>
      </w:r>
      <w:r w:rsidRPr="007C57D2">
        <w:rPr>
          <w:rFonts w:ascii="Times New Roman" w:hAnsi="Times New Roman"/>
          <w:sz w:val="28"/>
          <w:szCs w:val="28"/>
          <w:lang w:eastAsia="es-MX"/>
        </w:rPr>
        <w:t>“el legislador se limita a habilitar la realización de ciertos arreglos presupuestales, sin predeterminar que estos tengan que consistir en un gasto</w:t>
      </w:r>
      <w:r w:rsidRPr="007C57D2">
        <w:rPr>
          <w:rFonts w:ascii="Times New Roman" w:hAnsi="Times New Roman"/>
          <w:sz w:val="28"/>
          <w:szCs w:val="28"/>
          <w:lang w:eastAsia="es-MX"/>
        </w:rPr>
        <w:t>”</w:t>
      </w:r>
      <w:r w:rsidRPr="007C57D2">
        <w:rPr>
          <w:rStyle w:val="Refdenotaalpie"/>
          <w:rFonts w:ascii="Times New Roman" w:hAnsi="Times New Roman"/>
          <w:sz w:val="28"/>
          <w:szCs w:val="28"/>
          <w:lang w:eastAsia="es-MX"/>
        </w:rPr>
        <w:footnoteReference w:id="233"/>
      </w:r>
      <w:r w:rsidRPr="007C57D2">
        <w:rPr>
          <w:rFonts w:ascii="Times New Roman" w:hAnsi="Times New Roman"/>
          <w:sz w:val="28"/>
          <w:szCs w:val="28"/>
          <w:lang w:eastAsia="es-MX"/>
        </w:rPr>
        <w:t xml:space="preserve">; y </w:t>
      </w:r>
      <w:r w:rsidRPr="007C57D2">
        <w:rPr>
          <w:rFonts w:ascii="Times New Roman" w:hAnsi="Times New Roman"/>
          <w:sz w:val="28"/>
          <w:szCs w:val="28"/>
          <w:lang w:eastAsia="es-MX"/>
        </w:rPr>
        <w:t>(iii)</w:t>
      </w:r>
      <w:r w:rsidRPr="007C57D2">
        <w:rPr>
          <w:rFonts w:ascii="Times New Roman" w:hAnsi="Times New Roman"/>
          <w:sz w:val="28"/>
          <w:szCs w:val="28"/>
          <w:lang w:eastAsia="es-MX"/>
        </w:rPr>
        <w:t xml:space="preserve"> sencillamente, atribuy</w:t>
      </w:r>
      <w:r w:rsidRPr="007C57D2">
        <w:rPr>
          <w:rFonts w:ascii="Times New Roman" w:hAnsi="Times New Roman"/>
          <w:sz w:val="28"/>
          <w:szCs w:val="28"/>
          <w:lang w:eastAsia="es-MX"/>
        </w:rPr>
        <w:t>e</w:t>
      </w:r>
      <w:r w:rsidRPr="007C57D2">
        <w:rPr>
          <w:rFonts w:ascii="Times New Roman" w:hAnsi="Times New Roman"/>
          <w:sz w:val="28"/>
          <w:szCs w:val="28"/>
          <w:lang w:eastAsia="es-MX"/>
        </w:rPr>
        <w:t xml:space="preserve"> una competencia.</w:t>
      </w:r>
      <w:r w:rsidRPr="007C57D2">
        <w:rPr>
          <w:rFonts w:ascii="Times New Roman" w:hAnsi="Times New Roman"/>
          <w:i/>
          <w:iCs/>
          <w:sz w:val="28"/>
          <w:szCs w:val="28"/>
          <w:lang w:eastAsia="es-MX"/>
        </w:rPr>
        <w:t xml:space="preserve"> </w:t>
      </w:r>
      <w:r w:rsidRPr="007C57D2">
        <w:rPr>
          <w:rFonts w:ascii="Times New Roman" w:hAnsi="Times New Roman"/>
          <w:sz w:val="28"/>
          <w:szCs w:val="28"/>
          <w:lang w:eastAsia="es-MX"/>
        </w:rPr>
        <w:t xml:space="preserve">En </w:t>
      </w:r>
      <w:r w:rsidRPr="007C57D2">
        <w:rPr>
          <w:rFonts w:ascii="Times New Roman" w:hAnsi="Times New Roman"/>
          <w:sz w:val="28"/>
          <w:szCs w:val="28"/>
          <w:lang w:eastAsia="es-MX"/>
        </w:rPr>
        <w:t>los términos de la</w:t>
      </w:r>
      <w:r w:rsidRPr="007C57D2">
        <w:rPr>
          <w:rFonts w:ascii="Times New Roman" w:hAnsi="Times New Roman"/>
          <w:sz w:val="28"/>
          <w:szCs w:val="28"/>
          <w:lang w:eastAsia="es-MX"/>
        </w:rPr>
        <w:t xml:space="preserve"> Sentencia C-093 de 2024</w:t>
      </w:r>
      <w:r w:rsidRPr="007C57D2">
        <w:rPr>
          <w:rFonts w:ascii="Times New Roman" w:hAnsi="Times New Roman"/>
          <w:sz w:val="28"/>
          <w:szCs w:val="28"/>
          <w:lang w:eastAsia="es-MX"/>
        </w:rPr>
        <w:t>, lo que</w:t>
      </w:r>
      <w:r w:rsidRPr="007C57D2">
        <w:rPr>
          <w:rFonts w:ascii="Times New Roman" w:eastAsia="Calibri" w:hAnsi="Times New Roman"/>
          <w:sz w:val="28"/>
          <w:szCs w:val="32"/>
          <w:shd w:val="clear" w:color="auto" w:fill="FFFFFF"/>
          <w:lang w:eastAsia="en-US"/>
        </w:rPr>
        <w:t xml:space="preserve"> </w:t>
      </w:r>
      <w:r w:rsidRPr="007C57D2">
        <w:rPr>
          <w:rFonts w:ascii="Times New Roman" w:hAnsi="Times New Roman"/>
          <w:sz w:val="28"/>
          <w:szCs w:val="28"/>
          <w:lang w:eastAsia="es-MX"/>
        </w:rPr>
        <w:t>supo</w:t>
      </w:r>
      <w:r w:rsidRPr="007C57D2">
        <w:rPr>
          <w:rFonts w:ascii="Times New Roman" w:hAnsi="Times New Roman"/>
          <w:sz w:val="28"/>
          <w:szCs w:val="28"/>
          <w:lang w:eastAsia="es-MX"/>
        </w:rPr>
        <w:t>ne</w:t>
      </w:r>
      <w:r w:rsidRPr="007C57D2">
        <w:rPr>
          <w:rFonts w:ascii="Times New Roman" w:hAnsi="Times New Roman"/>
          <w:sz w:val="28"/>
          <w:szCs w:val="28"/>
          <w:lang w:eastAsia="es-MX"/>
        </w:rPr>
        <w:t xml:space="preserve"> la incompatibilidad con la </w:t>
      </w:r>
      <w:r w:rsidRPr="007C57D2">
        <w:rPr>
          <w:rFonts w:ascii="Times New Roman" w:hAnsi="Times New Roman"/>
          <w:sz w:val="28"/>
          <w:szCs w:val="28"/>
          <w:lang w:eastAsia="es-MX"/>
        </w:rPr>
        <w:t>Constitución</w:t>
      </w:r>
      <w:r w:rsidRPr="007C57D2">
        <w:rPr>
          <w:rFonts w:ascii="Times New Roman" w:hAnsi="Times New Roman"/>
          <w:sz w:val="28"/>
          <w:szCs w:val="28"/>
          <w:lang w:eastAsia="es-MX"/>
        </w:rPr>
        <w:t xml:space="preserve"> no </w:t>
      </w:r>
      <w:r w:rsidRPr="007C57D2">
        <w:rPr>
          <w:rFonts w:ascii="Times New Roman" w:hAnsi="Times New Roman"/>
          <w:sz w:val="28"/>
          <w:szCs w:val="28"/>
          <w:lang w:eastAsia="es-MX"/>
        </w:rPr>
        <w:t>es</w:t>
      </w:r>
      <w:r w:rsidRPr="007C57D2">
        <w:rPr>
          <w:rFonts w:ascii="Times New Roman" w:hAnsi="Times New Roman"/>
          <w:sz w:val="28"/>
          <w:szCs w:val="28"/>
          <w:lang w:eastAsia="es-MX"/>
        </w:rPr>
        <w:t xml:space="preserve"> que la norma </w:t>
      </w:r>
      <w:r w:rsidRPr="007C57D2">
        <w:rPr>
          <w:rFonts w:ascii="Times New Roman" w:hAnsi="Times New Roman"/>
          <w:sz w:val="28"/>
          <w:szCs w:val="28"/>
          <w:lang w:eastAsia="es-MX"/>
        </w:rPr>
        <w:t xml:space="preserve">que tenga </w:t>
      </w:r>
      <w:r w:rsidRPr="007C57D2">
        <w:rPr>
          <w:rFonts w:ascii="Times New Roman" w:hAnsi="Times New Roman"/>
          <w:sz w:val="28"/>
          <w:szCs w:val="28"/>
          <w:lang w:eastAsia="es-MX"/>
        </w:rPr>
        <w:t>efectos presupuestales</w:t>
      </w:r>
      <w:r w:rsidRPr="007C57D2">
        <w:rPr>
          <w:rFonts w:ascii="Times New Roman" w:hAnsi="Times New Roman"/>
          <w:sz w:val="28"/>
          <w:szCs w:val="28"/>
          <w:lang w:eastAsia="es-MX"/>
        </w:rPr>
        <w:t xml:space="preserve"> no cumpla el requisito de análisis de impacto fiscal. </w:t>
      </w:r>
      <w:r w:rsidRPr="007C57D2">
        <w:rPr>
          <w:rFonts w:ascii="Times New Roman" w:hAnsi="Times New Roman"/>
          <w:sz w:val="28"/>
          <w:szCs w:val="28"/>
          <w:lang w:eastAsia="es-MX"/>
        </w:rPr>
        <w:t>Por el contrario, l</w:t>
      </w:r>
      <w:r w:rsidRPr="007C57D2">
        <w:rPr>
          <w:rFonts w:ascii="Times New Roman" w:hAnsi="Times New Roman"/>
          <w:sz w:val="28"/>
          <w:szCs w:val="28"/>
          <w:lang w:eastAsia="es-MX"/>
        </w:rPr>
        <w:t xml:space="preserve">a violación </w:t>
      </w:r>
      <w:r w:rsidRPr="007C57D2">
        <w:rPr>
          <w:rFonts w:ascii="Times New Roman" w:hAnsi="Times New Roman"/>
          <w:sz w:val="28"/>
          <w:szCs w:val="28"/>
          <w:lang w:eastAsia="es-MX"/>
        </w:rPr>
        <w:t>de dicho requisito</w:t>
      </w:r>
      <w:r w:rsidRPr="007C57D2">
        <w:rPr>
          <w:rFonts w:ascii="Times New Roman" w:hAnsi="Times New Roman"/>
          <w:sz w:val="28"/>
          <w:szCs w:val="28"/>
          <w:lang w:eastAsia="es-MX"/>
        </w:rPr>
        <w:t xml:space="preserve"> se produce cuando la</w:t>
      </w:r>
      <w:r w:rsidRPr="007C57D2">
        <w:rPr>
          <w:rFonts w:ascii="Times New Roman" w:hAnsi="Times New Roman"/>
          <w:sz w:val="28"/>
          <w:szCs w:val="28"/>
          <w:lang w:eastAsia="es-MX"/>
        </w:rPr>
        <w:t xml:space="preserve"> medida anula el</w:t>
      </w:r>
      <w:r w:rsidRPr="007C57D2">
        <w:rPr>
          <w:rFonts w:ascii="Times New Roman" w:hAnsi="Times New Roman"/>
          <w:sz w:val="28"/>
          <w:szCs w:val="28"/>
          <w:lang w:eastAsia="es-MX"/>
        </w:rPr>
        <w:t xml:space="preserve"> margen de valoración del </w:t>
      </w:r>
      <w:r w:rsidRPr="007C57D2">
        <w:rPr>
          <w:rFonts w:ascii="Times New Roman" w:hAnsi="Times New Roman"/>
          <w:sz w:val="28"/>
          <w:szCs w:val="28"/>
          <w:lang w:eastAsia="es-MX"/>
        </w:rPr>
        <w:t>Gobierno nacional</w:t>
      </w:r>
      <w:r w:rsidRPr="007C57D2">
        <w:rPr>
          <w:rFonts w:ascii="Times New Roman" w:hAnsi="Times New Roman"/>
          <w:sz w:val="28"/>
          <w:szCs w:val="28"/>
          <w:lang w:eastAsia="es-MX"/>
        </w:rPr>
        <w:t xml:space="preserve"> para incorporar en el presupuesto la partida correspondiente</w:t>
      </w:r>
      <w:r w:rsidRPr="007C57D2">
        <w:rPr>
          <w:rStyle w:val="Refdenotaalpie"/>
          <w:rFonts w:ascii="Times New Roman" w:hAnsi="Times New Roman"/>
          <w:sz w:val="28"/>
          <w:szCs w:val="28"/>
          <w:lang w:eastAsia="es-MX"/>
        </w:rPr>
        <w:footnoteReference w:id="234"/>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p>
    <w:p w:rsidR="00E176AF" w:rsidRPr="007C57D2" w:rsidRDefault="007C57D2" w:rsidP="008F3DAB">
      <w:pPr>
        <w:pStyle w:val="Prrafodelista"/>
        <w:tabs>
          <w:tab w:val="left" w:pos="567"/>
        </w:tabs>
        <w:ind w:left="0"/>
        <w:jc w:val="both"/>
        <w:rPr>
          <w:rFonts w:ascii="Times New Roman" w:hAnsi="Times New Roman"/>
          <w:sz w:val="28"/>
          <w:szCs w:val="28"/>
          <w:lang w:eastAsia="es-MX"/>
        </w:rPr>
      </w:pPr>
    </w:p>
    <w:p w:rsidR="003A2565"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En aplicación de esta regla de decisión, la Corte concluyó que la Ley 2280 de 2022, “por medio de la cual se aprueba el</w:t>
      </w:r>
      <w:bookmarkStart w:id="25" w:name="_Hlk126832191"/>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‘Tratado </w:t>
      </w:r>
      <w:r w:rsidRPr="007C57D2">
        <w:rPr>
          <w:rFonts w:ascii="Times New Roman" w:hAnsi="Times New Roman"/>
          <w:sz w:val="28"/>
          <w:szCs w:val="28"/>
          <w:lang w:eastAsia="es-MX"/>
        </w:rPr>
        <w:t>sobre traslado de personas condenadas entre la República de Perú y la República de Colombia</w:t>
      </w:r>
      <w:bookmarkEnd w:id="25"/>
      <w:r w:rsidRPr="007C57D2">
        <w:rPr>
          <w:rFonts w:ascii="Times New Roman" w:hAnsi="Times New Roman"/>
          <w:sz w:val="28"/>
          <w:szCs w:val="28"/>
          <w:lang w:eastAsia="es-MX"/>
        </w:rPr>
        <w:t>’, suscrito el 27 de febrero de 2018” no debía cumplir el requisito de análisis de impacto fiscal. Para el efecto, constató que, si bien el Acuerdo cumplía el criter</w:t>
      </w:r>
      <w:r w:rsidRPr="007C57D2">
        <w:rPr>
          <w:rFonts w:ascii="Times New Roman" w:hAnsi="Times New Roman"/>
          <w:sz w:val="28"/>
          <w:szCs w:val="28"/>
          <w:lang w:eastAsia="es-MX"/>
        </w:rPr>
        <w:t>io gramatical, no satisfacía el criterio funcional por dos razones: “el traslado que regula el Tratado es facultativo y, como tal, no es un derecho para los nacionales condenados penalmente en el Perú y, del otro, porque no todas las disposiciones que supo</w:t>
      </w:r>
      <w:r w:rsidRPr="007C57D2">
        <w:rPr>
          <w:rFonts w:ascii="Times New Roman" w:hAnsi="Times New Roman"/>
          <w:sz w:val="28"/>
          <w:szCs w:val="28"/>
          <w:lang w:eastAsia="es-MX"/>
        </w:rPr>
        <w:t>nen ‘responsabilidades fiscales’ para el Estado se pueden asociar con una orden de gastos, pues, en todo caso, están sometidas a la programación y disponibilidad presupuestal correspondiente”.</w:t>
      </w:r>
    </w:p>
    <w:p w:rsidR="00AD6DD3" w:rsidRPr="007C57D2" w:rsidRDefault="007C57D2" w:rsidP="008F3DAB">
      <w:pPr>
        <w:pStyle w:val="Prrafodelista"/>
        <w:tabs>
          <w:tab w:val="left" w:pos="567"/>
        </w:tabs>
        <w:ind w:left="0"/>
        <w:jc w:val="both"/>
        <w:rPr>
          <w:rFonts w:ascii="Times New Roman" w:hAnsi="Times New Roman"/>
          <w:sz w:val="28"/>
          <w:szCs w:val="28"/>
          <w:lang w:eastAsia="es-MX"/>
        </w:rPr>
      </w:pPr>
    </w:p>
    <w:p w:rsidR="00D44F7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eastAsia="es-MX"/>
        </w:rPr>
      </w:pPr>
      <w:r w:rsidRPr="007C57D2">
        <w:rPr>
          <w:rFonts w:ascii="Times New Roman" w:hAnsi="Times New Roman"/>
          <w:sz w:val="28"/>
          <w:szCs w:val="28"/>
          <w:lang w:eastAsia="es-MX"/>
        </w:rPr>
        <w:t xml:space="preserve">La segunda sentencia es </w:t>
      </w:r>
      <w:r w:rsidRPr="007C57D2">
        <w:rPr>
          <w:rFonts w:ascii="Times New Roman" w:hAnsi="Times New Roman"/>
          <w:sz w:val="28"/>
          <w:szCs w:val="28"/>
          <w:lang w:eastAsia="es-MX"/>
        </w:rPr>
        <w:t xml:space="preserve">la </w:t>
      </w:r>
      <w:r w:rsidRPr="007C57D2">
        <w:rPr>
          <w:rFonts w:ascii="Times New Roman" w:hAnsi="Times New Roman"/>
          <w:sz w:val="28"/>
          <w:szCs w:val="28"/>
          <w:lang w:eastAsia="es-MX"/>
        </w:rPr>
        <w:t>C-317 de 2024</w:t>
      </w:r>
      <w:r w:rsidRPr="007C57D2">
        <w:rPr>
          <w:rFonts w:ascii="Times New Roman" w:hAnsi="Times New Roman"/>
          <w:sz w:val="28"/>
          <w:szCs w:val="28"/>
          <w:lang w:eastAsia="es-MX"/>
        </w:rPr>
        <w:t>. En ella</w:t>
      </w:r>
      <w:r w:rsidRPr="007C57D2">
        <w:rPr>
          <w:rFonts w:ascii="Times New Roman" w:hAnsi="Times New Roman"/>
          <w:sz w:val="28"/>
          <w:szCs w:val="28"/>
          <w:lang w:eastAsia="es-MX"/>
        </w:rPr>
        <w:t xml:space="preserve"> la Sala Plen</w:t>
      </w:r>
      <w:r w:rsidRPr="007C57D2">
        <w:rPr>
          <w:rFonts w:ascii="Times New Roman" w:hAnsi="Times New Roman"/>
          <w:sz w:val="28"/>
          <w:szCs w:val="28"/>
          <w:lang w:eastAsia="es-MX"/>
        </w:rPr>
        <w:t xml:space="preserve">a explicó que entre las normas identificadas </w:t>
      </w:r>
      <w:r w:rsidRPr="007C57D2">
        <w:rPr>
          <w:rFonts w:ascii="Times New Roman" w:hAnsi="Times New Roman"/>
          <w:sz w:val="28"/>
          <w:szCs w:val="28"/>
          <w:lang w:eastAsia="es-MX"/>
        </w:rPr>
        <w:t xml:space="preserve">por la jurisprudencia </w:t>
      </w:r>
      <w:r w:rsidRPr="007C57D2">
        <w:rPr>
          <w:rFonts w:ascii="Times New Roman" w:hAnsi="Times New Roman"/>
          <w:sz w:val="28"/>
          <w:szCs w:val="28"/>
          <w:lang w:eastAsia="es-MX"/>
        </w:rPr>
        <w:t xml:space="preserve">que </w:t>
      </w:r>
      <w:r w:rsidRPr="007C57D2">
        <w:rPr>
          <w:rFonts w:ascii="Times New Roman" w:hAnsi="Times New Roman"/>
          <w:sz w:val="28"/>
          <w:szCs w:val="28"/>
          <w:lang w:eastAsia="es-MX"/>
        </w:rPr>
        <w:t xml:space="preserve">contienen una orden de </w:t>
      </w:r>
      <w:r w:rsidRPr="007C57D2">
        <w:rPr>
          <w:rFonts w:ascii="Times New Roman" w:hAnsi="Times New Roman"/>
          <w:sz w:val="28"/>
          <w:szCs w:val="28"/>
          <w:lang w:eastAsia="es-MX"/>
        </w:rPr>
        <w:t>gasto están “</w:t>
      </w:r>
      <w:r w:rsidRPr="007C57D2">
        <w:rPr>
          <w:rFonts w:ascii="Times New Roman" w:hAnsi="Times New Roman"/>
          <w:sz w:val="28"/>
          <w:szCs w:val="28"/>
          <w:lang w:val="es-ES"/>
        </w:rPr>
        <w:t>las que crean cargos, dependencias o entidades</w:t>
      </w:r>
      <w:r w:rsidRPr="007C57D2">
        <w:rPr>
          <w:rStyle w:val="Refdenotaalpie"/>
          <w:rFonts w:ascii="Times New Roman" w:hAnsi="Times New Roman"/>
          <w:sz w:val="28"/>
          <w:szCs w:val="28"/>
          <w:lang w:val="es-ES"/>
        </w:rPr>
        <w:footnoteReference w:id="235"/>
      </w:r>
      <w:r w:rsidRPr="007C57D2">
        <w:rPr>
          <w:rFonts w:ascii="Times New Roman" w:hAnsi="Times New Roman"/>
          <w:sz w:val="28"/>
          <w:szCs w:val="28"/>
          <w:lang w:val="es-ES"/>
        </w:rPr>
        <w:t>, las que ordenan un incremento en la remuneración de algunos servidores</w:t>
      </w:r>
      <w:r w:rsidRPr="007C57D2">
        <w:rPr>
          <w:rStyle w:val="Refdenotaalpie"/>
          <w:rFonts w:ascii="Times New Roman" w:hAnsi="Times New Roman"/>
          <w:sz w:val="28"/>
          <w:szCs w:val="28"/>
          <w:lang w:val="es-ES"/>
        </w:rPr>
        <w:footnoteReference w:id="236"/>
      </w:r>
      <w:r w:rsidRPr="007C57D2">
        <w:rPr>
          <w:rFonts w:ascii="Times New Roman" w:hAnsi="Times New Roman"/>
          <w:sz w:val="28"/>
          <w:szCs w:val="28"/>
          <w:lang w:val="es-ES"/>
        </w:rPr>
        <w:t xml:space="preserve"> o las que necesariamente derivan en un aumento de una partida presupuestal</w:t>
      </w:r>
      <w:r w:rsidRPr="007C57D2">
        <w:rPr>
          <w:rStyle w:val="Refdenotaalpie"/>
          <w:rFonts w:ascii="Times New Roman" w:hAnsi="Times New Roman"/>
          <w:sz w:val="28"/>
          <w:szCs w:val="28"/>
          <w:lang w:val="es-ES"/>
        </w:rPr>
        <w:footnoteReference w:id="237"/>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Advirtió que, en contraste y de acuerdo con la jurisprudencia en vigor, </w:t>
      </w:r>
      <w:r w:rsidRPr="007C57D2">
        <w:rPr>
          <w:rFonts w:ascii="Times New Roman" w:hAnsi="Times New Roman"/>
          <w:sz w:val="28"/>
          <w:szCs w:val="28"/>
          <w:lang w:val="es-ES"/>
        </w:rPr>
        <w:t>no constituyen órdenes de gasto estas iniciativas: “(i) únicamente autorizan un gasto que puede ser o no i</w:t>
      </w:r>
      <w:r w:rsidRPr="007C57D2">
        <w:rPr>
          <w:rFonts w:ascii="Times New Roman" w:hAnsi="Times New Roman"/>
          <w:sz w:val="28"/>
          <w:szCs w:val="28"/>
          <w:lang w:val="es-ES"/>
        </w:rPr>
        <w:t xml:space="preserve">ncluido en el presupuesto conforme a la voluntad del Gobierno </w:t>
      </w:r>
      <w:r w:rsidRPr="007C57D2">
        <w:rPr>
          <w:rFonts w:ascii="Times New Roman" w:hAnsi="Times New Roman"/>
          <w:sz w:val="28"/>
          <w:szCs w:val="28"/>
          <w:lang w:val="es-ES"/>
        </w:rPr>
        <w:t>n</w:t>
      </w:r>
      <w:r w:rsidRPr="007C57D2">
        <w:rPr>
          <w:rFonts w:ascii="Times New Roman" w:hAnsi="Times New Roman"/>
          <w:sz w:val="28"/>
          <w:szCs w:val="28"/>
          <w:lang w:val="es-ES"/>
        </w:rPr>
        <w:t>acional, (ii) no determinan con claridad si ordenan o autorizan un gasto porque dejan margen para que el Gobierno defina la manera de ejecutar la disposición, (iii) simplemente habilitan la rea</w:t>
      </w:r>
      <w:r w:rsidRPr="007C57D2">
        <w:rPr>
          <w:rFonts w:ascii="Times New Roman" w:hAnsi="Times New Roman"/>
          <w:sz w:val="28"/>
          <w:szCs w:val="28"/>
          <w:lang w:val="es-ES"/>
        </w:rPr>
        <w:t>lización de arreglos presupuestales sin ordenar que deban comportar un nuevo gasto o no fijan el responsable de cumplir la orden</w:t>
      </w:r>
      <w:r w:rsidRPr="007C57D2">
        <w:rPr>
          <w:rStyle w:val="Refdenotaalpie"/>
          <w:rFonts w:ascii="Times New Roman" w:hAnsi="Times New Roman"/>
          <w:sz w:val="28"/>
          <w:szCs w:val="28"/>
          <w:lang w:val="es-ES"/>
        </w:rPr>
        <w:footnoteReference w:id="238"/>
      </w:r>
      <w:r w:rsidRPr="007C57D2">
        <w:rPr>
          <w:rFonts w:ascii="Times New Roman" w:hAnsi="Times New Roman"/>
          <w:sz w:val="28"/>
          <w:szCs w:val="28"/>
          <w:lang w:val="es-ES"/>
        </w:rPr>
        <w:t xml:space="preserve"> y (iv) únicamente confieren competencias</w:t>
      </w:r>
      <w:r w:rsidRPr="007C57D2">
        <w:rPr>
          <w:rStyle w:val="Refdenotaalpie"/>
          <w:rFonts w:ascii="Times New Roman" w:hAnsi="Times New Roman"/>
          <w:sz w:val="28"/>
          <w:szCs w:val="28"/>
          <w:lang w:val="es-ES"/>
        </w:rPr>
        <w:footnoteReference w:id="239"/>
      </w:r>
      <w:r w:rsidRPr="007C57D2">
        <w:rPr>
          <w:rFonts w:ascii="Times New Roman" w:hAnsi="Times New Roman"/>
          <w:sz w:val="28"/>
          <w:szCs w:val="28"/>
          <w:lang w:val="es-ES"/>
        </w:rPr>
        <w:t xml:space="preserve"> o (v) reproducen órdenes de gasto contenidas en normas anteriores que no pueden ser </w:t>
      </w:r>
      <w:r w:rsidRPr="007C57D2">
        <w:rPr>
          <w:rFonts w:ascii="Times New Roman" w:hAnsi="Times New Roman"/>
          <w:sz w:val="28"/>
          <w:szCs w:val="28"/>
          <w:lang w:val="es-ES"/>
        </w:rPr>
        <w:t>contrastadas por la Corte</w:t>
      </w:r>
      <w:r w:rsidRPr="007C57D2">
        <w:rPr>
          <w:rStyle w:val="Refdenotaalpie"/>
          <w:rFonts w:ascii="Times New Roman" w:hAnsi="Times New Roman"/>
          <w:sz w:val="28"/>
          <w:szCs w:val="28"/>
          <w:lang w:val="es-ES"/>
        </w:rPr>
        <w:footnoteReference w:id="240"/>
      </w:r>
      <w:r w:rsidRPr="007C57D2">
        <w:rPr>
          <w:rFonts w:ascii="Times New Roman" w:hAnsi="Times New Roman"/>
          <w:sz w:val="28"/>
          <w:szCs w:val="28"/>
          <w:lang w:val="es-ES"/>
        </w:rPr>
        <w:t>”</w:t>
      </w:r>
      <w:r w:rsidRPr="007C57D2">
        <w:rPr>
          <w:rStyle w:val="Refdenotaalpie"/>
          <w:rFonts w:ascii="Times New Roman" w:hAnsi="Times New Roman"/>
          <w:sz w:val="28"/>
          <w:szCs w:val="28"/>
          <w:lang w:val="es-ES"/>
        </w:rPr>
        <w:footnoteReference w:id="241"/>
      </w:r>
      <w:r w:rsidRPr="007C57D2">
        <w:rPr>
          <w:rFonts w:ascii="Times New Roman" w:hAnsi="Times New Roman"/>
          <w:sz w:val="28"/>
          <w:szCs w:val="28"/>
          <w:lang w:val="es-ES"/>
        </w:rPr>
        <w:t>.</w:t>
      </w:r>
    </w:p>
    <w:p w:rsidR="003A2565" w:rsidRPr="007C57D2" w:rsidRDefault="007C57D2" w:rsidP="008F3DAB">
      <w:pPr>
        <w:pStyle w:val="Prrafodelista"/>
        <w:tabs>
          <w:tab w:val="left" w:pos="567"/>
        </w:tabs>
        <w:ind w:left="0"/>
        <w:jc w:val="both"/>
        <w:rPr>
          <w:rFonts w:ascii="Times New Roman" w:hAnsi="Times New Roman"/>
          <w:sz w:val="28"/>
          <w:szCs w:val="28"/>
          <w:lang w:eastAsia="es-MX"/>
        </w:rPr>
      </w:pPr>
    </w:p>
    <w:p w:rsidR="00D31E41"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eastAsia="es-MX"/>
        </w:rPr>
        <w:t xml:space="preserve">En la mencionada providencia, la </w:t>
      </w:r>
      <w:r w:rsidRPr="007C57D2">
        <w:rPr>
          <w:rFonts w:ascii="Times New Roman" w:hAnsi="Times New Roman"/>
          <w:sz w:val="28"/>
          <w:szCs w:val="28"/>
          <w:lang w:eastAsia="es-MX"/>
        </w:rPr>
        <w:t>Corporación</w:t>
      </w:r>
      <w:r w:rsidRPr="007C57D2">
        <w:rPr>
          <w:rFonts w:ascii="Times New Roman" w:hAnsi="Times New Roman"/>
          <w:sz w:val="28"/>
          <w:szCs w:val="28"/>
          <w:lang w:eastAsia="es-MX"/>
        </w:rPr>
        <w:t xml:space="preserve"> reiteró que, además, </w:t>
      </w:r>
      <w:r w:rsidRPr="007C57D2">
        <w:rPr>
          <w:rFonts w:ascii="Times New Roman" w:hAnsi="Times New Roman"/>
          <w:sz w:val="28"/>
          <w:szCs w:val="28"/>
          <w:lang w:val="es-ES"/>
        </w:rPr>
        <w:t>para determinar si una norma constituye una orden de gasto</w:t>
      </w:r>
      <w:r w:rsidRPr="007C57D2">
        <w:rPr>
          <w:rFonts w:ascii="Times New Roman" w:hAnsi="Times New Roman"/>
          <w:sz w:val="28"/>
          <w:szCs w:val="28"/>
          <w:lang w:val="es-ES"/>
        </w:rPr>
        <w:t>,</w:t>
      </w:r>
      <w:r w:rsidRPr="007C57D2">
        <w:rPr>
          <w:rFonts w:ascii="Times New Roman" w:hAnsi="Times New Roman"/>
          <w:sz w:val="28"/>
          <w:szCs w:val="28"/>
          <w:lang w:val="es-ES"/>
        </w:rPr>
        <w:t xml:space="preserve"> se deben considerar dos criterios: el gramatical y el funcional. El primer criterio considera las palabras empleadas por la norma. Así, por ejemplo, “el uso de términos como ‘debe’ o ‘puede’ son indicadores del nivel de vinculatoriedad, o no, de la norma”</w:t>
      </w:r>
      <w:r w:rsidRPr="007C57D2">
        <w:rPr>
          <w:rFonts w:ascii="Times New Roman" w:hAnsi="Times New Roman"/>
          <w:sz w:val="28"/>
          <w:szCs w:val="28"/>
          <w:lang w:val="es-ES"/>
        </w:rPr>
        <w:t>. Por su parte, el criterio funcional exige “analizar la finalidad de la disposición, su articulación con otras del ordenamiento, así como su nivel de concreción y ejecutabilidad”</w:t>
      </w:r>
      <w:r w:rsidRPr="007C57D2">
        <w:rPr>
          <w:rStyle w:val="Refdenotaalpie"/>
          <w:rFonts w:ascii="Times New Roman" w:hAnsi="Times New Roman"/>
          <w:sz w:val="28"/>
          <w:szCs w:val="28"/>
          <w:shd w:val="clear" w:color="auto" w:fill="FFFFFF"/>
        </w:rPr>
        <w:footnoteReference w:id="242"/>
      </w:r>
      <w:r w:rsidRPr="007C57D2">
        <w:rPr>
          <w:rFonts w:ascii="Times New Roman" w:hAnsi="Times New Roman"/>
          <w:sz w:val="28"/>
          <w:szCs w:val="28"/>
          <w:lang w:val="es-ES"/>
        </w:rPr>
        <w:t>. La aplicación de los dos criterios es necesaria porque, “pese al uso de vo</w:t>
      </w:r>
      <w:r w:rsidRPr="007C57D2">
        <w:rPr>
          <w:rFonts w:ascii="Times New Roman" w:hAnsi="Times New Roman"/>
          <w:sz w:val="28"/>
          <w:szCs w:val="28"/>
          <w:lang w:val="es-ES"/>
        </w:rPr>
        <w:t xml:space="preserve">cablos imperativos, puede darse el caso en que la norma objeto de control no constituya una orden de gasto al carecer de un título jurídico suficiente para la inclusión de una partida presupuestal. Tal es el supuesto, por ejemplo, cuando la norma requiere </w:t>
      </w:r>
      <w:r w:rsidRPr="007C57D2">
        <w:rPr>
          <w:rFonts w:ascii="Times New Roman" w:hAnsi="Times New Roman"/>
          <w:sz w:val="28"/>
          <w:szCs w:val="28"/>
          <w:lang w:val="es-ES"/>
        </w:rPr>
        <w:t>de un desarrollo normativo posterior para su implementación</w:t>
      </w:r>
      <w:r w:rsidRPr="007C57D2">
        <w:rPr>
          <w:rFonts w:ascii="Times New Roman" w:hAnsi="Times New Roman"/>
          <w:sz w:val="28"/>
          <w:szCs w:val="28"/>
          <w:vertAlign w:val="superscript"/>
          <w:lang w:val="es-ES"/>
        </w:rPr>
        <w:footnoteReference w:id="243"/>
      </w:r>
      <w:r w:rsidRPr="007C57D2">
        <w:rPr>
          <w:rFonts w:ascii="Times New Roman" w:hAnsi="Times New Roman"/>
          <w:sz w:val="28"/>
          <w:szCs w:val="28"/>
          <w:lang w:val="es-ES"/>
        </w:rPr>
        <w:t>”</w:t>
      </w:r>
      <w:r w:rsidRPr="007C57D2">
        <w:rPr>
          <w:rStyle w:val="Refdenotaalpie"/>
          <w:rFonts w:ascii="Times New Roman" w:hAnsi="Times New Roman"/>
          <w:sz w:val="28"/>
          <w:szCs w:val="28"/>
          <w:shd w:val="clear" w:color="auto" w:fill="FFFFFF"/>
        </w:rPr>
        <w:footnoteReference w:id="244"/>
      </w:r>
      <w:r w:rsidRPr="007C57D2">
        <w:rPr>
          <w:rFonts w:ascii="Times New Roman" w:hAnsi="Times New Roman"/>
          <w:sz w:val="28"/>
          <w:szCs w:val="28"/>
          <w:lang w:val="es-ES"/>
        </w:rPr>
        <w:t xml:space="preserve">. </w:t>
      </w:r>
    </w:p>
    <w:p w:rsidR="003A00F8" w:rsidRPr="007C57D2" w:rsidRDefault="007C57D2" w:rsidP="008F3DAB">
      <w:pPr>
        <w:pStyle w:val="Prrafodelista"/>
        <w:tabs>
          <w:tab w:val="left" w:pos="567"/>
        </w:tabs>
        <w:ind w:left="0"/>
        <w:jc w:val="both"/>
        <w:rPr>
          <w:rFonts w:ascii="Times New Roman" w:hAnsi="Times New Roman"/>
          <w:sz w:val="28"/>
          <w:szCs w:val="28"/>
          <w:lang w:val="es-ES"/>
        </w:rPr>
      </w:pPr>
    </w:p>
    <w:p w:rsidR="0016179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De conformidad con lo expuesto, en la Sentencia C-</w:t>
      </w:r>
      <w:r w:rsidRPr="007C57D2">
        <w:rPr>
          <w:rFonts w:ascii="Times New Roman" w:hAnsi="Times New Roman"/>
          <w:sz w:val="28"/>
          <w:szCs w:val="28"/>
          <w:lang w:eastAsia="es-MX"/>
        </w:rPr>
        <w:t xml:space="preserve">317 de 2024, la Corte concluyó que el proyecto de ley estatutaria </w:t>
      </w:r>
      <w:r w:rsidRPr="007C57D2">
        <w:rPr>
          <w:rFonts w:ascii="Times New Roman" w:hAnsi="Times New Roman"/>
          <w:sz w:val="28"/>
          <w:szCs w:val="28"/>
          <w:lang w:val="es-ES"/>
        </w:rPr>
        <w:t>“[p]or medio del cual se establecen medidas para prevenir, atender, rechaz</w:t>
      </w:r>
      <w:r w:rsidRPr="007C57D2">
        <w:rPr>
          <w:rFonts w:ascii="Times New Roman" w:hAnsi="Times New Roman"/>
          <w:sz w:val="28"/>
          <w:szCs w:val="28"/>
          <w:lang w:val="es-ES"/>
        </w:rPr>
        <w:t xml:space="preserve">ar y sancionar la violencia contra las mujeres en política y hacer efectivo su derecho a la participación en todos los niveles” no contiene órdenes de gasto y, en esa medida, no </w:t>
      </w:r>
      <w:r w:rsidRPr="007C57D2">
        <w:rPr>
          <w:rFonts w:ascii="Times New Roman" w:hAnsi="Times New Roman"/>
          <w:sz w:val="28"/>
          <w:szCs w:val="28"/>
          <w:lang w:val="es-ES"/>
        </w:rPr>
        <w:t xml:space="preserve">debía cumplir </w:t>
      </w:r>
      <w:r w:rsidRPr="007C57D2">
        <w:rPr>
          <w:rFonts w:ascii="Times New Roman" w:hAnsi="Times New Roman"/>
          <w:sz w:val="28"/>
          <w:szCs w:val="28"/>
          <w:lang w:val="es-ES"/>
        </w:rPr>
        <w:t>el requisito del análisis de impacto fiscal. Para sustentar esta</w:t>
      </w:r>
      <w:r w:rsidRPr="007C57D2">
        <w:rPr>
          <w:rFonts w:ascii="Times New Roman" w:hAnsi="Times New Roman"/>
          <w:sz w:val="28"/>
          <w:szCs w:val="28"/>
          <w:lang w:val="es-ES"/>
        </w:rPr>
        <w:t xml:space="preserve"> posición, la Sala consideró</w:t>
      </w:r>
      <w:r w:rsidRPr="007C57D2">
        <w:rPr>
          <w:rFonts w:ascii="Times New Roman" w:hAnsi="Times New Roman"/>
          <w:sz w:val="28"/>
          <w:szCs w:val="28"/>
          <w:lang w:val="es-ES"/>
        </w:rPr>
        <w:t xml:space="preserve"> varios elementos: primero, </w:t>
      </w:r>
      <w:r w:rsidRPr="007C57D2">
        <w:rPr>
          <w:rFonts w:ascii="Times New Roman" w:hAnsi="Times New Roman"/>
          <w:sz w:val="28"/>
          <w:szCs w:val="28"/>
          <w:lang w:val="es-ES"/>
        </w:rPr>
        <w:t xml:space="preserve">la postura de los actores involucrados </w:t>
      </w:r>
      <w:r w:rsidRPr="007C57D2">
        <w:rPr>
          <w:rFonts w:ascii="Times New Roman" w:hAnsi="Times New Roman"/>
          <w:sz w:val="28"/>
          <w:szCs w:val="28"/>
          <w:lang w:val="es-ES"/>
        </w:rPr>
        <w:t>en</w:t>
      </w:r>
      <w:r w:rsidRPr="007C57D2">
        <w:rPr>
          <w:rFonts w:ascii="Times New Roman" w:hAnsi="Times New Roman"/>
          <w:sz w:val="28"/>
          <w:szCs w:val="28"/>
          <w:lang w:val="es-ES"/>
        </w:rPr>
        <w:t xml:space="preserve"> el cumplimiento de este requisito </w:t>
      </w:r>
      <w:r w:rsidRPr="007C57D2">
        <w:rPr>
          <w:rFonts w:ascii="Times New Roman" w:hAnsi="Times New Roman"/>
          <w:sz w:val="28"/>
          <w:szCs w:val="28"/>
          <w:shd w:val="clear" w:color="auto" w:fill="FFFFFF"/>
        </w:rPr>
        <w:t xml:space="preserve">—los autores, los ponentes y el </w:t>
      </w:r>
      <w:r w:rsidRPr="007C57D2">
        <w:rPr>
          <w:rFonts w:ascii="Times New Roman" w:hAnsi="Times New Roman"/>
          <w:spacing w:val="-20"/>
          <w:sz w:val="28"/>
          <w:szCs w:val="28"/>
          <w:shd w:val="clear" w:color="auto" w:fill="FFFFFF"/>
        </w:rPr>
        <w:t>MHCP—</w:t>
      </w:r>
      <w:r w:rsidRPr="007C57D2">
        <w:rPr>
          <w:rFonts w:ascii="Times New Roman" w:hAnsi="Times New Roman"/>
          <w:spacing w:val="-36"/>
          <w:sz w:val="28"/>
          <w:szCs w:val="28"/>
          <w:shd w:val="clear" w:color="auto" w:fill="FFFFFF"/>
        </w:rPr>
        <w:t>,</w:t>
      </w:r>
      <w:r w:rsidRPr="007C57D2">
        <w:rPr>
          <w:rFonts w:ascii="Times New Roman" w:hAnsi="Times New Roman"/>
          <w:sz w:val="28"/>
          <w:szCs w:val="28"/>
          <w:shd w:val="clear" w:color="auto" w:fill="FFFFFF"/>
        </w:rPr>
        <w:t xml:space="preserve"> quienes estimaron que el proyecto de ley no incluía una orden de gasto</w:t>
      </w:r>
      <w:r w:rsidRPr="007C57D2">
        <w:rPr>
          <w:rFonts w:ascii="Times New Roman" w:hAnsi="Times New Roman"/>
          <w:sz w:val="28"/>
          <w:szCs w:val="28"/>
          <w:shd w:val="clear" w:color="auto" w:fill="FFFFFF"/>
        </w:rPr>
        <w:t>; segundo, el m</w:t>
      </w:r>
      <w:r w:rsidRPr="007C57D2">
        <w:rPr>
          <w:rFonts w:ascii="Times New Roman" w:hAnsi="Times New Roman"/>
          <w:sz w:val="28"/>
          <w:szCs w:val="28"/>
          <w:shd w:val="clear" w:color="auto" w:fill="FFFFFF"/>
        </w:rPr>
        <w:t xml:space="preserve">argen de maniobra que las normas concedían al Gobierno nacional para ejecutar sus mandatos que, en todo caso, eran imperativos — algunas normas empleaban </w:t>
      </w:r>
      <w:r w:rsidRPr="007C57D2">
        <w:rPr>
          <w:rFonts w:ascii="Times New Roman" w:hAnsi="Times New Roman"/>
          <w:sz w:val="28"/>
          <w:szCs w:val="28"/>
          <w:shd w:val="clear" w:color="auto" w:fill="FFFFFF"/>
          <w:lang w:val="es-ES"/>
        </w:rPr>
        <w:t>los verbos “diseñarán”, “implementarán” e “incluirán”</w:t>
      </w:r>
      <w:r w:rsidRPr="007C57D2">
        <w:rPr>
          <w:rFonts w:ascii="Times New Roman" w:hAnsi="Times New Roman"/>
          <w:sz w:val="28"/>
          <w:szCs w:val="28"/>
          <w:shd w:val="clear" w:color="auto" w:fill="FFFFFF"/>
        </w:rPr>
        <w:t>—; tercero, las medidas est</w:t>
      </w:r>
      <w:r w:rsidRPr="007C57D2">
        <w:rPr>
          <w:rFonts w:ascii="Times New Roman" w:hAnsi="Times New Roman"/>
          <w:sz w:val="28"/>
          <w:szCs w:val="28"/>
          <w:shd w:val="clear" w:color="auto" w:fill="FFFFFF"/>
        </w:rPr>
        <w:t>á</w:t>
      </w:r>
      <w:r w:rsidRPr="007C57D2">
        <w:rPr>
          <w:rFonts w:ascii="Times New Roman" w:hAnsi="Times New Roman"/>
          <w:sz w:val="28"/>
          <w:szCs w:val="28"/>
          <w:shd w:val="clear" w:color="auto" w:fill="FFFFFF"/>
        </w:rPr>
        <w:t xml:space="preserve">n a cargo de </w:t>
      </w:r>
      <w:r w:rsidRPr="007C57D2">
        <w:rPr>
          <w:rFonts w:ascii="Times New Roman" w:hAnsi="Times New Roman"/>
          <w:sz w:val="28"/>
          <w:szCs w:val="28"/>
          <w:lang w:val="es-ES"/>
        </w:rPr>
        <w:t>entidades o dependencias de entidades públicas cuya misionalidad se relaciona directamente con el objeto de dichas medidas y que “no necesariamente comprometen más recursos que aquellos con los que actualmente cuentan esas entidades”</w:t>
      </w:r>
      <w:r w:rsidRPr="007C57D2">
        <w:rPr>
          <w:rStyle w:val="Refdenotaalpie"/>
          <w:rFonts w:ascii="Times New Roman" w:hAnsi="Times New Roman"/>
          <w:sz w:val="28"/>
          <w:szCs w:val="28"/>
          <w:shd w:val="clear" w:color="auto" w:fill="FFFFFF"/>
        </w:rPr>
        <w:footnoteReference w:id="245"/>
      </w:r>
      <w:r w:rsidRPr="007C57D2">
        <w:rPr>
          <w:rFonts w:ascii="Times New Roman" w:hAnsi="Times New Roman"/>
          <w:sz w:val="28"/>
          <w:szCs w:val="28"/>
          <w:shd w:val="clear" w:color="auto" w:fill="FFFFFF"/>
        </w:rPr>
        <w:t xml:space="preserve">; </w:t>
      </w:r>
      <w:r w:rsidRPr="007C57D2">
        <w:rPr>
          <w:rFonts w:ascii="Times New Roman" w:hAnsi="Times New Roman"/>
          <w:sz w:val="28"/>
          <w:szCs w:val="28"/>
          <w:shd w:val="clear" w:color="auto" w:fill="FFFFFF"/>
        </w:rPr>
        <w:t xml:space="preserve">y, </w:t>
      </w:r>
      <w:r w:rsidRPr="007C57D2">
        <w:rPr>
          <w:rFonts w:ascii="Times New Roman" w:hAnsi="Times New Roman"/>
          <w:sz w:val="28"/>
          <w:szCs w:val="28"/>
          <w:shd w:val="clear" w:color="auto" w:fill="FFFFFF"/>
        </w:rPr>
        <w:t>cuarto, en alguna</w:t>
      </w:r>
      <w:r w:rsidRPr="007C57D2">
        <w:rPr>
          <w:rFonts w:ascii="Times New Roman" w:hAnsi="Times New Roman"/>
          <w:sz w:val="28"/>
          <w:szCs w:val="28"/>
          <w:shd w:val="clear" w:color="auto" w:fill="FFFFFF"/>
        </w:rPr>
        <w:t xml:space="preserve">s normas no </w:t>
      </w:r>
      <w:r w:rsidRPr="007C57D2">
        <w:rPr>
          <w:rFonts w:ascii="Times New Roman" w:hAnsi="Times New Roman"/>
          <w:sz w:val="28"/>
          <w:szCs w:val="28"/>
          <w:shd w:val="clear" w:color="auto" w:fill="FFFFFF"/>
        </w:rPr>
        <w:t>era</w:t>
      </w:r>
      <w:r w:rsidRPr="007C57D2">
        <w:rPr>
          <w:rFonts w:ascii="Times New Roman" w:hAnsi="Times New Roman"/>
          <w:sz w:val="28"/>
          <w:szCs w:val="28"/>
          <w:shd w:val="clear" w:color="auto" w:fill="FFFFFF"/>
        </w:rPr>
        <w:t xml:space="preserve"> claro </w:t>
      </w:r>
      <w:r w:rsidRPr="007C57D2">
        <w:rPr>
          <w:rFonts w:ascii="Times New Roman" w:hAnsi="Times New Roman"/>
          <w:sz w:val="28"/>
          <w:szCs w:val="28"/>
          <w:shd w:val="clear" w:color="auto" w:fill="FFFFFF"/>
        </w:rPr>
        <w:t xml:space="preserve">cuáles eran </w:t>
      </w:r>
      <w:r w:rsidRPr="007C57D2">
        <w:rPr>
          <w:rFonts w:ascii="Times New Roman" w:hAnsi="Times New Roman"/>
          <w:sz w:val="28"/>
          <w:szCs w:val="28"/>
          <w:shd w:val="clear" w:color="auto" w:fill="FFFFFF"/>
        </w:rPr>
        <w:t>la</w:t>
      </w:r>
      <w:r w:rsidRPr="007C57D2">
        <w:rPr>
          <w:rFonts w:ascii="Times New Roman" w:hAnsi="Times New Roman"/>
          <w:sz w:val="28"/>
          <w:szCs w:val="28"/>
          <w:shd w:val="clear" w:color="auto" w:fill="FFFFFF"/>
        </w:rPr>
        <w:t>s</w:t>
      </w:r>
      <w:r w:rsidRPr="007C57D2">
        <w:rPr>
          <w:rFonts w:ascii="Times New Roman" w:hAnsi="Times New Roman"/>
          <w:sz w:val="28"/>
          <w:szCs w:val="28"/>
          <w:shd w:val="clear" w:color="auto" w:fill="FFFFFF"/>
        </w:rPr>
        <w:t xml:space="preserve"> entidad</w:t>
      </w:r>
      <w:r w:rsidRPr="007C57D2">
        <w:rPr>
          <w:rFonts w:ascii="Times New Roman" w:hAnsi="Times New Roman"/>
          <w:sz w:val="28"/>
          <w:szCs w:val="28"/>
          <w:shd w:val="clear" w:color="auto" w:fill="FFFFFF"/>
        </w:rPr>
        <w:t>es</w:t>
      </w:r>
      <w:r w:rsidRPr="007C57D2">
        <w:rPr>
          <w:rFonts w:ascii="Times New Roman" w:hAnsi="Times New Roman"/>
          <w:sz w:val="28"/>
          <w:szCs w:val="28"/>
          <w:shd w:val="clear" w:color="auto" w:fill="FFFFFF"/>
        </w:rPr>
        <w:t xml:space="preserve"> responsable</w:t>
      </w:r>
      <w:r w:rsidRPr="007C57D2">
        <w:rPr>
          <w:rFonts w:ascii="Times New Roman" w:hAnsi="Times New Roman"/>
          <w:sz w:val="28"/>
          <w:szCs w:val="28"/>
          <w:shd w:val="clear" w:color="auto" w:fill="FFFFFF"/>
        </w:rPr>
        <w:t>s</w:t>
      </w:r>
      <w:r w:rsidRPr="007C57D2">
        <w:rPr>
          <w:rFonts w:ascii="Times New Roman" w:hAnsi="Times New Roman"/>
          <w:sz w:val="28"/>
          <w:szCs w:val="28"/>
          <w:shd w:val="clear" w:color="auto" w:fill="FFFFFF"/>
        </w:rPr>
        <w:t xml:space="preserve"> de cumplir el mandato o </w:t>
      </w:r>
      <w:r w:rsidRPr="007C57D2">
        <w:rPr>
          <w:rFonts w:ascii="Times New Roman" w:hAnsi="Times New Roman"/>
          <w:sz w:val="28"/>
          <w:szCs w:val="28"/>
          <w:shd w:val="clear" w:color="auto" w:fill="FFFFFF"/>
        </w:rPr>
        <w:t>“el alcance de cada una en el cumplimiento de la obligación”</w:t>
      </w:r>
      <w:r w:rsidRPr="007C57D2">
        <w:rPr>
          <w:rStyle w:val="Refdenotaalpie"/>
          <w:rFonts w:ascii="Times New Roman" w:hAnsi="Times New Roman"/>
          <w:sz w:val="28"/>
          <w:szCs w:val="28"/>
          <w:shd w:val="clear" w:color="auto" w:fill="FFFFFF"/>
        </w:rPr>
        <w:t xml:space="preserve"> </w:t>
      </w:r>
      <w:r w:rsidRPr="007C57D2">
        <w:rPr>
          <w:rStyle w:val="Refdenotaalpie"/>
          <w:rFonts w:ascii="Times New Roman" w:hAnsi="Times New Roman"/>
          <w:sz w:val="28"/>
          <w:szCs w:val="28"/>
          <w:shd w:val="clear" w:color="auto" w:fill="FFFFFF"/>
        </w:rPr>
        <w:footnoteReference w:id="246"/>
      </w:r>
      <w:r w:rsidRPr="007C57D2">
        <w:rPr>
          <w:rFonts w:ascii="Times New Roman" w:hAnsi="Times New Roman"/>
          <w:sz w:val="28"/>
          <w:szCs w:val="28"/>
          <w:shd w:val="clear" w:color="auto" w:fill="FFFFFF"/>
        </w:rPr>
        <w:t>.</w:t>
      </w:r>
    </w:p>
    <w:p w:rsidR="0016179E" w:rsidRPr="007C57D2" w:rsidRDefault="007C57D2" w:rsidP="008F3DAB">
      <w:pPr>
        <w:pStyle w:val="Prrafodelista"/>
        <w:tabs>
          <w:tab w:val="left" w:pos="567"/>
        </w:tabs>
        <w:ind w:left="0"/>
        <w:jc w:val="both"/>
        <w:rPr>
          <w:rFonts w:ascii="Times New Roman" w:hAnsi="Times New Roman"/>
          <w:b/>
          <w:bCs/>
          <w:sz w:val="28"/>
          <w:szCs w:val="28"/>
          <w:lang w:val="es-ES"/>
        </w:rPr>
      </w:pPr>
    </w:p>
    <w:p w:rsidR="0016179E" w:rsidRPr="007C57D2" w:rsidRDefault="007C57D2" w:rsidP="008F3DAB">
      <w:pPr>
        <w:pStyle w:val="Prrafodelista"/>
        <w:tabs>
          <w:tab w:val="left" w:pos="567"/>
        </w:tabs>
        <w:ind w:left="0"/>
        <w:jc w:val="both"/>
        <w:rPr>
          <w:rFonts w:ascii="Times New Roman" w:hAnsi="Times New Roman"/>
          <w:b/>
          <w:bCs/>
          <w:sz w:val="28"/>
          <w:szCs w:val="28"/>
          <w:lang w:val="es-ES"/>
        </w:rPr>
      </w:pPr>
      <w:r w:rsidRPr="007C57D2">
        <w:rPr>
          <w:rFonts w:ascii="Times New Roman" w:hAnsi="Times New Roman"/>
          <w:b/>
          <w:bCs/>
          <w:sz w:val="28"/>
          <w:szCs w:val="28"/>
          <w:lang w:val="es-ES"/>
        </w:rPr>
        <w:t>4.9.2. El PLE no contiene órdenes de gasto</w:t>
      </w:r>
    </w:p>
    <w:p w:rsidR="0075075A" w:rsidRPr="007C57D2" w:rsidRDefault="007C57D2" w:rsidP="008F3DAB">
      <w:pPr>
        <w:pStyle w:val="Prrafodelista"/>
        <w:tabs>
          <w:tab w:val="left" w:pos="567"/>
        </w:tabs>
        <w:ind w:left="0"/>
        <w:jc w:val="both"/>
        <w:rPr>
          <w:rFonts w:ascii="Times New Roman" w:hAnsi="Times New Roman"/>
          <w:b/>
          <w:bCs/>
          <w:sz w:val="28"/>
          <w:szCs w:val="28"/>
          <w:lang w:val="es-ES"/>
        </w:rPr>
      </w:pPr>
    </w:p>
    <w:p w:rsidR="008530D9"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eastAsia="es-MX"/>
        </w:rPr>
        <w:t>Con base en las anteriores consideraciones, la Corte concluye</w:t>
      </w:r>
      <w:r w:rsidRPr="007C57D2">
        <w:rPr>
          <w:rFonts w:ascii="Times New Roman" w:hAnsi="Times New Roman"/>
          <w:sz w:val="28"/>
          <w:szCs w:val="28"/>
          <w:lang w:eastAsia="es-MX"/>
        </w:rPr>
        <w:t xml:space="preserve"> que</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 xml:space="preserve">el </w:t>
      </w:r>
      <w:r w:rsidRPr="007C57D2">
        <w:rPr>
          <w:rFonts w:ascii="Times New Roman" w:hAnsi="Times New Roman"/>
          <w:sz w:val="28"/>
          <w:szCs w:val="28"/>
          <w:lang w:eastAsia="es-MX"/>
        </w:rPr>
        <w:t xml:space="preserve">PLE no debía cumplir el </w:t>
      </w:r>
      <w:r w:rsidRPr="007C57D2">
        <w:rPr>
          <w:rFonts w:ascii="Times New Roman" w:hAnsi="Times New Roman"/>
          <w:sz w:val="28"/>
          <w:szCs w:val="28"/>
          <w:lang w:eastAsia="es-MX"/>
        </w:rPr>
        <w:t xml:space="preserve">requisito de análisis de impacto fiscal porque sus disposiciones no </w:t>
      </w:r>
      <w:r w:rsidRPr="007C57D2">
        <w:rPr>
          <w:rFonts w:ascii="Times New Roman" w:hAnsi="Times New Roman"/>
          <w:sz w:val="28"/>
          <w:szCs w:val="28"/>
          <w:lang w:eastAsia="es-MX"/>
        </w:rPr>
        <w:t>contienen órdenes de gasto.</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En concreto</w:t>
      </w:r>
      <w:r w:rsidRPr="007C57D2">
        <w:rPr>
          <w:rFonts w:ascii="Times New Roman" w:hAnsi="Times New Roman"/>
          <w:sz w:val="28"/>
          <w:szCs w:val="28"/>
          <w:lang w:eastAsia="es-MX"/>
        </w:rPr>
        <w:t xml:space="preserve">, si bien algunas </w:t>
      </w:r>
      <w:r w:rsidRPr="007C57D2">
        <w:rPr>
          <w:rFonts w:ascii="Times New Roman" w:hAnsi="Times New Roman"/>
          <w:sz w:val="28"/>
          <w:szCs w:val="28"/>
          <w:lang w:eastAsia="es-MX"/>
        </w:rPr>
        <w:t xml:space="preserve">de ellas </w:t>
      </w:r>
      <w:r w:rsidRPr="007C57D2">
        <w:rPr>
          <w:rFonts w:ascii="Times New Roman" w:hAnsi="Times New Roman"/>
          <w:sz w:val="28"/>
          <w:szCs w:val="28"/>
          <w:lang w:eastAsia="es-MX"/>
        </w:rPr>
        <w:t>cumplen el requisito gramatical, no satisfacen la exigencia funcional.</w:t>
      </w:r>
    </w:p>
    <w:p w:rsidR="0075075A" w:rsidRPr="007C57D2" w:rsidRDefault="007C57D2" w:rsidP="008F3DAB">
      <w:pPr>
        <w:pStyle w:val="Prrafodelista"/>
        <w:tabs>
          <w:tab w:val="left" w:pos="567"/>
        </w:tabs>
        <w:ind w:left="0"/>
        <w:jc w:val="both"/>
        <w:rPr>
          <w:rFonts w:ascii="Times New Roman" w:hAnsi="Times New Roman"/>
          <w:sz w:val="28"/>
          <w:szCs w:val="28"/>
          <w:lang w:val="es-ES"/>
        </w:rPr>
      </w:pPr>
    </w:p>
    <w:p w:rsidR="005F50D4"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páginas anteriores </w:t>
      </w:r>
      <w:r w:rsidRPr="007C57D2">
        <w:rPr>
          <w:rFonts w:ascii="Times New Roman" w:hAnsi="Times New Roman"/>
          <w:sz w:val="28"/>
          <w:szCs w:val="28"/>
          <w:lang w:val="es-ES"/>
        </w:rPr>
        <w:t>se indicó</w:t>
      </w:r>
      <w:r w:rsidRPr="007C57D2">
        <w:rPr>
          <w:rFonts w:ascii="Times New Roman" w:hAnsi="Times New Roman"/>
          <w:sz w:val="28"/>
          <w:szCs w:val="28"/>
          <w:lang w:val="es-ES"/>
        </w:rPr>
        <w:t xml:space="preserve"> que el PLE consta de 15 artículos. </w:t>
      </w:r>
      <w:r w:rsidRPr="007C57D2">
        <w:rPr>
          <w:rFonts w:ascii="Times New Roman" w:hAnsi="Times New Roman"/>
          <w:sz w:val="28"/>
          <w:szCs w:val="28"/>
          <w:lang w:val="es-ES"/>
        </w:rPr>
        <w:t>Para verificar el cumplimiento de</w:t>
      </w:r>
      <w:r w:rsidRPr="007C57D2">
        <w:rPr>
          <w:rFonts w:ascii="Times New Roman" w:hAnsi="Times New Roman"/>
          <w:sz w:val="28"/>
          <w:szCs w:val="28"/>
          <w:lang w:val="es-ES"/>
        </w:rPr>
        <w:t xml:space="preserve"> los dos criterios</w:t>
      </w:r>
      <w:r w:rsidRPr="007C57D2">
        <w:rPr>
          <w:rFonts w:ascii="Times New Roman" w:hAnsi="Times New Roman"/>
          <w:sz w:val="28"/>
          <w:szCs w:val="28"/>
          <w:lang w:val="es-ES"/>
        </w:rPr>
        <w:t xml:space="preserve">, la Sala </w:t>
      </w:r>
      <w:r w:rsidRPr="007C57D2">
        <w:rPr>
          <w:rFonts w:ascii="Times New Roman" w:hAnsi="Times New Roman"/>
          <w:sz w:val="28"/>
          <w:szCs w:val="28"/>
          <w:lang w:val="es-ES"/>
        </w:rPr>
        <w:t xml:space="preserve">dividirá este apartado en </w:t>
      </w:r>
      <w:r w:rsidRPr="007C57D2">
        <w:rPr>
          <w:rFonts w:ascii="Times New Roman" w:hAnsi="Times New Roman"/>
          <w:sz w:val="28"/>
          <w:szCs w:val="28"/>
          <w:lang w:val="es-ES"/>
        </w:rPr>
        <w:t>dos</w:t>
      </w:r>
      <w:r w:rsidRPr="007C57D2">
        <w:rPr>
          <w:rFonts w:ascii="Times New Roman" w:hAnsi="Times New Roman"/>
          <w:sz w:val="28"/>
          <w:szCs w:val="28"/>
          <w:lang w:val="es-ES"/>
        </w:rPr>
        <w:t xml:space="preserve"> grupos de artículos: </w:t>
      </w:r>
      <w:r w:rsidRPr="007C57D2">
        <w:rPr>
          <w:rFonts w:ascii="Times New Roman" w:hAnsi="Times New Roman"/>
          <w:sz w:val="28"/>
          <w:szCs w:val="28"/>
          <w:lang w:val="es-ES"/>
        </w:rPr>
        <w:t>los artículos que no imponen ninguna obligación, deber o tarea a alguna entid</w:t>
      </w:r>
      <w:r w:rsidRPr="007C57D2">
        <w:rPr>
          <w:rFonts w:ascii="Times New Roman" w:hAnsi="Times New Roman"/>
          <w:sz w:val="28"/>
          <w:szCs w:val="28"/>
          <w:lang w:val="es-ES"/>
        </w:rPr>
        <w:t>ad pública</w:t>
      </w:r>
      <w:r w:rsidRPr="007C57D2">
        <w:rPr>
          <w:rFonts w:ascii="Times New Roman" w:hAnsi="Times New Roman"/>
          <w:sz w:val="28"/>
          <w:szCs w:val="28"/>
          <w:lang w:val="es-ES"/>
        </w:rPr>
        <w:t xml:space="preserve"> y </w:t>
      </w:r>
      <w:r w:rsidRPr="007C57D2">
        <w:rPr>
          <w:rFonts w:ascii="Times New Roman" w:hAnsi="Times New Roman"/>
          <w:sz w:val="28"/>
          <w:szCs w:val="28"/>
          <w:lang w:val="es-ES"/>
        </w:rPr>
        <w:t xml:space="preserve">los artículos que sí lo </w:t>
      </w:r>
      <w:r w:rsidRPr="007C57D2">
        <w:rPr>
          <w:rFonts w:ascii="Times New Roman" w:hAnsi="Times New Roman"/>
          <w:sz w:val="28"/>
          <w:szCs w:val="28"/>
          <w:lang w:val="es-ES"/>
        </w:rPr>
        <w:t>hacen</w:t>
      </w:r>
      <w:r w:rsidRPr="007C57D2">
        <w:rPr>
          <w:rFonts w:ascii="Times New Roman" w:hAnsi="Times New Roman"/>
          <w:sz w:val="28"/>
          <w:szCs w:val="28"/>
          <w:lang w:val="es-ES"/>
        </w:rPr>
        <w:t>.</w:t>
      </w:r>
    </w:p>
    <w:p w:rsidR="00531EDF" w:rsidRPr="007C57D2" w:rsidRDefault="007C57D2" w:rsidP="008F3DAB">
      <w:pPr>
        <w:pStyle w:val="Prrafodelista"/>
        <w:tabs>
          <w:tab w:val="left" w:pos="567"/>
        </w:tabs>
        <w:ind w:left="0"/>
        <w:jc w:val="both"/>
        <w:rPr>
          <w:rFonts w:ascii="Times New Roman" w:hAnsi="Times New Roman"/>
          <w:sz w:val="28"/>
          <w:szCs w:val="28"/>
          <w:lang w:val="es-ES"/>
        </w:rPr>
      </w:pPr>
    </w:p>
    <w:p w:rsidR="000079E2" w:rsidRPr="007C57D2" w:rsidRDefault="007C57D2" w:rsidP="008F3DAB">
      <w:pPr>
        <w:pStyle w:val="Prrafodelista"/>
        <w:tabs>
          <w:tab w:val="left" w:pos="567"/>
        </w:tabs>
        <w:ind w:left="0"/>
        <w:jc w:val="both"/>
        <w:rPr>
          <w:rFonts w:ascii="Times New Roman" w:hAnsi="Times New Roman"/>
          <w:b/>
          <w:bCs/>
          <w:sz w:val="28"/>
          <w:szCs w:val="28"/>
          <w:lang w:val="es-ES"/>
        </w:rPr>
      </w:pPr>
      <w:r w:rsidRPr="007C57D2">
        <w:rPr>
          <w:rFonts w:ascii="Times New Roman" w:hAnsi="Times New Roman"/>
          <w:b/>
          <w:bCs/>
          <w:sz w:val="28"/>
          <w:szCs w:val="28"/>
          <w:lang w:val="es-ES"/>
        </w:rPr>
        <w:t>4.9.2.1. Los artículos que no imponen ninguna obligación, deber o tarea a alguna entidad pública</w:t>
      </w:r>
    </w:p>
    <w:p w:rsidR="005F50D4" w:rsidRPr="007C57D2" w:rsidRDefault="007C57D2" w:rsidP="008F3DAB">
      <w:pPr>
        <w:pStyle w:val="Prrafodelista"/>
        <w:tabs>
          <w:tab w:val="left" w:pos="567"/>
        </w:tabs>
        <w:ind w:left="0"/>
        <w:jc w:val="both"/>
        <w:rPr>
          <w:rFonts w:ascii="Times New Roman" w:hAnsi="Times New Roman"/>
          <w:b/>
          <w:bCs/>
          <w:sz w:val="28"/>
          <w:szCs w:val="28"/>
          <w:lang w:val="es-ES"/>
        </w:rPr>
      </w:pPr>
    </w:p>
    <w:p w:rsidR="00FE500B"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el primer grupo se encuentran los siguientes artículos: </w:t>
      </w:r>
      <w:r w:rsidRPr="007C57D2">
        <w:rPr>
          <w:rFonts w:ascii="Times New Roman" w:hAnsi="Times New Roman"/>
          <w:sz w:val="28"/>
          <w:szCs w:val="28"/>
          <w:lang w:val="es-ES"/>
        </w:rPr>
        <w:t xml:space="preserve">1 (objeto del PLE); </w:t>
      </w:r>
      <w:r w:rsidRPr="007C57D2">
        <w:rPr>
          <w:rFonts w:ascii="Times New Roman" w:hAnsi="Times New Roman"/>
          <w:sz w:val="28"/>
          <w:szCs w:val="28"/>
          <w:lang w:val="es-ES"/>
        </w:rPr>
        <w:t>2 (definiciones), literales a</w:t>
      </w:r>
      <w:r w:rsidRPr="007C57D2">
        <w:rPr>
          <w:rFonts w:ascii="Times New Roman" w:hAnsi="Times New Roman"/>
          <w:sz w:val="28"/>
          <w:szCs w:val="28"/>
          <w:lang w:val="es-ES"/>
        </w:rPr>
        <w:t>)</w:t>
      </w:r>
      <w:r w:rsidRPr="007C57D2">
        <w:rPr>
          <w:rFonts w:ascii="Times New Roman" w:hAnsi="Times New Roman"/>
          <w:sz w:val="28"/>
          <w:szCs w:val="28"/>
          <w:lang w:val="es-ES"/>
        </w:rPr>
        <w:t>, c</w:t>
      </w:r>
      <w:r w:rsidRPr="007C57D2">
        <w:rPr>
          <w:rFonts w:ascii="Times New Roman" w:hAnsi="Times New Roman"/>
          <w:sz w:val="28"/>
          <w:szCs w:val="28"/>
          <w:lang w:val="es-ES"/>
        </w:rPr>
        <w:t>)</w:t>
      </w:r>
      <w:r w:rsidRPr="007C57D2">
        <w:rPr>
          <w:rFonts w:ascii="Times New Roman" w:hAnsi="Times New Roman"/>
          <w:sz w:val="28"/>
          <w:szCs w:val="28"/>
          <w:lang w:val="es-ES"/>
        </w:rPr>
        <w:t>, d</w:t>
      </w:r>
      <w:r w:rsidRPr="007C57D2">
        <w:rPr>
          <w:rFonts w:ascii="Times New Roman" w:hAnsi="Times New Roman"/>
          <w:sz w:val="28"/>
          <w:szCs w:val="28"/>
          <w:lang w:val="es-ES"/>
        </w:rPr>
        <w:t>),</w:t>
      </w:r>
      <w:r w:rsidRPr="007C57D2">
        <w:rPr>
          <w:rFonts w:ascii="Times New Roman" w:hAnsi="Times New Roman"/>
          <w:sz w:val="28"/>
          <w:szCs w:val="28"/>
          <w:lang w:val="es-ES"/>
        </w:rPr>
        <w:t xml:space="preserve"> e</w:t>
      </w:r>
      <w:r w:rsidRPr="007C57D2">
        <w:rPr>
          <w:rFonts w:ascii="Times New Roman" w:hAnsi="Times New Roman"/>
          <w:sz w:val="28"/>
          <w:szCs w:val="28"/>
          <w:lang w:val="es-ES"/>
        </w:rPr>
        <w:t>)</w:t>
      </w:r>
      <w:r w:rsidRPr="007C57D2">
        <w:rPr>
          <w:rFonts w:ascii="Times New Roman" w:hAnsi="Times New Roman"/>
          <w:sz w:val="28"/>
          <w:szCs w:val="28"/>
          <w:lang w:val="es-ES"/>
        </w:rPr>
        <w:t>,</w:t>
      </w:r>
      <w:r w:rsidRPr="007C57D2">
        <w:rPr>
          <w:rFonts w:ascii="Times New Roman" w:hAnsi="Times New Roman"/>
          <w:sz w:val="28"/>
          <w:szCs w:val="28"/>
          <w:lang w:val="es-ES"/>
        </w:rPr>
        <w:t xml:space="preserve"> f),</w:t>
      </w:r>
      <w:r w:rsidRPr="007C57D2">
        <w:rPr>
          <w:rFonts w:ascii="Times New Roman" w:hAnsi="Times New Roman"/>
          <w:sz w:val="28"/>
          <w:szCs w:val="28"/>
          <w:lang w:val="es-ES"/>
        </w:rPr>
        <w:t xml:space="preserve"> g)</w:t>
      </w:r>
      <w:r w:rsidRPr="007C57D2">
        <w:rPr>
          <w:rFonts w:ascii="Times New Roman" w:hAnsi="Times New Roman"/>
          <w:sz w:val="28"/>
          <w:szCs w:val="28"/>
          <w:lang w:val="es-ES"/>
        </w:rPr>
        <w:t xml:space="preserve">; </w:t>
      </w:r>
      <w:r w:rsidRPr="007C57D2">
        <w:rPr>
          <w:rFonts w:ascii="Times New Roman" w:hAnsi="Times New Roman"/>
          <w:sz w:val="28"/>
          <w:szCs w:val="28"/>
          <w:lang w:val="es-ES"/>
        </w:rPr>
        <w:t>3 (consentimiento informado), parágrafo; 4 (datos</w:t>
      </w:r>
      <w:r w:rsidRPr="007C57D2">
        <w:rPr>
          <w:rFonts w:ascii="Times New Roman" w:hAnsi="Times New Roman"/>
          <w:sz w:val="28"/>
          <w:szCs w:val="28"/>
        </w:rPr>
        <w:t xml:space="preserve"> biométricos y personales del menor </w:t>
      </w:r>
      <w:r w:rsidRPr="007C57D2">
        <w:rPr>
          <w:rFonts w:ascii="Times New Roman" w:hAnsi="Times New Roman"/>
          <w:sz w:val="28"/>
          <w:szCs w:val="28"/>
        </w:rPr>
        <w:t xml:space="preserve">de 18 años </w:t>
      </w:r>
      <w:r w:rsidRPr="007C57D2">
        <w:rPr>
          <w:rFonts w:ascii="Times New Roman" w:hAnsi="Times New Roman"/>
          <w:sz w:val="28"/>
          <w:szCs w:val="28"/>
        </w:rPr>
        <w:t>extraviado), literales a) a i);</w:t>
      </w:r>
      <w:r w:rsidRPr="007C57D2">
        <w:rPr>
          <w:rFonts w:ascii="Times New Roman" w:hAnsi="Times New Roman"/>
          <w:sz w:val="28"/>
          <w:szCs w:val="28"/>
        </w:rPr>
        <w:t xml:space="preserve"> 5 (Sistema Nacional de Reporte Virtual), inciso 4;</w:t>
      </w:r>
      <w:r w:rsidRPr="007C57D2">
        <w:rPr>
          <w:rFonts w:ascii="Times New Roman" w:hAnsi="Times New Roman"/>
          <w:b/>
          <w:bCs/>
          <w:sz w:val="28"/>
          <w:szCs w:val="28"/>
        </w:rPr>
        <w:t xml:space="preserve"> </w:t>
      </w:r>
      <w:r w:rsidRPr="007C57D2">
        <w:rPr>
          <w:rFonts w:ascii="Times New Roman" w:hAnsi="Times New Roman"/>
          <w:sz w:val="28"/>
          <w:szCs w:val="28"/>
        </w:rPr>
        <w:t>6 (divulgación de la Alerta Colombia por los proveedores de</w:t>
      </w:r>
      <w:r w:rsidRPr="007C57D2">
        <w:rPr>
          <w:rFonts w:ascii="Times New Roman" w:hAnsi="Times New Roman"/>
          <w:sz w:val="28"/>
          <w:szCs w:val="28"/>
        </w:rPr>
        <w:t xml:space="preserve"> redes y servicios de telecomunicaciones móviles)</w:t>
      </w:r>
      <w:r w:rsidRPr="007C57D2">
        <w:rPr>
          <w:rFonts w:ascii="Times New Roman" w:hAnsi="Times New Roman"/>
          <w:sz w:val="28"/>
          <w:szCs w:val="28"/>
        </w:rPr>
        <w:t>, parágrafos 1, 2 y 4</w:t>
      </w:r>
      <w:r w:rsidRPr="007C57D2">
        <w:rPr>
          <w:rFonts w:ascii="Times New Roman" w:hAnsi="Times New Roman"/>
          <w:sz w:val="28"/>
          <w:szCs w:val="28"/>
        </w:rPr>
        <w:t>; 7 (tratamiento de datos personales); 8 (eliminación de</w:t>
      </w:r>
      <w:r w:rsidRPr="007C57D2">
        <w:rPr>
          <w:rFonts w:ascii="Times New Roman" w:hAnsi="Times New Roman"/>
          <w:sz w:val="28"/>
          <w:szCs w:val="28"/>
        </w:rPr>
        <w:t>l</w:t>
      </w:r>
      <w:r w:rsidRPr="007C57D2">
        <w:rPr>
          <w:rFonts w:ascii="Times New Roman" w:hAnsi="Times New Roman"/>
          <w:sz w:val="28"/>
          <w:szCs w:val="28"/>
        </w:rPr>
        <w:t xml:space="preserve"> </w:t>
      </w:r>
      <w:r w:rsidRPr="007C57D2">
        <w:rPr>
          <w:rFonts w:ascii="Times New Roman" w:hAnsi="Times New Roman"/>
          <w:sz w:val="28"/>
          <w:szCs w:val="28"/>
        </w:rPr>
        <w:t>r</w:t>
      </w:r>
      <w:r w:rsidRPr="007C57D2">
        <w:rPr>
          <w:rFonts w:ascii="Times New Roman" w:hAnsi="Times New Roman"/>
          <w:sz w:val="28"/>
          <w:szCs w:val="28"/>
        </w:rPr>
        <w:t>egistro de los datos)</w:t>
      </w:r>
      <w:r w:rsidRPr="007C57D2">
        <w:rPr>
          <w:rFonts w:ascii="Times New Roman" w:hAnsi="Times New Roman"/>
          <w:sz w:val="28"/>
          <w:szCs w:val="28"/>
        </w:rPr>
        <w:t>, pará</w:t>
      </w:r>
      <w:r w:rsidRPr="007C57D2">
        <w:rPr>
          <w:rFonts w:ascii="Times New Roman" w:hAnsi="Times New Roman"/>
          <w:sz w:val="28"/>
          <w:szCs w:val="28"/>
        </w:rPr>
        <w:t>grafo</w:t>
      </w:r>
      <w:r w:rsidRPr="007C57D2">
        <w:rPr>
          <w:rFonts w:ascii="Times New Roman" w:hAnsi="Times New Roman"/>
          <w:sz w:val="28"/>
          <w:szCs w:val="28"/>
        </w:rPr>
        <w:t xml:space="preserve">; </w:t>
      </w:r>
      <w:r w:rsidRPr="007C57D2">
        <w:rPr>
          <w:rFonts w:ascii="Times New Roman" w:hAnsi="Times New Roman"/>
          <w:sz w:val="28"/>
          <w:szCs w:val="28"/>
        </w:rPr>
        <w:t>9 (activación de la Alerta Colombia), literal a); 10 (procedimiento para la difusión de la Al</w:t>
      </w:r>
      <w:r w:rsidRPr="007C57D2">
        <w:rPr>
          <w:rFonts w:ascii="Times New Roman" w:hAnsi="Times New Roman"/>
          <w:sz w:val="28"/>
          <w:szCs w:val="28"/>
        </w:rPr>
        <w:t>erta Colombia), literales a), b)</w:t>
      </w:r>
      <w:r w:rsidRPr="007C57D2">
        <w:rPr>
          <w:rFonts w:ascii="Times New Roman" w:hAnsi="Times New Roman"/>
          <w:sz w:val="28"/>
          <w:szCs w:val="28"/>
        </w:rPr>
        <w:t>,</w:t>
      </w:r>
      <w:r w:rsidRPr="007C57D2">
        <w:rPr>
          <w:rFonts w:ascii="Times New Roman" w:hAnsi="Times New Roman"/>
          <w:sz w:val="28"/>
          <w:szCs w:val="28"/>
        </w:rPr>
        <w:t xml:space="preserve"> e)</w:t>
      </w:r>
      <w:r w:rsidRPr="007C57D2">
        <w:rPr>
          <w:rFonts w:ascii="Times New Roman" w:hAnsi="Times New Roman"/>
          <w:sz w:val="28"/>
          <w:szCs w:val="28"/>
        </w:rPr>
        <w:t xml:space="preserve"> y f)</w:t>
      </w:r>
      <w:r w:rsidRPr="007C57D2">
        <w:rPr>
          <w:rFonts w:ascii="Times New Roman" w:hAnsi="Times New Roman"/>
          <w:sz w:val="28"/>
          <w:szCs w:val="28"/>
        </w:rPr>
        <w:t xml:space="preserve"> y parágrafos; 11 (zona de difusión de la Alerta Colombia); </w:t>
      </w:r>
      <w:r w:rsidRPr="007C57D2">
        <w:rPr>
          <w:rFonts w:ascii="Times New Roman" w:hAnsi="Times New Roman"/>
          <w:sz w:val="28"/>
          <w:szCs w:val="28"/>
        </w:rPr>
        <w:t>12 (mecanismos de búsqueda), inciso 2</w:t>
      </w:r>
      <w:r w:rsidRPr="007C57D2">
        <w:rPr>
          <w:rFonts w:ascii="Times New Roman" w:hAnsi="Times New Roman"/>
          <w:sz w:val="28"/>
          <w:szCs w:val="28"/>
        </w:rPr>
        <w:t>;</w:t>
      </w:r>
      <w:r w:rsidRPr="007C57D2">
        <w:rPr>
          <w:rFonts w:ascii="Times New Roman" w:hAnsi="Times New Roman"/>
          <w:sz w:val="28"/>
          <w:szCs w:val="28"/>
        </w:rPr>
        <w:t xml:space="preserve"> </w:t>
      </w:r>
      <w:r w:rsidRPr="007C57D2">
        <w:rPr>
          <w:rFonts w:ascii="Times New Roman" w:hAnsi="Times New Roman"/>
          <w:sz w:val="28"/>
          <w:szCs w:val="28"/>
        </w:rPr>
        <w:t xml:space="preserve">13 (informes anuales), parágrafos 1 y 2; </w:t>
      </w:r>
      <w:r w:rsidRPr="007C57D2">
        <w:rPr>
          <w:rFonts w:ascii="Times New Roman" w:hAnsi="Times New Roman"/>
          <w:sz w:val="28"/>
          <w:szCs w:val="28"/>
        </w:rPr>
        <w:t xml:space="preserve">y 15 (vigencia). </w:t>
      </w:r>
    </w:p>
    <w:p w:rsidR="00FE500B" w:rsidRPr="007C57D2" w:rsidRDefault="007C57D2" w:rsidP="008F3DAB">
      <w:pPr>
        <w:pStyle w:val="Prrafodelista"/>
        <w:tabs>
          <w:tab w:val="left" w:pos="567"/>
        </w:tabs>
        <w:ind w:left="0"/>
        <w:jc w:val="both"/>
        <w:rPr>
          <w:rFonts w:ascii="Times New Roman" w:hAnsi="Times New Roman"/>
          <w:sz w:val="28"/>
          <w:szCs w:val="28"/>
          <w:lang w:val="es-ES"/>
        </w:rPr>
      </w:pPr>
    </w:p>
    <w:p w:rsidR="007B1E6F"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rPr>
        <w:t>Estas disposiciones no contienen ninguna orden de gasto</w:t>
      </w:r>
      <w:r w:rsidRPr="007C57D2">
        <w:rPr>
          <w:rFonts w:ascii="Times New Roman" w:hAnsi="Times New Roman"/>
          <w:sz w:val="28"/>
          <w:szCs w:val="28"/>
        </w:rPr>
        <w:t xml:space="preserve">. Solo describen con mayor o menor detalle, según el artículo, la estructura y el funcionamiento general de la Alerta Colombia y no </w:t>
      </w:r>
      <w:r w:rsidRPr="007C57D2">
        <w:rPr>
          <w:rFonts w:ascii="Times New Roman" w:hAnsi="Times New Roman"/>
          <w:sz w:val="28"/>
          <w:szCs w:val="28"/>
          <w:lang w:val="es-ES"/>
        </w:rPr>
        <w:t>imponen ninguna obligación, deber o tarea específica a entidades públicas</w:t>
      </w:r>
      <w:r w:rsidRPr="007C57D2">
        <w:rPr>
          <w:rFonts w:ascii="Times New Roman" w:hAnsi="Times New Roman"/>
          <w:sz w:val="28"/>
          <w:szCs w:val="28"/>
        </w:rPr>
        <w:t>.</w:t>
      </w:r>
      <w:r w:rsidRPr="007C57D2">
        <w:rPr>
          <w:rFonts w:ascii="Times New Roman" w:hAnsi="Times New Roman"/>
          <w:sz w:val="28"/>
          <w:szCs w:val="28"/>
        </w:rPr>
        <w:t xml:space="preserve"> Por tanto, no debían cumplir el requisito de anál</w:t>
      </w:r>
      <w:r w:rsidRPr="007C57D2">
        <w:rPr>
          <w:rFonts w:ascii="Times New Roman" w:hAnsi="Times New Roman"/>
          <w:sz w:val="28"/>
          <w:szCs w:val="28"/>
        </w:rPr>
        <w:t>isis de impacto fiscal</w:t>
      </w:r>
      <w:r w:rsidRPr="007C57D2">
        <w:rPr>
          <w:rFonts w:ascii="Times New Roman" w:hAnsi="Times New Roman"/>
          <w:sz w:val="28"/>
          <w:szCs w:val="28"/>
        </w:rPr>
        <w:t xml:space="preserve"> porque no cumplen los criterios gramatical y funcional</w:t>
      </w:r>
      <w:r w:rsidRPr="007C57D2">
        <w:rPr>
          <w:rFonts w:ascii="Times New Roman" w:hAnsi="Times New Roman"/>
          <w:sz w:val="28"/>
          <w:szCs w:val="28"/>
        </w:rPr>
        <w:t>.</w:t>
      </w:r>
    </w:p>
    <w:p w:rsidR="00771C17" w:rsidRPr="007C57D2" w:rsidRDefault="007C57D2" w:rsidP="008F3DAB">
      <w:pPr>
        <w:pStyle w:val="Prrafodelista"/>
        <w:tabs>
          <w:tab w:val="left" w:pos="567"/>
        </w:tabs>
        <w:ind w:left="0"/>
        <w:jc w:val="both"/>
        <w:rPr>
          <w:rFonts w:ascii="Times New Roman" w:hAnsi="Times New Roman"/>
          <w:sz w:val="28"/>
          <w:szCs w:val="28"/>
          <w:lang w:val="es-ES"/>
        </w:rPr>
      </w:pPr>
    </w:p>
    <w:p w:rsidR="005F50D4" w:rsidRPr="007C57D2" w:rsidRDefault="007C57D2" w:rsidP="008F3DAB">
      <w:pPr>
        <w:pStyle w:val="Prrafodelista"/>
        <w:tabs>
          <w:tab w:val="left" w:pos="567"/>
        </w:tabs>
        <w:ind w:left="0"/>
        <w:jc w:val="both"/>
        <w:rPr>
          <w:rFonts w:ascii="Times New Roman" w:hAnsi="Times New Roman"/>
          <w:b/>
          <w:bCs/>
          <w:sz w:val="28"/>
          <w:szCs w:val="28"/>
          <w:lang w:val="es-ES"/>
        </w:rPr>
      </w:pPr>
      <w:r w:rsidRPr="007C57D2">
        <w:rPr>
          <w:rFonts w:ascii="Times New Roman" w:hAnsi="Times New Roman"/>
          <w:b/>
          <w:bCs/>
          <w:sz w:val="28"/>
          <w:szCs w:val="28"/>
          <w:lang w:val="es-ES"/>
        </w:rPr>
        <w:t>4.9.2.2. Los artículos que imponen una obligación, deber o tarea a alguna entidad pública</w:t>
      </w:r>
    </w:p>
    <w:p w:rsidR="005F50D4" w:rsidRPr="007C57D2" w:rsidRDefault="007C57D2" w:rsidP="008F3DAB">
      <w:pPr>
        <w:pStyle w:val="Prrafodelista"/>
        <w:tabs>
          <w:tab w:val="left" w:pos="567"/>
        </w:tabs>
        <w:ind w:left="0"/>
        <w:jc w:val="both"/>
        <w:rPr>
          <w:rFonts w:ascii="Times New Roman" w:hAnsi="Times New Roman"/>
          <w:sz w:val="28"/>
          <w:szCs w:val="28"/>
          <w:lang w:val="es-ES"/>
        </w:rPr>
      </w:pPr>
    </w:p>
    <w:p w:rsidR="000079E2"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rPr>
      </w:pPr>
      <w:r w:rsidRPr="007C57D2">
        <w:rPr>
          <w:rFonts w:ascii="Times New Roman" w:hAnsi="Times New Roman"/>
          <w:sz w:val="28"/>
          <w:szCs w:val="28"/>
        </w:rPr>
        <w:t>S</w:t>
      </w:r>
      <w:r w:rsidRPr="007C57D2">
        <w:rPr>
          <w:rFonts w:ascii="Times New Roman" w:hAnsi="Times New Roman"/>
          <w:sz w:val="28"/>
          <w:szCs w:val="28"/>
        </w:rPr>
        <w:t xml:space="preserve">iguiendo el precedente establecido en la Sentencia C-317 de 2024, </w:t>
      </w:r>
      <w:r w:rsidRPr="007C57D2">
        <w:rPr>
          <w:rFonts w:ascii="Times New Roman" w:hAnsi="Times New Roman"/>
          <w:sz w:val="28"/>
          <w:szCs w:val="28"/>
        </w:rPr>
        <w:t xml:space="preserve">el </w:t>
      </w:r>
      <w:r w:rsidRPr="007C57D2">
        <w:rPr>
          <w:rFonts w:ascii="Times New Roman" w:hAnsi="Times New Roman"/>
          <w:sz w:val="28"/>
          <w:szCs w:val="28"/>
        </w:rPr>
        <w:t xml:space="preserve">cuadro </w:t>
      </w:r>
      <w:r w:rsidRPr="007C57D2">
        <w:rPr>
          <w:rFonts w:ascii="Times New Roman" w:hAnsi="Times New Roman"/>
          <w:sz w:val="28"/>
          <w:szCs w:val="28"/>
        </w:rPr>
        <w:t xml:space="preserve">que se incluye a continuación </w:t>
      </w:r>
      <w:r w:rsidRPr="007C57D2">
        <w:rPr>
          <w:rFonts w:ascii="Times New Roman" w:hAnsi="Times New Roman"/>
          <w:sz w:val="28"/>
          <w:szCs w:val="28"/>
        </w:rPr>
        <w:t xml:space="preserve">contiene el segundo grupo de artículos. En él </w:t>
      </w:r>
      <w:r w:rsidRPr="007C57D2">
        <w:rPr>
          <w:rFonts w:ascii="Times New Roman" w:hAnsi="Times New Roman"/>
          <w:sz w:val="28"/>
          <w:szCs w:val="28"/>
        </w:rPr>
        <w:t xml:space="preserve">la Sala presenta </w:t>
      </w:r>
      <w:r w:rsidRPr="007C57D2">
        <w:rPr>
          <w:rFonts w:ascii="Times New Roman" w:hAnsi="Times New Roman"/>
          <w:sz w:val="28"/>
          <w:szCs w:val="28"/>
        </w:rPr>
        <w:t xml:space="preserve">la entidad y el deber, tarea o mandato que le asigna el PLE. Posteriormente, explicará las razones por las cuales estos contenidos normativos </w:t>
      </w:r>
      <w:r w:rsidRPr="007C57D2">
        <w:rPr>
          <w:rFonts w:ascii="Times New Roman" w:hAnsi="Times New Roman"/>
          <w:sz w:val="28"/>
          <w:szCs w:val="28"/>
        </w:rPr>
        <w:t>tampoco</w:t>
      </w:r>
      <w:r w:rsidRPr="007C57D2">
        <w:rPr>
          <w:rFonts w:ascii="Times New Roman" w:hAnsi="Times New Roman"/>
          <w:sz w:val="28"/>
          <w:szCs w:val="28"/>
        </w:rPr>
        <w:t xml:space="preserve"> comportan órd</w:t>
      </w:r>
      <w:r w:rsidRPr="007C57D2">
        <w:rPr>
          <w:rFonts w:ascii="Times New Roman" w:hAnsi="Times New Roman"/>
          <w:sz w:val="28"/>
          <w:szCs w:val="28"/>
        </w:rPr>
        <w:t>enes de gasto</w:t>
      </w:r>
      <w:r w:rsidRPr="007C57D2">
        <w:rPr>
          <w:rFonts w:ascii="Times New Roman" w:hAnsi="Times New Roman"/>
          <w:sz w:val="28"/>
          <w:szCs w:val="28"/>
        </w:rPr>
        <w:t xml:space="preserve"> porque, aunque, </w:t>
      </w:r>
      <w:r w:rsidRPr="007C57D2">
        <w:rPr>
          <w:rFonts w:ascii="Times New Roman" w:hAnsi="Times New Roman"/>
          <w:i/>
          <w:iCs/>
          <w:sz w:val="28"/>
          <w:szCs w:val="28"/>
        </w:rPr>
        <w:t>prima facie</w:t>
      </w:r>
      <w:r w:rsidRPr="007C57D2">
        <w:rPr>
          <w:rFonts w:ascii="Times New Roman" w:hAnsi="Times New Roman"/>
          <w:sz w:val="28"/>
          <w:szCs w:val="28"/>
        </w:rPr>
        <w:t>, cumplen el criterio gramatical, no satisfacen el criterio funcional</w:t>
      </w:r>
      <w:r w:rsidRPr="007C57D2">
        <w:rPr>
          <w:rFonts w:ascii="Times New Roman" w:hAnsi="Times New Roman"/>
          <w:sz w:val="28"/>
          <w:szCs w:val="28"/>
        </w:rPr>
        <w:t>.</w:t>
      </w:r>
      <w:r w:rsidRPr="007C57D2">
        <w:rPr>
          <w:rFonts w:ascii="Times New Roman" w:hAnsi="Times New Roman"/>
          <w:sz w:val="28"/>
          <w:szCs w:val="28"/>
        </w:rPr>
        <w:t xml:space="preserve"> </w:t>
      </w:r>
    </w:p>
    <w:p w:rsidR="00DE0E85" w:rsidRPr="007C57D2" w:rsidRDefault="007C57D2" w:rsidP="008F3DAB">
      <w:pPr>
        <w:pStyle w:val="Prrafodelista"/>
        <w:tabs>
          <w:tab w:val="left" w:pos="567"/>
        </w:tabs>
        <w:ind w:left="0"/>
        <w:jc w:val="both"/>
        <w:rPr>
          <w:rFonts w:ascii="Times New Roman" w:hAnsi="Times New Roman"/>
          <w:sz w:val="28"/>
          <w:szCs w:val="28"/>
        </w:rPr>
      </w:pPr>
    </w:p>
    <w:tbl>
      <w:tblPr>
        <w:tblW w:w="8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2268"/>
        <w:gridCol w:w="5291"/>
      </w:tblGrid>
      <w:tr w:rsidR="007C57D2"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b/>
                <w:bCs/>
                <w:sz w:val="28"/>
              </w:rPr>
            </w:pPr>
            <w:bookmarkStart w:id="26" w:name="_Hlk207798461"/>
            <w:r w:rsidRPr="007C57D2">
              <w:rPr>
                <w:rFonts w:ascii="Times New Roman" w:hAnsi="Times New Roman"/>
                <w:b/>
                <w:bCs/>
                <w:sz w:val="28"/>
              </w:rPr>
              <w:t>Norma jurídica</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b/>
                <w:bCs/>
                <w:sz w:val="28"/>
              </w:rPr>
            </w:pPr>
            <w:r w:rsidRPr="007C57D2">
              <w:rPr>
                <w:rFonts w:ascii="Times New Roman" w:hAnsi="Times New Roman"/>
                <w:b/>
                <w:bCs/>
                <w:sz w:val="28"/>
              </w:rPr>
              <w:t>Entidad</w:t>
            </w:r>
          </w:p>
        </w:tc>
        <w:tc>
          <w:tcPr>
            <w:tcW w:w="5291"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b/>
                <w:bCs/>
                <w:sz w:val="28"/>
              </w:rPr>
            </w:pPr>
            <w:r w:rsidRPr="007C57D2">
              <w:rPr>
                <w:rFonts w:ascii="Times New Roman" w:hAnsi="Times New Roman"/>
                <w:b/>
                <w:bCs/>
                <w:sz w:val="28"/>
              </w:rPr>
              <w:t>Mandato</w:t>
            </w:r>
          </w:p>
        </w:tc>
      </w:tr>
      <w:tr w:rsidR="00A0085A"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2, literal b)</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ICBF</w:t>
            </w:r>
          </w:p>
        </w:tc>
        <w:tc>
          <w:tcPr>
            <w:tcW w:w="5291" w:type="dxa"/>
            <w:shd w:val="clear" w:color="auto" w:fill="auto"/>
          </w:tcPr>
          <w:p w:rsidR="00DE0E85"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 xml:space="preserve">“Los padres, representantes legales, quien ostente la custodia o cuidadores, </w:t>
            </w:r>
            <w:r w:rsidRPr="007C57D2">
              <w:rPr>
                <w:rFonts w:ascii="Times New Roman" w:hAnsi="Times New Roman"/>
                <w:sz w:val="28"/>
              </w:rPr>
              <w:t>familiares del niño o niña representantes legales o el Instituto Colombiano de Bienestar Familiar deberán realizar el debido reporte de forma inmediata a través de cualquiera de los medios digitales disponibles, o de manera presencial cuando no se tenga ac</w:t>
            </w:r>
            <w:r w:rsidRPr="007C57D2">
              <w:rPr>
                <w:rFonts w:ascii="Times New Roman" w:hAnsi="Times New Roman"/>
                <w:sz w:val="28"/>
              </w:rPr>
              <w:t>ceso a servicios tecnológicos”.</w:t>
            </w:r>
          </w:p>
        </w:tc>
      </w:tr>
      <w:tr w:rsidR="00A0085A"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3, inciso 1</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ICBF</w:t>
            </w:r>
          </w:p>
        </w:tc>
        <w:tc>
          <w:tcPr>
            <w:tcW w:w="5291" w:type="dxa"/>
            <w:shd w:val="clear" w:color="auto" w:fill="auto"/>
          </w:tcPr>
          <w:p w:rsidR="00DE0E85"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“Para activar la Alerta Colombia de manera expedita, ante situaciones de riesgo inminente, cualquiera de los padres quienes son los que ostentan la patria potestad, representantes legales, quien te</w:t>
            </w:r>
            <w:r w:rsidRPr="007C57D2">
              <w:rPr>
                <w:rFonts w:ascii="Times New Roman" w:hAnsi="Times New Roman"/>
                <w:sz w:val="28"/>
              </w:rPr>
              <w:t>nga la custodia, cuidadores, familiares, o el Instituto Colombiano de Bienestar Familiar al momento del reporte de su extravío, deberán diligenciar y firmar de manera ágil el consentimiento informado que autorice hacer uso de los datos personales y biométr</w:t>
            </w:r>
            <w:r w:rsidRPr="007C57D2">
              <w:rPr>
                <w:rFonts w:ascii="Times New Roman" w:hAnsi="Times New Roman"/>
                <w:sz w:val="28"/>
              </w:rPr>
              <w:t>icos de los niños y niñas extraviados en el territorio colombiano a la Policía Nacional”.</w:t>
            </w:r>
          </w:p>
        </w:tc>
      </w:tr>
      <w:tr w:rsidR="00A0085A" w:rsidRPr="007C57D2" w:rsidTr="007C57D2">
        <w:trPr>
          <w:jc w:val="center"/>
        </w:trPr>
        <w:tc>
          <w:tcPr>
            <w:tcW w:w="1422" w:type="dxa"/>
            <w:shd w:val="clear" w:color="auto" w:fill="auto"/>
            <w:vAlign w:val="center"/>
          </w:tcPr>
          <w:p w:rsidR="00411C7E"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5, inciso 5</w:t>
            </w:r>
          </w:p>
        </w:tc>
        <w:tc>
          <w:tcPr>
            <w:tcW w:w="2268" w:type="dxa"/>
            <w:shd w:val="clear" w:color="auto" w:fill="auto"/>
            <w:vAlign w:val="center"/>
          </w:tcPr>
          <w:p w:rsidR="00411C7E"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ICBF</w:t>
            </w:r>
          </w:p>
        </w:tc>
        <w:tc>
          <w:tcPr>
            <w:tcW w:w="5291" w:type="dxa"/>
            <w:shd w:val="clear" w:color="auto" w:fill="auto"/>
          </w:tcPr>
          <w:p w:rsidR="00411C7E"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“Transcurridas (24) horas de realizar el reporte en la plataforma virtual o de manera personal y de no encontrarse el niño o niña extraviad</w:t>
            </w:r>
            <w:r w:rsidRPr="007C57D2">
              <w:rPr>
                <w:rFonts w:ascii="Times New Roman" w:hAnsi="Times New Roman"/>
                <w:sz w:val="28"/>
              </w:rPr>
              <w:t>o, el Instituto Colombiano de Bienestar Familiar deberá presentar la denuncia ante la Fiscalía General de la Nación, quien deberá actuar en el marco de sus competencias”.</w:t>
            </w:r>
          </w:p>
        </w:tc>
      </w:tr>
      <w:tr w:rsidR="00A0085A"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8</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ICBF</w:t>
            </w:r>
          </w:p>
        </w:tc>
        <w:tc>
          <w:tcPr>
            <w:tcW w:w="5291" w:type="dxa"/>
            <w:shd w:val="clear" w:color="auto" w:fill="auto"/>
          </w:tcPr>
          <w:p w:rsidR="00DE0E85"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“Cuando el niño o niña sea encontrado, el Instituto Colombiano de Bi</w:t>
            </w:r>
            <w:r w:rsidRPr="007C57D2">
              <w:rPr>
                <w:rFonts w:ascii="Times New Roman" w:hAnsi="Times New Roman"/>
                <w:sz w:val="28"/>
              </w:rPr>
              <w:t xml:space="preserve">enestar familiar (ICBF) </w:t>
            </w:r>
            <w:r w:rsidRPr="007C57D2">
              <w:rPr>
                <w:rFonts w:ascii="Times New Roman" w:hAnsi="Times New Roman"/>
                <w:sz w:val="28"/>
              </w:rPr>
              <w:t>comunicará a los proveedores de redes y servicios de telecomunicaciones móviles, quienes eliminarán de forma inmediata tanto datos personales como biométricos de los niños y niñas en sus bases de datos”</w:t>
            </w:r>
            <w:r w:rsidRPr="007C57D2">
              <w:rPr>
                <w:rFonts w:ascii="Times New Roman" w:hAnsi="Times New Roman"/>
                <w:sz w:val="28"/>
              </w:rPr>
              <w:t>.</w:t>
            </w:r>
          </w:p>
        </w:tc>
      </w:tr>
      <w:tr w:rsidR="007C57D2" w:rsidRPr="007C57D2" w:rsidTr="007C57D2">
        <w:trPr>
          <w:jc w:val="center"/>
        </w:trPr>
        <w:tc>
          <w:tcPr>
            <w:tcW w:w="1422" w:type="dxa"/>
            <w:shd w:val="clear" w:color="auto" w:fill="auto"/>
            <w:vAlign w:val="center"/>
          </w:tcPr>
          <w:p w:rsidR="008E3808"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9, literal b)</w:t>
            </w:r>
          </w:p>
        </w:tc>
        <w:tc>
          <w:tcPr>
            <w:tcW w:w="2268" w:type="dxa"/>
            <w:shd w:val="clear" w:color="auto" w:fill="auto"/>
            <w:vAlign w:val="center"/>
          </w:tcPr>
          <w:p w:rsidR="008E3808" w:rsidRPr="007C57D2" w:rsidRDefault="007C57D2" w:rsidP="007C57D2">
            <w:pPr>
              <w:pStyle w:val="Prrafodelista"/>
              <w:tabs>
                <w:tab w:val="left" w:pos="567"/>
              </w:tabs>
              <w:ind w:left="0"/>
              <w:jc w:val="center"/>
              <w:rPr>
                <w:rFonts w:ascii="Times New Roman" w:hAnsi="Times New Roman"/>
                <w:sz w:val="28"/>
              </w:rPr>
            </w:pPr>
          </w:p>
        </w:tc>
        <w:tc>
          <w:tcPr>
            <w:tcW w:w="5291" w:type="dxa"/>
            <w:shd w:val="clear" w:color="auto" w:fill="auto"/>
          </w:tcPr>
          <w:p w:rsidR="008E3808"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“El</w:t>
            </w:r>
            <w:r w:rsidRPr="007C57D2">
              <w:rPr>
                <w:rFonts w:ascii="Times New Roman" w:hAnsi="Times New Roman"/>
                <w:sz w:val="28"/>
              </w:rPr>
              <w:t xml:space="preserve"> tiempo transcurrido entre el reporte de alerta en la ventana especial de la página web oficial del Instituto Colombiano de Bienestar Familiar ICBF, o el reporte presencial ante la Policía Nacional o las Entidades del Sistema Nacional de Bienestar Familiar</w:t>
            </w:r>
            <w:r w:rsidRPr="007C57D2">
              <w:rPr>
                <w:rFonts w:ascii="Times New Roman" w:hAnsi="Times New Roman"/>
                <w:sz w:val="28"/>
              </w:rPr>
              <w:t xml:space="preserve"> en cualquiera de sus instalaciones cuando no se cuente con los medios tecnológicos disponibles para interponer el reporte por medio de la página web oficial, y la activación inmediata de la alerta y no podrá ser superior a una (1) hora”.</w:t>
            </w:r>
          </w:p>
        </w:tc>
      </w:tr>
      <w:tr w:rsidR="00A0085A" w:rsidRPr="007C57D2" w:rsidTr="007C57D2">
        <w:trPr>
          <w:jc w:val="center"/>
        </w:trPr>
        <w:tc>
          <w:tcPr>
            <w:tcW w:w="1422" w:type="dxa"/>
            <w:shd w:val="clear" w:color="auto" w:fill="auto"/>
            <w:vAlign w:val="center"/>
          </w:tcPr>
          <w:p w:rsidR="008E3808"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 xml:space="preserve">Artículo 9, </w:t>
            </w:r>
            <w:r w:rsidRPr="007C57D2">
              <w:rPr>
                <w:rFonts w:ascii="Times New Roman" w:hAnsi="Times New Roman"/>
                <w:sz w:val="28"/>
              </w:rPr>
              <w:t>literal c</w:t>
            </w:r>
            <w:r w:rsidRPr="007C57D2">
              <w:rPr>
                <w:rFonts w:ascii="Times New Roman" w:hAnsi="Times New Roman"/>
                <w:sz w:val="28"/>
              </w:rPr>
              <w:t>)</w:t>
            </w:r>
          </w:p>
        </w:tc>
        <w:tc>
          <w:tcPr>
            <w:tcW w:w="2268" w:type="dxa"/>
            <w:shd w:val="clear" w:color="auto" w:fill="auto"/>
            <w:vAlign w:val="center"/>
          </w:tcPr>
          <w:p w:rsidR="008E3808"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ICBF</w:t>
            </w:r>
          </w:p>
        </w:tc>
        <w:tc>
          <w:tcPr>
            <w:tcW w:w="5291" w:type="dxa"/>
            <w:shd w:val="clear" w:color="auto" w:fill="auto"/>
          </w:tcPr>
          <w:p w:rsidR="008E3808"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“Los padres, representantes legales, quien ostente la custodia, cuidadores, o el Instituto Colombiano de Bienestar Familiar o quien tenga conocimiento sobre un niño o niña extraviado deben disponer de información suficiente para qué al mome</w:t>
            </w:r>
            <w:r w:rsidRPr="007C57D2">
              <w:rPr>
                <w:rFonts w:ascii="Times New Roman" w:hAnsi="Times New Roman"/>
                <w:sz w:val="28"/>
              </w:rPr>
              <w:t>nto de emitir la alerta, la colaboración de la sociedad pueda arrojar resultados positivos”.</w:t>
            </w:r>
          </w:p>
        </w:tc>
      </w:tr>
      <w:tr w:rsidR="007C57D2"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10, literal c)</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p>
        </w:tc>
        <w:tc>
          <w:tcPr>
            <w:tcW w:w="5291" w:type="dxa"/>
            <w:shd w:val="clear" w:color="auto" w:fill="auto"/>
          </w:tcPr>
          <w:p w:rsidR="00DE0E85"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 xml:space="preserve">“Dicha alerta deberá ser emitida de manera ágil e inmediata </w:t>
            </w:r>
            <w:r w:rsidRPr="007C57D2">
              <w:rPr>
                <w:rFonts w:ascii="Times New Roman" w:hAnsi="Times New Roman"/>
                <w:sz w:val="28"/>
              </w:rPr>
              <w:t>al Ministerio de Relaciones Exteriores, Migración Colombia y a todas las demá</w:t>
            </w:r>
            <w:r w:rsidRPr="007C57D2">
              <w:rPr>
                <w:rFonts w:ascii="Times New Roman" w:hAnsi="Times New Roman"/>
                <w:sz w:val="28"/>
              </w:rPr>
              <w:t>s autoridades en las fronteras, puertos y aeropuertos con el propósito de evitar que el niño o niña extraviado salga del país”.</w:t>
            </w:r>
          </w:p>
        </w:tc>
      </w:tr>
      <w:tr w:rsidR="007C57D2"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10, literal d)</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p>
        </w:tc>
        <w:tc>
          <w:tcPr>
            <w:tcW w:w="5291" w:type="dxa"/>
            <w:shd w:val="clear" w:color="auto" w:fill="auto"/>
          </w:tcPr>
          <w:p w:rsidR="00DE0E85"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w:t>
            </w:r>
            <w:r w:rsidRPr="007C57D2">
              <w:rPr>
                <w:rFonts w:ascii="Times New Roman" w:hAnsi="Times New Roman"/>
                <w:sz w:val="28"/>
              </w:rPr>
              <w:t xml:space="preserve">se deberá comunicar e informar a los países fronterizos con Colombia sobre la alerta emitida, con el </w:t>
            </w:r>
            <w:r w:rsidRPr="007C57D2">
              <w:rPr>
                <w:rFonts w:ascii="Times New Roman" w:hAnsi="Times New Roman"/>
                <w:sz w:val="28"/>
              </w:rPr>
              <w:t>fin de articular esfuerzos para recuperar al niño o niña</w:t>
            </w:r>
            <w:r w:rsidRPr="007C57D2">
              <w:rPr>
                <w:rFonts w:ascii="Times New Roman" w:hAnsi="Times New Roman"/>
                <w:sz w:val="28"/>
              </w:rPr>
              <w:t>”.</w:t>
            </w:r>
          </w:p>
        </w:tc>
      </w:tr>
      <w:tr w:rsidR="00A0085A" w:rsidRPr="007C57D2" w:rsidTr="007C57D2">
        <w:trPr>
          <w:jc w:val="center"/>
        </w:trPr>
        <w:tc>
          <w:tcPr>
            <w:tcW w:w="1422"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11, parágrafo</w:t>
            </w:r>
          </w:p>
        </w:tc>
        <w:tc>
          <w:tcPr>
            <w:tcW w:w="2268" w:type="dxa"/>
            <w:shd w:val="clear" w:color="auto" w:fill="auto"/>
            <w:vAlign w:val="center"/>
          </w:tcPr>
          <w:p w:rsidR="00DE0E85"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Ministerio de las Tecnologías de la Información y las Comunicaciones, en coordinación con el ICBF y la Policía Nacional</w:t>
            </w:r>
          </w:p>
        </w:tc>
        <w:tc>
          <w:tcPr>
            <w:tcW w:w="5291" w:type="dxa"/>
            <w:shd w:val="clear" w:color="auto" w:fill="auto"/>
          </w:tcPr>
          <w:p w:rsidR="00DE0E85"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“[D]eberá articular con los [proveedores de redes y s</w:t>
            </w:r>
            <w:r w:rsidRPr="007C57D2">
              <w:rPr>
                <w:rFonts w:ascii="Times New Roman" w:hAnsi="Times New Roman"/>
                <w:sz w:val="28"/>
              </w:rPr>
              <w:t>ervicios de telecomunicaciones móviles] (…) el protocolo de difusión de la Alerta Colombia en el país”.</w:t>
            </w:r>
          </w:p>
        </w:tc>
      </w:tr>
      <w:tr w:rsidR="00A0085A" w:rsidRPr="007C57D2" w:rsidTr="007C57D2">
        <w:trPr>
          <w:jc w:val="center"/>
        </w:trPr>
        <w:tc>
          <w:tcPr>
            <w:tcW w:w="1422" w:type="dxa"/>
            <w:shd w:val="clear" w:color="auto" w:fill="auto"/>
            <w:vAlign w:val="center"/>
          </w:tcPr>
          <w:p w:rsidR="0071565B"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12, inciso 1</w:t>
            </w:r>
          </w:p>
        </w:tc>
        <w:tc>
          <w:tcPr>
            <w:tcW w:w="2268" w:type="dxa"/>
            <w:shd w:val="clear" w:color="auto" w:fill="auto"/>
            <w:vAlign w:val="center"/>
          </w:tcPr>
          <w:p w:rsidR="0071565B"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 xml:space="preserve">Policía Nacional </w:t>
            </w:r>
          </w:p>
        </w:tc>
        <w:tc>
          <w:tcPr>
            <w:tcW w:w="5291" w:type="dxa"/>
            <w:shd w:val="clear" w:color="auto" w:fill="auto"/>
          </w:tcPr>
          <w:p w:rsidR="0071565B"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“Durante la activación de la alerta Colombia la Policía Nacional implementará los mecanismos de búsqueda pertin</w:t>
            </w:r>
            <w:r w:rsidRPr="007C57D2">
              <w:rPr>
                <w:rFonts w:ascii="Times New Roman" w:hAnsi="Times New Roman"/>
                <w:sz w:val="28"/>
              </w:rPr>
              <w:t>entes para la búsqueda, localización y recuperación inmediata de niños y niñas extraviados”.</w:t>
            </w:r>
          </w:p>
        </w:tc>
      </w:tr>
      <w:tr w:rsidR="00A0085A" w:rsidRPr="007C57D2" w:rsidTr="007C57D2">
        <w:trPr>
          <w:jc w:val="center"/>
        </w:trPr>
        <w:tc>
          <w:tcPr>
            <w:tcW w:w="1422" w:type="dxa"/>
            <w:shd w:val="clear" w:color="auto" w:fill="auto"/>
            <w:vAlign w:val="center"/>
          </w:tcPr>
          <w:p w:rsidR="0071565B"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13, inciso</w:t>
            </w:r>
            <w:r w:rsidRPr="007C57D2">
              <w:rPr>
                <w:rFonts w:ascii="Times New Roman" w:hAnsi="Times New Roman"/>
                <w:sz w:val="28"/>
              </w:rPr>
              <w:t xml:space="preserve"> </w:t>
            </w:r>
            <w:r w:rsidRPr="007C57D2">
              <w:rPr>
                <w:rFonts w:ascii="Times New Roman" w:hAnsi="Times New Roman"/>
                <w:sz w:val="28"/>
              </w:rPr>
              <w:t xml:space="preserve">1 </w:t>
            </w:r>
          </w:p>
        </w:tc>
        <w:tc>
          <w:tcPr>
            <w:tcW w:w="2268" w:type="dxa"/>
            <w:shd w:val="clear" w:color="auto" w:fill="auto"/>
            <w:vAlign w:val="center"/>
          </w:tcPr>
          <w:p w:rsidR="0071565B"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 xml:space="preserve">ICBF </w:t>
            </w:r>
          </w:p>
        </w:tc>
        <w:tc>
          <w:tcPr>
            <w:tcW w:w="5291" w:type="dxa"/>
            <w:shd w:val="clear" w:color="auto" w:fill="auto"/>
          </w:tcPr>
          <w:p w:rsidR="0071565B"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 xml:space="preserve">“[E]ntregará anualmente un informe detallado al Congreso de la República sobre las cifras de los niños y niñas que se extraviaron, </w:t>
            </w:r>
            <w:r w:rsidRPr="007C57D2">
              <w:rPr>
                <w:rFonts w:ascii="Times New Roman" w:hAnsi="Times New Roman"/>
                <w:sz w:val="28"/>
              </w:rPr>
              <w:t>mecanismos de búsqueda implementados, los resultados obtenidos y nuevas metodologías para mejorar la búsqueda y localización de estos”.</w:t>
            </w:r>
          </w:p>
        </w:tc>
      </w:tr>
      <w:tr w:rsidR="00A0085A" w:rsidRPr="007C57D2" w:rsidTr="007C57D2">
        <w:trPr>
          <w:jc w:val="center"/>
        </w:trPr>
        <w:tc>
          <w:tcPr>
            <w:tcW w:w="1422" w:type="dxa"/>
            <w:shd w:val="clear" w:color="auto" w:fill="auto"/>
            <w:vAlign w:val="center"/>
          </w:tcPr>
          <w:p w:rsidR="001C7096"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13, inciso 2</w:t>
            </w:r>
          </w:p>
        </w:tc>
        <w:tc>
          <w:tcPr>
            <w:tcW w:w="2268" w:type="dxa"/>
            <w:shd w:val="clear" w:color="auto" w:fill="auto"/>
            <w:vAlign w:val="center"/>
          </w:tcPr>
          <w:p w:rsidR="001C7096"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Instituto Nacional de Medicina Legal y Ciencias Forenses</w:t>
            </w:r>
          </w:p>
        </w:tc>
        <w:tc>
          <w:tcPr>
            <w:tcW w:w="5291" w:type="dxa"/>
            <w:shd w:val="clear" w:color="auto" w:fill="auto"/>
          </w:tcPr>
          <w:p w:rsidR="001C7096"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“[D]eberá entregar y sustentar un inform</w:t>
            </w:r>
            <w:r w:rsidRPr="007C57D2">
              <w:rPr>
                <w:rFonts w:ascii="Times New Roman" w:hAnsi="Times New Roman"/>
                <w:sz w:val="28"/>
              </w:rPr>
              <w:t>e al Senado de la República y a la Cámara de Representantes sobre los niños, niñas que aún se encuentran desaparecidos en el territorio colombiano”.</w:t>
            </w:r>
          </w:p>
        </w:tc>
      </w:tr>
      <w:tr w:rsidR="000237A4" w:rsidRPr="007C57D2" w:rsidTr="007C57D2">
        <w:trPr>
          <w:jc w:val="center"/>
        </w:trPr>
        <w:tc>
          <w:tcPr>
            <w:tcW w:w="1422" w:type="dxa"/>
            <w:shd w:val="clear" w:color="auto" w:fill="auto"/>
            <w:vAlign w:val="center"/>
          </w:tcPr>
          <w:p w:rsidR="001C7096"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Artículo 14</w:t>
            </w:r>
          </w:p>
        </w:tc>
        <w:tc>
          <w:tcPr>
            <w:tcW w:w="2268" w:type="dxa"/>
            <w:shd w:val="clear" w:color="auto" w:fill="auto"/>
            <w:vAlign w:val="center"/>
          </w:tcPr>
          <w:p w:rsidR="001C7096" w:rsidRPr="007C57D2" w:rsidRDefault="007C57D2" w:rsidP="007C57D2">
            <w:pPr>
              <w:pStyle w:val="Prrafodelista"/>
              <w:tabs>
                <w:tab w:val="left" w:pos="567"/>
              </w:tabs>
              <w:ind w:left="0"/>
              <w:jc w:val="center"/>
              <w:rPr>
                <w:rFonts w:ascii="Times New Roman" w:hAnsi="Times New Roman"/>
                <w:sz w:val="28"/>
              </w:rPr>
            </w:pPr>
            <w:r w:rsidRPr="007C57D2">
              <w:rPr>
                <w:rFonts w:ascii="Times New Roman" w:hAnsi="Times New Roman"/>
                <w:sz w:val="28"/>
              </w:rPr>
              <w:t xml:space="preserve">Gobierno nacional, en cabeza del </w:t>
            </w:r>
            <w:r w:rsidRPr="007C57D2">
              <w:rPr>
                <w:rFonts w:ascii="Times New Roman" w:hAnsi="Times New Roman"/>
                <w:sz w:val="28"/>
              </w:rPr>
              <w:t>Ministerio de Tecnologías de la Información y las Comunicacio</w:t>
            </w:r>
            <w:r w:rsidRPr="007C57D2">
              <w:rPr>
                <w:rFonts w:ascii="Times New Roman" w:hAnsi="Times New Roman"/>
                <w:sz w:val="28"/>
              </w:rPr>
              <w:t>nes, en coordinación con la Comisión de Regulación de Comunicaciones</w:t>
            </w:r>
          </w:p>
        </w:tc>
        <w:tc>
          <w:tcPr>
            <w:tcW w:w="5291" w:type="dxa"/>
            <w:shd w:val="clear" w:color="auto" w:fill="auto"/>
          </w:tcPr>
          <w:p w:rsidR="001C7096" w:rsidRPr="007C57D2" w:rsidRDefault="007C57D2" w:rsidP="007C57D2">
            <w:pPr>
              <w:pStyle w:val="Prrafodelista"/>
              <w:tabs>
                <w:tab w:val="left" w:pos="567"/>
              </w:tabs>
              <w:ind w:left="0"/>
              <w:jc w:val="both"/>
              <w:rPr>
                <w:rFonts w:ascii="Times New Roman" w:hAnsi="Times New Roman"/>
                <w:sz w:val="28"/>
              </w:rPr>
            </w:pPr>
            <w:r w:rsidRPr="007C57D2">
              <w:rPr>
                <w:rFonts w:ascii="Times New Roman" w:hAnsi="Times New Roman"/>
                <w:sz w:val="28"/>
              </w:rPr>
              <w:t>“</w:t>
            </w:r>
            <w:r w:rsidRPr="007C57D2">
              <w:rPr>
                <w:rFonts w:ascii="Times New Roman" w:hAnsi="Times New Roman"/>
                <w:sz w:val="28"/>
              </w:rPr>
              <w:t>[R]</w:t>
            </w:r>
            <w:r w:rsidRPr="007C57D2">
              <w:rPr>
                <w:rFonts w:ascii="Times New Roman" w:hAnsi="Times New Roman"/>
                <w:sz w:val="28"/>
              </w:rPr>
              <w:t>eglamentará lo necesario para la aplicación de la presente ley en un plazo no mayor a seis (6) meses a partir de su entrada en vigencia”.</w:t>
            </w:r>
          </w:p>
        </w:tc>
      </w:tr>
    </w:tbl>
    <w:bookmarkEnd w:id="26"/>
    <w:p w:rsidR="000933F1" w:rsidRPr="007C57D2" w:rsidRDefault="007C57D2" w:rsidP="008F3DAB">
      <w:pPr>
        <w:pStyle w:val="Prrafodelista"/>
        <w:tabs>
          <w:tab w:val="left" w:pos="567"/>
        </w:tabs>
        <w:ind w:left="0"/>
        <w:jc w:val="center"/>
        <w:rPr>
          <w:rFonts w:ascii="Times New Roman" w:hAnsi="Times New Roman"/>
          <w:sz w:val="28"/>
          <w:lang w:val="es-ES" w:eastAsia="es-MX"/>
        </w:rPr>
      </w:pPr>
      <w:r w:rsidRPr="007C57D2">
        <w:rPr>
          <w:rFonts w:ascii="Times New Roman" w:hAnsi="Times New Roman"/>
          <w:sz w:val="28"/>
          <w:lang w:val="es-ES" w:eastAsia="es-MX"/>
        </w:rPr>
        <w:t xml:space="preserve">Tabla </w:t>
      </w:r>
      <w:r w:rsidRPr="007C57D2">
        <w:rPr>
          <w:rFonts w:ascii="Times New Roman" w:hAnsi="Times New Roman"/>
          <w:sz w:val="28"/>
          <w:lang w:val="es-ES" w:eastAsia="es-MX"/>
        </w:rPr>
        <w:t>20</w:t>
      </w:r>
      <w:r w:rsidRPr="007C57D2">
        <w:rPr>
          <w:rFonts w:ascii="Times New Roman" w:hAnsi="Times New Roman"/>
          <w:sz w:val="28"/>
          <w:lang w:val="es-ES" w:eastAsia="es-MX"/>
        </w:rPr>
        <w:t xml:space="preserve">. </w:t>
      </w:r>
      <w:r w:rsidRPr="007C57D2">
        <w:rPr>
          <w:rFonts w:ascii="Times New Roman" w:hAnsi="Times New Roman"/>
          <w:i/>
          <w:iCs/>
          <w:sz w:val="28"/>
          <w:lang w:val="es-ES" w:eastAsia="es-MX"/>
        </w:rPr>
        <w:t xml:space="preserve">Los artículos que imponen una </w:t>
      </w:r>
      <w:r w:rsidRPr="007C57D2">
        <w:rPr>
          <w:rFonts w:ascii="Times New Roman" w:hAnsi="Times New Roman"/>
          <w:i/>
          <w:iCs/>
          <w:sz w:val="28"/>
          <w:lang w:val="es-ES" w:eastAsia="es-MX"/>
        </w:rPr>
        <w:t>obligación, deber o tarea a alguna entidad pública</w:t>
      </w:r>
    </w:p>
    <w:p w:rsidR="000933F1"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A65E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rPr>
        <w:t xml:space="preserve">Si bien, en principio, estas </w:t>
      </w:r>
      <w:r w:rsidRPr="007C57D2">
        <w:rPr>
          <w:rFonts w:ascii="Times New Roman" w:hAnsi="Times New Roman"/>
          <w:sz w:val="28"/>
          <w:szCs w:val="28"/>
          <w:lang w:val="es-ES"/>
        </w:rPr>
        <w:t xml:space="preserve">normas jurídicas </w:t>
      </w:r>
      <w:r w:rsidRPr="007C57D2">
        <w:rPr>
          <w:rFonts w:ascii="Times New Roman" w:hAnsi="Times New Roman"/>
          <w:sz w:val="28"/>
          <w:szCs w:val="28"/>
          <w:lang w:val="es-ES"/>
        </w:rPr>
        <w:t xml:space="preserve">podrían cumplir el criterio gramatical, </w:t>
      </w:r>
      <w:r w:rsidRPr="007C57D2">
        <w:rPr>
          <w:rFonts w:ascii="Times New Roman" w:hAnsi="Times New Roman"/>
          <w:sz w:val="28"/>
          <w:szCs w:val="28"/>
          <w:lang w:val="es-ES"/>
        </w:rPr>
        <w:t xml:space="preserve">no constituyen una orden de gasto por las siguientes razones. Primera, </w:t>
      </w:r>
      <w:r w:rsidRPr="007C57D2">
        <w:rPr>
          <w:rFonts w:ascii="Times New Roman" w:hAnsi="Times New Roman"/>
          <w:sz w:val="28"/>
          <w:szCs w:val="28"/>
          <w:lang w:val="es-ES"/>
        </w:rPr>
        <w:t xml:space="preserve">algunas de ellas se limitan a atribuir una </w:t>
      </w:r>
      <w:r w:rsidRPr="007C57D2">
        <w:rPr>
          <w:rFonts w:ascii="Times New Roman" w:hAnsi="Times New Roman"/>
          <w:sz w:val="28"/>
          <w:szCs w:val="28"/>
          <w:lang w:val="es-ES"/>
        </w:rPr>
        <w:t>competencia</w:t>
      </w:r>
      <w:r w:rsidRPr="007C57D2">
        <w:rPr>
          <w:rFonts w:ascii="Times New Roman" w:hAnsi="Times New Roman"/>
          <w:sz w:val="28"/>
          <w:szCs w:val="28"/>
          <w:lang w:val="es-ES"/>
        </w:rPr>
        <w:t xml:space="preserve"> a entidades administrativas concretas</w:t>
      </w:r>
      <w:r w:rsidRPr="007C57D2">
        <w:rPr>
          <w:rFonts w:ascii="Times New Roman" w:hAnsi="Times New Roman"/>
          <w:sz w:val="28"/>
          <w:szCs w:val="28"/>
          <w:lang w:val="es-ES"/>
        </w:rPr>
        <w:t xml:space="preserve"> y no constituyen un </w:t>
      </w:r>
      <w:r w:rsidRPr="007C57D2">
        <w:rPr>
          <w:rFonts w:ascii="Times New Roman" w:hAnsi="Times New Roman"/>
          <w:sz w:val="28"/>
          <w:szCs w:val="28"/>
          <w:shd w:val="clear" w:color="auto" w:fill="FFFFFF"/>
          <w:lang w:val="es-ES"/>
        </w:rPr>
        <w:t>título jurídico suficiente y obligatorio para incluir una partida en la ley de presupuesto</w:t>
      </w:r>
      <w:r w:rsidRPr="007C57D2">
        <w:rPr>
          <w:rStyle w:val="Refdenotaalpie"/>
          <w:rFonts w:ascii="Times New Roman" w:hAnsi="Times New Roman"/>
          <w:sz w:val="28"/>
          <w:szCs w:val="28"/>
          <w:shd w:val="clear" w:color="auto" w:fill="FFFFFF"/>
          <w:lang w:val="es-ES"/>
        </w:rPr>
        <w:footnoteReference w:id="247"/>
      </w:r>
      <w:r w:rsidRPr="007C57D2">
        <w:rPr>
          <w:rFonts w:ascii="Times New Roman" w:hAnsi="Times New Roman"/>
          <w:sz w:val="28"/>
          <w:szCs w:val="28"/>
          <w:lang w:val="es-ES"/>
        </w:rPr>
        <w:t xml:space="preserve">. Tal es el caso de los </w:t>
      </w:r>
      <w:r w:rsidRPr="007C57D2">
        <w:rPr>
          <w:rFonts w:ascii="Times New Roman" w:hAnsi="Times New Roman"/>
          <w:sz w:val="28"/>
          <w:szCs w:val="28"/>
          <w:lang w:val="es-ES"/>
        </w:rPr>
        <w:t xml:space="preserve">artículos 2, literal b), 3, inciso 1, </w:t>
      </w:r>
      <w:r w:rsidRPr="007C57D2">
        <w:rPr>
          <w:rFonts w:ascii="Times New Roman" w:hAnsi="Times New Roman"/>
          <w:sz w:val="28"/>
          <w:szCs w:val="28"/>
          <w:lang w:val="es-ES"/>
        </w:rPr>
        <w:t xml:space="preserve">y 9, literal c), </w:t>
      </w:r>
      <w:r w:rsidRPr="007C57D2">
        <w:rPr>
          <w:rFonts w:ascii="Times New Roman" w:hAnsi="Times New Roman"/>
          <w:sz w:val="28"/>
          <w:szCs w:val="28"/>
          <w:lang w:val="es-ES"/>
        </w:rPr>
        <w:t xml:space="preserve">que prevén que, solo de manera supletoria, es decir, únicamente cuando los </w:t>
      </w:r>
      <w:r w:rsidRPr="007C57D2">
        <w:rPr>
          <w:rFonts w:ascii="Times New Roman" w:hAnsi="Times New Roman"/>
          <w:sz w:val="28"/>
          <w:szCs w:val="28"/>
        </w:rPr>
        <w:t xml:space="preserve">padres, representantes legales, quien ostente la custodia o los cuidadores o familiares del menor </w:t>
      </w:r>
      <w:r w:rsidRPr="007C57D2">
        <w:rPr>
          <w:rFonts w:ascii="Times New Roman" w:hAnsi="Times New Roman"/>
          <w:sz w:val="28"/>
          <w:szCs w:val="28"/>
        </w:rPr>
        <w:t xml:space="preserve">de edad </w:t>
      </w:r>
      <w:r w:rsidRPr="007C57D2">
        <w:rPr>
          <w:rFonts w:ascii="Times New Roman" w:hAnsi="Times New Roman"/>
          <w:sz w:val="28"/>
          <w:szCs w:val="28"/>
        </w:rPr>
        <w:t>extraviado no lo hacen, el ICBF</w:t>
      </w:r>
      <w:r w:rsidRPr="007C57D2">
        <w:rPr>
          <w:rFonts w:ascii="Times New Roman" w:hAnsi="Times New Roman"/>
          <w:sz w:val="28"/>
          <w:szCs w:val="28"/>
        </w:rPr>
        <w:t xml:space="preserve"> </w:t>
      </w:r>
      <w:r w:rsidRPr="007C57D2">
        <w:rPr>
          <w:rFonts w:ascii="Times New Roman" w:hAnsi="Times New Roman"/>
          <w:sz w:val="28"/>
          <w:szCs w:val="28"/>
        </w:rPr>
        <w:t>deberá</w:t>
      </w:r>
      <w:r w:rsidRPr="007C57D2">
        <w:rPr>
          <w:rFonts w:ascii="Times New Roman" w:hAnsi="Times New Roman"/>
          <w:sz w:val="28"/>
          <w:szCs w:val="28"/>
        </w:rPr>
        <w:t>: (i)</w:t>
      </w:r>
      <w:r w:rsidRPr="007C57D2">
        <w:rPr>
          <w:rFonts w:ascii="Times New Roman" w:hAnsi="Times New Roman"/>
          <w:sz w:val="28"/>
          <w:szCs w:val="28"/>
        </w:rPr>
        <w:t xml:space="preserve"> </w:t>
      </w:r>
      <w:r w:rsidRPr="007C57D2">
        <w:rPr>
          <w:rFonts w:ascii="Times New Roman" w:hAnsi="Times New Roman"/>
          <w:sz w:val="28"/>
          <w:szCs w:val="28"/>
          <w:lang w:val="es-ES"/>
        </w:rPr>
        <w:t xml:space="preserve">realizar el reporte </w:t>
      </w:r>
      <w:r w:rsidRPr="007C57D2">
        <w:rPr>
          <w:rFonts w:ascii="Times New Roman" w:hAnsi="Times New Roman"/>
          <w:sz w:val="28"/>
          <w:szCs w:val="28"/>
          <w:lang w:val="es-ES"/>
        </w:rPr>
        <w:t xml:space="preserve">del niño o </w:t>
      </w:r>
      <w:r w:rsidRPr="007C57D2">
        <w:rPr>
          <w:rFonts w:ascii="Times New Roman" w:hAnsi="Times New Roman"/>
          <w:sz w:val="28"/>
          <w:szCs w:val="28"/>
          <w:lang w:val="es-ES"/>
        </w:rPr>
        <w:t xml:space="preserve">niña </w:t>
      </w:r>
      <w:r w:rsidRPr="007C57D2">
        <w:rPr>
          <w:rFonts w:ascii="Times New Roman" w:hAnsi="Times New Roman"/>
          <w:sz w:val="28"/>
          <w:szCs w:val="28"/>
          <w:lang w:val="es-ES"/>
        </w:rPr>
        <w:t>extraviado</w:t>
      </w:r>
      <w:r w:rsidRPr="007C57D2">
        <w:rPr>
          <w:rFonts w:ascii="Times New Roman" w:hAnsi="Times New Roman"/>
          <w:sz w:val="28"/>
          <w:szCs w:val="28"/>
          <w:lang w:val="es-ES"/>
        </w:rPr>
        <w:t>; (ii)</w:t>
      </w:r>
      <w:r w:rsidRPr="007C57D2">
        <w:rPr>
          <w:rFonts w:ascii="Times New Roman" w:hAnsi="Times New Roman"/>
          <w:sz w:val="28"/>
          <w:szCs w:val="28"/>
          <w:lang w:val="es-ES"/>
        </w:rPr>
        <w:t xml:space="preserve"> </w:t>
      </w:r>
      <w:r w:rsidRPr="007C57D2">
        <w:rPr>
          <w:rFonts w:ascii="Times New Roman" w:hAnsi="Times New Roman"/>
          <w:sz w:val="28"/>
          <w:szCs w:val="28"/>
        </w:rPr>
        <w:t>diligenciar el consentimiento informado que autorice el uso de los datos personales y biométricos del niño o niña</w:t>
      </w:r>
      <w:r w:rsidRPr="007C57D2">
        <w:rPr>
          <w:rFonts w:ascii="Times New Roman" w:hAnsi="Times New Roman"/>
          <w:sz w:val="28"/>
          <w:szCs w:val="28"/>
        </w:rPr>
        <w:t xml:space="preserve"> y (iii) disponer de información suficiente para que, al momento de emitir la alerta, la colaboración de la sociedad pued</w:t>
      </w:r>
      <w:r w:rsidRPr="007C57D2">
        <w:rPr>
          <w:rFonts w:ascii="Times New Roman" w:hAnsi="Times New Roman"/>
          <w:sz w:val="28"/>
          <w:szCs w:val="28"/>
        </w:rPr>
        <w:t>a arrojar resultados positivos</w:t>
      </w:r>
      <w:r w:rsidRPr="007C57D2">
        <w:rPr>
          <w:rFonts w:ascii="Times New Roman" w:hAnsi="Times New Roman"/>
          <w:sz w:val="28"/>
          <w:szCs w:val="28"/>
        </w:rPr>
        <w:t xml:space="preserve">. </w:t>
      </w:r>
    </w:p>
    <w:p w:rsidR="00BC0634"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A65E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Lo mismo sucede con</w:t>
      </w:r>
      <w:r w:rsidRPr="007C57D2">
        <w:rPr>
          <w:rFonts w:ascii="Times New Roman" w:hAnsi="Times New Roman"/>
          <w:sz w:val="28"/>
          <w:szCs w:val="28"/>
        </w:rPr>
        <w:t xml:space="preserve"> los artículos 8, 11</w:t>
      </w:r>
      <w:r w:rsidRPr="007C57D2">
        <w:rPr>
          <w:rFonts w:ascii="Times New Roman" w:hAnsi="Times New Roman"/>
          <w:sz w:val="28"/>
          <w:szCs w:val="28"/>
        </w:rPr>
        <w:t>, parágrafo,</w:t>
      </w:r>
      <w:r w:rsidRPr="007C57D2">
        <w:rPr>
          <w:rFonts w:ascii="Times New Roman" w:hAnsi="Times New Roman"/>
          <w:sz w:val="28"/>
          <w:szCs w:val="28"/>
        </w:rPr>
        <w:t xml:space="preserve"> y 14</w:t>
      </w:r>
      <w:r w:rsidRPr="007C57D2">
        <w:rPr>
          <w:rFonts w:ascii="Times New Roman" w:hAnsi="Times New Roman"/>
          <w:sz w:val="28"/>
          <w:szCs w:val="28"/>
        </w:rPr>
        <w:t xml:space="preserve">, los cuales determinan </w:t>
      </w:r>
      <w:r w:rsidRPr="007C57D2">
        <w:rPr>
          <w:rFonts w:ascii="Times New Roman" w:hAnsi="Times New Roman"/>
          <w:sz w:val="28"/>
          <w:szCs w:val="28"/>
        </w:rPr>
        <w:t xml:space="preserve">sendas competencias </w:t>
      </w:r>
      <w:r w:rsidRPr="007C57D2">
        <w:rPr>
          <w:rFonts w:ascii="Times New Roman" w:hAnsi="Times New Roman"/>
          <w:sz w:val="28"/>
          <w:szCs w:val="28"/>
        </w:rPr>
        <w:t>del ICBF</w:t>
      </w:r>
      <w:r w:rsidRPr="007C57D2">
        <w:rPr>
          <w:rFonts w:ascii="Times New Roman" w:hAnsi="Times New Roman"/>
          <w:sz w:val="28"/>
          <w:szCs w:val="28"/>
        </w:rPr>
        <w:t>,</w:t>
      </w:r>
      <w:r w:rsidRPr="007C57D2">
        <w:rPr>
          <w:rFonts w:ascii="Times New Roman" w:hAnsi="Times New Roman"/>
          <w:sz w:val="28"/>
          <w:szCs w:val="28"/>
        </w:rPr>
        <w:t xml:space="preserve"> para solicitar a los proveedores de redes y servicios de telecomunicaciones móviles la eliminación de los datos personales y biométricos del menor </w:t>
      </w:r>
      <w:r w:rsidRPr="007C57D2">
        <w:rPr>
          <w:rFonts w:ascii="Times New Roman" w:hAnsi="Times New Roman"/>
          <w:sz w:val="28"/>
          <w:szCs w:val="28"/>
        </w:rPr>
        <w:t xml:space="preserve">de 18 años </w:t>
      </w:r>
      <w:r w:rsidRPr="007C57D2">
        <w:rPr>
          <w:rFonts w:ascii="Times New Roman" w:hAnsi="Times New Roman"/>
          <w:sz w:val="28"/>
          <w:szCs w:val="28"/>
        </w:rPr>
        <w:t xml:space="preserve">cuando este aparezca; y del Ministerio de las Tecnologías de la Información y las Comunicaciones </w:t>
      </w:r>
      <w:r w:rsidRPr="007C57D2">
        <w:rPr>
          <w:rFonts w:ascii="Times New Roman" w:hAnsi="Times New Roman"/>
          <w:sz w:val="28"/>
          <w:szCs w:val="28"/>
        </w:rPr>
        <w:t>para</w:t>
      </w:r>
      <w:r w:rsidRPr="007C57D2">
        <w:rPr>
          <w:rFonts w:ascii="Times New Roman" w:hAnsi="Times New Roman"/>
          <w:sz w:val="28"/>
          <w:szCs w:val="28"/>
        </w:rPr>
        <w:t>, por un lado, articular con dichos proveedores la elaboración del protocolo de difusión de la Alerta Colombia y, por otro lado, reglamentar el PLE.</w:t>
      </w:r>
      <w:r w:rsidRPr="007C57D2">
        <w:rPr>
          <w:rFonts w:ascii="Times New Roman" w:hAnsi="Times New Roman"/>
          <w:sz w:val="28"/>
          <w:szCs w:val="28"/>
        </w:rPr>
        <w:t xml:space="preserve"> </w:t>
      </w:r>
    </w:p>
    <w:p w:rsidR="00341C0D" w:rsidRPr="007C57D2" w:rsidRDefault="007C57D2" w:rsidP="008F3DAB">
      <w:pPr>
        <w:pStyle w:val="Prrafodelista"/>
        <w:tabs>
          <w:tab w:val="left" w:pos="567"/>
        </w:tabs>
        <w:ind w:left="0"/>
        <w:jc w:val="both"/>
        <w:rPr>
          <w:rFonts w:ascii="Times New Roman" w:hAnsi="Times New Roman"/>
          <w:sz w:val="28"/>
          <w:szCs w:val="28"/>
          <w:lang w:val="es-ES" w:eastAsia="es-MX"/>
        </w:rPr>
      </w:pPr>
    </w:p>
    <w:p w:rsidR="009417E0"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 xml:space="preserve">Segunda, </w:t>
      </w:r>
      <w:r w:rsidRPr="007C57D2">
        <w:rPr>
          <w:rFonts w:ascii="Times New Roman" w:hAnsi="Times New Roman"/>
          <w:sz w:val="28"/>
          <w:szCs w:val="28"/>
          <w:shd w:val="clear" w:color="auto" w:fill="FFFFFF"/>
        </w:rPr>
        <w:t xml:space="preserve">las medidas están a cargo de </w:t>
      </w:r>
      <w:r w:rsidRPr="007C57D2">
        <w:rPr>
          <w:rFonts w:ascii="Times New Roman" w:hAnsi="Times New Roman"/>
          <w:sz w:val="28"/>
          <w:szCs w:val="28"/>
          <w:lang w:val="es-ES"/>
        </w:rPr>
        <w:t xml:space="preserve">entidades cuya misionalidad se relaciona directamente con su </w:t>
      </w:r>
      <w:r w:rsidRPr="007C57D2">
        <w:rPr>
          <w:rFonts w:ascii="Times New Roman" w:hAnsi="Times New Roman"/>
          <w:sz w:val="28"/>
          <w:szCs w:val="28"/>
          <w:lang w:val="es-ES"/>
        </w:rPr>
        <w:t>objeto, lo que implica que “no necesariamente comprometen más recursos que aquellos con los que actualmente cuentan esas entidades”</w:t>
      </w:r>
      <w:r w:rsidRPr="007C57D2">
        <w:rPr>
          <w:rStyle w:val="Refdenotaalpie"/>
          <w:rFonts w:ascii="Times New Roman" w:hAnsi="Times New Roman"/>
          <w:sz w:val="28"/>
          <w:szCs w:val="28"/>
          <w:shd w:val="clear" w:color="auto" w:fill="FFFFFF"/>
        </w:rPr>
        <w:footnoteReference w:id="248"/>
      </w:r>
      <w:r w:rsidRPr="007C57D2">
        <w:rPr>
          <w:rFonts w:ascii="Times New Roman" w:hAnsi="Times New Roman"/>
          <w:sz w:val="28"/>
          <w:szCs w:val="28"/>
          <w:shd w:val="clear" w:color="auto" w:fill="FFFFFF"/>
        </w:rPr>
        <w:t xml:space="preserve">. </w:t>
      </w:r>
      <w:r w:rsidRPr="007C57D2">
        <w:rPr>
          <w:rFonts w:ascii="Times New Roman" w:hAnsi="Times New Roman"/>
          <w:sz w:val="28"/>
          <w:szCs w:val="28"/>
        </w:rPr>
        <w:t xml:space="preserve">En efecto, </w:t>
      </w:r>
      <w:r w:rsidRPr="007C57D2">
        <w:rPr>
          <w:rFonts w:ascii="Times New Roman" w:hAnsi="Times New Roman"/>
          <w:sz w:val="28"/>
          <w:szCs w:val="28"/>
        </w:rPr>
        <w:t xml:space="preserve">el </w:t>
      </w:r>
      <w:r w:rsidRPr="007C57D2">
        <w:rPr>
          <w:rFonts w:ascii="Times New Roman" w:hAnsi="Times New Roman"/>
          <w:sz w:val="28"/>
          <w:szCs w:val="28"/>
        </w:rPr>
        <w:t xml:space="preserve">artículo 12, inciso 1, </w:t>
      </w:r>
      <w:r w:rsidRPr="007C57D2">
        <w:rPr>
          <w:rFonts w:ascii="Times New Roman" w:hAnsi="Times New Roman"/>
          <w:sz w:val="28"/>
          <w:szCs w:val="28"/>
        </w:rPr>
        <w:t>establece que, mientras la Alerta Colombia permanezca activa, la Policía Nacional deb</w:t>
      </w:r>
      <w:r w:rsidRPr="007C57D2">
        <w:rPr>
          <w:rFonts w:ascii="Times New Roman" w:hAnsi="Times New Roman"/>
          <w:sz w:val="28"/>
          <w:szCs w:val="28"/>
        </w:rPr>
        <w:t xml:space="preserve">erá implementar los mecanismos de búsqueda pertinentes para la localización y recuperación inmediata del menor </w:t>
      </w:r>
      <w:r w:rsidRPr="007C57D2">
        <w:rPr>
          <w:rFonts w:ascii="Times New Roman" w:hAnsi="Times New Roman"/>
          <w:sz w:val="28"/>
          <w:szCs w:val="28"/>
        </w:rPr>
        <w:t xml:space="preserve">de edad </w:t>
      </w:r>
      <w:r w:rsidRPr="007C57D2">
        <w:rPr>
          <w:rFonts w:ascii="Times New Roman" w:hAnsi="Times New Roman"/>
          <w:sz w:val="28"/>
          <w:szCs w:val="28"/>
        </w:rPr>
        <w:t xml:space="preserve">extraviado. Este es un deber ordinario de la Policía Nacional que debe ser cumplido </w:t>
      </w:r>
      <w:r w:rsidRPr="007C57D2">
        <w:rPr>
          <w:rFonts w:ascii="Times New Roman" w:hAnsi="Times New Roman"/>
          <w:sz w:val="28"/>
          <w:szCs w:val="28"/>
        </w:rPr>
        <w:t xml:space="preserve">por la entidad </w:t>
      </w:r>
      <w:r w:rsidRPr="007C57D2">
        <w:rPr>
          <w:rFonts w:ascii="Times New Roman" w:hAnsi="Times New Roman"/>
          <w:sz w:val="28"/>
          <w:szCs w:val="28"/>
        </w:rPr>
        <w:t>en toda circunstancia</w:t>
      </w:r>
      <w:r w:rsidRPr="007C57D2">
        <w:rPr>
          <w:rFonts w:ascii="Times New Roman" w:hAnsi="Times New Roman"/>
          <w:sz w:val="28"/>
          <w:szCs w:val="28"/>
        </w:rPr>
        <w:t xml:space="preserve"> y con cargo a lo</w:t>
      </w:r>
      <w:r w:rsidRPr="007C57D2">
        <w:rPr>
          <w:rFonts w:ascii="Times New Roman" w:hAnsi="Times New Roman"/>
          <w:sz w:val="28"/>
          <w:szCs w:val="28"/>
        </w:rPr>
        <w:t>s recursos a ella asignados</w:t>
      </w:r>
      <w:r w:rsidRPr="007C57D2">
        <w:rPr>
          <w:rFonts w:ascii="Times New Roman" w:hAnsi="Times New Roman"/>
          <w:sz w:val="28"/>
          <w:szCs w:val="28"/>
        </w:rPr>
        <w:t xml:space="preserve">, incluso con independencia del PLE. </w:t>
      </w:r>
    </w:p>
    <w:p w:rsidR="009417E0"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A65E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Del mismo modo, el artículo 14 dispone que la reglamentación del PLE estará a cargo del Gobierno nacional y, en concreto, del Ministerio de Tecnologías de la Información y las Comunicaciones</w:t>
      </w:r>
      <w:r w:rsidRPr="007C57D2">
        <w:rPr>
          <w:rFonts w:ascii="Times New Roman" w:hAnsi="Times New Roman"/>
          <w:sz w:val="28"/>
          <w:szCs w:val="28"/>
        </w:rPr>
        <w:t>. A la luz del artículo 189, numeral 11, de la Constitución, la potestad reglamentaria es una competencia propia del Gobierno nacional</w:t>
      </w:r>
      <w:r w:rsidRPr="007C57D2">
        <w:rPr>
          <w:rStyle w:val="Refdenotaalpie"/>
          <w:rFonts w:ascii="Times New Roman" w:hAnsi="Times New Roman"/>
          <w:sz w:val="28"/>
          <w:szCs w:val="28"/>
        </w:rPr>
        <w:footnoteReference w:id="249"/>
      </w:r>
      <w:r w:rsidRPr="007C57D2">
        <w:rPr>
          <w:rFonts w:ascii="Times New Roman" w:hAnsi="Times New Roman"/>
          <w:sz w:val="28"/>
          <w:szCs w:val="28"/>
        </w:rPr>
        <w:t xml:space="preserve"> que podría ser </w:t>
      </w:r>
      <w:r w:rsidRPr="007C57D2">
        <w:rPr>
          <w:rFonts w:ascii="Times New Roman" w:hAnsi="Times New Roman"/>
          <w:sz w:val="28"/>
          <w:szCs w:val="28"/>
        </w:rPr>
        <w:t>ejercida,</w:t>
      </w:r>
      <w:r w:rsidRPr="007C57D2">
        <w:rPr>
          <w:rFonts w:ascii="Times New Roman" w:hAnsi="Times New Roman"/>
          <w:sz w:val="28"/>
          <w:szCs w:val="28"/>
        </w:rPr>
        <w:t xml:space="preserve"> </w:t>
      </w:r>
      <w:r w:rsidRPr="007C57D2">
        <w:rPr>
          <w:rFonts w:ascii="Times New Roman" w:hAnsi="Times New Roman"/>
          <w:sz w:val="28"/>
          <w:szCs w:val="28"/>
        </w:rPr>
        <w:t>incluso, si</w:t>
      </w:r>
      <w:r w:rsidRPr="007C57D2">
        <w:rPr>
          <w:rFonts w:ascii="Times New Roman" w:hAnsi="Times New Roman"/>
          <w:sz w:val="28"/>
          <w:szCs w:val="28"/>
        </w:rPr>
        <w:t xml:space="preserve"> el PLE guardara silencio sobre el particular</w:t>
      </w:r>
      <w:r w:rsidRPr="007C57D2">
        <w:rPr>
          <w:rStyle w:val="Refdenotaalpie"/>
          <w:rFonts w:ascii="Times New Roman" w:hAnsi="Times New Roman"/>
          <w:sz w:val="28"/>
          <w:szCs w:val="28"/>
        </w:rPr>
        <w:footnoteReference w:id="250"/>
      </w:r>
      <w:r w:rsidRPr="007C57D2">
        <w:rPr>
          <w:rFonts w:ascii="Times New Roman" w:hAnsi="Times New Roman"/>
          <w:sz w:val="28"/>
          <w:szCs w:val="28"/>
        </w:rPr>
        <w:t xml:space="preserve">. </w:t>
      </w:r>
      <w:r w:rsidRPr="007C57D2">
        <w:rPr>
          <w:rFonts w:ascii="Times New Roman" w:hAnsi="Times New Roman"/>
          <w:sz w:val="28"/>
          <w:szCs w:val="28"/>
        </w:rPr>
        <w:t xml:space="preserve">Asimismo, la competencia atribuida </w:t>
      </w:r>
      <w:r w:rsidRPr="007C57D2">
        <w:rPr>
          <w:rFonts w:ascii="Times New Roman" w:hAnsi="Times New Roman"/>
          <w:sz w:val="28"/>
          <w:szCs w:val="28"/>
        </w:rPr>
        <w:t>al ICBF en el artículo 5, inciso 5, se enmarca en el deber general de todos los servidores públicos de denunciar los delitos de cuya comisión tenga</w:t>
      </w:r>
      <w:r w:rsidRPr="007C57D2">
        <w:rPr>
          <w:rFonts w:ascii="Times New Roman" w:hAnsi="Times New Roman"/>
          <w:sz w:val="28"/>
          <w:szCs w:val="28"/>
        </w:rPr>
        <w:t>n</w:t>
      </w:r>
      <w:r w:rsidRPr="007C57D2">
        <w:rPr>
          <w:rFonts w:ascii="Times New Roman" w:hAnsi="Times New Roman"/>
          <w:sz w:val="28"/>
          <w:szCs w:val="28"/>
        </w:rPr>
        <w:t xml:space="preserve"> conocimiento</w:t>
      </w:r>
      <w:r w:rsidRPr="007C57D2">
        <w:rPr>
          <w:rStyle w:val="Refdenotaalpie"/>
          <w:rFonts w:ascii="Times New Roman" w:hAnsi="Times New Roman"/>
          <w:sz w:val="28"/>
          <w:szCs w:val="28"/>
        </w:rPr>
        <w:footnoteReference w:id="251"/>
      </w:r>
      <w:r w:rsidRPr="007C57D2">
        <w:rPr>
          <w:rFonts w:ascii="Times New Roman" w:hAnsi="Times New Roman"/>
          <w:sz w:val="28"/>
          <w:szCs w:val="28"/>
        </w:rPr>
        <w:t xml:space="preserve">. </w:t>
      </w:r>
    </w:p>
    <w:p w:rsidR="008E3808"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 xml:space="preserve">Tercera, </w:t>
      </w:r>
      <w:r w:rsidRPr="007C57D2">
        <w:rPr>
          <w:rFonts w:ascii="Times New Roman" w:hAnsi="Times New Roman"/>
          <w:sz w:val="28"/>
          <w:szCs w:val="28"/>
          <w:lang w:val="es-ES" w:eastAsia="es-MX"/>
        </w:rPr>
        <w:t xml:space="preserve">los </w:t>
      </w:r>
      <w:r w:rsidRPr="007C57D2">
        <w:rPr>
          <w:rFonts w:ascii="Times New Roman" w:hAnsi="Times New Roman"/>
          <w:sz w:val="28"/>
          <w:szCs w:val="28"/>
          <w:lang w:val="es-ES" w:eastAsia="es-MX"/>
        </w:rPr>
        <w:t>artículo</w:t>
      </w:r>
      <w:r w:rsidRPr="007C57D2">
        <w:rPr>
          <w:rFonts w:ascii="Times New Roman" w:hAnsi="Times New Roman"/>
          <w:sz w:val="28"/>
          <w:szCs w:val="28"/>
          <w:lang w:val="es-ES" w:eastAsia="es-MX"/>
        </w:rPr>
        <w:t>s</w:t>
      </w:r>
      <w:r w:rsidRPr="007C57D2">
        <w:rPr>
          <w:rFonts w:ascii="Times New Roman" w:hAnsi="Times New Roman"/>
          <w:sz w:val="28"/>
          <w:szCs w:val="28"/>
          <w:lang w:val="es-ES" w:eastAsia="es-MX"/>
        </w:rPr>
        <w:t xml:space="preserve"> </w:t>
      </w:r>
      <w:r w:rsidRPr="007C57D2">
        <w:rPr>
          <w:rFonts w:ascii="Times New Roman" w:hAnsi="Times New Roman"/>
          <w:sz w:val="28"/>
          <w:szCs w:val="28"/>
          <w:lang w:val="es-ES" w:eastAsia="es-MX"/>
        </w:rPr>
        <w:t xml:space="preserve">9, literal b), y </w:t>
      </w:r>
      <w:r w:rsidRPr="007C57D2">
        <w:rPr>
          <w:rFonts w:ascii="Times New Roman" w:hAnsi="Times New Roman"/>
          <w:sz w:val="28"/>
          <w:szCs w:val="28"/>
          <w:lang w:val="es-ES" w:eastAsia="es-MX"/>
        </w:rPr>
        <w:t>10, literales c) y d)</w:t>
      </w:r>
      <w:r w:rsidRPr="007C57D2">
        <w:rPr>
          <w:rFonts w:ascii="Times New Roman" w:hAnsi="Times New Roman"/>
          <w:sz w:val="28"/>
          <w:szCs w:val="28"/>
          <w:lang w:val="es-ES" w:eastAsia="es-MX"/>
        </w:rPr>
        <w:t xml:space="preserve"> contienen mandatos, pero</w:t>
      </w:r>
      <w:r w:rsidRPr="007C57D2">
        <w:rPr>
          <w:rFonts w:ascii="Times New Roman" w:hAnsi="Times New Roman"/>
          <w:sz w:val="28"/>
          <w:szCs w:val="28"/>
          <w:lang w:val="es-ES" w:eastAsia="es-MX"/>
        </w:rPr>
        <w:t xml:space="preserve"> </w:t>
      </w:r>
      <w:r w:rsidRPr="007C57D2">
        <w:rPr>
          <w:rFonts w:ascii="Times New Roman" w:hAnsi="Times New Roman"/>
          <w:sz w:val="28"/>
          <w:szCs w:val="28"/>
          <w:lang w:eastAsia="es-MX"/>
        </w:rPr>
        <w:t xml:space="preserve">no fijan con certeza al responsable de su cumplimiento. </w:t>
      </w:r>
      <w:r w:rsidRPr="007C57D2">
        <w:rPr>
          <w:rFonts w:ascii="Times New Roman" w:hAnsi="Times New Roman"/>
          <w:sz w:val="28"/>
          <w:szCs w:val="28"/>
          <w:lang w:eastAsia="es-MX"/>
        </w:rPr>
        <w:t>El artículo 9, literal b), se contrae a disponer que entre el reporte del niño extraviado en la página web del ICBF y la activación de la Alerta Colombia no podrá transcurrir más de una hora. De acuer</w:t>
      </w:r>
      <w:r w:rsidRPr="007C57D2">
        <w:rPr>
          <w:rFonts w:ascii="Times New Roman" w:hAnsi="Times New Roman"/>
          <w:sz w:val="28"/>
          <w:szCs w:val="28"/>
          <w:lang w:eastAsia="es-MX"/>
        </w:rPr>
        <w:t>do con su redacción, no es claro si el deber de garantizar ese plazo es competencia del ICBF o de la Policía Nacional. Tampoco es clara la manera en la que dichas entidades se articularán para el cumplimiento de esta tarea.</w:t>
      </w:r>
    </w:p>
    <w:p w:rsidR="008E3808" w:rsidRPr="007C57D2" w:rsidRDefault="007C57D2" w:rsidP="008F3DAB">
      <w:pPr>
        <w:pStyle w:val="Prrafodelista"/>
        <w:tabs>
          <w:tab w:val="left" w:pos="567"/>
        </w:tabs>
        <w:ind w:left="0"/>
        <w:jc w:val="both"/>
        <w:rPr>
          <w:rFonts w:ascii="Times New Roman" w:hAnsi="Times New Roman"/>
          <w:sz w:val="28"/>
          <w:szCs w:val="28"/>
          <w:lang w:val="es-ES" w:eastAsia="es-MX"/>
        </w:rPr>
      </w:pPr>
      <w:r w:rsidRPr="007C57D2">
        <w:rPr>
          <w:rFonts w:ascii="Times New Roman" w:hAnsi="Times New Roman"/>
          <w:sz w:val="28"/>
          <w:szCs w:val="28"/>
          <w:lang w:eastAsia="es-MX"/>
        </w:rPr>
        <w:t xml:space="preserve"> </w:t>
      </w:r>
    </w:p>
    <w:p w:rsidR="007C7095"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eastAsia="es-MX"/>
        </w:rPr>
        <w:t xml:space="preserve">Respecto del artículo </w:t>
      </w:r>
      <w:r w:rsidRPr="007C57D2">
        <w:rPr>
          <w:rFonts w:ascii="Times New Roman" w:hAnsi="Times New Roman"/>
          <w:sz w:val="28"/>
          <w:szCs w:val="28"/>
          <w:lang w:val="es-ES" w:eastAsia="es-MX"/>
        </w:rPr>
        <w:t>10, lite</w:t>
      </w:r>
      <w:r w:rsidRPr="007C57D2">
        <w:rPr>
          <w:rFonts w:ascii="Times New Roman" w:hAnsi="Times New Roman"/>
          <w:sz w:val="28"/>
          <w:szCs w:val="28"/>
          <w:lang w:val="es-ES" w:eastAsia="es-MX"/>
        </w:rPr>
        <w:t>rales c) y d), e</w:t>
      </w:r>
      <w:r w:rsidRPr="007C57D2">
        <w:rPr>
          <w:rFonts w:ascii="Times New Roman" w:hAnsi="Times New Roman"/>
          <w:sz w:val="28"/>
          <w:szCs w:val="28"/>
          <w:lang w:eastAsia="es-MX"/>
        </w:rPr>
        <w:t>n el contexto del PLE y, en particular, del citado artículo, no es claro si los deberes allí contenidos deben ser cumplidos por el ICBF, la Policía Nacional, el Ministerio de Relaciones Exteriores, la Unidad Administrativa Especial Migració</w:t>
      </w:r>
      <w:r w:rsidRPr="007C57D2">
        <w:rPr>
          <w:rFonts w:ascii="Times New Roman" w:hAnsi="Times New Roman"/>
          <w:sz w:val="28"/>
          <w:szCs w:val="28"/>
          <w:lang w:eastAsia="es-MX"/>
        </w:rPr>
        <w:t xml:space="preserve">n Colombia o por los proveedores de redes y servicios de telecomunicaciones móviles. Sin la reglamentación del PLE, </w:t>
      </w:r>
      <w:r w:rsidRPr="007C57D2">
        <w:rPr>
          <w:rFonts w:ascii="Times New Roman" w:hAnsi="Times New Roman"/>
          <w:sz w:val="28"/>
          <w:szCs w:val="28"/>
          <w:lang w:eastAsia="es-MX"/>
        </w:rPr>
        <w:t xml:space="preserve">únicamente </w:t>
      </w:r>
      <w:r w:rsidRPr="007C57D2">
        <w:rPr>
          <w:rFonts w:ascii="Times New Roman" w:hAnsi="Times New Roman"/>
          <w:sz w:val="28"/>
          <w:szCs w:val="28"/>
          <w:lang w:eastAsia="es-MX"/>
        </w:rPr>
        <w:t>con sustento en el texto legal</w:t>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no es posible determinar </w:t>
      </w:r>
      <w:r w:rsidRPr="007C57D2">
        <w:rPr>
          <w:rFonts w:ascii="Times New Roman" w:hAnsi="Times New Roman"/>
          <w:sz w:val="28"/>
          <w:szCs w:val="28"/>
          <w:lang w:eastAsia="es-MX"/>
        </w:rPr>
        <w:t xml:space="preserve">cuál es el alcance de la responsabilidad de cada una de esas entidades en el cumplimiento de las obligaciones que prevén los mencionados literales. </w:t>
      </w:r>
    </w:p>
    <w:p w:rsidR="00AE5F93" w:rsidRPr="007C57D2" w:rsidRDefault="007C57D2" w:rsidP="008F3DAB">
      <w:pPr>
        <w:pStyle w:val="Prrafodelista"/>
        <w:tabs>
          <w:tab w:val="left" w:pos="567"/>
        </w:tabs>
        <w:ind w:left="0"/>
        <w:jc w:val="both"/>
        <w:rPr>
          <w:rFonts w:ascii="Times New Roman" w:hAnsi="Times New Roman"/>
          <w:sz w:val="28"/>
          <w:szCs w:val="28"/>
          <w:lang w:val="es-ES" w:eastAsia="es-MX"/>
        </w:rPr>
      </w:pPr>
    </w:p>
    <w:p w:rsidR="0006575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eastAsia="es-MX"/>
        </w:rPr>
        <w:t>Y, cuarta, en la Sentencia C-317 de 2024, la Sala Plena consideró que</w:t>
      </w:r>
      <w:r w:rsidRPr="007C57D2">
        <w:rPr>
          <w:rFonts w:ascii="Times New Roman" w:hAnsi="Times New Roman"/>
          <w:sz w:val="28"/>
          <w:szCs w:val="28"/>
          <w:lang w:eastAsia="es-MX"/>
        </w:rPr>
        <w:t>, en principio,</w:t>
      </w:r>
      <w:r w:rsidRPr="007C57D2">
        <w:rPr>
          <w:rFonts w:ascii="Times New Roman" w:hAnsi="Times New Roman"/>
          <w:sz w:val="28"/>
          <w:szCs w:val="28"/>
          <w:lang w:eastAsia="es-MX"/>
        </w:rPr>
        <w:t xml:space="preserve"> las medidas que impon</w:t>
      </w:r>
      <w:r w:rsidRPr="007C57D2">
        <w:rPr>
          <w:rFonts w:ascii="Times New Roman" w:hAnsi="Times New Roman"/>
          <w:sz w:val="28"/>
          <w:szCs w:val="28"/>
          <w:lang w:eastAsia="es-MX"/>
        </w:rPr>
        <w:t>en a entidades que forman parte del Gobierno nacional el deber de entregar informes al Congreso de la República no constituyen órdenes de gasto. Esto es así porque el Gobierno puede definir la manera en que ejecutará ese mandato y</w:t>
      </w:r>
      <w:r w:rsidRPr="007C57D2">
        <w:rPr>
          <w:rFonts w:ascii="Times New Roman" w:hAnsi="Times New Roman"/>
          <w:sz w:val="28"/>
          <w:szCs w:val="28"/>
          <w:lang w:eastAsia="es-MX"/>
        </w:rPr>
        <w:t>, además,</w:t>
      </w:r>
      <w:r w:rsidRPr="007C57D2">
        <w:rPr>
          <w:rFonts w:ascii="Times New Roman" w:hAnsi="Times New Roman"/>
          <w:sz w:val="28"/>
          <w:szCs w:val="28"/>
          <w:lang w:eastAsia="es-MX"/>
        </w:rPr>
        <w:t xml:space="preserve"> tales medidas pu</w:t>
      </w:r>
      <w:r w:rsidRPr="007C57D2">
        <w:rPr>
          <w:rFonts w:ascii="Times New Roman" w:hAnsi="Times New Roman"/>
          <w:sz w:val="28"/>
          <w:szCs w:val="28"/>
          <w:lang w:eastAsia="es-MX"/>
        </w:rPr>
        <w:t>eden entenderse “como normas que le confieren competencias o tareas”</w:t>
      </w:r>
      <w:r w:rsidRPr="007C57D2">
        <w:rPr>
          <w:rStyle w:val="Refdenotaalpie"/>
          <w:rFonts w:ascii="Times New Roman" w:hAnsi="Times New Roman"/>
          <w:sz w:val="28"/>
          <w:szCs w:val="28"/>
          <w:lang w:eastAsia="es-MX"/>
        </w:rPr>
        <w:footnoteReference w:id="252"/>
      </w:r>
      <w:r w:rsidRPr="007C57D2">
        <w:rPr>
          <w:rFonts w:ascii="Times New Roman" w:hAnsi="Times New Roman"/>
          <w:sz w:val="28"/>
          <w:szCs w:val="28"/>
          <w:lang w:eastAsia="es-MX"/>
        </w:rPr>
        <w:t>.</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En aplicación de este precedente, los incisos 1 y 2 del artículo 13 del PLE tampoco son una orden de gasto, pues se limitan a imponer al ICBF y al Instituto Nacional de Medicina Legal y</w:t>
      </w:r>
      <w:r w:rsidRPr="007C57D2">
        <w:rPr>
          <w:rFonts w:ascii="Times New Roman" w:hAnsi="Times New Roman"/>
          <w:sz w:val="28"/>
          <w:szCs w:val="28"/>
          <w:lang w:eastAsia="es-MX"/>
        </w:rPr>
        <w:t xml:space="preserve"> Ciencias Forenses el deber de entregar y sustentar </w:t>
      </w:r>
      <w:r w:rsidRPr="007C57D2">
        <w:rPr>
          <w:rFonts w:ascii="Times New Roman" w:hAnsi="Times New Roman"/>
          <w:sz w:val="28"/>
          <w:szCs w:val="28"/>
          <w:lang w:eastAsia="es-MX"/>
        </w:rPr>
        <w:t xml:space="preserve">informes </w:t>
      </w:r>
      <w:r w:rsidRPr="007C57D2">
        <w:rPr>
          <w:rFonts w:ascii="Times New Roman" w:hAnsi="Times New Roman"/>
          <w:sz w:val="28"/>
          <w:szCs w:val="28"/>
          <w:lang w:eastAsia="es-MX"/>
        </w:rPr>
        <w:t xml:space="preserve">al Congreso de la República sobre asuntos que son de su competencia. </w:t>
      </w:r>
    </w:p>
    <w:p w:rsidR="005F50D4" w:rsidRPr="007C57D2" w:rsidRDefault="007C57D2" w:rsidP="008F3DAB">
      <w:pPr>
        <w:pStyle w:val="Prrafodelista"/>
        <w:tabs>
          <w:tab w:val="left" w:pos="567"/>
        </w:tabs>
        <w:ind w:left="0"/>
        <w:jc w:val="both"/>
        <w:rPr>
          <w:rFonts w:ascii="Times New Roman" w:hAnsi="Times New Roman"/>
          <w:sz w:val="28"/>
          <w:szCs w:val="28"/>
          <w:lang w:val="es-ES" w:eastAsia="es-MX"/>
        </w:rPr>
      </w:pPr>
    </w:p>
    <w:p w:rsidR="00586D8E" w:rsidRPr="007C57D2" w:rsidRDefault="007C57D2" w:rsidP="008F3DAB">
      <w:pPr>
        <w:pStyle w:val="Prrafodelista"/>
        <w:numPr>
          <w:ilvl w:val="0"/>
          <w:numId w:val="3"/>
        </w:numPr>
        <w:tabs>
          <w:tab w:val="left" w:pos="567"/>
        </w:tabs>
        <w:ind w:left="0" w:firstLine="0"/>
        <w:jc w:val="both"/>
        <w:rPr>
          <w:rFonts w:ascii="Times New Roman" w:hAnsi="Times New Roman"/>
          <w:b/>
          <w:bCs/>
          <w:sz w:val="28"/>
          <w:szCs w:val="28"/>
          <w:lang w:val="es-ES" w:eastAsia="es-MX"/>
        </w:rPr>
      </w:pPr>
      <w:r w:rsidRPr="007C57D2">
        <w:rPr>
          <w:rFonts w:ascii="Times New Roman" w:hAnsi="Times New Roman"/>
          <w:sz w:val="28"/>
          <w:szCs w:val="28"/>
          <w:lang w:eastAsia="es-MX"/>
        </w:rPr>
        <w:t xml:space="preserve">Ahora bien, dentro del grupo de artículos que </w:t>
      </w:r>
      <w:r w:rsidRPr="007C57D2">
        <w:rPr>
          <w:rFonts w:ascii="Times New Roman" w:hAnsi="Times New Roman"/>
          <w:sz w:val="28"/>
          <w:szCs w:val="28"/>
          <w:lang w:val="es-ES" w:eastAsia="es-MX"/>
        </w:rPr>
        <w:t xml:space="preserve">imponen una obligación o tarea a alguna entidad pública se encuentran aquellos que </w:t>
      </w:r>
      <w:r w:rsidRPr="007C57D2">
        <w:rPr>
          <w:rFonts w:ascii="Times New Roman" w:hAnsi="Times New Roman"/>
          <w:sz w:val="28"/>
          <w:szCs w:val="28"/>
          <w:lang w:eastAsia="es-MX"/>
        </w:rPr>
        <w:t xml:space="preserve">contienen los deberes de </w:t>
      </w:r>
      <w:r w:rsidRPr="007C57D2">
        <w:rPr>
          <w:rFonts w:ascii="Times New Roman" w:hAnsi="Times New Roman"/>
          <w:sz w:val="28"/>
          <w:szCs w:val="28"/>
          <w:lang w:eastAsia="es-MX"/>
        </w:rPr>
        <w:t xml:space="preserve">recolectar los datos biométricos y personales del menor </w:t>
      </w:r>
      <w:r w:rsidRPr="007C57D2">
        <w:rPr>
          <w:rFonts w:ascii="Times New Roman" w:hAnsi="Times New Roman"/>
          <w:sz w:val="28"/>
          <w:szCs w:val="28"/>
          <w:lang w:eastAsia="es-MX"/>
        </w:rPr>
        <w:t xml:space="preserve">de 18 años </w:t>
      </w:r>
      <w:r w:rsidRPr="007C57D2">
        <w:rPr>
          <w:rFonts w:ascii="Times New Roman" w:hAnsi="Times New Roman"/>
          <w:sz w:val="28"/>
          <w:szCs w:val="28"/>
          <w:lang w:eastAsia="es-MX"/>
        </w:rPr>
        <w:t>extraviado</w:t>
      </w:r>
      <w:r w:rsidRPr="007C57D2">
        <w:rPr>
          <w:rFonts w:ascii="Times New Roman" w:hAnsi="Times New Roman"/>
          <w:sz w:val="28"/>
          <w:szCs w:val="28"/>
          <w:lang w:eastAsia="es-MX"/>
        </w:rPr>
        <w:t xml:space="preserve"> (parágrafo del artículo 4)</w:t>
      </w:r>
      <w:r w:rsidRPr="007C57D2">
        <w:rPr>
          <w:rFonts w:ascii="Times New Roman" w:hAnsi="Times New Roman"/>
          <w:sz w:val="28"/>
          <w:szCs w:val="28"/>
          <w:lang w:eastAsia="es-MX"/>
        </w:rPr>
        <w:t>, mediante la creación</w:t>
      </w:r>
      <w:r w:rsidRPr="007C57D2">
        <w:rPr>
          <w:rFonts w:ascii="Times New Roman" w:hAnsi="Times New Roman"/>
          <w:sz w:val="28"/>
          <w:szCs w:val="28"/>
          <w:lang w:eastAsia="es-MX"/>
        </w:rPr>
        <w:t>, dentro de los seis m</w:t>
      </w:r>
      <w:r w:rsidRPr="007C57D2">
        <w:rPr>
          <w:rFonts w:ascii="Times New Roman" w:hAnsi="Times New Roman"/>
          <w:sz w:val="28"/>
          <w:szCs w:val="28"/>
          <w:lang w:eastAsia="es-MX"/>
        </w:rPr>
        <w:t>eses contados a partir de la entrada en vigencia del PLE (parágrafo del artículo 6),</w:t>
      </w:r>
      <w:r w:rsidRPr="007C57D2">
        <w:rPr>
          <w:rFonts w:ascii="Times New Roman" w:hAnsi="Times New Roman"/>
          <w:sz w:val="28"/>
          <w:szCs w:val="28"/>
          <w:lang w:eastAsia="es-MX"/>
        </w:rPr>
        <w:t xml:space="preserve"> de “una ventana especial de alerta” en la página web del ICBF, para que las personas puedan realizar el reporte del niño o niña extraviado</w:t>
      </w:r>
      <w:r w:rsidRPr="007C57D2">
        <w:rPr>
          <w:rFonts w:ascii="Times New Roman" w:hAnsi="Times New Roman"/>
          <w:sz w:val="28"/>
          <w:szCs w:val="28"/>
          <w:lang w:eastAsia="es-MX"/>
        </w:rPr>
        <w:t xml:space="preserve"> (incisos 1 a 3 del artículo 5). </w:t>
      </w:r>
    </w:p>
    <w:p w:rsidR="00586D8E" w:rsidRPr="007C57D2" w:rsidRDefault="007C57D2" w:rsidP="008F3DAB">
      <w:pPr>
        <w:pStyle w:val="Prrafodelista"/>
        <w:tabs>
          <w:tab w:val="left" w:pos="567"/>
        </w:tabs>
        <w:ind w:left="0"/>
        <w:jc w:val="both"/>
        <w:rPr>
          <w:rFonts w:ascii="Times New Roman" w:hAnsi="Times New Roman"/>
          <w:sz w:val="28"/>
          <w:szCs w:val="28"/>
          <w:lang w:val="es-ES" w:eastAsia="es-MX"/>
        </w:rPr>
      </w:pPr>
    </w:p>
    <w:p w:rsidR="00387713"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eastAsia="es-MX"/>
        </w:rPr>
        <w:t>Estas</w:t>
      </w:r>
      <w:r w:rsidRPr="007C57D2">
        <w:rPr>
          <w:rFonts w:ascii="Times New Roman" w:hAnsi="Times New Roman"/>
          <w:sz w:val="28"/>
          <w:szCs w:val="28"/>
          <w:lang w:eastAsia="es-MX"/>
        </w:rPr>
        <w:t xml:space="preserve"> normas jurídicas tampoco debían agotar el requisito de análisis de impacto fiscal.</w:t>
      </w:r>
      <w:r w:rsidRPr="007C57D2">
        <w:rPr>
          <w:rFonts w:ascii="Times New Roman" w:hAnsi="Times New Roman"/>
          <w:sz w:val="28"/>
          <w:szCs w:val="28"/>
          <w:lang w:eastAsia="es-MX"/>
        </w:rPr>
        <w:t xml:space="preserve"> Para explicar esta conclusión, a continuación, la Sala hará referencia </w:t>
      </w:r>
      <w:r w:rsidRPr="007C57D2">
        <w:rPr>
          <w:rFonts w:ascii="Times New Roman" w:hAnsi="Times New Roman"/>
          <w:sz w:val="28"/>
          <w:szCs w:val="28"/>
        </w:rPr>
        <w:t xml:space="preserve">a </w:t>
      </w:r>
      <w:r w:rsidRPr="007C57D2">
        <w:rPr>
          <w:rFonts w:ascii="Times New Roman" w:hAnsi="Times New Roman"/>
          <w:sz w:val="28"/>
          <w:szCs w:val="28"/>
          <w:lang w:eastAsia="es-MX"/>
        </w:rPr>
        <w:t xml:space="preserve">la articulación de la Alerta Colombia al </w:t>
      </w:r>
      <w:r w:rsidRPr="007C57D2">
        <w:rPr>
          <w:rFonts w:ascii="Times New Roman" w:hAnsi="Times New Roman"/>
          <w:sz w:val="28"/>
          <w:szCs w:val="28"/>
          <w:lang w:val="es-ES"/>
        </w:rPr>
        <w:t xml:space="preserve">Sistema </w:t>
      </w:r>
      <w:r w:rsidRPr="007C57D2">
        <w:rPr>
          <w:rFonts w:ascii="Times New Roman" w:hAnsi="Times New Roman"/>
          <w:sz w:val="28"/>
          <w:szCs w:val="28"/>
        </w:rPr>
        <w:t xml:space="preserve">de Alertas Tempranas sobre la Niñez </w:t>
      </w:r>
      <w:r w:rsidRPr="007C57D2">
        <w:rPr>
          <w:rFonts w:ascii="Times New Roman" w:hAnsi="Times New Roman"/>
          <w:sz w:val="28"/>
          <w:szCs w:val="28"/>
        </w:rPr>
        <w:t>Colombiana y a algunos hitos relevantes del trámite legislativo relacionados con el mencionado requisito</w:t>
      </w:r>
      <w:r w:rsidRPr="007C57D2">
        <w:rPr>
          <w:rFonts w:ascii="Times New Roman" w:hAnsi="Times New Roman"/>
          <w:sz w:val="28"/>
          <w:szCs w:val="28"/>
        </w:rPr>
        <w:t xml:space="preserve">. </w:t>
      </w:r>
    </w:p>
    <w:p w:rsidR="000E41B3" w:rsidRPr="007C57D2" w:rsidRDefault="007C57D2" w:rsidP="008F3DAB">
      <w:pPr>
        <w:pStyle w:val="Prrafodelista"/>
        <w:tabs>
          <w:tab w:val="left" w:pos="567"/>
        </w:tabs>
        <w:ind w:left="0"/>
        <w:jc w:val="both"/>
        <w:rPr>
          <w:rFonts w:ascii="Times New Roman" w:hAnsi="Times New Roman"/>
          <w:sz w:val="28"/>
          <w:szCs w:val="28"/>
          <w:lang w:val="es-ES" w:eastAsia="es-MX"/>
        </w:rPr>
      </w:pPr>
    </w:p>
    <w:p w:rsidR="00797F1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i/>
          <w:iCs/>
          <w:sz w:val="28"/>
          <w:szCs w:val="28"/>
          <w:lang w:val="es-ES" w:eastAsia="es-MX"/>
        </w:rPr>
        <w:t xml:space="preserve">La Alerta Colombia se encuentra integrada al </w:t>
      </w:r>
      <w:r w:rsidRPr="007C57D2">
        <w:rPr>
          <w:rFonts w:ascii="Times New Roman" w:hAnsi="Times New Roman"/>
          <w:i/>
          <w:iCs/>
          <w:sz w:val="28"/>
          <w:szCs w:val="28"/>
          <w:lang w:val="es-ES"/>
        </w:rPr>
        <w:t xml:space="preserve">Sistema </w:t>
      </w:r>
      <w:r w:rsidRPr="007C57D2">
        <w:rPr>
          <w:rFonts w:ascii="Times New Roman" w:hAnsi="Times New Roman"/>
          <w:i/>
          <w:iCs/>
          <w:sz w:val="28"/>
          <w:szCs w:val="28"/>
        </w:rPr>
        <w:t>de Alertas Tempranas sobre la Niñez Colombiana, creado por el artículo 4 de la Ley 2242 de 2022</w:t>
      </w:r>
      <w:r w:rsidRPr="007C57D2">
        <w:rPr>
          <w:rFonts w:ascii="Times New Roman" w:hAnsi="Times New Roman"/>
          <w:sz w:val="28"/>
          <w:szCs w:val="28"/>
        </w:rPr>
        <w:t xml:space="preserve">. </w:t>
      </w:r>
      <w:r w:rsidRPr="007C57D2">
        <w:rPr>
          <w:rFonts w:ascii="Times New Roman" w:hAnsi="Times New Roman"/>
          <w:sz w:val="28"/>
          <w:szCs w:val="28"/>
          <w:lang w:val="es-ES"/>
        </w:rPr>
        <w:t xml:space="preserve">El parágrafo 2 del artículo 10 del PLE determina que la Alerta Colombia formará parte del Sistema </w:t>
      </w:r>
      <w:r w:rsidRPr="007C57D2">
        <w:rPr>
          <w:rFonts w:ascii="Times New Roman" w:hAnsi="Times New Roman"/>
          <w:sz w:val="28"/>
          <w:szCs w:val="28"/>
        </w:rPr>
        <w:t xml:space="preserve">de Alertas Tempranas sobre la </w:t>
      </w:r>
      <w:r w:rsidRPr="007C57D2">
        <w:rPr>
          <w:rFonts w:ascii="Times New Roman" w:hAnsi="Times New Roman"/>
          <w:sz w:val="28"/>
          <w:szCs w:val="28"/>
        </w:rPr>
        <w:t>N</w:t>
      </w:r>
      <w:r w:rsidRPr="007C57D2">
        <w:rPr>
          <w:rFonts w:ascii="Times New Roman" w:hAnsi="Times New Roman"/>
          <w:sz w:val="28"/>
          <w:szCs w:val="28"/>
        </w:rPr>
        <w:t xml:space="preserve">iñez </w:t>
      </w:r>
      <w:r w:rsidRPr="007C57D2">
        <w:rPr>
          <w:rFonts w:ascii="Times New Roman" w:hAnsi="Times New Roman"/>
          <w:sz w:val="28"/>
          <w:szCs w:val="28"/>
        </w:rPr>
        <w:t>C</w:t>
      </w:r>
      <w:r w:rsidRPr="007C57D2">
        <w:rPr>
          <w:rFonts w:ascii="Times New Roman" w:hAnsi="Times New Roman"/>
          <w:sz w:val="28"/>
          <w:szCs w:val="28"/>
        </w:rPr>
        <w:t>olombiana</w:t>
      </w:r>
      <w:r w:rsidRPr="007C57D2">
        <w:rPr>
          <w:rFonts w:ascii="Times New Roman" w:hAnsi="Times New Roman"/>
          <w:sz w:val="28"/>
          <w:szCs w:val="28"/>
        </w:rPr>
        <w:t>,</w:t>
      </w:r>
      <w:r w:rsidRPr="007C57D2">
        <w:rPr>
          <w:rFonts w:ascii="Times New Roman" w:hAnsi="Times New Roman"/>
          <w:sz w:val="28"/>
          <w:szCs w:val="28"/>
        </w:rPr>
        <w:t xml:space="preserve"> creado por el artículo 4 de la Ley 2242 de 2022. Este artículo </w:t>
      </w:r>
      <w:r w:rsidRPr="007C57D2">
        <w:rPr>
          <w:rFonts w:ascii="Times New Roman" w:hAnsi="Times New Roman"/>
          <w:sz w:val="28"/>
          <w:szCs w:val="28"/>
        </w:rPr>
        <w:t xml:space="preserve">de la Ley 2242 de 2022 </w:t>
      </w:r>
      <w:r w:rsidRPr="007C57D2">
        <w:rPr>
          <w:rFonts w:ascii="Times New Roman" w:hAnsi="Times New Roman"/>
          <w:sz w:val="28"/>
          <w:szCs w:val="28"/>
        </w:rPr>
        <w:t>determina que el Minis</w:t>
      </w:r>
      <w:r w:rsidRPr="007C57D2">
        <w:rPr>
          <w:rFonts w:ascii="Times New Roman" w:hAnsi="Times New Roman"/>
          <w:sz w:val="28"/>
          <w:szCs w:val="28"/>
        </w:rPr>
        <w:t>terio de las Tecnologías de la Información y las Comunicaciones liderará la articulación</w:t>
      </w:r>
      <w:r w:rsidRPr="007C57D2">
        <w:rPr>
          <w:rFonts w:ascii="Times New Roman" w:eastAsia="Calibri" w:hAnsi="Times New Roman"/>
          <w:sz w:val="28"/>
          <w:szCs w:val="18"/>
          <w:lang w:eastAsia="en-US"/>
        </w:rPr>
        <w:t xml:space="preserve"> </w:t>
      </w:r>
      <w:r w:rsidRPr="007C57D2">
        <w:rPr>
          <w:rFonts w:ascii="Times New Roman" w:hAnsi="Times New Roman"/>
          <w:sz w:val="28"/>
          <w:szCs w:val="28"/>
        </w:rPr>
        <w:t>de los sistemas de información existentes</w:t>
      </w:r>
      <w:r w:rsidRPr="007C57D2">
        <w:rPr>
          <w:rFonts w:ascii="Times New Roman" w:hAnsi="Times New Roman"/>
          <w:sz w:val="28"/>
          <w:szCs w:val="28"/>
        </w:rPr>
        <w:t xml:space="preserve">, tales como el Sistema de Seguimiento al Desarrollo Integral de la Primera Infancia (SSDIPI), el Sistema Nacional de Alertas </w:t>
      </w:r>
      <w:r w:rsidRPr="007C57D2">
        <w:rPr>
          <w:rFonts w:ascii="Times New Roman" w:hAnsi="Times New Roman"/>
          <w:sz w:val="28"/>
          <w:szCs w:val="28"/>
        </w:rPr>
        <w:t>Tempranas para la Prevención de la Violencia Sexual contra Niños, Niñas y Adolescentes y el Sistema de Información Misional (SIM) del ICBF</w:t>
      </w:r>
      <w:r w:rsidRPr="007C57D2">
        <w:rPr>
          <w:rFonts w:ascii="Times New Roman" w:hAnsi="Times New Roman"/>
          <w:sz w:val="28"/>
          <w:szCs w:val="28"/>
        </w:rPr>
        <w:t>. Estos sistemas “se integrarán y complementarán para garantizar la emisión de alertas tempranas que permitan la oport</w:t>
      </w:r>
      <w:r w:rsidRPr="007C57D2">
        <w:rPr>
          <w:rFonts w:ascii="Times New Roman" w:hAnsi="Times New Roman"/>
          <w:sz w:val="28"/>
          <w:szCs w:val="28"/>
        </w:rPr>
        <w:t xml:space="preserve">una intervención de las entidades estatales para prevenir afectaciones de los derechos de los </w:t>
      </w:r>
      <w:r w:rsidRPr="007C57D2">
        <w:rPr>
          <w:rFonts w:ascii="Times New Roman" w:hAnsi="Times New Roman"/>
          <w:sz w:val="28"/>
          <w:szCs w:val="28"/>
        </w:rPr>
        <w:t>NNA</w:t>
      </w:r>
      <w:r w:rsidRPr="007C57D2">
        <w:rPr>
          <w:rFonts w:ascii="Times New Roman" w:hAnsi="Times New Roman"/>
          <w:sz w:val="28"/>
          <w:szCs w:val="28"/>
        </w:rPr>
        <w:t>”</w:t>
      </w:r>
      <w:r w:rsidRPr="007C57D2">
        <w:rPr>
          <w:rStyle w:val="Refdenotaalpie"/>
          <w:rFonts w:ascii="Times New Roman" w:hAnsi="Times New Roman"/>
          <w:sz w:val="28"/>
          <w:szCs w:val="28"/>
        </w:rPr>
        <w:t xml:space="preserve"> </w:t>
      </w:r>
      <w:r w:rsidRPr="007C57D2">
        <w:rPr>
          <w:rStyle w:val="Refdenotaalpie"/>
          <w:rFonts w:ascii="Times New Roman" w:hAnsi="Times New Roman"/>
          <w:sz w:val="28"/>
          <w:szCs w:val="28"/>
        </w:rPr>
        <w:footnoteReference w:id="253"/>
      </w:r>
      <w:r w:rsidRPr="007C57D2">
        <w:rPr>
          <w:rFonts w:ascii="Times New Roman" w:hAnsi="Times New Roman"/>
          <w:sz w:val="28"/>
          <w:szCs w:val="28"/>
        </w:rPr>
        <w:t>.</w:t>
      </w:r>
    </w:p>
    <w:p w:rsidR="00797F16" w:rsidRPr="007C57D2" w:rsidRDefault="007C57D2" w:rsidP="008F3DAB">
      <w:pPr>
        <w:pStyle w:val="Prrafodelista"/>
        <w:rPr>
          <w:rFonts w:ascii="Times New Roman" w:hAnsi="Times New Roman"/>
          <w:sz w:val="28"/>
          <w:szCs w:val="28"/>
          <w:lang w:val="es-ES" w:eastAsia="es-MX"/>
        </w:rPr>
      </w:pPr>
    </w:p>
    <w:p w:rsidR="00797F16"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lang w:val="es-ES" w:eastAsia="es-MX"/>
        </w:rPr>
        <w:t xml:space="preserve">Del </w:t>
      </w:r>
      <w:r w:rsidRPr="007C57D2">
        <w:rPr>
          <w:rFonts w:ascii="Times New Roman" w:hAnsi="Times New Roman"/>
          <w:sz w:val="28"/>
          <w:szCs w:val="28"/>
          <w:lang w:val="es-ES"/>
        </w:rPr>
        <w:t xml:space="preserve">Sistema </w:t>
      </w:r>
      <w:r w:rsidRPr="007C57D2">
        <w:rPr>
          <w:rFonts w:ascii="Times New Roman" w:hAnsi="Times New Roman"/>
          <w:sz w:val="28"/>
          <w:szCs w:val="28"/>
        </w:rPr>
        <w:t>de Alertas Tempranas sobre la Niñez Colombiana no solo formar</w:t>
      </w:r>
      <w:r w:rsidRPr="007C57D2">
        <w:rPr>
          <w:rFonts w:ascii="Times New Roman" w:hAnsi="Times New Roman"/>
          <w:sz w:val="28"/>
          <w:szCs w:val="28"/>
        </w:rPr>
        <w:t xml:space="preserve">án </w:t>
      </w:r>
      <w:r w:rsidRPr="007C57D2">
        <w:rPr>
          <w:rFonts w:ascii="Times New Roman" w:hAnsi="Times New Roman"/>
          <w:sz w:val="28"/>
          <w:szCs w:val="28"/>
        </w:rPr>
        <w:t xml:space="preserve">parte </w:t>
      </w:r>
      <w:r w:rsidRPr="007C57D2">
        <w:rPr>
          <w:rFonts w:ascii="Times New Roman" w:hAnsi="Times New Roman"/>
          <w:sz w:val="28"/>
          <w:szCs w:val="28"/>
        </w:rPr>
        <w:t xml:space="preserve">la Alerta Colombia, establecida por el PLE, y </w:t>
      </w:r>
      <w:r w:rsidRPr="007C57D2">
        <w:rPr>
          <w:rFonts w:ascii="Times New Roman" w:hAnsi="Times New Roman"/>
          <w:sz w:val="28"/>
          <w:szCs w:val="28"/>
        </w:rPr>
        <w:t xml:space="preserve">los sistemas de información indicados anteriormente, sino también la Alerta Rosa, creada por la Ley 2326 de 2023, y la “alerta nacional ante la desaparición de niños, niñas y adolescentes”, </w:t>
      </w:r>
      <w:r w:rsidRPr="007C57D2">
        <w:rPr>
          <w:rFonts w:ascii="Times New Roman" w:hAnsi="Times New Roman"/>
          <w:sz w:val="28"/>
          <w:szCs w:val="28"/>
        </w:rPr>
        <w:t>de que trata</w:t>
      </w:r>
      <w:r w:rsidRPr="007C57D2">
        <w:rPr>
          <w:rFonts w:ascii="Times New Roman" w:hAnsi="Times New Roman"/>
          <w:sz w:val="28"/>
          <w:szCs w:val="28"/>
        </w:rPr>
        <w:t xml:space="preserve"> el artículo 50 de la Ley 1978 de 2019.</w:t>
      </w:r>
      <w:r w:rsidRPr="007C57D2">
        <w:rPr>
          <w:rFonts w:ascii="Times New Roman" w:hAnsi="Times New Roman"/>
          <w:sz w:val="28"/>
          <w:szCs w:val="28"/>
        </w:rPr>
        <w:t xml:space="preserve"> </w:t>
      </w:r>
    </w:p>
    <w:p w:rsidR="00797F16" w:rsidRPr="007C57D2" w:rsidRDefault="007C57D2" w:rsidP="008F3DAB">
      <w:pPr>
        <w:pStyle w:val="Prrafodelista"/>
        <w:tabs>
          <w:tab w:val="left" w:pos="567"/>
        </w:tabs>
        <w:ind w:left="0"/>
        <w:jc w:val="both"/>
        <w:rPr>
          <w:rFonts w:ascii="Times New Roman" w:hAnsi="Times New Roman"/>
          <w:sz w:val="28"/>
          <w:szCs w:val="28"/>
          <w:lang w:val="es-ES" w:eastAsia="es-MX"/>
        </w:rPr>
      </w:pPr>
    </w:p>
    <w:p w:rsidR="00797F1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En concordan</w:t>
      </w:r>
      <w:r w:rsidRPr="007C57D2">
        <w:rPr>
          <w:rFonts w:ascii="Times New Roman" w:hAnsi="Times New Roman"/>
          <w:sz w:val="28"/>
          <w:szCs w:val="28"/>
        </w:rPr>
        <w:t xml:space="preserve">cia con el artículo 1 de la Ley 2326 de 2023, la Alerta Rosa es “un mecanismo de búsqueda inmediata nacional, estandarizado, multicanal y de difusión masiva y pública, de </w:t>
      </w:r>
      <w:r w:rsidRPr="007C57D2">
        <w:rPr>
          <w:rFonts w:ascii="Times New Roman" w:hAnsi="Times New Roman"/>
          <w:b/>
          <w:bCs/>
          <w:sz w:val="28"/>
          <w:szCs w:val="28"/>
        </w:rPr>
        <w:t>niñas, niños</w:t>
      </w:r>
      <w:r w:rsidRPr="007C57D2">
        <w:rPr>
          <w:rFonts w:ascii="Times New Roman" w:hAnsi="Times New Roman"/>
          <w:sz w:val="28"/>
          <w:szCs w:val="28"/>
        </w:rPr>
        <w:t>, adolescentes, jóvenes y mujeres desaparecidos” [negrilla fuera del texto original]. El artículo 2 precisa que “[l]a alerta en principio será enviada a las entidades públicas que tengan relación con seguridad, derechos humanos, Ministerio Público, entre o</w:t>
      </w:r>
      <w:r w:rsidRPr="007C57D2">
        <w:rPr>
          <w:rFonts w:ascii="Times New Roman" w:hAnsi="Times New Roman"/>
          <w:sz w:val="28"/>
          <w:szCs w:val="28"/>
        </w:rPr>
        <w:t xml:space="preserve">tras, medios de comunicación y la sociedad civil en general </w:t>
      </w:r>
      <w:r w:rsidRPr="007C57D2">
        <w:rPr>
          <w:rFonts w:ascii="Times New Roman" w:hAnsi="Times New Roman"/>
          <w:b/>
          <w:bCs/>
          <w:sz w:val="28"/>
          <w:szCs w:val="28"/>
        </w:rPr>
        <w:t>en forma de mensaje masivo de texto a sus dispositivos móviles</w:t>
      </w:r>
      <w:r w:rsidRPr="007C57D2">
        <w:rPr>
          <w:rFonts w:ascii="Times New Roman" w:hAnsi="Times New Roman"/>
          <w:sz w:val="28"/>
          <w:szCs w:val="28"/>
        </w:rPr>
        <w:t xml:space="preserve"> y de acuerdo a las condiciones tecnológicas del país evolucionará a una </w:t>
      </w:r>
      <w:r w:rsidRPr="007C57D2">
        <w:rPr>
          <w:rFonts w:ascii="Times New Roman" w:hAnsi="Times New Roman"/>
          <w:b/>
          <w:bCs/>
          <w:sz w:val="28"/>
          <w:szCs w:val="28"/>
        </w:rPr>
        <w:t>notificación simultánea en todos los dispositivos que usen da</w:t>
      </w:r>
      <w:r w:rsidRPr="007C57D2">
        <w:rPr>
          <w:rFonts w:ascii="Times New Roman" w:hAnsi="Times New Roman"/>
          <w:b/>
          <w:bCs/>
          <w:sz w:val="28"/>
          <w:szCs w:val="28"/>
        </w:rPr>
        <w:t>tos</w:t>
      </w:r>
      <w:r w:rsidRPr="007C57D2">
        <w:rPr>
          <w:rFonts w:ascii="Times New Roman" w:hAnsi="Times New Roman"/>
          <w:sz w:val="28"/>
          <w:szCs w:val="28"/>
        </w:rPr>
        <w:t>, la televisión, la radio satelital y medios digitales” [negrilla fuera del texto original].</w:t>
      </w:r>
    </w:p>
    <w:p w:rsidR="00797F16" w:rsidRPr="007C57D2" w:rsidRDefault="007C57D2" w:rsidP="008F3DAB">
      <w:pPr>
        <w:pStyle w:val="Prrafodelista"/>
        <w:rPr>
          <w:rFonts w:ascii="Times New Roman" w:hAnsi="Times New Roman"/>
          <w:sz w:val="28"/>
          <w:szCs w:val="28"/>
          <w:lang w:val="es-ES" w:eastAsia="es-MX"/>
        </w:rPr>
      </w:pPr>
    </w:p>
    <w:p w:rsidR="00797F1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Al tenor del artículo 11</w:t>
      </w:r>
      <w:r w:rsidRPr="007C57D2">
        <w:rPr>
          <w:rFonts w:ascii="Times New Roman" w:hAnsi="Times New Roman"/>
          <w:i/>
          <w:iCs/>
          <w:sz w:val="28"/>
          <w:szCs w:val="28"/>
        </w:rPr>
        <w:t xml:space="preserve"> ejusdem</w:t>
      </w:r>
      <w:r w:rsidRPr="007C57D2">
        <w:rPr>
          <w:rFonts w:ascii="Times New Roman" w:hAnsi="Times New Roman"/>
          <w:sz w:val="28"/>
          <w:szCs w:val="28"/>
          <w:lang w:val="es-ES" w:eastAsia="es-MX"/>
        </w:rPr>
        <w:t>, d</w:t>
      </w:r>
      <w:r w:rsidRPr="007C57D2">
        <w:rPr>
          <w:rFonts w:ascii="Times New Roman" w:hAnsi="Times New Roman"/>
          <w:sz w:val="28"/>
          <w:szCs w:val="28"/>
          <w:lang w:eastAsia="es-MX"/>
        </w:rPr>
        <w:t>el Comité de Coordinación Nacional de la Alerta Rosa</w:t>
      </w:r>
      <w:r w:rsidRPr="007C57D2">
        <w:rPr>
          <w:rFonts w:ascii="Times New Roman" w:hAnsi="Times New Roman"/>
          <w:sz w:val="28"/>
          <w:szCs w:val="28"/>
          <w:lang w:val="es-ES" w:eastAsia="es-MX"/>
        </w:rPr>
        <w:t>, cuya función es “</w:t>
      </w:r>
      <w:r w:rsidRPr="007C57D2">
        <w:rPr>
          <w:rFonts w:ascii="Times New Roman" w:hAnsi="Times New Roman"/>
          <w:sz w:val="28"/>
          <w:szCs w:val="28"/>
          <w:lang w:eastAsia="es-MX"/>
        </w:rPr>
        <w:t xml:space="preserve">planificar, coordinar, impulsar, ejecutar y evaluar las acciones dirigidas a la prevención, búsqueda, localización, ubicación y protección inmediata de las niñas, niños, adolescentes y mujeres desaparecidas”, forman parte, entre otras entidades, el ICBF y </w:t>
      </w:r>
      <w:r w:rsidRPr="007C57D2">
        <w:rPr>
          <w:rFonts w:ascii="Times New Roman" w:hAnsi="Times New Roman"/>
          <w:sz w:val="28"/>
          <w:szCs w:val="28"/>
          <w:lang w:eastAsia="es-MX"/>
        </w:rPr>
        <w:t xml:space="preserve">la Policía Nacional. </w:t>
      </w:r>
      <w:r w:rsidRPr="007C57D2">
        <w:rPr>
          <w:rFonts w:ascii="Times New Roman" w:hAnsi="Times New Roman"/>
          <w:sz w:val="28"/>
          <w:szCs w:val="28"/>
        </w:rPr>
        <w:t xml:space="preserve">La Ley 2326 de 2023 fue reglamentada por el Gobierno nacional mediante el Decreto 1428 de 2024. </w:t>
      </w:r>
      <w:r w:rsidRPr="007C57D2">
        <w:rPr>
          <w:rFonts w:ascii="Times New Roman" w:hAnsi="Times New Roman"/>
          <w:sz w:val="28"/>
          <w:szCs w:val="28"/>
        </w:rPr>
        <w:t>E</w:t>
      </w:r>
      <w:r w:rsidRPr="007C57D2">
        <w:rPr>
          <w:rFonts w:ascii="Times New Roman" w:hAnsi="Times New Roman"/>
          <w:sz w:val="28"/>
          <w:szCs w:val="28"/>
        </w:rPr>
        <w:t>l artículo 2.2.2.8.2.3. del citado decreto otorga a esas dos entidades la calidad de “primeros respondientes”</w:t>
      </w:r>
      <w:r w:rsidRPr="007C57D2">
        <w:rPr>
          <w:rFonts w:ascii="Times New Roman" w:hAnsi="Times New Roman"/>
          <w:sz w:val="28"/>
          <w:szCs w:val="28"/>
        </w:rPr>
        <w:t>, es decir, les atribuye la r</w:t>
      </w:r>
      <w:r w:rsidRPr="007C57D2">
        <w:rPr>
          <w:rFonts w:ascii="Times New Roman" w:hAnsi="Times New Roman"/>
          <w:sz w:val="28"/>
          <w:szCs w:val="28"/>
        </w:rPr>
        <w:t xml:space="preserve">esponsabilidad de informar de manera inmediata a los familiares del menor </w:t>
      </w:r>
      <w:r w:rsidRPr="007C57D2">
        <w:rPr>
          <w:rFonts w:ascii="Times New Roman" w:hAnsi="Times New Roman"/>
          <w:sz w:val="28"/>
          <w:szCs w:val="28"/>
        </w:rPr>
        <w:t xml:space="preserve">de 18 años </w:t>
      </w:r>
      <w:r w:rsidRPr="007C57D2">
        <w:rPr>
          <w:rFonts w:ascii="Times New Roman" w:hAnsi="Times New Roman"/>
          <w:sz w:val="28"/>
          <w:szCs w:val="28"/>
        </w:rPr>
        <w:t xml:space="preserve">o mujer desaparecida “sobre la Alerta Rosa y realizar el reporte de la desaparición a través de los canales establecidos por la Fiscalía General de la Nación y la Policía </w:t>
      </w:r>
      <w:r w:rsidRPr="007C57D2">
        <w:rPr>
          <w:rFonts w:ascii="Times New Roman" w:hAnsi="Times New Roman"/>
          <w:sz w:val="28"/>
          <w:szCs w:val="28"/>
        </w:rPr>
        <w:t>Nacional”.</w:t>
      </w:r>
    </w:p>
    <w:p w:rsidR="00797F16" w:rsidRPr="007C57D2" w:rsidRDefault="007C57D2" w:rsidP="008F3DAB">
      <w:pPr>
        <w:pStyle w:val="Prrafodelista"/>
        <w:rPr>
          <w:rFonts w:ascii="Times New Roman" w:hAnsi="Times New Roman"/>
          <w:sz w:val="28"/>
          <w:szCs w:val="28"/>
          <w:lang w:val="es-ES" w:eastAsia="es-MX"/>
        </w:rPr>
      </w:pPr>
    </w:p>
    <w:p w:rsidR="00671C87"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 xml:space="preserve">Por su parte, el </w:t>
      </w:r>
      <w:r w:rsidRPr="007C57D2">
        <w:rPr>
          <w:rFonts w:ascii="Times New Roman" w:hAnsi="Times New Roman"/>
          <w:sz w:val="28"/>
          <w:szCs w:val="28"/>
        </w:rPr>
        <w:t xml:space="preserve">artículo 50 de la Ley 1978 de 2019 atribuyó a la Comisión de Regulación de Comunicaciones (CRC) la realización de un estudio que “permita diseñar e implementar </w:t>
      </w:r>
      <w:r w:rsidRPr="007C57D2">
        <w:rPr>
          <w:rFonts w:ascii="Times New Roman" w:hAnsi="Times New Roman"/>
          <w:b/>
          <w:bCs/>
          <w:sz w:val="28"/>
          <w:szCs w:val="28"/>
        </w:rPr>
        <w:t xml:space="preserve">una alerta nacional ante la desaparición de </w:t>
      </w:r>
      <w:r w:rsidRPr="007C57D2">
        <w:rPr>
          <w:rFonts w:ascii="Times New Roman" w:hAnsi="Times New Roman"/>
          <w:b/>
          <w:bCs/>
          <w:sz w:val="28"/>
          <w:szCs w:val="28"/>
        </w:rPr>
        <w:t>NNA</w:t>
      </w:r>
      <w:r w:rsidRPr="007C57D2">
        <w:rPr>
          <w:rFonts w:ascii="Times New Roman" w:hAnsi="Times New Roman"/>
          <w:sz w:val="28"/>
          <w:szCs w:val="28"/>
        </w:rPr>
        <w:t>, mediante la que se</w:t>
      </w:r>
      <w:r w:rsidRPr="007C57D2">
        <w:rPr>
          <w:rFonts w:ascii="Times New Roman" w:hAnsi="Times New Roman"/>
          <w:sz w:val="28"/>
          <w:szCs w:val="28"/>
        </w:rPr>
        <w:t xml:space="preserve"> difundirá la información de la desaparición del menor de edad, previa orden judicial o de autoridad competente, con el fin de garantizar su inmediata localización y reintegro a su entorno familiar”</w:t>
      </w:r>
      <w:r w:rsidRPr="007C57D2">
        <w:rPr>
          <w:rFonts w:ascii="Times New Roman" w:hAnsi="Times New Roman"/>
          <w:sz w:val="28"/>
          <w:szCs w:val="28"/>
        </w:rPr>
        <w:t xml:space="preserve"> [negrilla fuera del texto original]</w:t>
      </w:r>
      <w:r w:rsidRPr="007C57D2">
        <w:rPr>
          <w:rFonts w:ascii="Times New Roman" w:hAnsi="Times New Roman"/>
          <w:sz w:val="28"/>
          <w:szCs w:val="28"/>
        </w:rPr>
        <w:t>. Con fundamento en el</w:t>
      </w:r>
      <w:r w:rsidRPr="007C57D2">
        <w:rPr>
          <w:rFonts w:ascii="Times New Roman" w:hAnsi="Times New Roman"/>
          <w:sz w:val="28"/>
          <w:szCs w:val="28"/>
        </w:rPr>
        <w:t xml:space="preserve"> estudio realizado, la CRC expidió la resolución 6141 del 25 de enero de 2021, mediante la cual reglamentó el diseño e implementación del Sistema de Alerta Nacional ante la </w:t>
      </w:r>
      <w:r w:rsidRPr="007C57D2">
        <w:rPr>
          <w:rFonts w:ascii="Times New Roman" w:hAnsi="Times New Roman"/>
          <w:sz w:val="28"/>
          <w:szCs w:val="28"/>
        </w:rPr>
        <w:t>D</w:t>
      </w:r>
      <w:r w:rsidRPr="007C57D2">
        <w:rPr>
          <w:rFonts w:ascii="Times New Roman" w:hAnsi="Times New Roman"/>
          <w:sz w:val="28"/>
          <w:szCs w:val="28"/>
        </w:rPr>
        <w:t xml:space="preserve">esaparición de </w:t>
      </w:r>
      <w:r w:rsidRPr="007C57D2">
        <w:rPr>
          <w:rFonts w:ascii="Times New Roman" w:hAnsi="Times New Roman"/>
          <w:sz w:val="28"/>
          <w:szCs w:val="28"/>
        </w:rPr>
        <w:t>N</w:t>
      </w:r>
      <w:r w:rsidRPr="007C57D2">
        <w:rPr>
          <w:rFonts w:ascii="Times New Roman" w:hAnsi="Times New Roman"/>
          <w:sz w:val="28"/>
          <w:szCs w:val="28"/>
        </w:rPr>
        <w:t xml:space="preserve">iños, </w:t>
      </w:r>
      <w:r w:rsidRPr="007C57D2">
        <w:rPr>
          <w:rFonts w:ascii="Times New Roman" w:hAnsi="Times New Roman"/>
          <w:sz w:val="28"/>
          <w:szCs w:val="28"/>
        </w:rPr>
        <w:t>N</w:t>
      </w:r>
      <w:r w:rsidRPr="007C57D2">
        <w:rPr>
          <w:rFonts w:ascii="Times New Roman" w:hAnsi="Times New Roman"/>
          <w:sz w:val="28"/>
          <w:szCs w:val="28"/>
        </w:rPr>
        <w:t xml:space="preserve">iñas y </w:t>
      </w:r>
      <w:r w:rsidRPr="007C57D2">
        <w:rPr>
          <w:rFonts w:ascii="Times New Roman" w:hAnsi="Times New Roman"/>
          <w:sz w:val="28"/>
          <w:szCs w:val="28"/>
        </w:rPr>
        <w:t>A</w:t>
      </w:r>
      <w:r w:rsidRPr="007C57D2">
        <w:rPr>
          <w:rFonts w:ascii="Times New Roman" w:hAnsi="Times New Roman"/>
          <w:sz w:val="28"/>
          <w:szCs w:val="28"/>
        </w:rPr>
        <w:t>dolescentes</w:t>
      </w:r>
      <w:r w:rsidRPr="007C57D2">
        <w:rPr>
          <w:rStyle w:val="Refdenotaalpie"/>
          <w:rFonts w:ascii="Times New Roman" w:hAnsi="Times New Roman"/>
          <w:sz w:val="28"/>
          <w:szCs w:val="28"/>
        </w:rPr>
        <w:footnoteReference w:id="254"/>
      </w:r>
      <w:r w:rsidRPr="007C57D2">
        <w:rPr>
          <w:rFonts w:ascii="Times New Roman" w:hAnsi="Times New Roman"/>
          <w:sz w:val="28"/>
          <w:szCs w:val="28"/>
        </w:rPr>
        <w:t xml:space="preserve">. </w:t>
      </w:r>
    </w:p>
    <w:p w:rsidR="00671C87" w:rsidRPr="007C57D2" w:rsidRDefault="007C57D2" w:rsidP="008F3DAB">
      <w:pPr>
        <w:pStyle w:val="Prrafodelista"/>
        <w:rPr>
          <w:rFonts w:ascii="Times New Roman" w:hAnsi="Times New Roman"/>
          <w:sz w:val="28"/>
          <w:szCs w:val="28"/>
        </w:rPr>
      </w:pPr>
    </w:p>
    <w:p w:rsidR="00797F1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 xml:space="preserve">Este acto administrativo establece </w:t>
      </w:r>
      <w:r w:rsidRPr="007C57D2">
        <w:rPr>
          <w:rFonts w:ascii="Times New Roman" w:hAnsi="Times New Roman"/>
          <w:sz w:val="28"/>
          <w:szCs w:val="28"/>
        </w:rPr>
        <w:t xml:space="preserve">que “la entidad pública o privada que sea designada por parte de las entidades u organismos competentes” para “recibir [los] mensajes de [la] Alerta Nacional” deberá “emitirlos hacia los medios masivos de comunicación participantes en el Sistema de Alerta </w:t>
      </w:r>
      <w:r w:rsidRPr="007C57D2">
        <w:rPr>
          <w:rFonts w:ascii="Times New Roman" w:hAnsi="Times New Roman"/>
          <w:sz w:val="28"/>
          <w:szCs w:val="28"/>
        </w:rPr>
        <w:t>Nacional para su respectiva difusión”</w:t>
      </w:r>
      <w:r w:rsidRPr="007C57D2">
        <w:rPr>
          <w:rStyle w:val="Refdenotaalpie"/>
          <w:rFonts w:ascii="Times New Roman" w:hAnsi="Times New Roman"/>
          <w:sz w:val="28"/>
          <w:szCs w:val="28"/>
        </w:rPr>
        <w:footnoteReference w:id="255"/>
      </w:r>
      <w:r w:rsidRPr="007C57D2">
        <w:rPr>
          <w:rFonts w:ascii="Times New Roman" w:hAnsi="Times New Roman"/>
          <w:sz w:val="28"/>
          <w:szCs w:val="28"/>
        </w:rPr>
        <w:t xml:space="preserve">. Los medios masivos de comunicación son “todos aquellos proveedores de redes y servicios de telecomunicaciones, operadores del servicio de radiodifusión sonora, </w:t>
      </w:r>
      <w:r w:rsidRPr="007C57D2">
        <w:rPr>
          <w:rFonts w:ascii="Times New Roman" w:hAnsi="Times New Roman"/>
          <w:b/>
          <w:bCs/>
          <w:sz w:val="28"/>
          <w:szCs w:val="28"/>
        </w:rPr>
        <w:t xml:space="preserve">operadores de plataformas de distribución de contenidos </w:t>
      </w:r>
      <w:r w:rsidRPr="007C57D2">
        <w:rPr>
          <w:rFonts w:ascii="Times New Roman" w:hAnsi="Times New Roman"/>
          <w:b/>
          <w:bCs/>
          <w:sz w:val="28"/>
          <w:szCs w:val="28"/>
        </w:rPr>
        <w:t>audiovisuales desde Internet y operadores de plataformas de redes sociales</w:t>
      </w:r>
      <w:r w:rsidRPr="007C57D2">
        <w:rPr>
          <w:rFonts w:ascii="Times New Roman" w:hAnsi="Times New Roman"/>
          <w:sz w:val="28"/>
          <w:szCs w:val="28"/>
        </w:rPr>
        <w:t>, entre otros”</w:t>
      </w:r>
      <w:r w:rsidRPr="007C57D2">
        <w:rPr>
          <w:rStyle w:val="Refdenotaalpie"/>
          <w:rFonts w:ascii="Times New Roman" w:hAnsi="Times New Roman"/>
          <w:sz w:val="28"/>
          <w:szCs w:val="28"/>
        </w:rPr>
        <w:footnoteReference w:id="256"/>
      </w:r>
      <w:r w:rsidRPr="007C57D2">
        <w:rPr>
          <w:rFonts w:ascii="Times New Roman" w:hAnsi="Times New Roman"/>
          <w:sz w:val="28"/>
          <w:szCs w:val="28"/>
        </w:rPr>
        <w:t xml:space="preserve"> [negrilla fuera del texto original]</w:t>
      </w:r>
      <w:r w:rsidRPr="007C57D2">
        <w:rPr>
          <w:rFonts w:ascii="Times New Roman" w:hAnsi="Times New Roman"/>
          <w:sz w:val="28"/>
          <w:szCs w:val="28"/>
        </w:rPr>
        <w:t>.</w:t>
      </w:r>
    </w:p>
    <w:p w:rsidR="00671C87" w:rsidRPr="007C57D2" w:rsidRDefault="007C57D2" w:rsidP="008F3DAB">
      <w:pPr>
        <w:pStyle w:val="Prrafodelista"/>
        <w:rPr>
          <w:rFonts w:ascii="Times New Roman" w:hAnsi="Times New Roman"/>
          <w:sz w:val="28"/>
          <w:szCs w:val="28"/>
          <w:lang w:val="es-ES" w:eastAsia="es-MX"/>
        </w:rPr>
      </w:pPr>
    </w:p>
    <w:p w:rsidR="00A86899"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La</w:t>
      </w:r>
      <w:r w:rsidRPr="007C57D2">
        <w:rPr>
          <w:rFonts w:ascii="Times New Roman" w:hAnsi="Times New Roman"/>
          <w:sz w:val="28"/>
          <w:szCs w:val="28"/>
          <w:lang w:val="es-ES" w:eastAsia="es-MX"/>
        </w:rPr>
        <w:t xml:space="preserve"> integración de la Alerta Colombia al </w:t>
      </w:r>
      <w:r w:rsidRPr="007C57D2">
        <w:rPr>
          <w:rFonts w:ascii="Times New Roman" w:hAnsi="Times New Roman"/>
          <w:sz w:val="28"/>
          <w:szCs w:val="28"/>
          <w:lang w:val="es-ES"/>
        </w:rPr>
        <w:t xml:space="preserve">Sistema </w:t>
      </w:r>
      <w:r w:rsidRPr="007C57D2">
        <w:rPr>
          <w:rFonts w:ascii="Times New Roman" w:hAnsi="Times New Roman"/>
          <w:sz w:val="28"/>
          <w:szCs w:val="28"/>
        </w:rPr>
        <w:t>de Alertas Tempranas sobre la Niñez Colombiana y su similitud con otras al</w:t>
      </w:r>
      <w:r w:rsidRPr="007C57D2">
        <w:rPr>
          <w:rFonts w:ascii="Times New Roman" w:hAnsi="Times New Roman"/>
          <w:sz w:val="28"/>
          <w:szCs w:val="28"/>
        </w:rPr>
        <w:t>ertas</w:t>
      </w:r>
      <w:r w:rsidRPr="007C57D2">
        <w:rPr>
          <w:rFonts w:ascii="Times New Roman" w:hAnsi="Times New Roman"/>
          <w:sz w:val="28"/>
          <w:szCs w:val="28"/>
        </w:rPr>
        <w:t xml:space="preserve"> y sistemas de información allí comprendidas implica</w:t>
      </w:r>
      <w:r w:rsidRPr="007C57D2">
        <w:rPr>
          <w:rFonts w:ascii="Times New Roman" w:hAnsi="Times New Roman"/>
          <w:sz w:val="28"/>
          <w:szCs w:val="28"/>
        </w:rPr>
        <w:t>n</w:t>
      </w:r>
      <w:r w:rsidRPr="007C57D2">
        <w:rPr>
          <w:rFonts w:ascii="Times New Roman" w:hAnsi="Times New Roman"/>
          <w:sz w:val="28"/>
          <w:szCs w:val="28"/>
        </w:rPr>
        <w:t xml:space="preserve"> que</w:t>
      </w:r>
      <w:r w:rsidRPr="007C57D2">
        <w:rPr>
          <w:rFonts w:ascii="Times New Roman" w:hAnsi="Times New Roman"/>
          <w:sz w:val="28"/>
          <w:szCs w:val="28"/>
        </w:rPr>
        <w:t xml:space="preserve"> el </w:t>
      </w:r>
      <w:r w:rsidRPr="007C57D2">
        <w:rPr>
          <w:rFonts w:ascii="Times New Roman" w:hAnsi="Times New Roman"/>
          <w:sz w:val="28"/>
          <w:szCs w:val="28"/>
          <w:lang w:eastAsia="es-MX"/>
        </w:rPr>
        <w:t xml:space="preserve">parágrafo del artículo 4, el parágrafo del artículo 6 y los incisos 1 a 3 del artículo 5 del PLE </w:t>
      </w:r>
      <w:r w:rsidRPr="007C57D2">
        <w:rPr>
          <w:rFonts w:ascii="Times New Roman" w:hAnsi="Times New Roman"/>
          <w:sz w:val="28"/>
          <w:szCs w:val="28"/>
        </w:rPr>
        <w:t>tampoco debían cumplir el requisito de análisis de impacto fiscal</w:t>
      </w:r>
      <w:r w:rsidRPr="007C57D2">
        <w:rPr>
          <w:rFonts w:ascii="Times New Roman" w:hAnsi="Times New Roman"/>
          <w:sz w:val="28"/>
          <w:szCs w:val="28"/>
        </w:rPr>
        <w:t xml:space="preserve"> porque no cumplen el requisito f</w:t>
      </w:r>
      <w:r w:rsidRPr="007C57D2">
        <w:rPr>
          <w:rFonts w:ascii="Times New Roman" w:hAnsi="Times New Roman"/>
          <w:sz w:val="28"/>
          <w:szCs w:val="28"/>
        </w:rPr>
        <w:t>uncional</w:t>
      </w:r>
      <w:r w:rsidRPr="007C57D2">
        <w:rPr>
          <w:rFonts w:ascii="Times New Roman" w:hAnsi="Times New Roman"/>
          <w:sz w:val="28"/>
          <w:szCs w:val="28"/>
        </w:rPr>
        <w:t xml:space="preserve">. </w:t>
      </w:r>
      <w:r w:rsidRPr="007C57D2">
        <w:rPr>
          <w:rFonts w:ascii="Times New Roman" w:hAnsi="Times New Roman"/>
          <w:sz w:val="28"/>
          <w:szCs w:val="28"/>
        </w:rPr>
        <w:t>Esto es así, a</w:t>
      </w:r>
      <w:r w:rsidRPr="007C57D2">
        <w:rPr>
          <w:rFonts w:ascii="Times New Roman" w:hAnsi="Times New Roman"/>
          <w:sz w:val="28"/>
          <w:szCs w:val="28"/>
        </w:rPr>
        <w:t>l menos</w:t>
      </w:r>
      <w:r w:rsidRPr="007C57D2">
        <w:rPr>
          <w:rFonts w:ascii="Times New Roman" w:hAnsi="Times New Roman"/>
          <w:sz w:val="28"/>
          <w:szCs w:val="28"/>
        </w:rPr>
        <w:t>,</w:t>
      </w:r>
      <w:r w:rsidRPr="007C57D2">
        <w:rPr>
          <w:rFonts w:ascii="Times New Roman" w:hAnsi="Times New Roman"/>
          <w:sz w:val="28"/>
          <w:szCs w:val="28"/>
        </w:rPr>
        <w:t xml:space="preserve"> </w:t>
      </w:r>
      <w:r w:rsidRPr="007C57D2">
        <w:rPr>
          <w:rFonts w:ascii="Times New Roman" w:hAnsi="Times New Roman"/>
          <w:sz w:val="28"/>
          <w:szCs w:val="28"/>
        </w:rPr>
        <w:t>por</w:t>
      </w:r>
      <w:r w:rsidRPr="007C57D2">
        <w:rPr>
          <w:rFonts w:ascii="Times New Roman" w:hAnsi="Times New Roman"/>
          <w:sz w:val="28"/>
          <w:szCs w:val="28"/>
        </w:rPr>
        <w:t xml:space="preserve"> </w:t>
      </w:r>
      <w:r w:rsidRPr="007C57D2">
        <w:rPr>
          <w:rFonts w:ascii="Times New Roman" w:hAnsi="Times New Roman"/>
          <w:sz w:val="28"/>
          <w:szCs w:val="28"/>
        </w:rPr>
        <w:t xml:space="preserve">dos </w:t>
      </w:r>
      <w:r w:rsidRPr="007C57D2">
        <w:rPr>
          <w:rFonts w:ascii="Times New Roman" w:hAnsi="Times New Roman"/>
          <w:sz w:val="28"/>
          <w:szCs w:val="28"/>
        </w:rPr>
        <w:t xml:space="preserve">razones. </w:t>
      </w:r>
    </w:p>
    <w:p w:rsidR="00A86899"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71C87"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 xml:space="preserve">Primera, </w:t>
      </w:r>
      <w:r w:rsidRPr="007C57D2">
        <w:rPr>
          <w:rFonts w:ascii="Times New Roman" w:hAnsi="Times New Roman"/>
          <w:sz w:val="28"/>
          <w:szCs w:val="28"/>
          <w:lang w:eastAsia="es-MX"/>
        </w:rPr>
        <w:t>estos deberes “</w:t>
      </w:r>
      <w:r w:rsidRPr="007C57D2">
        <w:rPr>
          <w:rFonts w:ascii="Times New Roman" w:hAnsi="Times New Roman"/>
          <w:sz w:val="28"/>
          <w:szCs w:val="28"/>
          <w:lang w:val="es-ES"/>
        </w:rPr>
        <w:t>requiere[n] de un desarrollo normativo posterior para su implementación</w:t>
      </w:r>
      <w:r w:rsidRPr="007C57D2">
        <w:rPr>
          <w:rFonts w:ascii="Times New Roman" w:hAnsi="Times New Roman"/>
          <w:sz w:val="28"/>
          <w:szCs w:val="28"/>
          <w:vertAlign w:val="superscript"/>
          <w:lang w:val="es-ES"/>
        </w:rPr>
        <w:footnoteReference w:id="257"/>
      </w:r>
      <w:r w:rsidRPr="007C57D2">
        <w:rPr>
          <w:rFonts w:ascii="Times New Roman" w:hAnsi="Times New Roman"/>
          <w:sz w:val="28"/>
          <w:szCs w:val="28"/>
          <w:lang w:val="es-ES"/>
        </w:rPr>
        <w:t>”</w:t>
      </w:r>
      <w:r w:rsidRPr="007C57D2">
        <w:rPr>
          <w:rStyle w:val="Refdenotaalpie"/>
          <w:rFonts w:ascii="Times New Roman" w:hAnsi="Times New Roman"/>
          <w:sz w:val="28"/>
          <w:szCs w:val="28"/>
          <w:shd w:val="clear" w:color="auto" w:fill="FFFFFF"/>
        </w:rPr>
        <w:footnoteReference w:id="258"/>
      </w:r>
      <w:r w:rsidRPr="007C57D2">
        <w:rPr>
          <w:rFonts w:ascii="Times New Roman" w:hAnsi="Times New Roman"/>
          <w:sz w:val="28"/>
          <w:szCs w:val="28"/>
          <w:lang w:val="es-ES"/>
        </w:rPr>
        <w:t xml:space="preserve"> y, </w:t>
      </w:r>
      <w:r w:rsidRPr="007C57D2">
        <w:rPr>
          <w:rFonts w:ascii="Times New Roman" w:hAnsi="Times New Roman"/>
          <w:sz w:val="28"/>
          <w:szCs w:val="28"/>
          <w:lang w:val="es-ES"/>
        </w:rPr>
        <w:t>por tanto</w:t>
      </w:r>
      <w:r w:rsidRPr="007C57D2">
        <w:rPr>
          <w:rFonts w:ascii="Times New Roman" w:hAnsi="Times New Roman"/>
          <w:sz w:val="28"/>
          <w:szCs w:val="28"/>
          <w:lang w:val="es-ES"/>
        </w:rPr>
        <w:t>, no son “una orden de gasto inmediato”</w:t>
      </w:r>
      <w:r w:rsidRPr="007C57D2">
        <w:rPr>
          <w:rStyle w:val="Refdenotaalpie"/>
          <w:rFonts w:ascii="Times New Roman" w:hAnsi="Times New Roman"/>
          <w:sz w:val="28"/>
          <w:szCs w:val="28"/>
          <w:lang w:val="es-ES"/>
        </w:rPr>
        <w:footnoteReference w:id="259"/>
      </w:r>
      <w:r w:rsidRPr="007C57D2">
        <w:rPr>
          <w:rFonts w:ascii="Times New Roman" w:hAnsi="Times New Roman"/>
          <w:sz w:val="28"/>
          <w:szCs w:val="28"/>
          <w:lang w:val="es-ES"/>
        </w:rPr>
        <w:t>.</w:t>
      </w:r>
      <w:r w:rsidRPr="007C57D2">
        <w:rPr>
          <w:rFonts w:ascii="Times New Roman" w:hAnsi="Times New Roman"/>
          <w:sz w:val="28"/>
          <w:szCs w:val="28"/>
          <w:lang w:val="es-ES"/>
        </w:rPr>
        <w:t xml:space="preserve"> E</w:t>
      </w:r>
      <w:r w:rsidRPr="007C57D2">
        <w:rPr>
          <w:rFonts w:ascii="Times New Roman" w:hAnsi="Times New Roman"/>
          <w:sz w:val="28"/>
          <w:szCs w:val="28"/>
          <w:lang w:val="es-ES"/>
        </w:rPr>
        <w:t xml:space="preserve">l </w:t>
      </w:r>
      <w:r w:rsidRPr="007C57D2">
        <w:rPr>
          <w:rFonts w:ascii="Times New Roman" w:hAnsi="Times New Roman"/>
          <w:sz w:val="28"/>
          <w:szCs w:val="28"/>
          <w:lang w:val="es-ES"/>
        </w:rPr>
        <w:t xml:space="preserve">artículo 14 del PLE </w:t>
      </w:r>
      <w:r w:rsidRPr="007C57D2">
        <w:rPr>
          <w:rFonts w:ascii="Times New Roman" w:hAnsi="Times New Roman"/>
          <w:sz w:val="28"/>
          <w:szCs w:val="28"/>
          <w:lang w:val="es-ES"/>
        </w:rPr>
        <w:t>es claro en dispone</w:t>
      </w:r>
      <w:r w:rsidRPr="007C57D2">
        <w:rPr>
          <w:rFonts w:ascii="Times New Roman" w:hAnsi="Times New Roman"/>
          <w:sz w:val="28"/>
          <w:szCs w:val="28"/>
          <w:lang w:val="es-ES"/>
        </w:rPr>
        <w:t>r</w:t>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que </w:t>
      </w:r>
      <w:r w:rsidRPr="007C57D2">
        <w:rPr>
          <w:rFonts w:ascii="Times New Roman" w:hAnsi="Times New Roman"/>
          <w:sz w:val="28"/>
          <w:szCs w:val="28"/>
          <w:lang w:val="es-ES"/>
        </w:rPr>
        <w:t>la</w:t>
      </w:r>
      <w:r w:rsidRPr="007C57D2">
        <w:rPr>
          <w:rFonts w:ascii="Times New Roman" w:hAnsi="Times New Roman"/>
          <w:sz w:val="28"/>
          <w:szCs w:val="28"/>
          <w:lang w:val="es-ES"/>
        </w:rPr>
        <w:t xml:space="preserve"> reglamentación </w:t>
      </w:r>
      <w:r w:rsidRPr="007C57D2">
        <w:rPr>
          <w:rFonts w:ascii="Times New Roman" w:hAnsi="Times New Roman"/>
          <w:sz w:val="28"/>
          <w:szCs w:val="28"/>
          <w:lang w:val="es-ES"/>
        </w:rPr>
        <w:t xml:space="preserve">de la Alerta Colombia </w:t>
      </w:r>
      <w:r w:rsidRPr="007C57D2">
        <w:rPr>
          <w:rFonts w:ascii="Times New Roman" w:hAnsi="Times New Roman"/>
          <w:sz w:val="28"/>
          <w:szCs w:val="28"/>
          <w:lang w:val="es-ES"/>
        </w:rPr>
        <w:t>“</w:t>
      </w:r>
      <w:r w:rsidRPr="007C57D2">
        <w:rPr>
          <w:rFonts w:ascii="Times New Roman" w:hAnsi="Times New Roman"/>
          <w:sz w:val="28"/>
          <w:szCs w:val="28"/>
        </w:rPr>
        <w:t>deberá hacerse en articulación con el Sistema Nacional de Alertas Tempranas sobre la Niñez colombiana, creado por el artículo 4 de la Ley 2242 de 2022”</w:t>
      </w:r>
      <w:r w:rsidRPr="007C57D2">
        <w:rPr>
          <w:rFonts w:ascii="Times New Roman" w:hAnsi="Times New Roman"/>
          <w:sz w:val="28"/>
          <w:szCs w:val="28"/>
        </w:rPr>
        <w:t>.</w:t>
      </w:r>
      <w:r w:rsidRPr="007C57D2">
        <w:rPr>
          <w:rFonts w:ascii="Times New Roman" w:hAnsi="Times New Roman"/>
          <w:sz w:val="28"/>
          <w:szCs w:val="28"/>
        </w:rPr>
        <w:t xml:space="preserve"> Ya se precisó que tal reglamentación deberá tener en cuenta la </w:t>
      </w:r>
      <w:r w:rsidRPr="007C57D2">
        <w:rPr>
          <w:rFonts w:ascii="Times New Roman" w:hAnsi="Times New Roman"/>
          <w:sz w:val="28"/>
          <w:szCs w:val="28"/>
        </w:rPr>
        <w:t>L</w:t>
      </w:r>
      <w:r w:rsidRPr="007C57D2">
        <w:rPr>
          <w:rFonts w:ascii="Times New Roman" w:hAnsi="Times New Roman"/>
          <w:sz w:val="28"/>
          <w:szCs w:val="28"/>
        </w:rPr>
        <w:t xml:space="preserve">ey 2326 de 2023, </w:t>
      </w:r>
      <w:r w:rsidRPr="007C57D2">
        <w:rPr>
          <w:rFonts w:ascii="Times New Roman" w:hAnsi="Times New Roman"/>
          <w:sz w:val="28"/>
          <w:szCs w:val="28"/>
        </w:rPr>
        <w:t xml:space="preserve">que creó la Alerta Rosa y </w:t>
      </w:r>
      <w:r w:rsidRPr="007C57D2">
        <w:rPr>
          <w:rFonts w:ascii="Times New Roman" w:hAnsi="Times New Roman"/>
          <w:sz w:val="28"/>
          <w:szCs w:val="28"/>
        </w:rPr>
        <w:t>contiene una norma similar</w:t>
      </w:r>
      <w:r w:rsidRPr="007C57D2">
        <w:rPr>
          <w:rStyle w:val="Refdenotaalpie"/>
          <w:rFonts w:ascii="Times New Roman" w:hAnsi="Times New Roman"/>
          <w:sz w:val="28"/>
          <w:szCs w:val="28"/>
        </w:rPr>
        <w:footnoteReference w:id="260"/>
      </w:r>
      <w:r w:rsidRPr="007C57D2">
        <w:rPr>
          <w:rFonts w:ascii="Times New Roman" w:hAnsi="Times New Roman"/>
          <w:sz w:val="28"/>
          <w:szCs w:val="28"/>
        </w:rPr>
        <w:t xml:space="preserve">, y el Sistema de Alerta Nacional ante la Desaparición de Niños, Niñas y Adolescentes, que tiene </w:t>
      </w:r>
      <w:r w:rsidRPr="007C57D2">
        <w:rPr>
          <w:rFonts w:ascii="Times New Roman" w:hAnsi="Times New Roman"/>
          <w:sz w:val="28"/>
          <w:szCs w:val="28"/>
        </w:rPr>
        <w:t xml:space="preserve">una </w:t>
      </w:r>
      <w:r w:rsidRPr="007C57D2">
        <w:rPr>
          <w:rFonts w:ascii="Times New Roman" w:hAnsi="Times New Roman"/>
          <w:sz w:val="28"/>
          <w:szCs w:val="28"/>
        </w:rPr>
        <w:t xml:space="preserve">finalidad </w:t>
      </w:r>
      <w:r w:rsidRPr="007C57D2">
        <w:rPr>
          <w:rFonts w:ascii="Times New Roman" w:hAnsi="Times New Roman"/>
          <w:sz w:val="28"/>
          <w:szCs w:val="28"/>
        </w:rPr>
        <w:t>semejante</w:t>
      </w:r>
      <w:r w:rsidRPr="007C57D2">
        <w:rPr>
          <w:rFonts w:ascii="Times New Roman" w:hAnsi="Times New Roman"/>
          <w:sz w:val="28"/>
          <w:szCs w:val="28"/>
        </w:rPr>
        <w:t xml:space="preserve"> a </w:t>
      </w:r>
      <w:r w:rsidRPr="007C57D2">
        <w:rPr>
          <w:rFonts w:ascii="Times New Roman" w:hAnsi="Times New Roman"/>
          <w:sz w:val="28"/>
          <w:szCs w:val="28"/>
        </w:rPr>
        <w:t>aquella que persigue</w:t>
      </w:r>
      <w:r w:rsidRPr="007C57D2">
        <w:rPr>
          <w:rFonts w:ascii="Times New Roman" w:hAnsi="Times New Roman"/>
          <w:sz w:val="28"/>
          <w:szCs w:val="28"/>
        </w:rPr>
        <w:t xml:space="preserve"> la Alerta Colombia</w:t>
      </w:r>
      <w:r w:rsidRPr="007C57D2">
        <w:rPr>
          <w:rFonts w:ascii="Times New Roman" w:hAnsi="Times New Roman"/>
          <w:sz w:val="28"/>
          <w:szCs w:val="28"/>
        </w:rPr>
        <w:t xml:space="preserve">. </w:t>
      </w:r>
      <w:r w:rsidRPr="007C57D2">
        <w:rPr>
          <w:rFonts w:ascii="Times New Roman" w:hAnsi="Times New Roman"/>
          <w:sz w:val="28"/>
          <w:szCs w:val="28"/>
        </w:rPr>
        <w:t>E</w:t>
      </w:r>
      <w:r w:rsidRPr="007C57D2">
        <w:rPr>
          <w:rFonts w:ascii="Times New Roman" w:hAnsi="Times New Roman"/>
          <w:sz w:val="28"/>
          <w:szCs w:val="28"/>
        </w:rPr>
        <w:t xml:space="preserve">n el ejercicio de </w:t>
      </w:r>
      <w:r w:rsidRPr="007C57D2">
        <w:rPr>
          <w:rFonts w:ascii="Times New Roman" w:hAnsi="Times New Roman"/>
          <w:sz w:val="28"/>
          <w:szCs w:val="28"/>
        </w:rPr>
        <w:t>reglamentar las alertas que forman parte del Sistema Nacional de Alertas Tempranas sobre la Niñez colombiana</w:t>
      </w:r>
      <w:r w:rsidRPr="007C57D2">
        <w:rPr>
          <w:rFonts w:ascii="Times New Roman" w:hAnsi="Times New Roman"/>
          <w:sz w:val="28"/>
          <w:szCs w:val="28"/>
        </w:rPr>
        <w:t>,</w:t>
      </w:r>
      <w:r w:rsidRPr="007C57D2">
        <w:rPr>
          <w:rFonts w:ascii="Times New Roman" w:hAnsi="Times New Roman"/>
          <w:sz w:val="28"/>
          <w:szCs w:val="28"/>
        </w:rPr>
        <w:t xml:space="preserve"> el Gobierno nacional deberá determinar el alcance </w:t>
      </w:r>
      <w:r w:rsidRPr="007C57D2">
        <w:rPr>
          <w:rFonts w:ascii="Times New Roman" w:hAnsi="Times New Roman"/>
          <w:sz w:val="28"/>
          <w:szCs w:val="28"/>
        </w:rPr>
        <w:t xml:space="preserve">y el nivel </w:t>
      </w:r>
      <w:r w:rsidRPr="007C57D2">
        <w:rPr>
          <w:rFonts w:ascii="Times New Roman" w:hAnsi="Times New Roman"/>
          <w:sz w:val="28"/>
          <w:szCs w:val="28"/>
        </w:rPr>
        <w:t xml:space="preserve">de autonomía de </w:t>
      </w:r>
      <w:r w:rsidRPr="007C57D2">
        <w:rPr>
          <w:rFonts w:ascii="Times New Roman" w:hAnsi="Times New Roman"/>
          <w:sz w:val="28"/>
          <w:szCs w:val="28"/>
        </w:rPr>
        <w:t>la Alerta Colombia</w:t>
      </w:r>
      <w:r w:rsidRPr="007C57D2">
        <w:rPr>
          <w:rFonts w:ascii="Times New Roman" w:hAnsi="Times New Roman"/>
          <w:sz w:val="28"/>
          <w:szCs w:val="28"/>
        </w:rPr>
        <w:t>, de acuerdo con lo establecido en el parágrafo 2 d</w:t>
      </w:r>
      <w:r w:rsidRPr="007C57D2">
        <w:rPr>
          <w:rFonts w:ascii="Times New Roman" w:hAnsi="Times New Roman"/>
          <w:sz w:val="28"/>
          <w:szCs w:val="28"/>
        </w:rPr>
        <w:t>el artículo 10 del PLE.</w:t>
      </w:r>
    </w:p>
    <w:p w:rsidR="006044F7" w:rsidRPr="007C57D2" w:rsidRDefault="007C57D2" w:rsidP="006044F7">
      <w:pPr>
        <w:pStyle w:val="Prrafodelista"/>
        <w:tabs>
          <w:tab w:val="left" w:pos="567"/>
        </w:tabs>
        <w:ind w:left="0"/>
        <w:jc w:val="both"/>
        <w:rPr>
          <w:rFonts w:ascii="Times New Roman" w:hAnsi="Times New Roman"/>
          <w:sz w:val="28"/>
          <w:szCs w:val="28"/>
          <w:lang w:val="es-ES" w:eastAsia="es-MX"/>
        </w:rPr>
      </w:pPr>
    </w:p>
    <w:p w:rsidR="00856B38"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rPr>
        <w:t>Lo anterior significa que, conforme a lo previsto en el artículo 14 del PLE, la reglamentación del PLE implica la articulación entre varios sistemas y entidades para garantizar el funcionamiento coordinado de las alertas. En esa me</w:t>
      </w:r>
      <w:r w:rsidRPr="007C57D2">
        <w:rPr>
          <w:rFonts w:ascii="Times New Roman" w:hAnsi="Times New Roman"/>
          <w:sz w:val="28"/>
          <w:szCs w:val="28"/>
        </w:rPr>
        <w:t xml:space="preserve">dida, la obligación de crear la </w:t>
      </w:r>
      <w:r w:rsidRPr="007C57D2">
        <w:rPr>
          <w:rFonts w:ascii="Times New Roman" w:hAnsi="Times New Roman"/>
          <w:sz w:val="28"/>
          <w:szCs w:val="28"/>
        </w:rPr>
        <w:t>v</w:t>
      </w:r>
      <w:r w:rsidRPr="007C57D2">
        <w:rPr>
          <w:rFonts w:ascii="Times New Roman" w:hAnsi="Times New Roman"/>
          <w:sz w:val="28"/>
          <w:szCs w:val="28"/>
        </w:rPr>
        <w:t xml:space="preserve">entana </w:t>
      </w:r>
      <w:r w:rsidRPr="007C57D2">
        <w:rPr>
          <w:rFonts w:ascii="Times New Roman" w:hAnsi="Times New Roman"/>
          <w:sz w:val="28"/>
          <w:szCs w:val="28"/>
        </w:rPr>
        <w:t>e</w:t>
      </w:r>
      <w:r w:rsidRPr="007C57D2">
        <w:rPr>
          <w:rFonts w:ascii="Times New Roman" w:hAnsi="Times New Roman"/>
          <w:sz w:val="28"/>
          <w:szCs w:val="28"/>
        </w:rPr>
        <w:t xml:space="preserve">special </w:t>
      </w:r>
      <w:r w:rsidRPr="007C57D2">
        <w:rPr>
          <w:rFonts w:ascii="Times New Roman" w:hAnsi="Times New Roman"/>
          <w:sz w:val="28"/>
          <w:szCs w:val="28"/>
        </w:rPr>
        <w:t xml:space="preserve">de la alerta </w:t>
      </w:r>
      <w:r w:rsidRPr="007C57D2">
        <w:rPr>
          <w:rFonts w:ascii="Times New Roman" w:hAnsi="Times New Roman"/>
          <w:sz w:val="28"/>
          <w:szCs w:val="28"/>
        </w:rPr>
        <w:t>en el sitio web del ICBF no puede ejecutarse de manera aislada ni inmediata, pues depende del desarrollo normativo que defina los mecanismos de interoperabilidad</w:t>
      </w:r>
      <w:r w:rsidRPr="007C57D2">
        <w:rPr>
          <w:rFonts w:ascii="Times New Roman" w:hAnsi="Times New Roman"/>
          <w:sz w:val="28"/>
          <w:szCs w:val="28"/>
        </w:rPr>
        <w:t xml:space="preserve"> entre los sistemas</w:t>
      </w:r>
      <w:r w:rsidRPr="007C57D2">
        <w:rPr>
          <w:rFonts w:ascii="Times New Roman" w:hAnsi="Times New Roman"/>
          <w:sz w:val="28"/>
          <w:szCs w:val="28"/>
        </w:rPr>
        <w:t xml:space="preserve">, </w:t>
      </w:r>
      <w:r w:rsidRPr="007C57D2">
        <w:rPr>
          <w:rFonts w:ascii="Times New Roman" w:hAnsi="Times New Roman"/>
          <w:sz w:val="28"/>
          <w:szCs w:val="28"/>
        </w:rPr>
        <w:t xml:space="preserve">las </w:t>
      </w:r>
      <w:r w:rsidRPr="007C57D2">
        <w:rPr>
          <w:rFonts w:ascii="Times New Roman" w:hAnsi="Times New Roman"/>
          <w:sz w:val="28"/>
          <w:szCs w:val="28"/>
        </w:rPr>
        <w:t>responsa</w:t>
      </w:r>
      <w:r w:rsidRPr="007C57D2">
        <w:rPr>
          <w:rFonts w:ascii="Times New Roman" w:hAnsi="Times New Roman"/>
          <w:sz w:val="28"/>
          <w:szCs w:val="28"/>
        </w:rPr>
        <w:t xml:space="preserve">bilidades institucionales y </w:t>
      </w:r>
      <w:r w:rsidRPr="007C57D2">
        <w:rPr>
          <w:rFonts w:ascii="Times New Roman" w:hAnsi="Times New Roman"/>
          <w:sz w:val="28"/>
          <w:szCs w:val="28"/>
        </w:rPr>
        <w:t xml:space="preserve">las </w:t>
      </w:r>
      <w:r w:rsidRPr="007C57D2">
        <w:rPr>
          <w:rFonts w:ascii="Times New Roman" w:hAnsi="Times New Roman"/>
          <w:sz w:val="28"/>
          <w:szCs w:val="28"/>
        </w:rPr>
        <w:t>fuentes de información. Por ello, mientras no se expida dicha reglamentación, no existe una orden de gasto inmediata.</w:t>
      </w:r>
    </w:p>
    <w:p w:rsidR="00671C87" w:rsidRPr="007C57D2" w:rsidRDefault="007C57D2" w:rsidP="008F3DAB">
      <w:pPr>
        <w:pStyle w:val="Prrafodelista"/>
        <w:rPr>
          <w:rFonts w:ascii="Times New Roman" w:hAnsi="Times New Roman"/>
          <w:sz w:val="28"/>
          <w:szCs w:val="28"/>
        </w:rPr>
      </w:pPr>
    </w:p>
    <w:p w:rsidR="00797F1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 xml:space="preserve">Segunda, </w:t>
      </w:r>
      <w:r w:rsidRPr="007C57D2">
        <w:rPr>
          <w:rFonts w:ascii="Times New Roman" w:hAnsi="Times New Roman"/>
          <w:sz w:val="28"/>
          <w:szCs w:val="28"/>
          <w:lang w:val="es-ES" w:eastAsia="es-MX"/>
        </w:rPr>
        <w:t>el PLE</w:t>
      </w:r>
      <w:r w:rsidRPr="007C57D2">
        <w:rPr>
          <w:rFonts w:ascii="Times New Roman" w:hAnsi="Times New Roman"/>
          <w:sz w:val="28"/>
          <w:szCs w:val="28"/>
        </w:rPr>
        <w:t xml:space="preserve"> </w:t>
      </w:r>
      <w:r w:rsidRPr="007C57D2">
        <w:rPr>
          <w:rFonts w:ascii="Times New Roman" w:hAnsi="Times New Roman"/>
          <w:sz w:val="28"/>
          <w:szCs w:val="28"/>
          <w:lang w:val="es-ES" w:eastAsia="es-MX"/>
        </w:rPr>
        <w:t xml:space="preserve">no despoja al </w:t>
      </w:r>
      <w:r w:rsidRPr="007C57D2">
        <w:rPr>
          <w:rFonts w:ascii="Times New Roman" w:hAnsi="Times New Roman"/>
          <w:sz w:val="28"/>
          <w:szCs w:val="28"/>
          <w:lang w:eastAsia="es-MX"/>
        </w:rPr>
        <w:t xml:space="preserve">Gobierno nacional de un margen de valoración respecto de la incorporación </w:t>
      </w:r>
      <w:r w:rsidRPr="007C57D2">
        <w:rPr>
          <w:rFonts w:ascii="Times New Roman" w:hAnsi="Times New Roman"/>
          <w:sz w:val="28"/>
          <w:szCs w:val="28"/>
          <w:lang w:eastAsia="es-MX"/>
        </w:rPr>
        <w:t>de las partidas presupuestales requeridas para la articulación de</w:t>
      </w:r>
      <w:r w:rsidRPr="007C57D2">
        <w:rPr>
          <w:rFonts w:ascii="Times New Roman" w:hAnsi="Times New Roman"/>
          <w:sz w:val="28"/>
          <w:szCs w:val="28"/>
          <w:lang w:eastAsia="es-MX"/>
        </w:rPr>
        <w:t xml:space="preserve"> la Alerta Colombia a</w:t>
      </w:r>
      <w:r w:rsidRPr="007C57D2">
        <w:rPr>
          <w:rFonts w:ascii="Times New Roman" w:hAnsi="Times New Roman"/>
          <w:sz w:val="28"/>
          <w:szCs w:val="28"/>
          <w:lang w:eastAsia="es-MX"/>
        </w:rPr>
        <w:t xml:space="preserve"> </w:t>
      </w:r>
      <w:r w:rsidRPr="007C57D2">
        <w:rPr>
          <w:rFonts w:ascii="Times New Roman" w:hAnsi="Times New Roman"/>
          <w:sz w:val="28"/>
          <w:szCs w:val="28"/>
          <w:lang w:eastAsia="es-MX"/>
        </w:rPr>
        <w:t>los sistemas y alertas que forman parte</w:t>
      </w:r>
      <w:r w:rsidRPr="007C57D2">
        <w:rPr>
          <w:rFonts w:ascii="Times New Roman" w:hAnsi="Times New Roman"/>
          <w:sz w:val="28"/>
          <w:szCs w:val="28"/>
          <w:lang w:eastAsia="es-MX"/>
        </w:rPr>
        <w:t xml:space="preserve"> del </w:t>
      </w:r>
      <w:r w:rsidRPr="007C57D2">
        <w:rPr>
          <w:rFonts w:ascii="Times New Roman" w:hAnsi="Times New Roman"/>
          <w:sz w:val="28"/>
          <w:szCs w:val="28"/>
          <w:lang w:val="es-ES"/>
        </w:rPr>
        <w:t xml:space="preserve">Sistema </w:t>
      </w:r>
      <w:r w:rsidRPr="007C57D2">
        <w:rPr>
          <w:rFonts w:ascii="Times New Roman" w:hAnsi="Times New Roman"/>
          <w:sz w:val="28"/>
          <w:szCs w:val="28"/>
        </w:rPr>
        <w:t>de Alertas Tempranas sobre la Niñez Colombiana</w:t>
      </w:r>
      <w:r w:rsidRPr="007C57D2">
        <w:rPr>
          <w:rFonts w:ascii="Times New Roman" w:hAnsi="Times New Roman"/>
          <w:sz w:val="28"/>
          <w:szCs w:val="28"/>
          <w:lang w:eastAsia="es-MX"/>
        </w:rPr>
        <w:t xml:space="preserve">, así como </w:t>
      </w:r>
      <w:r w:rsidRPr="007C57D2">
        <w:rPr>
          <w:rFonts w:ascii="Times New Roman" w:hAnsi="Times New Roman"/>
          <w:sz w:val="28"/>
          <w:szCs w:val="28"/>
          <w:lang w:eastAsia="es-MX"/>
        </w:rPr>
        <w:t xml:space="preserve">tampoco </w:t>
      </w:r>
      <w:r w:rsidRPr="007C57D2">
        <w:rPr>
          <w:rFonts w:ascii="Times New Roman" w:hAnsi="Times New Roman"/>
          <w:sz w:val="28"/>
          <w:szCs w:val="28"/>
          <w:lang w:eastAsia="es-MX"/>
        </w:rPr>
        <w:t>de</w:t>
      </w:r>
      <w:r w:rsidRPr="007C57D2">
        <w:rPr>
          <w:rFonts w:ascii="Times New Roman" w:hAnsi="Times New Roman"/>
          <w:sz w:val="28"/>
          <w:szCs w:val="28"/>
          <w:lang w:eastAsia="es-MX"/>
        </w:rPr>
        <w:t>l examen de</w:t>
      </w:r>
      <w:r w:rsidRPr="007C57D2">
        <w:rPr>
          <w:rFonts w:ascii="Times New Roman" w:hAnsi="Times New Roman"/>
          <w:sz w:val="28"/>
          <w:szCs w:val="28"/>
          <w:lang w:eastAsia="es-MX"/>
        </w:rPr>
        <w:t xml:space="preserve"> compatibilidad de las medidas con el M</w:t>
      </w:r>
      <w:r w:rsidRPr="007C57D2">
        <w:rPr>
          <w:rFonts w:ascii="Times New Roman" w:hAnsi="Times New Roman"/>
          <w:sz w:val="28"/>
          <w:szCs w:val="28"/>
          <w:lang w:eastAsia="es-MX"/>
        </w:rPr>
        <w:t xml:space="preserve">FMP. De este modo, aunque, </w:t>
      </w:r>
      <w:r w:rsidRPr="007C57D2">
        <w:rPr>
          <w:rFonts w:ascii="Times New Roman" w:hAnsi="Times New Roman"/>
          <w:i/>
          <w:iCs/>
          <w:sz w:val="28"/>
          <w:szCs w:val="28"/>
          <w:lang w:val="es-ES" w:eastAsia="es-MX"/>
        </w:rPr>
        <w:t>prima facie</w:t>
      </w:r>
      <w:r w:rsidRPr="007C57D2">
        <w:rPr>
          <w:rFonts w:ascii="Times New Roman" w:hAnsi="Times New Roman"/>
          <w:sz w:val="28"/>
          <w:szCs w:val="28"/>
          <w:lang w:val="es-ES" w:eastAsia="es-MX"/>
        </w:rPr>
        <w:t>,</w:t>
      </w:r>
      <w:r w:rsidRPr="007C57D2">
        <w:rPr>
          <w:rFonts w:ascii="Times New Roman" w:hAnsi="Times New Roman"/>
          <w:sz w:val="28"/>
          <w:szCs w:val="28"/>
          <w:lang w:eastAsia="es-MX"/>
        </w:rPr>
        <w:t xml:space="preserve"> la implementación de la Alerta Colombia y su articulación con los otros sistemas de información </w:t>
      </w:r>
      <w:r w:rsidRPr="007C57D2">
        <w:rPr>
          <w:rFonts w:ascii="Times New Roman" w:hAnsi="Times New Roman"/>
          <w:sz w:val="28"/>
          <w:szCs w:val="28"/>
          <w:lang w:eastAsia="es-MX"/>
        </w:rPr>
        <w:t xml:space="preserve">son obligaciones que </w:t>
      </w:r>
      <w:r w:rsidRPr="007C57D2">
        <w:rPr>
          <w:rFonts w:ascii="Times New Roman" w:hAnsi="Times New Roman"/>
          <w:sz w:val="28"/>
          <w:szCs w:val="28"/>
          <w:lang w:eastAsia="es-MX"/>
        </w:rPr>
        <w:t xml:space="preserve">podrían generar </w:t>
      </w:r>
      <w:r w:rsidRPr="007C57D2">
        <w:rPr>
          <w:rFonts w:ascii="Times New Roman" w:hAnsi="Times New Roman"/>
          <w:sz w:val="28"/>
          <w:szCs w:val="28"/>
          <w:lang w:eastAsia="es-MX"/>
        </w:rPr>
        <w:t>costos fiscales —este elemento será abordado en los párrafos siguientes—</w:t>
      </w:r>
      <w:r w:rsidRPr="007C57D2">
        <w:rPr>
          <w:rFonts w:ascii="Times New Roman" w:hAnsi="Times New Roman"/>
          <w:sz w:val="28"/>
          <w:szCs w:val="28"/>
          <w:lang w:eastAsia="es-MX"/>
        </w:rPr>
        <w:t>, estos “</w:t>
      </w:r>
      <w:r w:rsidRPr="007C57D2">
        <w:rPr>
          <w:rFonts w:ascii="Times New Roman" w:hAnsi="Times New Roman"/>
          <w:sz w:val="28"/>
          <w:szCs w:val="28"/>
          <w:lang w:val="es-ES" w:eastAsia="es-MX"/>
        </w:rPr>
        <w:t>tendrán que ser sopesados en su momento por el Gobierno nacional, para su inclusión como gasto público y para la incorporación de [dichas] partidas presupuestales”</w:t>
      </w:r>
      <w:r w:rsidRPr="007C57D2">
        <w:rPr>
          <w:rStyle w:val="Refdenotaalpie"/>
          <w:rFonts w:ascii="Times New Roman" w:hAnsi="Times New Roman"/>
          <w:sz w:val="28"/>
          <w:szCs w:val="28"/>
          <w:lang w:val="es-ES" w:eastAsia="es-MX"/>
        </w:rPr>
        <w:footnoteReference w:id="261"/>
      </w:r>
      <w:r w:rsidRPr="007C57D2">
        <w:rPr>
          <w:rFonts w:ascii="Times New Roman" w:hAnsi="Times New Roman"/>
          <w:sz w:val="28"/>
          <w:szCs w:val="28"/>
          <w:lang w:val="es-ES" w:eastAsia="es-MX"/>
        </w:rPr>
        <w:t>.</w:t>
      </w:r>
      <w:r w:rsidRPr="007C57D2">
        <w:rPr>
          <w:rFonts w:ascii="Times New Roman" w:hAnsi="Times New Roman"/>
          <w:sz w:val="28"/>
          <w:szCs w:val="28"/>
          <w:lang w:val="es-ES" w:eastAsia="es-MX"/>
        </w:rPr>
        <w:t xml:space="preserve"> </w:t>
      </w:r>
    </w:p>
    <w:p w:rsidR="00EB4B9E"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5148E"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i/>
          <w:iCs/>
          <w:sz w:val="28"/>
          <w:szCs w:val="28"/>
          <w:lang w:val="es-ES" w:eastAsia="es-MX"/>
        </w:rPr>
        <w:t>El trámite legislativo y los conceptos del MHCP</w:t>
      </w:r>
      <w:r w:rsidRPr="007C57D2">
        <w:rPr>
          <w:rFonts w:ascii="Times New Roman" w:hAnsi="Times New Roman"/>
          <w:sz w:val="28"/>
          <w:szCs w:val="28"/>
          <w:lang w:val="es-ES" w:eastAsia="es-MX"/>
        </w:rPr>
        <w:t>. La</w:t>
      </w:r>
      <w:r w:rsidRPr="007C57D2">
        <w:rPr>
          <w:rFonts w:ascii="Times New Roman" w:hAnsi="Times New Roman"/>
          <w:sz w:val="28"/>
          <w:szCs w:val="28"/>
          <w:lang w:val="es-ES" w:eastAsia="es-MX"/>
        </w:rPr>
        <w:t xml:space="preserve"> versión original </w:t>
      </w:r>
      <w:r w:rsidRPr="007C57D2">
        <w:rPr>
          <w:rFonts w:ascii="Times New Roman" w:hAnsi="Times New Roman"/>
          <w:sz w:val="28"/>
          <w:szCs w:val="28"/>
          <w:lang w:val="es-ES" w:eastAsia="es-MX"/>
        </w:rPr>
        <w:t xml:space="preserve">del PLE </w:t>
      </w:r>
      <w:r w:rsidRPr="007C57D2">
        <w:rPr>
          <w:rFonts w:ascii="Times New Roman" w:hAnsi="Times New Roman"/>
          <w:sz w:val="28"/>
          <w:szCs w:val="28"/>
          <w:lang w:val="es-ES" w:eastAsia="es-MX"/>
        </w:rPr>
        <w:t xml:space="preserve">establecía que la ventana especial de alerta estaría en la página web de la Policía Nacional, y no del ICBF, </w:t>
      </w:r>
      <w:r w:rsidRPr="007C57D2">
        <w:rPr>
          <w:rFonts w:ascii="Times New Roman" w:hAnsi="Times New Roman"/>
          <w:sz w:val="28"/>
          <w:szCs w:val="28"/>
          <w:lang w:val="es-ES" w:eastAsia="es-MX"/>
        </w:rPr>
        <w:t>como finalmente fue aprobado</w:t>
      </w:r>
      <w:r w:rsidRPr="007C57D2">
        <w:rPr>
          <w:rStyle w:val="Refdenotaalpie"/>
          <w:rFonts w:ascii="Times New Roman" w:hAnsi="Times New Roman"/>
          <w:sz w:val="28"/>
          <w:szCs w:val="28"/>
        </w:rPr>
        <w:footnoteReference w:id="262"/>
      </w:r>
      <w:r w:rsidRPr="007C57D2">
        <w:rPr>
          <w:rFonts w:ascii="Times New Roman" w:hAnsi="Times New Roman"/>
          <w:sz w:val="28"/>
          <w:szCs w:val="28"/>
          <w:lang w:val="es-ES" w:eastAsia="es-MX"/>
        </w:rPr>
        <w:t xml:space="preserve">. </w:t>
      </w:r>
      <w:r w:rsidRPr="007C57D2">
        <w:rPr>
          <w:rFonts w:ascii="Times New Roman" w:hAnsi="Times New Roman"/>
          <w:sz w:val="28"/>
          <w:szCs w:val="28"/>
        </w:rPr>
        <w:t>Antes</w:t>
      </w:r>
      <w:r w:rsidRPr="007C57D2">
        <w:rPr>
          <w:rFonts w:ascii="Times New Roman" w:hAnsi="Times New Roman"/>
          <w:sz w:val="28"/>
          <w:szCs w:val="28"/>
        </w:rPr>
        <w:t xml:space="preserve"> de la aprobación del PLE en segundo debate en la Cámara de Representantes, el MHCP remitió un concepto al Cong</w:t>
      </w:r>
      <w:r w:rsidRPr="007C57D2">
        <w:rPr>
          <w:rFonts w:ascii="Times New Roman" w:hAnsi="Times New Roman"/>
          <w:sz w:val="28"/>
          <w:szCs w:val="28"/>
        </w:rPr>
        <w:t>reso de la República</w:t>
      </w:r>
      <w:r w:rsidRPr="007C57D2">
        <w:rPr>
          <w:rFonts w:ascii="Times New Roman" w:hAnsi="Times New Roman"/>
          <w:sz w:val="28"/>
          <w:szCs w:val="28"/>
        </w:rPr>
        <w:t xml:space="preserve">. </w:t>
      </w:r>
      <w:r w:rsidRPr="007C57D2">
        <w:rPr>
          <w:rFonts w:ascii="Times New Roman" w:hAnsi="Times New Roman"/>
          <w:sz w:val="28"/>
          <w:szCs w:val="28"/>
        </w:rPr>
        <w:t xml:space="preserve">El concepto </w:t>
      </w:r>
      <w:r w:rsidRPr="007C57D2">
        <w:rPr>
          <w:rFonts w:ascii="Times New Roman" w:hAnsi="Times New Roman"/>
          <w:sz w:val="28"/>
          <w:szCs w:val="28"/>
        </w:rPr>
        <w:t>indicó</w:t>
      </w:r>
      <w:r w:rsidRPr="007C57D2">
        <w:rPr>
          <w:rFonts w:ascii="Times New Roman" w:hAnsi="Times New Roman"/>
          <w:sz w:val="28"/>
          <w:szCs w:val="28"/>
        </w:rPr>
        <w:t xml:space="preserve"> lo siguiente:</w:t>
      </w:r>
    </w:p>
    <w:p w:rsidR="0065148E" w:rsidRPr="007C57D2" w:rsidRDefault="007C57D2" w:rsidP="008F3DAB">
      <w:pPr>
        <w:tabs>
          <w:tab w:val="left" w:pos="567"/>
        </w:tabs>
        <w:spacing w:after="0" w:line="240" w:lineRule="auto"/>
        <w:jc w:val="both"/>
        <w:rPr>
          <w:rFonts w:ascii="Times New Roman" w:hAnsi="Times New Roman"/>
          <w:sz w:val="28"/>
          <w:szCs w:val="28"/>
        </w:rPr>
      </w:pPr>
    </w:p>
    <w:p w:rsidR="003E2DC7" w:rsidRPr="007C57D2" w:rsidRDefault="007C57D2" w:rsidP="008F3DAB">
      <w:pPr>
        <w:tabs>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[E]l proyecto consagra que la Policía Nacional dispondrá de un botón de alerta en su página web principal para que las personas puedan realizar el respectivo reporte del extravío del menor de edad, in</w:t>
      </w:r>
      <w:r w:rsidRPr="007C57D2">
        <w:rPr>
          <w:rFonts w:ascii="Times New Roman" w:hAnsi="Times New Roman"/>
          <w:sz w:val="28"/>
          <w:szCs w:val="26"/>
        </w:rPr>
        <w:t>cluyendo la autorización para el tratamiento de los datos biométricos y personales. Así mismo, se dispone que dicha plataforma virtual contendrá el instructivo para poder realizar el reporte y brindar toda la información necesaria para activar la alerta en</w:t>
      </w:r>
      <w:r w:rsidRPr="007C57D2">
        <w:rPr>
          <w:rFonts w:ascii="Times New Roman" w:hAnsi="Times New Roman"/>
          <w:sz w:val="28"/>
          <w:szCs w:val="26"/>
        </w:rPr>
        <w:t xml:space="preserve"> caso de riesgo inminente. </w:t>
      </w:r>
    </w:p>
    <w:p w:rsidR="003E2DC7" w:rsidRPr="007C57D2" w:rsidRDefault="007C57D2" w:rsidP="008F3DAB">
      <w:pPr>
        <w:tabs>
          <w:tab w:val="left" w:pos="567"/>
        </w:tabs>
        <w:spacing w:after="0" w:line="240" w:lineRule="auto"/>
        <w:ind w:left="567"/>
        <w:jc w:val="both"/>
        <w:rPr>
          <w:rFonts w:ascii="Times New Roman" w:hAnsi="Times New Roman"/>
          <w:sz w:val="28"/>
          <w:szCs w:val="26"/>
        </w:rPr>
      </w:pPr>
    </w:p>
    <w:p w:rsidR="0065148E" w:rsidRPr="007C57D2" w:rsidRDefault="007C57D2" w:rsidP="008F3DAB">
      <w:pPr>
        <w:tabs>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Sobre esta propuesta, </w:t>
      </w:r>
      <w:r w:rsidRPr="007C57D2">
        <w:rPr>
          <w:rFonts w:ascii="Times New Roman" w:hAnsi="Times New Roman"/>
          <w:b/>
          <w:bCs/>
          <w:sz w:val="28"/>
          <w:szCs w:val="26"/>
        </w:rPr>
        <w:t>debe evaluarse si su implementación pudiera articularse con las herramientas actualmente existentes a cargo de la entidad respectiva en aras de evitar costos adicionales.</w:t>
      </w:r>
      <w:r w:rsidRPr="007C57D2">
        <w:rPr>
          <w:rFonts w:ascii="Times New Roman" w:hAnsi="Times New Roman"/>
          <w:sz w:val="28"/>
          <w:szCs w:val="26"/>
        </w:rPr>
        <w:t xml:space="preserve"> </w:t>
      </w:r>
      <w:r w:rsidRPr="007C57D2">
        <w:rPr>
          <w:rFonts w:ascii="Times New Roman" w:hAnsi="Times New Roman"/>
          <w:b/>
          <w:bCs/>
          <w:sz w:val="28"/>
          <w:szCs w:val="26"/>
        </w:rPr>
        <w:t xml:space="preserve">En caso contrario, el costo de </w:t>
      </w:r>
      <w:r w:rsidRPr="007C57D2">
        <w:rPr>
          <w:rFonts w:ascii="Times New Roman" w:hAnsi="Times New Roman"/>
          <w:b/>
          <w:bCs/>
          <w:sz w:val="28"/>
          <w:szCs w:val="26"/>
        </w:rPr>
        <w:t>esta propuesta, que bien podría ser la implementación y mantenimiento de una plataforma, podría ascender, respectivamente, alrededor de $16.368 millones y $6.023 millones</w:t>
      </w:r>
      <w:r w:rsidRPr="007C57D2">
        <w:rPr>
          <w:rFonts w:ascii="Times New Roman" w:hAnsi="Times New Roman"/>
          <w:sz w:val="28"/>
          <w:szCs w:val="26"/>
        </w:rPr>
        <w:t xml:space="preserve">, teniendo como referencia las asignaciones que se han hecho, a </w:t>
      </w:r>
      <w:r w:rsidRPr="007C57D2">
        <w:rPr>
          <w:rFonts w:ascii="Times New Roman" w:hAnsi="Times New Roman"/>
          <w:b/>
          <w:bCs/>
          <w:sz w:val="28"/>
          <w:szCs w:val="26"/>
        </w:rPr>
        <w:t>precios de 2023</w:t>
      </w:r>
      <w:r w:rsidRPr="007C57D2">
        <w:rPr>
          <w:rFonts w:ascii="Times New Roman" w:hAnsi="Times New Roman"/>
          <w:sz w:val="28"/>
          <w:szCs w:val="26"/>
        </w:rPr>
        <w:t>, por c</w:t>
      </w:r>
      <w:r w:rsidRPr="007C57D2">
        <w:rPr>
          <w:rFonts w:ascii="Times New Roman" w:hAnsi="Times New Roman"/>
          <w:sz w:val="28"/>
          <w:szCs w:val="26"/>
        </w:rPr>
        <w:t xml:space="preserve">oncepto de creación para el Sistema de Información del Observatorio Nacional de Seguridad Vial y por concepto de mantenimiento para el funcionamiento del sistema de información que ya existe en el Instituto Nacional de Salud (INS), mediante el proyecto de </w:t>
      </w:r>
      <w:r w:rsidRPr="007C57D2">
        <w:rPr>
          <w:rFonts w:ascii="Times New Roman" w:hAnsi="Times New Roman"/>
          <w:sz w:val="28"/>
          <w:szCs w:val="26"/>
        </w:rPr>
        <w:t>fortalecimiento institucional en tecnologías de información y comunicaciones [negrilla fuera del texto original]</w:t>
      </w:r>
      <w:r w:rsidRPr="007C57D2">
        <w:rPr>
          <w:rStyle w:val="Refdenotaalpie"/>
          <w:rFonts w:ascii="Times New Roman" w:hAnsi="Times New Roman"/>
          <w:sz w:val="28"/>
          <w:szCs w:val="26"/>
        </w:rPr>
        <w:footnoteReference w:id="263"/>
      </w:r>
      <w:r w:rsidRPr="007C57D2">
        <w:rPr>
          <w:rFonts w:ascii="Times New Roman" w:hAnsi="Times New Roman"/>
          <w:sz w:val="28"/>
          <w:szCs w:val="26"/>
        </w:rPr>
        <w:t>.</w:t>
      </w:r>
    </w:p>
    <w:p w:rsidR="00296718" w:rsidRPr="007C57D2" w:rsidRDefault="007C57D2" w:rsidP="008F3DAB">
      <w:pPr>
        <w:tabs>
          <w:tab w:val="left" w:pos="567"/>
        </w:tabs>
        <w:spacing w:after="0" w:line="240" w:lineRule="auto"/>
        <w:ind w:left="567"/>
        <w:jc w:val="both"/>
        <w:rPr>
          <w:rFonts w:ascii="Times New Roman" w:hAnsi="Times New Roman"/>
          <w:sz w:val="28"/>
          <w:szCs w:val="26"/>
          <w:lang w:val="es-ES" w:eastAsia="es-MX"/>
        </w:rPr>
      </w:pPr>
    </w:p>
    <w:p w:rsidR="00DF6A68"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lang w:val="es-ES" w:eastAsia="es-MX"/>
        </w:rPr>
        <w:t xml:space="preserve">En el informe de ponencia para primer debate en el Senado de la República, el senador Alejandro Carlos Chacón Camargo se pronunció sobre el </w:t>
      </w:r>
      <w:r w:rsidRPr="007C57D2">
        <w:rPr>
          <w:rFonts w:ascii="Times New Roman" w:hAnsi="Times New Roman"/>
          <w:sz w:val="28"/>
          <w:szCs w:val="28"/>
          <w:lang w:val="es-ES" w:eastAsia="es-MX"/>
        </w:rPr>
        <w:t>concepto del MHCP</w:t>
      </w:r>
      <w:r w:rsidRPr="007C57D2">
        <w:rPr>
          <w:rStyle w:val="Refdenotaalpie"/>
          <w:rFonts w:ascii="Times New Roman" w:hAnsi="Times New Roman"/>
          <w:sz w:val="28"/>
          <w:szCs w:val="28"/>
          <w:lang w:val="es-ES" w:eastAsia="es-MX"/>
        </w:rPr>
        <w:footnoteReference w:id="264"/>
      </w:r>
      <w:r w:rsidRPr="007C57D2">
        <w:rPr>
          <w:rFonts w:ascii="Times New Roman" w:hAnsi="Times New Roman"/>
          <w:sz w:val="28"/>
          <w:szCs w:val="28"/>
          <w:lang w:val="es-ES" w:eastAsia="es-MX"/>
        </w:rPr>
        <w:t xml:space="preserve">. </w:t>
      </w:r>
      <w:r w:rsidRPr="007C57D2">
        <w:rPr>
          <w:rFonts w:ascii="Times New Roman" w:hAnsi="Times New Roman"/>
          <w:sz w:val="28"/>
          <w:szCs w:val="28"/>
          <w:lang w:val="es-ES" w:eastAsia="es-MX"/>
        </w:rPr>
        <w:t>El senador p</w:t>
      </w:r>
      <w:r w:rsidRPr="007C57D2">
        <w:rPr>
          <w:rFonts w:ascii="Times New Roman" w:hAnsi="Times New Roman"/>
          <w:sz w:val="28"/>
          <w:szCs w:val="28"/>
          <w:lang w:val="es-ES" w:eastAsia="es-MX"/>
        </w:rPr>
        <w:t>uso de presente</w:t>
      </w:r>
      <w:r w:rsidRPr="007C57D2">
        <w:rPr>
          <w:rFonts w:ascii="Times New Roman" w:hAnsi="Times New Roman"/>
          <w:sz w:val="28"/>
          <w:szCs w:val="28"/>
          <w:lang w:val="es-ES" w:eastAsia="es-MX"/>
        </w:rPr>
        <w:t>, entre otros, dos argumentos: (</w:t>
      </w:r>
      <w:r w:rsidRPr="007C57D2">
        <w:rPr>
          <w:rFonts w:ascii="Times New Roman" w:hAnsi="Times New Roman"/>
          <w:sz w:val="28"/>
          <w:szCs w:val="28"/>
          <w:lang w:val="es-ES" w:eastAsia="es-MX"/>
        </w:rPr>
        <w:t xml:space="preserve">i) el MHCP no </w:t>
      </w:r>
      <w:r w:rsidRPr="007C57D2">
        <w:rPr>
          <w:rFonts w:ascii="Times New Roman" w:hAnsi="Times New Roman"/>
          <w:sz w:val="28"/>
          <w:szCs w:val="28"/>
          <w:lang w:val="es-ES" w:eastAsia="es-MX"/>
        </w:rPr>
        <w:t xml:space="preserve">calculó el costo de la propuesta en el evento en el que la implementación de la Alerta Colombia se “articul[e] </w:t>
      </w:r>
      <w:r w:rsidRPr="007C57D2">
        <w:rPr>
          <w:rFonts w:ascii="Times New Roman" w:hAnsi="Times New Roman"/>
          <w:sz w:val="28"/>
          <w:szCs w:val="28"/>
        </w:rPr>
        <w:t xml:space="preserve">con las herramientas actualmente existentes a cargo </w:t>
      </w:r>
      <w:r w:rsidRPr="007C57D2">
        <w:rPr>
          <w:rFonts w:ascii="Times New Roman" w:hAnsi="Times New Roman"/>
          <w:sz w:val="28"/>
          <w:szCs w:val="28"/>
        </w:rPr>
        <w:t xml:space="preserve">de la entidad respectiva”; y (ii) tanto la versión original del PLE como el texto aprobado por la Plenaria de la Cámara prevén la articulación de la Alerta Colombia </w:t>
      </w:r>
      <w:r w:rsidRPr="007C57D2">
        <w:rPr>
          <w:rFonts w:ascii="Times New Roman" w:hAnsi="Times New Roman"/>
          <w:sz w:val="28"/>
          <w:szCs w:val="28"/>
        </w:rPr>
        <w:t>a los sistemas de información que forman parte d</w:t>
      </w:r>
      <w:r w:rsidRPr="007C57D2">
        <w:rPr>
          <w:rFonts w:ascii="Times New Roman" w:hAnsi="Times New Roman"/>
          <w:sz w:val="28"/>
          <w:szCs w:val="28"/>
        </w:rPr>
        <w:t>el Sistema Nacional de Alertas Tempranas so</w:t>
      </w:r>
      <w:r w:rsidRPr="007C57D2">
        <w:rPr>
          <w:rFonts w:ascii="Times New Roman" w:hAnsi="Times New Roman"/>
          <w:sz w:val="28"/>
          <w:szCs w:val="28"/>
        </w:rPr>
        <w:t xml:space="preserve">bre la Niñez Colombiana. </w:t>
      </w:r>
    </w:p>
    <w:p w:rsidR="00DF6A68" w:rsidRPr="007C57D2" w:rsidRDefault="007C57D2" w:rsidP="008F3DAB">
      <w:pPr>
        <w:pStyle w:val="Prrafodelista"/>
        <w:tabs>
          <w:tab w:val="left" w:pos="567"/>
        </w:tabs>
        <w:ind w:left="0"/>
        <w:jc w:val="both"/>
        <w:rPr>
          <w:rFonts w:ascii="Times New Roman" w:hAnsi="Times New Roman"/>
          <w:sz w:val="28"/>
          <w:szCs w:val="28"/>
        </w:rPr>
      </w:pPr>
    </w:p>
    <w:p w:rsidR="0085368F"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 xml:space="preserve">En el curso del debate, el mismo senador presentó una proposición para la modificación del artículo 5 del PLE, de manera que </w:t>
      </w:r>
      <w:r w:rsidRPr="007C57D2">
        <w:rPr>
          <w:rFonts w:ascii="Times New Roman" w:hAnsi="Times New Roman"/>
          <w:sz w:val="28"/>
          <w:szCs w:val="28"/>
          <w:lang w:val="es-ES" w:eastAsia="es-MX"/>
        </w:rPr>
        <w:t xml:space="preserve">la ventana especial de alerta estuviera en la página web del ICBF, y no de la Policía Nacional. Para </w:t>
      </w:r>
      <w:r w:rsidRPr="007C57D2">
        <w:rPr>
          <w:rFonts w:ascii="Times New Roman" w:hAnsi="Times New Roman"/>
          <w:sz w:val="28"/>
          <w:szCs w:val="28"/>
          <w:lang w:val="es-ES" w:eastAsia="es-MX"/>
        </w:rPr>
        <w:t>sustentar dicha proposición, adujo que el ICBF “</w:t>
      </w:r>
      <w:r w:rsidRPr="007C57D2">
        <w:rPr>
          <w:rFonts w:ascii="Times New Roman" w:hAnsi="Times New Roman"/>
          <w:b/>
          <w:bCs/>
          <w:sz w:val="28"/>
          <w:szCs w:val="28"/>
          <w:lang w:val="es-ES" w:eastAsia="es-MX"/>
        </w:rPr>
        <w:t>ya cuenta con un sistema de información dispuesto para el reporte de niños, niñas y adolescentes, el cual podría ser objeto de articulación e ingreso de información</w:t>
      </w:r>
      <w:r w:rsidRPr="007C57D2">
        <w:rPr>
          <w:rFonts w:ascii="Times New Roman" w:hAnsi="Times New Roman"/>
          <w:sz w:val="28"/>
          <w:szCs w:val="28"/>
          <w:lang w:val="es-ES" w:eastAsia="es-MX"/>
        </w:rPr>
        <w:t>” [negrilla fuera del texto original]</w:t>
      </w:r>
      <w:r w:rsidRPr="007C57D2">
        <w:rPr>
          <w:rStyle w:val="Refdenotaalpie"/>
          <w:rFonts w:ascii="Times New Roman" w:hAnsi="Times New Roman"/>
          <w:sz w:val="28"/>
          <w:szCs w:val="28"/>
          <w:lang w:val="es-ES" w:eastAsia="es-MX"/>
        </w:rPr>
        <w:footnoteReference w:id="265"/>
      </w:r>
      <w:r w:rsidRPr="007C57D2">
        <w:rPr>
          <w:rFonts w:ascii="Times New Roman" w:hAnsi="Times New Roman"/>
          <w:sz w:val="28"/>
          <w:szCs w:val="28"/>
          <w:lang w:val="es-ES" w:eastAsia="es-MX"/>
        </w:rPr>
        <w:t xml:space="preserve">. </w:t>
      </w:r>
      <w:r w:rsidRPr="007C57D2">
        <w:rPr>
          <w:rFonts w:ascii="Times New Roman" w:hAnsi="Times New Roman"/>
          <w:sz w:val="28"/>
          <w:szCs w:val="28"/>
          <w:lang w:val="es-ES" w:eastAsia="es-MX"/>
        </w:rPr>
        <w:t>Esta</w:t>
      </w:r>
      <w:r w:rsidRPr="007C57D2">
        <w:rPr>
          <w:rFonts w:ascii="Times New Roman" w:hAnsi="Times New Roman"/>
          <w:sz w:val="28"/>
          <w:szCs w:val="28"/>
          <w:lang w:val="es-ES" w:eastAsia="es-MX"/>
        </w:rPr>
        <w:t xml:space="preserve"> proposición fue aprobada por quince votos a favor y cero en contra</w:t>
      </w:r>
      <w:r w:rsidRPr="007C57D2">
        <w:rPr>
          <w:rStyle w:val="Refdenotaalpie"/>
          <w:rFonts w:ascii="Times New Roman" w:hAnsi="Times New Roman"/>
          <w:sz w:val="28"/>
          <w:szCs w:val="28"/>
          <w:lang w:val="es-ES" w:eastAsia="es-MX"/>
        </w:rPr>
        <w:footnoteReference w:id="266"/>
      </w:r>
      <w:r w:rsidRPr="007C57D2">
        <w:rPr>
          <w:rFonts w:ascii="Times New Roman" w:hAnsi="Times New Roman"/>
          <w:sz w:val="28"/>
          <w:szCs w:val="28"/>
          <w:lang w:val="es-ES" w:eastAsia="es-MX"/>
        </w:rPr>
        <w:t xml:space="preserve">. </w:t>
      </w:r>
    </w:p>
    <w:p w:rsidR="0085368F" w:rsidRPr="007C57D2" w:rsidRDefault="007C57D2" w:rsidP="008F3DAB">
      <w:pPr>
        <w:pStyle w:val="Prrafodelista"/>
        <w:tabs>
          <w:tab w:val="left" w:pos="567"/>
        </w:tabs>
        <w:ind w:left="0"/>
        <w:jc w:val="both"/>
        <w:rPr>
          <w:rFonts w:ascii="Times New Roman" w:hAnsi="Times New Roman"/>
          <w:sz w:val="28"/>
          <w:szCs w:val="28"/>
        </w:rPr>
      </w:pPr>
    </w:p>
    <w:p w:rsidR="00E800D2"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A pesar de la aprobación de la medida, e</w:t>
      </w:r>
      <w:r w:rsidRPr="007C57D2">
        <w:rPr>
          <w:rFonts w:ascii="Times New Roman" w:hAnsi="Times New Roman"/>
          <w:sz w:val="28"/>
          <w:szCs w:val="28"/>
        </w:rPr>
        <w:t>n el informe de ponencia para segundo debate, el mismo senador precisó que</w:t>
      </w:r>
      <w:r w:rsidRPr="007C57D2">
        <w:rPr>
          <w:rFonts w:ascii="Times New Roman" w:hAnsi="Times New Roman"/>
          <w:sz w:val="28"/>
          <w:szCs w:val="28"/>
        </w:rPr>
        <w:t xml:space="preserve">, en atención </w:t>
      </w:r>
      <w:r w:rsidRPr="007C57D2">
        <w:rPr>
          <w:rFonts w:ascii="Times New Roman" w:hAnsi="Times New Roman"/>
          <w:sz w:val="28"/>
          <w:szCs w:val="28"/>
        </w:rPr>
        <w:t>a</w:t>
      </w:r>
      <w:r w:rsidRPr="007C57D2">
        <w:rPr>
          <w:rFonts w:ascii="Times New Roman" w:hAnsi="Times New Roman"/>
          <w:sz w:val="28"/>
          <w:szCs w:val="28"/>
        </w:rPr>
        <w:t>l concepto emitido por el MHCP y por sugerencia de la P</w:t>
      </w:r>
      <w:r w:rsidRPr="007C57D2">
        <w:rPr>
          <w:rFonts w:ascii="Times New Roman" w:hAnsi="Times New Roman"/>
          <w:sz w:val="28"/>
          <w:szCs w:val="28"/>
        </w:rPr>
        <w:t xml:space="preserve">olicía Nacional, “se modifica […] el artículo 5 del texto propuesto a debate, con el ánimo de que </w:t>
      </w:r>
      <w:r w:rsidRPr="007C57D2">
        <w:rPr>
          <w:rFonts w:ascii="Times New Roman" w:hAnsi="Times New Roman"/>
          <w:b/>
          <w:bCs/>
          <w:sz w:val="28"/>
          <w:szCs w:val="28"/>
        </w:rPr>
        <w:t>el reporte del niño o niña extraviado se haga en la plataforma existente actualmente en cabeza del ICBF</w:t>
      </w:r>
      <w:r w:rsidRPr="007C57D2">
        <w:rPr>
          <w:rFonts w:ascii="Times New Roman" w:hAnsi="Times New Roman"/>
          <w:sz w:val="28"/>
          <w:szCs w:val="28"/>
        </w:rPr>
        <w:t>” [negrilla fuera del texto original]</w:t>
      </w:r>
      <w:r w:rsidRPr="007C57D2">
        <w:rPr>
          <w:rStyle w:val="Refdenotaalpie"/>
          <w:rFonts w:ascii="Times New Roman" w:hAnsi="Times New Roman"/>
          <w:sz w:val="28"/>
          <w:szCs w:val="28"/>
        </w:rPr>
        <w:footnoteReference w:id="267"/>
      </w:r>
      <w:r w:rsidRPr="007C57D2">
        <w:rPr>
          <w:rFonts w:ascii="Times New Roman" w:hAnsi="Times New Roman"/>
          <w:sz w:val="28"/>
          <w:szCs w:val="28"/>
        </w:rPr>
        <w:t>.</w:t>
      </w:r>
      <w:r w:rsidRPr="007C57D2">
        <w:rPr>
          <w:rFonts w:ascii="Times New Roman" w:hAnsi="Times New Roman"/>
          <w:sz w:val="28"/>
          <w:szCs w:val="28"/>
        </w:rPr>
        <w:t xml:space="preserve"> </w:t>
      </w:r>
      <w:r w:rsidRPr="007C57D2">
        <w:rPr>
          <w:rFonts w:ascii="Times New Roman" w:hAnsi="Times New Roman"/>
          <w:sz w:val="28"/>
          <w:szCs w:val="28"/>
        </w:rPr>
        <w:t xml:space="preserve">Esta versión </w:t>
      </w:r>
      <w:r w:rsidRPr="007C57D2">
        <w:rPr>
          <w:rFonts w:ascii="Times New Roman" w:hAnsi="Times New Roman"/>
          <w:sz w:val="28"/>
          <w:szCs w:val="28"/>
        </w:rPr>
        <w:t>fue aprobada en segundo debate en el Senado de la República</w:t>
      </w:r>
      <w:r w:rsidRPr="007C57D2">
        <w:rPr>
          <w:rStyle w:val="Refdenotaalpie"/>
          <w:rFonts w:ascii="Times New Roman" w:hAnsi="Times New Roman"/>
          <w:sz w:val="28"/>
          <w:szCs w:val="28"/>
        </w:rPr>
        <w:footnoteReference w:id="268"/>
      </w:r>
      <w:r w:rsidRPr="007C57D2">
        <w:rPr>
          <w:rFonts w:ascii="Times New Roman" w:hAnsi="Times New Roman"/>
          <w:sz w:val="28"/>
          <w:szCs w:val="28"/>
        </w:rPr>
        <w:t>.</w:t>
      </w:r>
    </w:p>
    <w:p w:rsidR="00DF6A68" w:rsidRPr="007C57D2" w:rsidRDefault="007C57D2" w:rsidP="008F3DAB">
      <w:pPr>
        <w:pStyle w:val="Prrafodelista"/>
        <w:tabs>
          <w:tab w:val="left" w:pos="567"/>
        </w:tabs>
        <w:ind w:left="0"/>
        <w:jc w:val="both"/>
        <w:rPr>
          <w:rFonts w:ascii="Times New Roman" w:hAnsi="Times New Roman"/>
          <w:sz w:val="28"/>
          <w:szCs w:val="28"/>
        </w:rPr>
      </w:pPr>
    </w:p>
    <w:p w:rsidR="003E2DC7"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Con posterioridad a la aprobación del PLE en segundo debate en el Senado de la República, sin tener en cuenta los ajustes realizados para atender sus sugerencias, el MHCP remitió un nuevo conce</w:t>
      </w:r>
      <w:r w:rsidRPr="007C57D2">
        <w:rPr>
          <w:rFonts w:ascii="Times New Roman" w:hAnsi="Times New Roman"/>
          <w:sz w:val="28"/>
          <w:szCs w:val="28"/>
        </w:rPr>
        <w:t xml:space="preserve">pto en el que señaló: </w:t>
      </w:r>
    </w:p>
    <w:p w:rsidR="003E2DC7" w:rsidRPr="007C57D2" w:rsidRDefault="007C57D2" w:rsidP="008F3DAB">
      <w:pPr>
        <w:tabs>
          <w:tab w:val="left" w:pos="567"/>
        </w:tabs>
        <w:spacing w:after="0" w:line="240" w:lineRule="auto"/>
        <w:jc w:val="both"/>
        <w:rPr>
          <w:rFonts w:ascii="Times New Roman" w:hAnsi="Times New Roman"/>
          <w:sz w:val="28"/>
          <w:szCs w:val="28"/>
        </w:rPr>
      </w:pPr>
    </w:p>
    <w:p w:rsidR="003E2DC7" w:rsidRPr="007C57D2" w:rsidRDefault="007C57D2" w:rsidP="008F3DAB">
      <w:pPr>
        <w:tabs>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[E]l proyecto consagra que </w:t>
      </w:r>
      <w:r w:rsidRPr="007C57D2">
        <w:rPr>
          <w:rFonts w:ascii="Times New Roman" w:hAnsi="Times New Roman"/>
          <w:b/>
          <w:bCs/>
          <w:sz w:val="28"/>
          <w:szCs w:val="26"/>
        </w:rPr>
        <w:t>la Policía Nacional</w:t>
      </w:r>
      <w:r w:rsidRPr="007C57D2">
        <w:rPr>
          <w:rFonts w:ascii="Times New Roman" w:hAnsi="Times New Roman"/>
          <w:sz w:val="28"/>
          <w:szCs w:val="26"/>
        </w:rPr>
        <w:t xml:space="preserve"> dispondrá de un botón de alerta en su página web principal para que las personas puedan realizar el respectivo reporte del extravío del menor de edad, incluyendo la autorización para el</w:t>
      </w:r>
      <w:r w:rsidRPr="007C57D2">
        <w:rPr>
          <w:rFonts w:ascii="Times New Roman" w:hAnsi="Times New Roman"/>
          <w:sz w:val="28"/>
          <w:szCs w:val="26"/>
        </w:rPr>
        <w:t xml:space="preserve"> tratamiento de los datos biométricos y personales. Así mismo, se dispone que dicha plataforma virtual contendrá el instructivo para poder realizar el reporte y brindar toda la información necesaria para activar la alerta en caso de riesgo inminente. </w:t>
      </w:r>
    </w:p>
    <w:p w:rsidR="003E2DC7" w:rsidRPr="007C57D2" w:rsidRDefault="007C57D2" w:rsidP="008F3DAB">
      <w:pPr>
        <w:tabs>
          <w:tab w:val="left" w:pos="567"/>
        </w:tabs>
        <w:spacing w:after="0" w:line="240" w:lineRule="auto"/>
        <w:ind w:left="567"/>
        <w:jc w:val="both"/>
        <w:rPr>
          <w:rFonts w:ascii="Times New Roman" w:hAnsi="Times New Roman"/>
          <w:sz w:val="28"/>
          <w:szCs w:val="26"/>
        </w:rPr>
      </w:pPr>
    </w:p>
    <w:p w:rsidR="003E2DC7" w:rsidRPr="007C57D2" w:rsidRDefault="007C57D2" w:rsidP="008F3DAB">
      <w:pPr>
        <w:tabs>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Sob</w:t>
      </w:r>
      <w:r w:rsidRPr="007C57D2">
        <w:rPr>
          <w:rFonts w:ascii="Times New Roman" w:hAnsi="Times New Roman"/>
          <w:sz w:val="28"/>
          <w:szCs w:val="26"/>
        </w:rPr>
        <w:t xml:space="preserve">re esta propuesta, </w:t>
      </w:r>
      <w:r w:rsidRPr="007C57D2">
        <w:rPr>
          <w:rFonts w:ascii="Times New Roman" w:hAnsi="Times New Roman"/>
          <w:b/>
          <w:bCs/>
          <w:sz w:val="28"/>
          <w:szCs w:val="26"/>
        </w:rPr>
        <w:t>debe evaluarse si su implementación pudiera articularse con las herramientas actualmente existentes a cargo de la entidad respectiva en aras de evitar costos adicionales.</w:t>
      </w:r>
      <w:r w:rsidRPr="007C57D2">
        <w:rPr>
          <w:rFonts w:ascii="Times New Roman" w:hAnsi="Times New Roman"/>
          <w:sz w:val="28"/>
          <w:szCs w:val="26"/>
        </w:rPr>
        <w:t xml:space="preserve"> </w:t>
      </w:r>
      <w:r w:rsidRPr="007C57D2">
        <w:rPr>
          <w:rFonts w:ascii="Times New Roman" w:hAnsi="Times New Roman"/>
          <w:b/>
          <w:bCs/>
          <w:sz w:val="28"/>
          <w:szCs w:val="26"/>
        </w:rPr>
        <w:t>En caso contrario, el costo de esta propuesta, que bien podría ser</w:t>
      </w:r>
      <w:r w:rsidRPr="007C57D2">
        <w:rPr>
          <w:rFonts w:ascii="Times New Roman" w:hAnsi="Times New Roman"/>
          <w:b/>
          <w:bCs/>
          <w:sz w:val="28"/>
          <w:szCs w:val="26"/>
        </w:rPr>
        <w:t xml:space="preserve"> la implementación y mantenimiento de una plataforma, podría ascender, respectivamente, alrededor de $17.368 millones y $8.527 millones</w:t>
      </w:r>
      <w:r w:rsidRPr="007C57D2">
        <w:rPr>
          <w:rFonts w:ascii="Times New Roman" w:hAnsi="Times New Roman"/>
          <w:sz w:val="28"/>
          <w:szCs w:val="26"/>
        </w:rPr>
        <w:t xml:space="preserve">, teniendo como referencia las asignaciones que se han hecho, a </w:t>
      </w:r>
      <w:r w:rsidRPr="007C57D2">
        <w:rPr>
          <w:rFonts w:ascii="Times New Roman" w:hAnsi="Times New Roman"/>
          <w:b/>
          <w:bCs/>
          <w:sz w:val="28"/>
          <w:szCs w:val="26"/>
        </w:rPr>
        <w:t>precios de 2023</w:t>
      </w:r>
      <w:r w:rsidRPr="007C57D2">
        <w:rPr>
          <w:rFonts w:ascii="Times New Roman" w:hAnsi="Times New Roman"/>
          <w:sz w:val="28"/>
          <w:szCs w:val="26"/>
        </w:rPr>
        <w:t>, por concepto de creación para el Sistema</w:t>
      </w:r>
      <w:r w:rsidRPr="007C57D2">
        <w:rPr>
          <w:rFonts w:ascii="Times New Roman" w:hAnsi="Times New Roman"/>
          <w:sz w:val="28"/>
          <w:szCs w:val="26"/>
        </w:rPr>
        <w:t xml:space="preserve"> de Información del Observatorio Nacional de Seguridad Vial y por concepto de mantenimiento para el funcionamiento del sistema de información que ya existe en el Instituto Nacional de Salud (INS), mediante el proyecto de fortalecimiento institucional en te</w:t>
      </w:r>
      <w:r w:rsidRPr="007C57D2">
        <w:rPr>
          <w:rFonts w:ascii="Times New Roman" w:hAnsi="Times New Roman"/>
          <w:sz w:val="28"/>
          <w:szCs w:val="26"/>
        </w:rPr>
        <w:t>cnologías de información y comunicaciones [negrilla fuera del texto original]</w:t>
      </w:r>
      <w:r w:rsidRPr="007C57D2">
        <w:rPr>
          <w:rStyle w:val="Refdenotaalpie"/>
          <w:rFonts w:ascii="Times New Roman" w:hAnsi="Times New Roman"/>
          <w:sz w:val="28"/>
          <w:szCs w:val="26"/>
        </w:rPr>
        <w:footnoteReference w:id="269"/>
      </w:r>
      <w:r w:rsidRPr="007C57D2">
        <w:rPr>
          <w:rFonts w:ascii="Times New Roman" w:hAnsi="Times New Roman"/>
          <w:sz w:val="28"/>
          <w:szCs w:val="26"/>
        </w:rPr>
        <w:t>.</w:t>
      </w:r>
    </w:p>
    <w:p w:rsidR="003E2DC7" w:rsidRPr="007C57D2" w:rsidRDefault="007C57D2" w:rsidP="008F3DAB">
      <w:pPr>
        <w:tabs>
          <w:tab w:val="left" w:pos="567"/>
        </w:tabs>
        <w:spacing w:after="0" w:line="240" w:lineRule="auto"/>
        <w:jc w:val="both"/>
        <w:rPr>
          <w:rFonts w:ascii="Times New Roman" w:hAnsi="Times New Roman"/>
          <w:sz w:val="28"/>
          <w:szCs w:val="26"/>
          <w:lang w:val="es-ES" w:eastAsia="es-MX"/>
        </w:rPr>
      </w:pPr>
    </w:p>
    <w:p w:rsidR="004E7452"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 xml:space="preserve">De conformidad con lo expuesto, la Sala Plena </w:t>
      </w:r>
      <w:r w:rsidRPr="007C57D2">
        <w:rPr>
          <w:rFonts w:ascii="Times New Roman" w:hAnsi="Times New Roman"/>
          <w:sz w:val="28"/>
          <w:szCs w:val="28"/>
          <w:lang w:val="es-ES" w:eastAsia="es-MX"/>
        </w:rPr>
        <w:t xml:space="preserve">estima que </w:t>
      </w:r>
      <w:r w:rsidRPr="007C57D2">
        <w:rPr>
          <w:rFonts w:ascii="Times New Roman" w:hAnsi="Times New Roman"/>
          <w:sz w:val="28"/>
          <w:szCs w:val="28"/>
          <w:lang w:val="es-ES" w:eastAsia="es-MX"/>
        </w:rPr>
        <w:t xml:space="preserve">los conceptos presentados por el </w:t>
      </w:r>
      <w:r w:rsidRPr="007C57D2">
        <w:rPr>
          <w:rFonts w:ascii="Times New Roman" w:hAnsi="Times New Roman"/>
          <w:sz w:val="28"/>
          <w:szCs w:val="28"/>
          <w:lang w:val="es-ES" w:eastAsia="es-MX"/>
        </w:rPr>
        <w:t xml:space="preserve">MHCP </w:t>
      </w:r>
      <w:r w:rsidRPr="007C57D2">
        <w:rPr>
          <w:rFonts w:ascii="Times New Roman" w:hAnsi="Times New Roman"/>
          <w:sz w:val="28"/>
          <w:szCs w:val="28"/>
          <w:lang w:val="es-ES" w:eastAsia="es-MX"/>
        </w:rPr>
        <w:t xml:space="preserve">durante el trámite legislativo no </w:t>
      </w:r>
      <w:r w:rsidRPr="007C57D2">
        <w:rPr>
          <w:rFonts w:ascii="Times New Roman" w:hAnsi="Times New Roman"/>
          <w:sz w:val="28"/>
          <w:szCs w:val="28"/>
          <w:lang w:val="es-ES" w:eastAsia="es-MX"/>
        </w:rPr>
        <w:t>desvirt</w:t>
      </w:r>
      <w:r w:rsidRPr="007C57D2">
        <w:rPr>
          <w:rFonts w:ascii="Times New Roman" w:hAnsi="Times New Roman"/>
          <w:sz w:val="28"/>
          <w:szCs w:val="28"/>
          <w:lang w:val="es-ES" w:eastAsia="es-MX"/>
        </w:rPr>
        <w:t>úan</w:t>
      </w:r>
      <w:r w:rsidRPr="007C57D2">
        <w:rPr>
          <w:rFonts w:ascii="Times New Roman" w:hAnsi="Times New Roman"/>
          <w:sz w:val="28"/>
          <w:szCs w:val="28"/>
          <w:lang w:val="es-ES" w:eastAsia="es-MX"/>
        </w:rPr>
        <w:t xml:space="preserve"> la conclusión general en virtud de la cual </w:t>
      </w:r>
      <w:r w:rsidRPr="007C57D2">
        <w:rPr>
          <w:rFonts w:ascii="Times New Roman" w:hAnsi="Times New Roman"/>
          <w:sz w:val="28"/>
          <w:szCs w:val="28"/>
          <w:lang w:val="es-ES" w:eastAsia="es-MX"/>
        </w:rPr>
        <w:t>el PLE no</w:t>
      </w:r>
      <w:r w:rsidRPr="007C57D2">
        <w:rPr>
          <w:rFonts w:ascii="Times New Roman" w:hAnsi="Times New Roman"/>
          <w:sz w:val="28"/>
          <w:szCs w:val="28"/>
          <w:lang w:eastAsia="es-MX"/>
        </w:rPr>
        <w:t xml:space="preserve"> debía agotar el requisito de análisis de impacto fiscal. </w:t>
      </w:r>
      <w:r w:rsidRPr="007C57D2">
        <w:rPr>
          <w:rFonts w:ascii="Times New Roman" w:hAnsi="Times New Roman"/>
          <w:sz w:val="28"/>
          <w:szCs w:val="28"/>
          <w:lang w:eastAsia="es-MX"/>
        </w:rPr>
        <w:t>Como</w:t>
      </w:r>
      <w:r w:rsidRPr="007C57D2">
        <w:rPr>
          <w:rFonts w:ascii="Times New Roman" w:hAnsi="Times New Roman"/>
          <w:sz w:val="28"/>
          <w:szCs w:val="28"/>
          <w:lang w:val="es-ES"/>
        </w:rPr>
        <w:t xml:space="preserve"> se demostró, el segundo concepto del MHCP no tuvo en cuenta las modificaciones introducidas al PLE en el Senado de la República para atender</w:t>
      </w:r>
      <w:r w:rsidRPr="007C57D2">
        <w:rPr>
          <w:rFonts w:ascii="Times New Roman" w:hAnsi="Times New Roman"/>
          <w:sz w:val="28"/>
          <w:szCs w:val="28"/>
          <w:lang w:val="es-ES"/>
        </w:rPr>
        <w:t xml:space="preserve"> sus sugerencias.</w:t>
      </w:r>
      <w:r w:rsidRPr="007C57D2">
        <w:rPr>
          <w:rFonts w:ascii="Times New Roman" w:hAnsi="Times New Roman"/>
          <w:sz w:val="28"/>
          <w:szCs w:val="28"/>
          <w:lang w:val="es-ES"/>
        </w:rPr>
        <w:t xml:space="preserve"> Es decir, el MHCP advirtió el posible impacto que tendría una norma que, finalmente y luego de los debates surtidos, no se aprobó.</w:t>
      </w:r>
      <w:r w:rsidRPr="007C57D2">
        <w:rPr>
          <w:rFonts w:ascii="Times New Roman" w:hAnsi="Times New Roman"/>
          <w:sz w:val="28"/>
          <w:szCs w:val="28"/>
          <w:lang w:val="es-ES"/>
        </w:rPr>
        <w:t xml:space="preserve"> </w:t>
      </w:r>
    </w:p>
    <w:p w:rsidR="004E7452" w:rsidRPr="007C57D2" w:rsidRDefault="007C57D2" w:rsidP="008F3DAB">
      <w:pPr>
        <w:pStyle w:val="Prrafodelista"/>
        <w:tabs>
          <w:tab w:val="left" w:pos="567"/>
        </w:tabs>
        <w:ind w:left="0"/>
        <w:jc w:val="both"/>
        <w:rPr>
          <w:rFonts w:ascii="Times New Roman" w:hAnsi="Times New Roman"/>
          <w:sz w:val="28"/>
          <w:szCs w:val="28"/>
          <w:lang w:val="es-ES" w:eastAsia="es-MX"/>
        </w:rPr>
      </w:pPr>
    </w:p>
    <w:p w:rsidR="004E7452"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eastAsia="es-MX"/>
        </w:rPr>
        <w:t>Al margen del trámite legislativo, en este punto resulta importante destacar que, en relación con el requ</w:t>
      </w:r>
      <w:r w:rsidRPr="007C57D2">
        <w:rPr>
          <w:rFonts w:ascii="Times New Roman" w:hAnsi="Times New Roman"/>
          <w:sz w:val="28"/>
          <w:szCs w:val="28"/>
          <w:lang w:val="es-ES" w:eastAsia="es-MX"/>
        </w:rPr>
        <w:t>isito de análisis de impacto fiscal, e</w:t>
      </w:r>
      <w:r w:rsidRPr="007C57D2">
        <w:rPr>
          <w:rFonts w:ascii="Times New Roman" w:hAnsi="Times New Roman"/>
          <w:sz w:val="28"/>
          <w:szCs w:val="28"/>
        </w:rPr>
        <w:t xml:space="preserve">l viceprocurador general de la nación advirtió en su concepto ante esta </w:t>
      </w:r>
      <w:r w:rsidRPr="007C57D2">
        <w:rPr>
          <w:rFonts w:ascii="Times New Roman" w:hAnsi="Times New Roman"/>
          <w:sz w:val="28"/>
          <w:szCs w:val="28"/>
        </w:rPr>
        <w:t>Corporación</w:t>
      </w:r>
      <w:r w:rsidRPr="007C57D2">
        <w:rPr>
          <w:rFonts w:ascii="Times New Roman" w:hAnsi="Times New Roman"/>
          <w:sz w:val="28"/>
          <w:szCs w:val="28"/>
        </w:rPr>
        <w:t xml:space="preserve"> que la Alerta Colombia se integrará al </w:t>
      </w:r>
      <w:r w:rsidRPr="007C57D2">
        <w:rPr>
          <w:rFonts w:ascii="Times New Roman" w:hAnsi="Times New Roman"/>
          <w:sz w:val="28"/>
          <w:szCs w:val="28"/>
          <w:lang w:val="es-ES"/>
        </w:rPr>
        <w:t xml:space="preserve">Sistema </w:t>
      </w:r>
      <w:r w:rsidRPr="007C57D2">
        <w:rPr>
          <w:rFonts w:ascii="Times New Roman" w:hAnsi="Times New Roman"/>
          <w:sz w:val="28"/>
          <w:szCs w:val="28"/>
        </w:rPr>
        <w:t xml:space="preserve">de Alertas Tempranas sobre la Niñez Colombiana. Añadió que, en el curso del trámite </w:t>
      </w:r>
      <w:r w:rsidRPr="007C57D2">
        <w:rPr>
          <w:rFonts w:ascii="Times New Roman" w:hAnsi="Times New Roman"/>
          <w:sz w:val="28"/>
          <w:szCs w:val="28"/>
        </w:rPr>
        <w:t>legislativo, “se realizaron las modificaciones al articulado a efectos de incorporarla al sistema de herramientas ya existentes y, de esa forma, reducir los costos fiscales del proyecto de ley”</w:t>
      </w:r>
      <w:r w:rsidRPr="007C57D2">
        <w:rPr>
          <w:rStyle w:val="Refdenotaalpie"/>
          <w:rFonts w:ascii="Times New Roman" w:hAnsi="Times New Roman"/>
          <w:sz w:val="28"/>
          <w:szCs w:val="28"/>
        </w:rPr>
        <w:footnoteReference w:id="270"/>
      </w:r>
      <w:r w:rsidRPr="007C57D2">
        <w:rPr>
          <w:rFonts w:ascii="Times New Roman" w:hAnsi="Times New Roman"/>
          <w:sz w:val="28"/>
          <w:szCs w:val="28"/>
        </w:rPr>
        <w:t xml:space="preserve">. En su intervención dirigida al presente proceso, el ICBF no </w:t>
      </w:r>
      <w:r w:rsidRPr="007C57D2">
        <w:rPr>
          <w:rFonts w:ascii="Times New Roman" w:hAnsi="Times New Roman"/>
          <w:sz w:val="28"/>
          <w:szCs w:val="28"/>
        </w:rPr>
        <w:t xml:space="preserve">se pronunció sobre </w:t>
      </w:r>
      <w:r w:rsidRPr="007C57D2">
        <w:rPr>
          <w:rFonts w:ascii="Times New Roman" w:hAnsi="Times New Roman"/>
          <w:sz w:val="28"/>
          <w:szCs w:val="28"/>
        </w:rPr>
        <w:t xml:space="preserve">el </w:t>
      </w:r>
      <w:r w:rsidRPr="007C57D2">
        <w:rPr>
          <w:rFonts w:ascii="Times New Roman" w:hAnsi="Times New Roman"/>
          <w:sz w:val="28"/>
          <w:szCs w:val="28"/>
        </w:rPr>
        <w:t xml:space="preserve">aludido requisito ni sobre el sistema de información que, en principio, ya tiene y que podrá servir para la implementación de la Alerta Colombia. </w:t>
      </w:r>
    </w:p>
    <w:p w:rsidR="00114C29" w:rsidRPr="007C57D2" w:rsidRDefault="007C57D2" w:rsidP="008F3DAB">
      <w:pPr>
        <w:pStyle w:val="Prrafodelista"/>
        <w:tabs>
          <w:tab w:val="left" w:pos="567"/>
        </w:tabs>
        <w:ind w:left="0"/>
        <w:jc w:val="both"/>
        <w:rPr>
          <w:rFonts w:ascii="Times New Roman" w:hAnsi="Times New Roman"/>
          <w:sz w:val="28"/>
          <w:szCs w:val="28"/>
          <w:lang w:val="es-ES" w:eastAsia="es-MX"/>
        </w:rPr>
      </w:pPr>
    </w:p>
    <w:p w:rsidR="007C0BBC"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val="es-ES"/>
        </w:rPr>
        <w:t>En virtud de lo expuesto, la Sala Plena de la Corte Constitucional concluye que el PLE</w:t>
      </w:r>
      <w:r w:rsidRPr="007C57D2">
        <w:rPr>
          <w:rFonts w:ascii="Times New Roman" w:hAnsi="Times New Roman"/>
          <w:sz w:val="28"/>
          <w:szCs w:val="28"/>
          <w:lang w:val="es-ES"/>
        </w:rPr>
        <w:t xml:space="preserve"> no debía </w:t>
      </w:r>
      <w:r w:rsidRPr="007C57D2">
        <w:rPr>
          <w:rFonts w:ascii="Times New Roman" w:hAnsi="Times New Roman"/>
          <w:sz w:val="28"/>
          <w:szCs w:val="28"/>
          <w:lang w:eastAsia="es-MX"/>
        </w:rPr>
        <w:t xml:space="preserve">agotar el requisito de análisis de impacto fiscal porque sus normas no cumplen los criterios gramatical y funcional. </w:t>
      </w:r>
    </w:p>
    <w:p w:rsidR="007C0BBC" w:rsidRPr="007C57D2" w:rsidRDefault="007C57D2" w:rsidP="008F3DAB">
      <w:pPr>
        <w:pStyle w:val="Prrafodelista"/>
        <w:tabs>
          <w:tab w:val="left" w:pos="567"/>
        </w:tabs>
        <w:ind w:left="0"/>
        <w:jc w:val="both"/>
        <w:rPr>
          <w:rFonts w:ascii="Times New Roman" w:hAnsi="Times New Roman"/>
          <w:sz w:val="28"/>
          <w:szCs w:val="28"/>
          <w:lang w:eastAsia="es-MX"/>
        </w:rPr>
      </w:pPr>
    </w:p>
    <w:p w:rsidR="007C0BBC" w:rsidRPr="007C57D2" w:rsidRDefault="007C57D2" w:rsidP="008F3DAB">
      <w:pPr>
        <w:tabs>
          <w:tab w:val="left" w:pos="360"/>
        </w:tabs>
        <w:spacing w:after="0" w:line="240" w:lineRule="auto"/>
        <w:contextualSpacing/>
        <w:jc w:val="both"/>
        <w:rPr>
          <w:rFonts w:ascii="Times New Roman" w:hAnsi="Times New Roman"/>
          <w:b/>
          <w:bCs/>
          <w:sz w:val="28"/>
          <w:szCs w:val="28"/>
          <w:lang w:eastAsia="es-ES"/>
        </w:rPr>
      </w:pPr>
      <w:r w:rsidRPr="007C57D2">
        <w:rPr>
          <w:rFonts w:ascii="Times New Roman" w:hAnsi="Times New Roman"/>
          <w:b/>
          <w:bCs/>
          <w:sz w:val="28"/>
          <w:szCs w:val="28"/>
          <w:lang w:eastAsia="es-ES"/>
        </w:rPr>
        <w:t xml:space="preserve">4.10 Conclusiones </w:t>
      </w:r>
    </w:p>
    <w:p w:rsidR="007C0BBC"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7106C"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eastAsia="es-MX"/>
        </w:rPr>
        <w:t>En la primera parte de la presente providencia,</w:t>
      </w:r>
      <w:r w:rsidRPr="007C57D2">
        <w:rPr>
          <w:rFonts w:ascii="Times New Roman" w:hAnsi="Times New Roman"/>
          <w:sz w:val="28"/>
          <w:szCs w:val="28"/>
          <w:lang w:eastAsia="es-MX"/>
        </w:rPr>
        <w:t xml:space="preserve"> e</w:t>
      </w:r>
      <w:r w:rsidRPr="007C57D2">
        <w:rPr>
          <w:rFonts w:ascii="Times New Roman" w:hAnsi="Times New Roman"/>
          <w:sz w:val="28"/>
          <w:szCs w:val="28"/>
          <w:lang w:eastAsia="es-MX"/>
        </w:rPr>
        <w:t xml:space="preserve">n razón del alcance del control de los proyectos de ley </w:t>
      </w:r>
      <w:r w:rsidRPr="007C57D2">
        <w:rPr>
          <w:rFonts w:ascii="Times New Roman" w:hAnsi="Times New Roman"/>
          <w:sz w:val="28"/>
          <w:szCs w:val="28"/>
          <w:lang w:eastAsia="es-MX"/>
        </w:rPr>
        <w:t>estatutaria, la Sala Plena verificó si el PLE cumplía los requisitos formales de validez que exigen la Constitución, la Ley 5 de 1992 y la jurisprudencia.</w:t>
      </w:r>
      <w:r w:rsidRPr="007C57D2">
        <w:rPr>
          <w:rFonts w:ascii="Times New Roman" w:eastAsia="Calibri" w:hAnsi="Times New Roman"/>
          <w:sz w:val="28"/>
          <w:szCs w:val="28"/>
          <w:shd w:val="clear" w:color="auto" w:fill="FFFFFF"/>
          <w:lang w:eastAsia="en-US"/>
        </w:rPr>
        <w:t xml:space="preserve"> </w:t>
      </w:r>
    </w:p>
    <w:p w:rsidR="0067106C" w:rsidRPr="007C57D2" w:rsidRDefault="007C57D2" w:rsidP="008F3DAB">
      <w:pPr>
        <w:pStyle w:val="Prrafodelista"/>
        <w:tabs>
          <w:tab w:val="left" w:pos="567"/>
        </w:tabs>
        <w:ind w:left="0"/>
        <w:jc w:val="both"/>
        <w:rPr>
          <w:rFonts w:ascii="Times New Roman" w:hAnsi="Times New Roman"/>
          <w:sz w:val="28"/>
          <w:szCs w:val="28"/>
          <w:lang w:val="es-ES" w:eastAsia="es-MX"/>
        </w:rPr>
      </w:pPr>
    </w:p>
    <w:p w:rsidR="003E0726"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eastAsia="Calibri" w:hAnsi="Times New Roman"/>
          <w:sz w:val="28"/>
          <w:szCs w:val="28"/>
          <w:shd w:val="clear" w:color="auto" w:fill="FFFFFF"/>
          <w:lang w:eastAsia="en-US"/>
        </w:rPr>
        <w:t xml:space="preserve">En este orden, </w:t>
      </w:r>
      <w:r w:rsidRPr="007C57D2">
        <w:rPr>
          <w:rFonts w:ascii="Times New Roman" w:hAnsi="Times New Roman"/>
          <w:sz w:val="28"/>
          <w:szCs w:val="28"/>
          <w:lang w:eastAsia="es-MX"/>
        </w:rPr>
        <w:t>comprobó que el trámite legislativo cumplió todas las reglas de procedimiento que re</w:t>
      </w:r>
      <w:r w:rsidRPr="007C57D2">
        <w:rPr>
          <w:rFonts w:ascii="Times New Roman" w:hAnsi="Times New Roman"/>
          <w:sz w:val="28"/>
          <w:szCs w:val="28"/>
          <w:lang w:eastAsia="es-MX"/>
        </w:rPr>
        <w:t xml:space="preserve">gulan la aprobación de proyectos de ley estatutaria. De este modo, </w:t>
      </w:r>
      <w:r w:rsidRPr="007C57D2">
        <w:rPr>
          <w:rFonts w:ascii="Times New Roman" w:hAnsi="Times New Roman"/>
          <w:sz w:val="28"/>
          <w:szCs w:val="28"/>
          <w:lang w:eastAsia="es-MX"/>
        </w:rPr>
        <w:t>constató</w:t>
      </w:r>
      <w:r w:rsidRPr="007C57D2">
        <w:rPr>
          <w:rFonts w:ascii="Times New Roman" w:hAnsi="Times New Roman"/>
          <w:sz w:val="28"/>
          <w:szCs w:val="28"/>
          <w:lang w:eastAsia="es-MX"/>
        </w:rPr>
        <w:t xml:space="preserve"> lo siguiente: (i) la materia regulada en el PLE tiene reserva de ley estatutaria; (ii) </w:t>
      </w:r>
      <w:r w:rsidRPr="007C57D2">
        <w:rPr>
          <w:rFonts w:ascii="Times New Roman" w:hAnsi="Times New Roman"/>
          <w:sz w:val="28"/>
          <w:szCs w:val="28"/>
          <w:lang w:eastAsia="es-MX"/>
        </w:rPr>
        <w:t>este</w:t>
      </w:r>
      <w:r w:rsidRPr="007C57D2">
        <w:rPr>
          <w:rFonts w:ascii="Times New Roman" w:hAnsi="Times New Roman"/>
          <w:sz w:val="28"/>
          <w:szCs w:val="28"/>
          <w:lang w:eastAsia="es-MX"/>
        </w:rPr>
        <w:t xml:space="preserve"> cumplió las reglas aplicables al procedimiento legislativo ordinario; (iii)</w:t>
      </w:r>
      <w:r w:rsidRPr="007C57D2">
        <w:rPr>
          <w:rFonts w:ascii="Times New Roman" w:eastAsia="Calibri" w:hAnsi="Times New Roman"/>
          <w:sz w:val="28"/>
          <w:szCs w:val="28"/>
          <w:lang w:eastAsia="es-MX"/>
        </w:rPr>
        <w:t xml:space="preserve"> </w:t>
      </w:r>
      <w:r w:rsidRPr="007C57D2">
        <w:rPr>
          <w:rFonts w:ascii="Times New Roman" w:hAnsi="Times New Roman"/>
          <w:sz w:val="28"/>
          <w:szCs w:val="28"/>
          <w:lang w:eastAsia="es-MX"/>
        </w:rPr>
        <w:t xml:space="preserve">fue aprobado </w:t>
      </w:r>
      <w:r w:rsidRPr="007C57D2">
        <w:rPr>
          <w:rFonts w:ascii="Times New Roman" w:hAnsi="Times New Roman"/>
          <w:sz w:val="28"/>
          <w:szCs w:val="28"/>
          <w:lang w:eastAsia="es-MX"/>
        </w:rPr>
        <w:t xml:space="preserve">en una sola legislatura y </w:t>
      </w:r>
      <w:r w:rsidRPr="007C57D2">
        <w:rPr>
          <w:rFonts w:ascii="Times New Roman" w:hAnsi="Times New Roman"/>
          <w:sz w:val="28"/>
          <w:szCs w:val="28"/>
          <w:lang w:eastAsia="es-MX"/>
        </w:rPr>
        <w:t xml:space="preserve">por mayoría absoluta tanto en las comisiones como en las plenarias de ambas cámaras; (iv) </w:t>
      </w:r>
      <w:r w:rsidRPr="007C57D2">
        <w:rPr>
          <w:rFonts w:ascii="Times New Roman" w:hAnsi="Times New Roman"/>
          <w:sz w:val="28"/>
          <w:szCs w:val="28"/>
          <w:lang w:eastAsia="es-MX"/>
        </w:rPr>
        <w:t>surtió en debida forma el trámite de conciliación</w:t>
      </w:r>
      <w:r w:rsidRPr="007C57D2">
        <w:rPr>
          <w:rFonts w:ascii="Times New Roman" w:hAnsi="Times New Roman"/>
          <w:sz w:val="28"/>
          <w:szCs w:val="28"/>
          <w:lang w:eastAsia="es-MX"/>
        </w:rPr>
        <w:t>, de acuerdo con las reglas jurisprudenciales vigentes para ese momento</w:t>
      </w:r>
      <w:r w:rsidRPr="007C57D2">
        <w:rPr>
          <w:rFonts w:ascii="Times New Roman" w:hAnsi="Times New Roman"/>
          <w:sz w:val="28"/>
          <w:szCs w:val="28"/>
          <w:lang w:eastAsia="es-MX"/>
        </w:rPr>
        <w:t>; (v) r</w:t>
      </w:r>
      <w:r w:rsidRPr="007C57D2">
        <w:rPr>
          <w:rFonts w:ascii="Times New Roman" w:hAnsi="Times New Roman"/>
          <w:sz w:val="28"/>
          <w:szCs w:val="28"/>
          <w:lang w:eastAsia="es-MX"/>
        </w:rPr>
        <w:t xml:space="preserve">espetó los principios de unidad de materia, identidad flexible y consecutividad; (vi) no debía agotar el requisito de consulta previa; y (vii) tampoco debía satisfacer el requisito de análisis de impacto fiscal. </w:t>
      </w:r>
    </w:p>
    <w:p w:rsidR="0067106C"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7106C" w:rsidRPr="007C57D2" w:rsidRDefault="007C57D2" w:rsidP="008F3DAB">
      <w:pPr>
        <w:pStyle w:val="Prrafodelista"/>
        <w:numPr>
          <w:ilvl w:val="0"/>
          <w:numId w:val="3"/>
        </w:numPr>
        <w:tabs>
          <w:tab w:val="left" w:pos="567"/>
        </w:tabs>
        <w:ind w:left="0" w:firstLine="0"/>
        <w:jc w:val="both"/>
        <w:rPr>
          <w:rFonts w:ascii="Times New Roman" w:hAnsi="Times New Roman"/>
          <w:sz w:val="28"/>
          <w:szCs w:val="28"/>
          <w:lang w:val="es-ES" w:eastAsia="es-MX"/>
        </w:rPr>
      </w:pPr>
      <w:r w:rsidRPr="007C57D2">
        <w:rPr>
          <w:rFonts w:ascii="Times New Roman" w:hAnsi="Times New Roman"/>
          <w:sz w:val="28"/>
          <w:szCs w:val="28"/>
          <w:lang w:eastAsia="es-MX"/>
        </w:rPr>
        <w:t xml:space="preserve">De este modo, la Corte termina el estudio </w:t>
      </w:r>
      <w:r w:rsidRPr="007C57D2">
        <w:rPr>
          <w:rFonts w:ascii="Times New Roman" w:hAnsi="Times New Roman"/>
          <w:sz w:val="28"/>
          <w:szCs w:val="28"/>
          <w:lang w:eastAsia="es-MX"/>
        </w:rPr>
        <w:t>de los requisitos formales del PLE objeto de revisión y procede a adelantar el control material de su contenido.</w:t>
      </w:r>
    </w:p>
    <w:p w:rsidR="0067106C" w:rsidRPr="007C57D2" w:rsidRDefault="007C57D2" w:rsidP="008F3DAB">
      <w:pPr>
        <w:pStyle w:val="Prrafodelista"/>
        <w:tabs>
          <w:tab w:val="left" w:pos="567"/>
        </w:tabs>
        <w:ind w:left="0"/>
        <w:jc w:val="both"/>
        <w:rPr>
          <w:rFonts w:ascii="Times New Roman" w:hAnsi="Times New Roman"/>
          <w:sz w:val="28"/>
          <w:szCs w:val="28"/>
          <w:lang w:val="es-ES" w:eastAsia="es-MX"/>
        </w:rPr>
      </w:pPr>
    </w:p>
    <w:p w:rsidR="0067106C" w:rsidRPr="007C57D2" w:rsidRDefault="007C57D2" w:rsidP="008F3DAB">
      <w:pPr>
        <w:pStyle w:val="Ttulo2"/>
        <w:spacing w:before="0" w:line="240" w:lineRule="auto"/>
        <w:rPr>
          <w:rFonts w:ascii="Times New Roman" w:hAnsi="Times New Roman"/>
          <w:b/>
          <w:bCs/>
          <w:color w:val="000000"/>
          <w:sz w:val="28"/>
          <w:szCs w:val="28"/>
          <w:lang w:eastAsia="es-MX"/>
        </w:rPr>
      </w:pPr>
      <w:bookmarkStart w:id="27" w:name="_Toc222728028"/>
      <w:r w:rsidRPr="007C57D2">
        <w:rPr>
          <w:rFonts w:ascii="Times New Roman" w:hAnsi="Times New Roman"/>
          <w:b/>
          <w:bCs/>
          <w:color w:val="000000"/>
          <w:sz w:val="28"/>
          <w:szCs w:val="28"/>
          <w:lang w:val="es-ES" w:eastAsia="es-MX"/>
        </w:rPr>
        <w:t xml:space="preserve">5. </w:t>
      </w:r>
      <w:bookmarkStart w:id="28" w:name="_Toc189473008"/>
      <w:r w:rsidRPr="007C57D2">
        <w:rPr>
          <w:rFonts w:ascii="Times New Roman" w:hAnsi="Times New Roman"/>
          <w:b/>
          <w:bCs/>
          <w:color w:val="000000"/>
          <w:sz w:val="28"/>
          <w:szCs w:val="28"/>
          <w:lang w:val="es-ES" w:eastAsia="es-MX"/>
        </w:rPr>
        <w:t xml:space="preserve">Control material del </w:t>
      </w:r>
      <w:bookmarkEnd w:id="28"/>
      <w:r w:rsidRPr="007C57D2">
        <w:rPr>
          <w:rFonts w:ascii="Times New Roman" w:hAnsi="Times New Roman"/>
          <w:b/>
          <w:bCs/>
          <w:color w:val="000000"/>
          <w:sz w:val="28"/>
          <w:szCs w:val="28"/>
          <w:lang w:val="es-ES" w:eastAsia="es-MX"/>
        </w:rPr>
        <w:t>PLE</w:t>
      </w:r>
      <w:bookmarkEnd w:id="27"/>
    </w:p>
    <w:p w:rsidR="00CF1B04"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MX"/>
        </w:rPr>
      </w:pPr>
      <w:r w:rsidRPr="007C57D2">
        <w:rPr>
          <w:rFonts w:ascii="Times New Roman" w:hAnsi="Times New Roman"/>
          <w:lang w:val="es-MX"/>
        </w:rPr>
        <w:t xml:space="preserve">El PLE crea y reglamenta un sistema </w:t>
      </w:r>
      <w:r w:rsidRPr="007C57D2">
        <w:rPr>
          <w:rFonts w:ascii="Times New Roman" w:hAnsi="Times New Roman"/>
          <w:lang w:val="es-MX"/>
        </w:rPr>
        <w:t xml:space="preserve">de </w:t>
      </w:r>
      <w:r w:rsidRPr="007C57D2">
        <w:rPr>
          <w:rFonts w:ascii="Times New Roman" w:hAnsi="Times New Roman"/>
          <w:lang w:val="es-MX"/>
        </w:rPr>
        <w:t xml:space="preserve">difusión de información de </w:t>
      </w:r>
      <w:bookmarkStart w:id="29" w:name="_Int_3lyyftaz"/>
      <w:r w:rsidRPr="007C57D2">
        <w:rPr>
          <w:rFonts w:ascii="Times New Roman" w:hAnsi="Times New Roman"/>
          <w:lang w:val="es-MX"/>
        </w:rPr>
        <w:t>niños y niñas</w:t>
      </w:r>
      <w:bookmarkEnd w:id="29"/>
      <w:r w:rsidRPr="007C57D2">
        <w:rPr>
          <w:rFonts w:ascii="Times New Roman" w:hAnsi="Times New Roman"/>
          <w:lang w:val="es-MX"/>
        </w:rPr>
        <w:t xml:space="preserve"> que se encuentren extraviados en el territorio colombiano, con el objetivo</w:t>
      </w:r>
      <w:r w:rsidRPr="007C57D2">
        <w:rPr>
          <w:rStyle w:val="Refdenotaalpie"/>
          <w:rFonts w:ascii="Times New Roman" w:hAnsi="Times New Roman"/>
          <w:lang w:val="es-MX"/>
        </w:rPr>
        <w:footnoteReference w:id="271"/>
      </w:r>
      <w:r w:rsidRPr="007C57D2">
        <w:rPr>
          <w:rFonts w:ascii="Times New Roman" w:hAnsi="Times New Roman"/>
          <w:lang w:val="es-MX"/>
        </w:rPr>
        <w:t xml:space="preserve"> de realizar la búsqueda de la manera más eficiente para localizarlos y recuperarlos lo más pronto posible. Para el efecto, el PLE:</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Establece canales digitales o presenciales para</w:t>
      </w:r>
      <w:r w:rsidRPr="007C57D2">
        <w:rPr>
          <w:rFonts w:ascii="Times New Roman" w:hAnsi="Times New Roman"/>
          <w:lang w:val="es-MX"/>
        </w:rPr>
        <w:t xml:space="preserve"> realizar el reporte de niña o niño extraviado de 0 a 12 años de edad</w:t>
      </w:r>
      <w:r w:rsidRPr="007C57D2">
        <w:rPr>
          <w:rStyle w:val="Refdenotaalpie"/>
          <w:rFonts w:ascii="Times New Roman" w:hAnsi="Times New Roman"/>
          <w:lang w:val="es-MX"/>
        </w:rPr>
        <w:footnoteReference w:id="272"/>
      </w:r>
      <w:r w:rsidRPr="007C57D2">
        <w:rPr>
          <w:rFonts w:ascii="Times New Roman" w:hAnsi="Times New Roman"/>
          <w:lang w:val="es-MX"/>
        </w:rPr>
        <w:t>. Para la recolección de los datos y la difusión de la “Alerta Colombia” se utilizarán plataformas virtuales y redes de comunicaciones</w:t>
      </w:r>
      <w:r w:rsidRPr="007C57D2">
        <w:rPr>
          <w:rStyle w:val="Refdenotaalpie"/>
          <w:rFonts w:ascii="Times New Roman" w:hAnsi="Times New Roman"/>
          <w:iCs/>
          <w:lang w:val="es-MX"/>
        </w:rPr>
        <w:footnoteReference w:id="273"/>
      </w:r>
      <w:r w:rsidRPr="007C57D2">
        <w:rPr>
          <w:rFonts w:ascii="Times New Roman" w:hAnsi="Times New Roman"/>
          <w:lang w:val="es-MX"/>
        </w:rPr>
        <w:t>.</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 xml:space="preserve">Requiere del tratamiento de datos personales de </w:t>
      </w:r>
      <w:r w:rsidRPr="007C57D2">
        <w:rPr>
          <w:rFonts w:ascii="Times New Roman" w:hAnsi="Times New Roman"/>
          <w:lang w:val="es-MX"/>
        </w:rPr>
        <w:t>niños, niñas, sus familiares y otras personas</w:t>
      </w:r>
      <w:r w:rsidRPr="007C57D2">
        <w:rPr>
          <w:rStyle w:val="Refdenotaalpie"/>
          <w:rFonts w:ascii="Times New Roman" w:hAnsi="Times New Roman"/>
          <w:lang w:val="es-MX"/>
        </w:rPr>
        <w:footnoteReference w:id="274"/>
      </w:r>
      <w:r w:rsidRPr="007C57D2">
        <w:rPr>
          <w:rFonts w:ascii="Times New Roman" w:hAnsi="Times New Roman"/>
          <w:lang w:val="es-MX"/>
        </w:rPr>
        <w:t>.</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Impone a los proveedores de redes y servicios de telecomunicaciones móviles emitir la Alerta Colombia difundiendo la información del niño o niña extraviado de manera gratuita y oportuna</w:t>
      </w:r>
      <w:r w:rsidRPr="007C57D2">
        <w:rPr>
          <w:rStyle w:val="Refdenotaalpie"/>
          <w:rFonts w:ascii="Times New Roman" w:hAnsi="Times New Roman"/>
          <w:lang w:val="es-MX"/>
        </w:rPr>
        <w:footnoteReference w:id="275"/>
      </w:r>
      <w:r w:rsidRPr="007C57D2">
        <w:rPr>
          <w:rFonts w:ascii="Times New Roman" w:hAnsi="Times New Roman"/>
          <w:lang w:val="es-MX"/>
        </w:rPr>
        <w:t>. Adicionalmente, exi</w:t>
      </w:r>
      <w:r w:rsidRPr="007C57D2">
        <w:rPr>
          <w:rFonts w:ascii="Times New Roman" w:hAnsi="Times New Roman"/>
          <w:lang w:val="es-MX"/>
        </w:rPr>
        <w:t>ge que la difusión de la alerta se haga a través de otros medios de comunicación de amplia cobertura, como la radio, la televisión y los medios digitales</w:t>
      </w:r>
      <w:r w:rsidRPr="007C57D2">
        <w:rPr>
          <w:rStyle w:val="Refdenotaalpie"/>
          <w:rFonts w:ascii="Times New Roman" w:hAnsi="Times New Roman"/>
          <w:lang w:val="es-MX"/>
        </w:rPr>
        <w:footnoteReference w:id="276"/>
      </w:r>
      <w:r w:rsidRPr="007C57D2">
        <w:rPr>
          <w:rFonts w:ascii="Times New Roman" w:hAnsi="Times New Roman"/>
          <w:lang w:val="es-MX"/>
        </w:rPr>
        <w:t xml:space="preserve">. </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 xml:space="preserve">Establece que, por regla general, la alerta debe llegar a la pantalla de los teléfonos móviles o, </w:t>
      </w:r>
      <w:r w:rsidRPr="007C57D2">
        <w:rPr>
          <w:rFonts w:ascii="Times New Roman" w:hAnsi="Times New Roman"/>
          <w:lang w:val="es-MX"/>
        </w:rPr>
        <w:t>si no es posible, se debe enviar un mensaje de texto</w:t>
      </w:r>
      <w:r w:rsidRPr="007C57D2">
        <w:rPr>
          <w:rStyle w:val="Refdenotaalpie"/>
          <w:rFonts w:ascii="Times New Roman" w:hAnsi="Times New Roman"/>
          <w:lang w:val="es-MX"/>
        </w:rPr>
        <w:footnoteReference w:id="277"/>
      </w:r>
      <w:r w:rsidRPr="007C57D2">
        <w:rPr>
          <w:rFonts w:ascii="Times New Roman" w:hAnsi="Times New Roman"/>
          <w:lang w:val="es-MX"/>
        </w:rPr>
        <w:t xml:space="preserve">. </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Ordena al ICBF a crear en su página web una ventana denominada “Alerta Colombia”</w:t>
      </w:r>
      <w:r w:rsidRPr="007C57D2">
        <w:rPr>
          <w:rStyle w:val="Refdenotaalpie"/>
          <w:rFonts w:ascii="Times New Roman" w:hAnsi="Times New Roman"/>
          <w:lang w:val="es-MX"/>
        </w:rPr>
        <w:t xml:space="preserve"> </w:t>
      </w:r>
      <w:r w:rsidRPr="007C57D2">
        <w:rPr>
          <w:rStyle w:val="Refdenotaalpie"/>
          <w:rFonts w:ascii="Times New Roman" w:hAnsi="Times New Roman"/>
          <w:lang w:val="es-MX"/>
        </w:rPr>
        <w:footnoteReference w:id="278"/>
      </w:r>
      <w:r w:rsidRPr="007C57D2">
        <w:rPr>
          <w:rFonts w:ascii="Times New Roman" w:hAnsi="Times New Roman"/>
          <w:lang w:val="es-MX"/>
        </w:rPr>
        <w:t>.</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 xml:space="preserve">Exige que la alerta deberá: (i) cubrir toda la pantalla, mínimo por 10 segundos; (ii) publicar una fotografía que </w:t>
      </w:r>
      <w:r w:rsidRPr="007C57D2">
        <w:rPr>
          <w:rFonts w:ascii="Times New Roman" w:hAnsi="Times New Roman"/>
          <w:lang w:val="es-MX"/>
        </w:rPr>
        <w:t>deberá ocupar por lo menos el 70% de la pantalla del dispositivo celular y (iii) vibrar. La señal de alerta será en color rojo y no se permitirá que el usuario del dispositivo móvil elimine la alerta antes de los 10 segundos</w:t>
      </w:r>
      <w:r w:rsidRPr="007C57D2">
        <w:rPr>
          <w:rStyle w:val="Refdenotaalpie"/>
          <w:rFonts w:ascii="Times New Roman" w:hAnsi="Times New Roman"/>
          <w:lang w:val="es-MX"/>
        </w:rPr>
        <w:footnoteReference w:id="279"/>
      </w:r>
      <w:r w:rsidRPr="007C57D2">
        <w:rPr>
          <w:rFonts w:ascii="Times New Roman" w:hAnsi="Times New Roman"/>
          <w:lang w:val="es-MX"/>
        </w:rPr>
        <w:t>.</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Integra la “Alerta Colombia”</w:t>
      </w:r>
      <w:r w:rsidRPr="007C57D2">
        <w:rPr>
          <w:rFonts w:ascii="Times New Roman" w:hAnsi="Times New Roman"/>
          <w:lang w:val="es-MX"/>
        </w:rPr>
        <w:t xml:space="preserve"> al “Sistema de Alertas Tempranas sobre niñez colombiana” (SATSNC) creado por la Ley 2242 de 2022 y liderado por el MinTIC</w:t>
      </w:r>
      <w:r w:rsidRPr="007C57D2">
        <w:rPr>
          <w:rStyle w:val="Refdenotaalpie"/>
          <w:rFonts w:ascii="Times New Roman" w:hAnsi="Times New Roman"/>
          <w:lang w:val="es-MX"/>
        </w:rPr>
        <w:footnoteReference w:id="280"/>
      </w:r>
      <w:r w:rsidRPr="007C57D2">
        <w:rPr>
          <w:rFonts w:ascii="Times New Roman" w:hAnsi="Times New Roman"/>
          <w:lang w:val="es-MX"/>
        </w:rPr>
        <w:t xml:space="preserve">. </w:t>
      </w:r>
    </w:p>
    <w:p w:rsidR="001E19D5" w:rsidRPr="007C57D2" w:rsidRDefault="007C57D2" w:rsidP="008F3DAB">
      <w:pPr>
        <w:pStyle w:val="Prrafodelista"/>
        <w:rPr>
          <w:rFonts w:ascii="Times New Roman" w:hAnsi="Times New Roman"/>
          <w:sz w:val="28"/>
          <w:lang w:val="es-MX"/>
        </w:rPr>
      </w:pPr>
    </w:p>
    <w:p w:rsidR="001E19D5" w:rsidRPr="007C57D2" w:rsidRDefault="007C57D2" w:rsidP="008F3DAB">
      <w:pPr>
        <w:pStyle w:val="Sinespaciado"/>
        <w:numPr>
          <w:ilvl w:val="0"/>
          <w:numId w:val="7"/>
        </w:numPr>
        <w:ind w:left="0" w:firstLine="0"/>
        <w:jc w:val="both"/>
        <w:rPr>
          <w:rFonts w:ascii="Times New Roman" w:hAnsi="Times New Roman"/>
          <w:lang w:val="es-MX"/>
        </w:rPr>
      </w:pPr>
      <w:r w:rsidRPr="007C57D2">
        <w:rPr>
          <w:rFonts w:ascii="Times New Roman" w:hAnsi="Times New Roman"/>
          <w:lang w:val="es-MX"/>
        </w:rPr>
        <w:t>Establece el trabajo en equipo de algunas entidades públicas y particulares. Por ejemplo: (i) impone al MinTIC en coordinación co</w:t>
      </w:r>
      <w:r w:rsidRPr="007C57D2">
        <w:rPr>
          <w:rFonts w:ascii="Times New Roman" w:hAnsi="Times New Roman"/>
          <w:lang w:val="es-MX"/>
        </w:rPr>
        <w:t>n el ICBF y la Policía Nacional articular con los proveedores de redes y servicios de telecomunicaciones móviles el protocolo de difusión de la alerta en el país</w:t>
      </w:r>
      <w:r w:rsidRPr="007C57D2">
        <w:rPr>
          <w:rStyle w:val="Refdenotaalpie"/>
          <w:rFonts w:ascii="Times New Roman" w:hAnsi="Times New Roman"/>
          <w:lang w:val="es-MX"/>
        </w:rPr>
        <w:footnoteReference w:id="281"/>
      </w:r>
      <w:r w:rsidRPr="007C57D2">
        <w:rPr>
          <w:rFonts w:ascii="Times New Roman" w:hAnsi="Times New Roman"/>
          <w:lang w:val="es-MX"/>
        </w:rPr>
        <w:t>, y (ii) ordena al MinTIC en coordinación con la CRC y en articulación con el SATSNC reglament</w:t>
      </w:r>
      <w:r w:rsidRPr="007C57D2">
        <w:rPr>
          <w:rFonts w:ascii="Times New Roman" w:hAnsi="Times New Roman"/>
          <w:lang w:val="es-MX"/>
        </w:rPr>
        <w:t>ar lo necesario para la implementación de la ley</w:t>
      </w:r>
      <w:r w:rsidRPr="007C57D2">
        <w:rPr>
          <w:rStyle w:val="Refdenotaalpie"/>
          <w:rFonts w:ascii="Times New Roman" w:hAnsi="Times New Roman"/>
          <w:lang w:val="es-MX"/>
        </w:rPr>
        <w:footnoteReference w:id="282"/>
      </w:r>
      <w:r w:rsidRPr="007C57D2">
        <w:rPr>
          <w:rFonts w:ascii="Times New Roman" w:hAnsi="Times New Roman"/>
          <w:lang w:val="es-MX"/>
        </w:rPr>
        <w:t xml:space="preserve">. </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3"/>
        </w:numPr>
        <w:ind w:left="0" w:firstLine="0"/>
        <w:jc w:val="both"/>
        <w:rPr>
          <w:rFonts w:ascii="Times New Roman" w:hAnsi="Times New Roman"/>
          <w:lang w:val="es-MX"/>
        </w:rPr>
      </w:pPr>
      <w:r w:rsidRPr="007C57D2">
        <w:rPr>
          <w:rFonts w:ascii="Times New Roman" w:hAnsi="Times New Roman"/>
          <w:lang w:val="es-MX"/>
        </w:rPr>
        <w:t>Respecto de la información necesaria para el reporte y activación de la Alerta Colombia se requieren los siguientes datos: (i) niños y niñas extraviados, (ii) padres, representantes legales, cuidadores o</w:t>
      </w:r>
      <w:r w:rsidRPr="007C57D2">
        <w:rPr>
          <w:rFonts w:ascii="Times New Roman" w:hAnsi="Times New Roman"/>
          <w:lang w:val="es-MX"/>
        </w:rPr>
        <w:t xml:space="preserve"> familiares del niño o niña; y (iii) autoridades.</w:t>
      </w:r>
    </w:p>
    <w:p w:rsidR="001E19D5" w:rsidRPr="007C57D2" w:rsidRDefault="007C57D2" w:rsidP="008F3DAB">
      <w:pPr>
        <w:pStyle w:val="Sinespaciado"/>
        <w:rPr>
          <w:rFonts w:ascii="Times New Roman" w:hAnsi="Times New Roman"/>
          <w:lang w:val="es-MX"/>
        </w:rPr>
      </w:pPr>
    </w:p>
    <w:p w:rsidR="001E19D5" w:rsidRPr="007C57D2" w:rsidRDefault="007C57D2" w:rsidP="008F3DAB">
      <w:pPr>
        <w:pStyle w:val="Sinespaciado"/>
        <w:numPr>
          <w:ilvl w:val="0"/>
          <w:numId w:val="3"/>
        </w:numPr>
        <w:ind w:left="0" w:firstLine="0"/>
        <w:jc w:val="both"/>
        <w:rPr>
          <w:rFonts w:ascii="Times New Roman" w:hAnsi="Times New Roman"/>
          <w:lang w:val="es-MX"/>
        </w:rPr>
      </w:pPr>
      <w:r w:rsidRPr="007C57D2">
        <w:rPr>
          <w:rFonts w:ascii="Times New Roman" w:hAnsi="Times New Roman"/>
          <w:lang w:val="es-MX"/>
        </w:rPr>
        <w:t xml:space="preserve">En cuanto a la información de niños y niñas, se recolectará, usará, difundirá y tratará la siguiente: “a) Nombres y apellidos del niño o niña.; b) Número de identificación; c) Sexo; d) Edad aproximada; e) </w:t>
      </w:r>
      <w:r w:rsidRPr="007C57D2">
        <w:rPr>
          <w:rFonts w:ascii="Times New Roman" w:hAnsi="Times New Roman"/>
          <w:lang w:val="es-MX"/>
        </w:rPr>
        <w:t>Descripción física; f) Última fotografía que garantice su individualización; g) Descripción de la última vestimenta con la que fue visto, si se llegase a contar con dicha información; h) Fecha, hora y lugar en la que se reporta la desaparición del niño o n</w:t>
      </w:r>
      <w:r w:rsidRPr="007C57D2">
        <w:rPr>
          <w:rFonts w:ascii="Times New Roman" w:hAnsi="Times New Roman"/>
          <w:lang w:val="es-MX"/>
        </w:rPr>
        <w:t>iña, si se llegase a contar con dicha información;”</w:t>
      </w:r>
      <w:r w:rsidRPr="007C57D2">
        <w:rPr>
          <w:rStyle w:val="Refdenotaalpie"/>
          <w:rFonts w:ascii="Times New Roman" w:hAnsi="Times New Roman"/>
          <w:lang w:val="es-MX"/>
        </w:rPr>
        <w:t xml:space="preserve"> </w:t>
      </w:r>
      <w:r w:rsidRPr="007C57D2">
        <w:rPr>
          <w:rStyle w:val="Refdenotaalpie"/>
          <w:rFonts w:ascii="Times New Roman" w:hAnsi="Times New Roman"/>
          <w:lang w:val="es-MX"/>
        </w:rPr>
        <w:footnoteReference w:id="283"/>
      </w:r>
      <w:r w:rsidRPr="007C57D2">
        <w:rPr>
          <w:rFonts w:ascii="Times New Roman" w:hAnsi="Times New Roman"/>
          <w:lang w:val="es-MX"/>
        </w:rPr>
        <w:t xml:space="preserve">. También será necesaria está información: “a. Fecha exacta en la que se extravió el niño o niña; (…) e. Zona donde se extravió el niño o niña.; f. Vestimenta del niño o niña extraviado (…) y h. </w:t>
      </w:r>
      <w:r w:rsidRPr="007C57D2">
        <w:rPr>
          <w:rFonts w:ascii="Times New Roman" w:hAnsi="Times New Roman"/>
          <w:lang w:val="es-MX"/>
        </w:rPr>
        <w:t>Cualquier otra información que sirva para identificar y localizar al niño o niña extraviado, o a la persona que lo secuestró si se tiene certeza de su identidad o por lo menos la descripción física”</w:t>
      </w:r>
      <w:r w:rsidRPr="007C57D2">
        <w:rPr>
          <w:rStyle w:val="Refdenotaalpie"/>
          <w:rFonts w:ascii="Times New Roman" w:hAnsi="Times New Roman"/>
          <w:lang w:val="es-MX"/>
        </w:rPr>
        <w:t xml:space="preserve"> </w:t>
      </w:r>
      <w:r w:rsidRPr="007C57D2">
        <w:rPr>
          <w:rStyle w:val="Refdenotaalpie"/>
          <w:rFonts w:ascii="Times New Roman" w:hAnsi="Times New Roman"/>
          <w:lang w:val="es-MX"/>
        </w:rPr>
        <w:footnoteReference w:id="284"/>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3"/>
        </w:numPr>
        <w:ind w:left="0" w:firstLine="0"/>
        <w:jc w:val="both"/>
        <w:rPr>
          <w:rFonts w:ascii="Times New Roman" w:hAnsi="Times New Roman"/>
          <w:lang w:val="es-MX"/>
        </w:rPr>
      </w:pPr>
      <w:r w:rsidRPr="007C57D2">
        <w:rPr>
          <w:rFonts w:ascii="Times New Roman" w:hAnsi="Times New Roman"/>
          <w:lang w:val="es-MX"/>
        </w:rPr>
        <w:t xml:space="preserve">Respecto de los padres, representantes legales, quien </w:t>
      </w:r>
      <w:r w:rsidRPr="007C57D2">
        <w:rPr>
          <w:rFonts w:ascii="Times New Roman" w:hAnsi="Times New Roman"/>
          <w:lang w:val="es-MX"/>
        </w:rPr>
        <w:t>ostente la custodia o cuidadores, familiares del niño o niña, se requieren algunos datos de contacto como “números de teléfono y direcciones de correo electrónico, si se llegase a contar con dicha información”</w:t>
      </w:r>
      <w:r w:rsidRPr="007C57D2">
        <w:rPr>
          <w:rStyle w:val="Refdenotaalpie"/>
          <w:rFonts w:ascii="Times New Roman" w:hAnsi="Times New Roman"/>
          <w:lang w:val="es-MX"/>
        </w:rPr>
        <w:footnoteReference w:id="285"/>
      </w:r>
      <w:r w:rsidRPr="007C57D2">
        <w:rPr>
          <w:rFonts w:ascii="Times New Roman" w:hAnsi="Times New Roman"/>
          <w:lang w:val="es-MX"/>
        </w:rPr>
        <w:t>. Las autoridades deberán suministrar un númer</w:t>
      </w:r>
      <w:r w:rsidRPr="007C57D2">
        <w:rPr>
          <w:rFonts w:ascii="Times New Roman" w:hAnsi="Times New Roman"/>
          <w:lang w:val="es-MX"/>
        </w:rPr>
        <w:t>o telefónico para divulgarlo con la alerta</w:t>
      </w:r>
      <w:r w:rsidRPr="007C57D2">
        <w:rPr>
          <w:rStyle w:val="Refdenotaalpie"/>
          <w:rFonts w:ascii="Times New Roman" w:hAnsi="Times New Roman"/>
          <w:lang w:val="es-MX"/>
        </w:rPr>
        <w:footnoteReference w:id="286"/>
      </w:r>
      <w:r w:rsidRPr="007C57D2">
        <w:rPr>
          <w:rStyle w:val="Refdenotaalpie"/>
          <w:rFonts w:ascii="Times New Roman" w:hAnsi="Times New Roman"/>
          <w:lang w:val="es-MX"/>
        </w:rPr>
        <w:t>.</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3"/>
        </w:numPr>
        <w:ind w:left="0" w:firstLine="0"/>
        <w:jc w:val="both"/>
        <w:rPr>
          <w:rFonts w:ascii="Times New Roman" w:hAnsi="Times New Roman"/>
          <w:lang w:val="es-MX"/>
        </w:rPr>
      </w:pPr>
      <w:r w:rsidRPr="007C57D2">
        <w:rPr>
          <w:rFonts w:ascii="Times New Roman" w:hAnsi="Times New Roman"/>
          <w:lang w:val="es-MX"/>
        </w:rPr>
        <w:t xml:space="preserve">Las siguientes son las entidades, empresas u organizaciones mencionadas a lo largo del texto de PLE: </w:t>
      </w:r>
      <w:r w:rsidRPr="007C57D2">
        <w:rPr>
          <w:rFonts w:ascii="Times New Roman" w:hAnsi="Times New Roman"/>
          <w:lang w:val="es-MX"/>
        </w:rPr>
        <w:t>(i) Ministerio de las Tecnologías de la Información y las Comunicaciones</w:t>
      </w:r>
      <w:r w:rsidRPr="007C57D2">
        <w:rPr>
          <w:rStyle w:val="Refdenotaalpie"/>
          <w:rFonts w:ascii="Times New Roman" w:hAnsi="Times New Roman"/>
          <w:lang w:val="es-MX"/>
        </w:rPr>
        <w:footnoteReference w:id="287"/>
      </w:r>
      <w:r w:rsidRPr="007C57D2">
        <w:rPr>
          <w:rFonts w:ascii="Times New Roman" w:hAnsi="Times New Roman"/>
          <w:lang w:val="es-MX"/>
        </w:rPr>
        <w:t xml:space="preserve">; (ii) </w:t>
      </w:r>
      <w:r w:rsidRPr="007C57D2">
        <w:rPr>
          <w:rFonts w:ascii="Times New Roman" w:hAnsi="Times New Roman"/>
          <w:lang w:val="es-MX"/>
        </w:rPr>
        <w:t>Instituto Colombiano de Biene</w:t>
      </w:r>
      <w:r w:rsidRPr="007C57D2">
        <w:rPr>
          <w:rFonts w:ascii="Times New Roman" w:hAnsi="Times New Roman"/>
          <w:lang w:val="es-MX"/>
        </w:rPr>
        <w:t>star Familiar (ICBF)</w:t>
      </w:r>
      <w:r w:rsidRPr="007C57D2">
        <w:rPr>
          <w:rStyle w:val="Refdenotaalpie"/>
          <w:rFonts w:ascii="Times New Roman" w:hAnsi="Times New Roman"/>
          <w:lang w:val="es-MX"/>
        </w:rPr>
        <w:t xml:space="preserve"> </w:t>
      </w:r>
      <w:r w:rsidRPr="007C57D2">
        <w:rPr>
          <w:rStyle w:val="Refdenotaalpie"/>
          <w:rFonts w:ascii="Times New Roman" w:hAnsi="Times New Roman"/>
          <w:lang w:val="es-MX"/>
        </w:rPr>
        <w:footnoteReference w:id="288"/>
      </w:r>
      <w:r w:rsidRPr="007C57D2">
        <w:rPr>
          <w:rFonts w:ascii="Times New Roman" w:hAnsi="Times New Roman"/>
          <w:lang w:val="es-MX"/>
        </w:rPr>
        <w:t>; (iii) Policía Nacional</w:t>
      </w:r>
      <w:r w:rsidRPr="007C57D2">
        <w:rPr>
          <w:rStyle w:val="Refdenotaalpie"/>
          <w:rFonts w:ascii="Times New Roman" w:hAnsi="Times New Roman"/>
          <w:lang w:val="es-MX"/>
        </w:rPr>
        <w:footnoteReference w:id="289"/>
      </w:r>
      <w:r w:rsidRPr="007C57D2">
        <w:rPr>
          <w:rFonts w:ascii="Times New Roman" w:hAnsi="Times New Roman"/>
          <w:lang w:val="es-MX"/>
        </w:rPr>
        <w:t xml:space="preserve">; Comisión de Regulación de Comunicaciones </w:t>
      </w:r>
      <w:r w:rsidRPr="007C57D2">
        <w:rPr>
          <w:rFonts w:ascii="Times New Roman" w:hAnsi="Times New Roman"/>
          <w:lang w:val="es-MX"/>
        </w:rPr>
        <w:t>(</w:t>
      </w:r>
      <w:r w:rsidRPr="007C57D2">
        <w:rPr>
          <w:rFonts w:ascii="Times New Roman" w:hAnsi="Times New Roman"/>
          <w:lang w:val="es-MX"/>
        </w:rPr>
        <w:t>CRC)</w:t>
      </w:r>
      <w:r w:rsidRPr="007C57D2">
        <w:rPr>
          <w:rStyle w:val="Refdenotaalpie"/>
          <w:rFonts w:ascii="Times New Roman" w:hAnsi="Times New Roman"/>
          <w:lang w:val="es-MX"/>
        </w:rPr>
        <w:footnoteReference w:id="290"/>
      </w:r>
      <w:r w:rsidRPr="007C57D2">
        <w:rPr>
          <w:rFonts w:ascii="Times New Roman" w:hAnsi="Times New Roman"/>
          <w:lang w:val="es-MX"/>
        </w:rPr>
        <w:t xml:space="preserve">; (iv) </w:t>
      </w:r>
      <w:r w:rsidRPr="007C57D2">
        <w:rPr>
          <w:rFonts w:ascii="Times New Roman" w:hAnsi="Times New Roman"/>
          <w:lang w:val="es-MX"/>
        </w:rPr>
        <w:t>Proveedores de redes y servicios de telecomunicaciones móviles</w:t>
      </w:r>
      <w:r w:rsidRPr="007C57D2">
        <w:rPr>
          <w:rStyle w:val="Refdenotaalpie"/>
          <w:rFonts w:ascii="Times New Roman" w:hAnsi="Times New Roman"/>
          <w:lang w:val="es-MX"/>
        </w:rPr>
        <w:footnoteReference w:id="291"/>
      </w:r>
      <w:r w:rsidRPr="007C57D2">
        <w:rPr>
          <w:rFonts w:ascii="Times New Roman" w:hAnsi="Times New Roman"/>
          <w:lang w:val="es-MX"/>
        </w:rPr>
        <w:t xml:space="preserve"> ; (v) </w:t>
      </w:r>
      <w:r w:rsidRPr="007C57D2">
        <w:rPr>
          <w:rFonts w:ascii="Times New Roman" w:hAnsi="Times New Roman"/>
          <w:lang w:val="es-MX"/>
        </w:rPr>
        <w:t>Entidades del Sistema Nacional de Bienestar Familiar</w:t>
      </w:r>
      <w:r w:rsidRPr="007C57D2">
        <w:rPr>
          <w:rStyle w:val="Refdenotaalpie"/>
          <w:rFonts w:ascii="Times New Roman" w:hAnsi="Times New Roman"/>
          <w:lang w:val="es-MX"/>
        </w:rPr>
        <w:footnoteReference w:id="292"/>
      </w:r>
      <w:r w:rsidRPr="007C57D2">
        <w:rPr>
          <w:rFonts w:ascii="Times New Roman" w:hAnsi="Times New Roman"/>
          <w:lang w:val="es-MX"/>
        </w:rPr>
        <w:t>; (vi) Ministerio de Relacione</w:t>
      </w:r>
      <w:r w:rsidRPr="007C57D2">
        <w:rPr>
          <w:rFonts w:ascii="Times New Roman" w:hAnsi="Times New Roman"/>
          <w:lang w:val="es-MX"/>
        </w:rPr>
        <w:t>s Exteriores, Migración Colombia y a todas las demás autoridades en las fronteras, puertos y aeropuertos</w:t>
      </w:r>
      <w:r w:rsidRPr="007C57D2">
        <w:rPr>
          <w:rStyle w:val="Refdenotaalpie"/>
          <w:rFonts w:ascii="Times New Roman" w:hAnsi="Times New Roman"/>
          <w:lang w:val="es-MX"/>
        </w:rPr>
        <w:footnoteReference w:id="293"/>
      </w:r>
      <w:r w:rsidRPr="007C57D2">
        <w:rPr>
          <w:rFonts w:ascii="Times New Roman" w:hAnsi="Times New Roman"/>
          <w:lang w:val="es-MX"/>
        </w:rPr>
        <w:t>; (vii) Operadores logísticos de los aeropuertos internacionales</w:t>
      </w:r>
      <w:r w:rsidRPr="007C57D2">
        <w:rPr>
          <w:rStyle w:val="Refdenotaalpie"/>
          <w:rFonts w:ascii="Times New Roman" w:hAnsi="Times New Roman"/>
          <w:lang w:val="es-MX"/>
        </w:rPr>
        <w:footnoteReference w:id="294"/>
      </w:r>
      <w:r w:rsidRPr="007C57D2">
        <w:rPr>
          <w:rFonts w:ascii="Times New Roman" w:hAnsi="Times New Roman"/>
          <w:lang w:val="es-MX"/>
        </w:rPr>
        <w:t>; (viii) medios de comunicación de amplia cobertura, como la radio, la televisión y lo</w:t>
      </w:r>
      <w:r w:rsidRPr="007C57D2">
        <w:rPr>
          <w:rFonts w:ascii="Times New Roman" w:hAnsi="Times New Roman"/>
          <w:lang w:val="es-MX"/>
        </w:rPr>
        <w:t>s medios digitales</w:t>
      </w:r>
      <w:r w:rsidRPr="007C57D2">
        <w:rPr>
          <w:rStyle w:val="Refdenotaalpie"/>
          <w:rFonts w:ascii="Times New Roman" w:hAnsi="Times New Roman"/>
          <w:lang w:val="es-MX"/>
        </w:rPr>
        <w:footnoteReference w:id="295"/>
      </w:r>
      <w:r w:rsidRPr="007C57D2">
        <w:rPr>
          <w:rFonts w:ascii="Times New Roman" w:hAnsi="Times New Roman"/>
          <w:lang w:val="es-MX"/>
        </w:rPr>
        <w:t>; (ix) Congreso de la República</w:t>
      </w:r>
      <w:r w:rsidRPr="007C57D2">
        <w:rPr>
          <w:rStyle w:val="Refdenotaalpie"/>
          <w:rFonts w:ascii="Times New Roman" w:hAnsi="Times New Roman"/>
          <w:lang w:val="es-MX"/>
        </w:rPr>
        <w:footnoteReference w:id="296"/>
      </w:r>
      <w:r w:rsidRPr="007C57D2">
        <w:rPr>
          <w:rFonts w:ascii="Times New Roman" w:hAnsi="Times New Roman"/>
          <w:lang w:val="es-MX"/>
        </w:rPr>
        <w:t>; (x) Instituto Nacional de Medicina Legal y Ciencias Forenses</w:t>
      </w:r>
      <w:r w:rsidRPr="007C57D2">
        <w:rPr>
          <w:rStyle w:val="Refdenotaalpie"/>
          <w:rFonts w:ascii="Times New Roman" w:hAnsi="Times New Roman"/>
          <w:lang w:val="es-MX"/>
        </w:rPr>
        <w:footnoteReference w:id="297"/>
      </w:r>
      <w:r w:rsidRPr="007C57D2">
        <w:rPr>
          <w:rFonts w:ascii="Times New Roman" w:hAnsi="Times New Roman"/>
          <w:lang w:val="es-MX"/>
        </w:rPr>
        <w:t>; (xi) Defensoría de familia, Comisaría de familia, inspección de policía</w:t>
      </w:r>
      <w:r w:rsidRPr="007C57D2">
        <w:rPr>
          <w:rStyle w:val="Refdenotaalpie"/>
          <w:rFonts w:ascii="Times New Roman" w:hAnsi="Times New Roman"/>
          <w:lang w:val="es-MX"/>
        </w:rPr>
        <w:footnoteReference w:id="298"/>
      </w:r>
      <w:r w:rsidRPr="007C57D2">
        <w:rPr>
          <w:rFonts w:ascii="Times New Roman" w:hAnsi="Times New Roman"/>
          <w:lang w:val="es-MX"/>
        </w:rPr>
        <w:t>;  y (xii) Fiscalía General de la Nación</w:t>
      </w:r>
      <w:r w:rsidRPr="007C57D2">
        <w:rPr>
          <w:rStyle w:val="Refdenotaalpie"/>
          <w:rFonts w:ascii="Times New Roman" w:hAnsi="Times New Roman"/>
          <w:lang w:val="es-MX"/>
        </w:rPr>
        <w:footnoteReference w:id="299"/>
      </w:r>
      <w:r w:rsidRPr="007C57D2">
        <w:rPr>
          <w:rFonts w:ascii="Times New Roman" w:hAnsi="Times New Roman"/>
          <w:lang w:val="es-MX"/>
        </w:rPr>
        <w:t>.</w:t>
      </w:r>
    </w:p>
    <w:p w:rsidR="001E19D5" w:rsidRPr="007C57D2" w:rsidRDefault="007C57D2" w:rsidP="008F3DAB">
      <w:pPr>
        <w:pStyle w:val="Sinespaciado"/>
        <w:jc w:val="both"/>
        <w:rPr>
          <w:rFonts w:ascii="Times New Roman" w:hAnsi="Times New Roman"/>
          <w:iCs/>
          <w:lang w:val="es-MX"/>
        </w:rPr>
      </w:pPr>
    </w:p>
    <w:p w:rsidR="001E19D5" w:rsidRPr="007C57D2" w:rsidRDefault="007C57D2" w:rsidP="008F3DAB">
      <w:pPr>
        <w:pStyle w:val="Sinespaciado"/>
        <w:numPr>
          <w:ilvl w:val="0"/>
          <w:numId w:val="3"/>
        </w:numPr>
        <w:ind w:left="0" w:firstLine="0"/>
        <w:jc w:val="both"/>
        <w:rPr>
          <w:rFonts w:ascii="Times New Roman" w:hAnsi="Times New Roman"/>
          <w:iCs/>
          <w:lang w:val="es-MX"/>
        </w:rPr>
      </w:pPr>
      <w:r w:rsidRPr="007C57D2">
        <w:rPr>
          <w:rFonts w:ascii="Times New Roman" w:hAnsi="Times New Roman"/>
          <w:iCs/>
          <w:lang w:val="es-MX"/>
        </w:rPr>
        <w:t>En adición a las anterio</w:t>
      </w:r>
      <w:r w:rsidRPr="007C57D2">
        <w:rPr>
          <w:rFonts w:ascii="Times New Roman" w:hAnsi="Times New Roman"/>
          <w:iCs/>
          <w:lang w:val="es-MX"/>
        </w:rPr>
        <w:t xml:space="preserve">res entidades y a las niñas y niños, el PLE involucra a </w:t>
      </w:r>
      <w:r w:rsidRPr="007C57D2">
        <w:rPr>
          <w:rFonts w:ascii="Times New Roman" w:hAnsi="Times New Roman"/>
          <w:lang w:val="es-MX"/>
        </w:rPr>
        <w:t>la ciudadanía en general</w:t>
      </w:r>
      <w:r w:rsidRPr="007C57D2">
        <w:rPr>
          <w:rStyle w:val="Refdenotaalpie"/>
          <w:rFonts w:ascii="Times New Roman" w:hAnsi="Times New Roman"/>
          <w:iCs/>
          <w:lang w:val="es-MX"/>
        </w:rPr>
        <w:footnoteReference w:id="300"/>
      </w:r>
      <w:r w:rsidRPr="007C57D2">
        <w:rPr>
          <w:rFonts w:ascii="Times New Roman" w:hAnsi="Times New Roman"/>
          <w:lang w:val="es-MX"/>
        </w:rPr>
        <w:t xml:space="preserve"> y a los padres, representantes legales, tutores, quien ostente la custodia, cuidadores, familiares del niño o niña</w:t>
      </w:r>
      <w:r w:rsidRPr="007C57D2">
        <w:rPr>
          <w:rStyle w:val="Refdenotaalpie"/>
          <w:rFonts w:ascii="Times New Roman" w:hAnsi="Times New Roman"/>
          <w:iCs/>
          <w:lang w:val="es-MX"/>
        </w:rPr>
        <w:footnoteReference w:id="301"/>
      </w:r>
      <w:r w:rsidRPr="007C57D2">
        <w:rPr>
          <w:rFonts w:ascii="Times New Roman" w:hAnsi="Times New Roman"/>
          <w:iCs/>
          <w:lang w:val="es-MX"/>
        </w:rPr>
        <w:t xml:space="preserve">. </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lang w:val="es-MX"/>
        </w:rPr>
        <w:t xml:space="preserve">Dado lo anterior, previo al análisis de constitucionalidad del proyecto de ley, </w:t>
      </w:r>
      <w:r w:rsidRPr="007C57D2">
        <w:rPr>
          <w:rFonts w:ascii="Times New Roman" w:hAnsi="Times New Roman"/>
        </w:rPr>
        <w:t>la Corte considera relevante referirse a algunos aspectos pertinentes de los siguientes temas que guardan relación con el PLE: (i) e</w:t>
      </w:r>
      <w:r w:rsidRPr="007C57D2">
        <w:rPr>
          <w:rFonts w:ascii="Times New Roman" w:hAnsi="Times New Roman"/>
          <w:lang w:val="es-MX"/>
        </w:rPr>
        <w:t>l interés superior y la prevalencia de los d</w:t>
      </w:r>
      <w:r w:rsidRPr="007C57D2">
        <w:rPr>
          <w:rFonts w:ascii="Times New Roman" w:hAnsi="Times New Roman"/>
          <w:lang w:val="es-MX"/>
        </w:rPr>
        <w:t>erechos de los NNA en la Constitución Política; (ii)</w:t>
      </w:r>
      <w:r w:rsidRPr="007C57D2">
        <w:rPr>
          <w:rFonts w:ascii="Times New Roman" w:hAnsi="Times New Roman"/>
        </w:rPr>
        <w:t xml:space="preserve"> la protección </w:t>
      </w:r>
      <w:r w:rsidRPr="007C57D2">
        <w:rPr>
          <w:rFonts w:ascii="Times New Roman" w:hAnsi="Times New Roman"/>
          <w:lang w:val="es-MX"/>
        </w:rPr>
        <w:t>de los NNA respecto a situaciones de desaparición, extravío, tráfico internacional o trata de personas; (iii) el tratamiento de datos personales con especial referencia a los datos sensible</w:t>
      </w:r>
      <w:r w:rsidRPr="007C57D2">
        <w:rPr>
          <w:rFonts w:ascii="Times New Roman" w:hAnsi="Times New Roman"/>
          <w:lang w:val="es-MX"/>
        </w:rPr>
        <w:t>s, las fotos y la información de los NNA; (iv) los límites a la libertad de empresa</w:t>
      </w:r>
      <w:r w:rsidRPr="007C57D2">
        <w:rPr>
          <w:rFonts w:ascii="Times New Roman" w:hAnsi="Times New Roman"/>
        </w:rPr>
        <w:t>; (v) las herramientas</w:t>
      </w:r>
      <w:r w:rsidRPr="007C57D2">
        <w:rPr>
          <w:rFonts w:ascii="Times New Roman" w:hAnsi="Times New Roman"/>
          <w:lang w:val="es-MX"/>
        </w:rPr>
        <w:t xml:space="preserve"> existentes para localizar personas desaparecidas y el sistema de alertas tempranas sobre la niñez colombiana.</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Ttulo3"/>
        <w:spacing w:before="0" w:after="0" w:line="240" w:lineRule="auto"/>
        <w:rPr>
          <w:rFonts w:ascii="Times New Roman" w:hAnsi="Times New Roman"/>
          <w:b/>
          <w:bCs/>
          <w:color w:val="000000"/>
          <w:lang w:val="es-ES"/>
        </w:rPr>
      </w:pPr>
      <w:bookmarkStart w:id="30" w:name="_Toc209178797"/>
      <w:bookmarkStart w:id="31" w:name="_Toc222728029"/>
      <w:r w:rsidRPr="007C57D2">
        <w:rPr>
          <w:rFonts w:ascii="Times New Roman" w:hAnsi="Times New Roman"/>
          <w:b/>
          <w:bCs/>
          <w:color w:val="000000"/>
        </w:rPr>
        <w:t>5.1. El interés superior y la prevalenc</w:t>
      </w:r>
      <w:r w:rsidRPr="007C57D2">
        <w:rPr>
          <w:rFonts w:ascii="Times New Roman" w:hAnsi="Times New Roman"/>
          <w:b/>
          <w:bCs/>
          <w:color w:val="000000"/>
        </w:rPr>
        <w:t>ia de los derechos de los NNA en la Constitución Política</w:t>
      </w:r>
      <w:bookmarkEnd w:id="30"/>
      <w:bookmarkEnd w:id="31"/>
    </w:p>
    <w:p w:rsidR="001E19D5" w:rsidRPr="007C57D2" w:rsidRDefault="007C57D2" w:rsidP="008F3DAB">
      <w:pPr>
        <w:pStyle w:val="Sinespaciado"/>
        <w:rPr>
          <w:rFonts w:ascii="Times New Roman" w:hAnsi="Times New Roman"/>
          <w:lang w:val="es-ES"/>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Los artículos 13</w:t>
      </w:r>
      <w:r w:rsidRPr="007C57D2">
        <w:rPr>
          <w:rStyle w:val="Refdenotaalpie"/>
          <w:rFonts w:ascii="Times New Roman" w:hAnsi="Times New Roman"/>
          <w:sz w:val="28"/>
          <w:szCs w:val="28"/>
        </w:rPr>
        <w:footnoteReference w:id="302"/>
      </w:r>
      <w:r w:rsidRPr="007C57D2">
        <w:rPr>
          <w:rFonts w:ascii="Times New Roman" w:hAnsi="Times New Roman"/>
          <w:sz w:val="28"/>
          <w:szCs w:val="28"/>
        </w:rPr>
        <w:t>, 44</w:t>
      </w:r>
      <w:r w:rsidRPr="007C57D2">
        <w:rPr>
          <w:rStyle w:val="Refdenotaalpie"/>
          <w:rFonts w:ascii="Times New Roman" w:hAnsi="Times New Roman"/>
          <w:sz w:val="28"/>
          <w:szCs w:val="28"/>
        </w:rPr>
        <w:footnoteReference w:id="303"/>
      </w:r>
      <w:r w:rsidRPr="007C57D2">
        <w:rPr>
          <w:rFonts w:ascii="Times New Roman" w:hAnsi="Times New Roman"/>
          <w:sz w:val="28"/>
          <w:szCs w:val="28"/>
        </w:rPr>
        <w:t xml:space="preserve"> y 45</w:t>
      </w:r>
      <w:r w:rsidRPr="007C57D2">
        <w:rPr>
          <w:rStyle w:val="Refdenotaalpie"/>
          <w:rFonts w:ascii="Times New Roman" w:hAnsi="Times New Roman"/>
          <w:sz w:val="28"/>
          <w:szCs w:val="28"/>
        </w:rPr>
        <w:footnoteReference w:id="304"/>
      </w:r>
      <w:r w:rsidRPr="007C57D2">
        <w:rPr>
          <w:rFonts w:ascii="Times New Roman" w:hAnsi="Times New Roman"/>
          <w:sz w:val="28"/>
          <w:szCs w:val="28"/>
        </w:rPr>
        <w:t xml:space="preserve"> de la Constitución Política consagran la especial protección que el Estado les debe brindar a los NNA, en virtud de la situación de vulnerabilidad en la que se encuentr</w:t>
      </w:r>
      <w:r w:rsidRPr="007C57D2">
        <w:rPr>
          <w:rFonts w:ascii="Times New Roman" w:hAnsi="Times New Roman"/>
          <w:sz w:val="28"/>
          <w:szCs w:val="28"/>
        </w:rPr>
        <w:t xml:space="preserve">an, por razón de su edad. </w:t>
      </w:r>
      <w:r w:rsidRPr="007C57D2">
        <w:rPr>
          <w:rFonts w:ascii="Times New Roman" w:hAnsi="Times New Roman"/>
          <w:sz w:val="28"/>
          <w:szCs w:val="28"/>
          <w:lang w:val="es-ES"/>
        </w:rPr>
        <w:t>El mencionado artículo 44 establece que sus derechos prevalecen sobre los derechos de los demás y preceptúa: (</w:t>
      </w:r>
      <w:r w:rsidRPr="007C57D2">
        <w:rPr>
          <w:rFonts w:ascii="Times New Roman" w:hAnsi="Times New Roman"/>
          <w:iCs/>
          <w:sz w:val="28"/>
          <w:szCs w:val="28"/>
          <w:lang w:val="es-ES"/>
        </w:rPr>
        <w:t xml:space="preserve">i) el carácter fundamental de sus prerrogativas; (ii) su protección especial frente a riesgos prohibidos como el </w:t>
      </w:r>
      <w:r w:rsidRPr="007C57D2">
        <w:rPr>
          <w:rFonts w:ascii="Times New Roman" w:hAnsi="Times New Roman"/>
          <w:iCs/>
          <w:sz w:val="28"/>
          <w:szCs w:val="28"/>
          <w:lang w:val="es-ES"/>
        </w:rPr>
        <w:t>abandono, la violencia física y moral, el abuso, o la explotación laboral; (iii) la corresponsabilidad de la familia, la sociedad y el Estado en su asistencia y protección; y (iv)</w:t>
      </w:r>
      <w:r w:rsidRPr="007C57D2">
        <w:rPr>
          <w:rFonts w:ascii="Times New Roman" w:hAnsi="Times New Roman"/>
          <w:iCs/>
          <w:sz w:val="28"/>
          <w:szCs w:val="28"/>
        </w:rPr>
        <w:t> la posibilidad de que cualquiera exija a la autoridad competente su protecci</w:t>
      </w:r>
      <w:r w:rsidRPr="007C57D2">
        <w:rPr>
          <w:rFonts w:ascii="Times New Roman" w:hAnsi="Times New Roman"/>
          <w:iCs/>
          <w:sz w:val="28"/>
          <w:szCs w:val="28"/>
        </w:rPr>
        <w:t>ón y la sanción a los infractores</w:t>
      </w:r>
      <w:r w:rsidRPr="007C57D2">
        <w:rPr>
          <w:rStyle w:val="Refdenotaalpie"/>
          <w:rFonts w:ascii="Times New Roman" w:hAnsi="Times New Roman"/>
          <w:sz w:val="28"/>
          <w:szCs w:val="28"/>
          <w:lang w:val="es-ES"/>
        </w:rPr>
        <w:footnoteReference w:id="305"/>
      </w:r>
      <w:r w:rsidRPr="007C57D2">
        <w:rPr>
          <w:rFonts w:ascii="Times New Roman" w:hAnsi="Times New Roman"/>
          <w:sz w:val="28"/>
          <w:szCs w:val="28"/>
        </w:rPr>
        <w:t>.</w:t>
      </w:r>
    </w:p>
    <w:p w:rsidR="001E19D5" w:rsidRPr="007C57D2" w:rsidRDefault="007C57D2" w:rsidP="008F3DAB">
      <w:pPr>
        <w:pStyle w:val="Prrafodelista"/>
        <w:tabs>
          <w:tab w:val="left" w:pos="567"/>
        </w:tabs>
        <w:ind w:left="0"/>
        <w:jc w:val="both"/>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iCs/>
          <w:sz w:val="28"/>
          <w:szCs w:val="28"/>
        </w:rPr>
        <w:t xml:space="preserve">Particularmente, </w:t>
      </w:r>
      <w:r w:rsidRPr="007C57D2">
        <w:rPr>
          <w:rFonts w:ascii="Times New Roman" w:hAnsi="Times New Roman"/>
          <w:iCs/>
          <w:sz w:val="28"/>
          <w:szCs w:val="28"/>
          <w:lang w:val="es-ES_tradnl"/>
        </w:rPr>
        <w:t>la protección especial para los NNA se sustenta en: (i) la necesidad de garantizar su dignidad humana, en tanto son sujetos autónomos de derechos; (ii) su vulnerabilidad, al ser sujetos “que empiezan la</w:t>
      </w:r>
      <w:r w:rsidRPr="007C57D2">
        <w:rPr>
          <w:rFonts w:ascii="Times New Roman" w:hAnsi="Times New Roman"/>
          <w:iCs/>
          <w:sz w:val="28"/>
          <w:szCs w:val="28"/>
          <w:lang w:val="es-ES_tradnl"/>
        </w:rPr>
        <w:t xml:space="preserve"> vida, que se encuentran en situación de indefensión y que requieren de especial atención</w:t>
      </w:r>
      <w:r w:rsidRPr="007C57D2">
        <w:rPr>
          <w:rFonts w:ascii="Times New Roman" w:hAnsi="Times New Roman"/>
          <w:iCs/>
          <w:sz w:val="28"/>
          <w:szCs w:val="28"/>
          <w:lang w:val="es-ES"/>
        </w:rPr>
        <w:t>”</w:t>
      </w:r>
      <w:r w:rsidRPr="007C57D2">
        <w:rPr>
          <w:rFonts w:ascii="Times New Roman" w:hAnsi="Times New Roman"/>
          <w:iCs/>
          <w:sz w:val="28"/>
          <w:szCs w:val="28"/>
          <w:vertAlign w:val="superscript"/>
          <w:lang w:val="es-ES"/>
        </w:rPr>
        <w:footnoteReference w:id="306"/>
      </w:r>
      <w:r w:rsidRPr="007C57D2">
        <w:rPr>
          <w:rFonts w:ascii="Times New Roman" w:hAnsi="Times New Roman"/>
          <w:iCs/>
          <w:sz w:val="28"/>
          <w:szCs w:val="28"/>
          <w:lang w:val="es-ES"/>
        </w:rPr>
        <w:t xml:space="preserve">; (iii) </w:t>
      </w:r>
      <w:r w:rsidRPr="007C57D2">
        <w:rPr>
          <w:rFonts w:ascii="Times New Roman" w:hAnsi="Times New Roman"/>
          <w:iCs/>
          <w:sz w:val="28"/>
          <w:szCs w:val="28"/>
          <w:lang w:val="es-ES_tradnl"/>
        </w:rPr>
        <w:t>en su importancia para la sociedad</w:t>
      </w:r>
      <w:r w:rsidRPr="007C57D2">
        <w:rPr>
          <w:rFonts w:ascii="Times New Roman" w:hAnsi="Times New Roman"/>
          <w:iCs/>
          <w:sz w:val="28"/>
          <w:szCs w:val="28"/>
          <w:vertAlign w:val="superscript"/>
          <w:lang w:val="es-ES"/>
        </w:rPr>
        <w:footnoteReference w:id="307"/>
      </w:r>
      <w:r w:rsidRPr="007C57D2">
        <w:rPr>
          <w:rFonts w:ascii="Times New Roman" w:hAnsi="Times New Roman"/>
          <w:iCs/>
          <w:sz w:val="28"/>
          <w:szCs w:val="28"/>
          <w:lang w:val="es-ES_tradnl"/>
        </w:rPr>
        <w:t xml:space="preserve"> y, (iv) el hecho de que se encuentran en proceso de desarrollo físico, mental y emocional para alcanzar la madurez necesa</w:t>
      </w:r>
      <w:r w:rsidRPr="007C57D2">
        <w:rPr>
          <w:rFonts w:ascii="Times New Roman" w:hAnsi="Times New Roman"/>
          <w:iCs/>
          <w:sz w:val="28"/>
          <w:szCs w:val="28"/>
          <w:lang w:val="es-ES_tradnl"/>
        </w:rPr>
        <w:t>ria para el manejo autónomo de su proyecto de vida</w:t>
      </w:r>
      <w:r w:rsidRPr="007C57D2">
        <w:rPr>
          <w:rFonts w:ascii="Times New Roman" w:hAnsi="Times New Roman"/>
          <w:iCs/>
          <w:sz w:val="28"/>
          <w:szCs w:val="28"/>
          <w:vertAlign w:val="superscript"/>
          <w:lang w:val="es-ES"/>
        </w:rPr>
        <w:footnoteReference w:id="308"/>
      </w:r>
      <w:r w:rsidRPr="007C57D2">
        <w:rPr>
          <w:rFonts w:ascii="Times New Roman" w:hAnsi="Times New Roman"/>
          <w:iCs/>
          <w:sz w:val="28"/>
          <w:szCs w:val="28"/>
          <w:lang w:val="es-ES"/>
        </w:rPr>
        <w:t>.</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En consecuencia, la jurisprudencia constitucional los ha reconocido como sujetos de protección constitucional reforzada por lo que “</w:t>
      </w:r>
      <w:r w:rsidRPr="007C57D2">
        <w:rPr>
          <w:rFonts w:ascii="Times New Roman" w:hAnsi="Times New Roman"/>
          <w:iCs/>
          <w:sz w:val="28"/>
          <w:szCs w:val="28"/>
        </w:rPr>
        <w:t>la satisfacción de sus derechos e intereses debe constituir el objetiv</w:t>
      </w:r>
      <w:r w:rsidRPr="007C57D2">
        <w:rPr>
          <w:rFonts w:ascii="Times New Roman" w:hAnsi="Times New Roman"/>
          <w:iCs/>
          <w:sz w:val="28"/>
          <w:szCs w:val="28"/>
        </w:rPr>
        <w:t>o primario de toda actuación, sea oficial o sea privada, que les concierna</w:t>
      </w:r>
      <w:r w:rsidRPr="007C57D2">
        <w:rPr>
          <w:rFonts w:ascii="Times New Roman" w:hAnsi="Times New Roman"/>
          <w:sz w:val="28"/>
          <w:szCs w:val="28"/>
        </w:rPr>
        <w:t>”</w:t>
      </w:r>
      <w:r w:rsidRPr="007C57D2">
        <w:rPr>
          <w:rStyle w:val="Refdenotaalpie"/>
          <w:rFonts w:ascii="Times New Roman" w:hAnsi="Times New Roman"/>
          <w:sz w:val="28"/>
          <w:szCs w:val="28"/>
        </w:rPr>
        <w:footnoteReference w:id="309"/>
      </w:r>
      <w:r w:rsidRPr="007C57D2">
        <w:rPr>
          <w:rFonts w:ascii="Times New Roman" w:hAnsi="Times New Roman"/>
          <w:sz w:val="28"/>
          <w:szCs w:val="28"/>
        </w:rPr>
        <w:t xml:space="preserve">. </w:t>
      </w:r>
    </w:p>
    <w:p w:rsidR="001E19D5" w:rsidRPr="007C57D2" w:rsidRDefault="007C57D2" w:rsidP="008F3DAB">
      <w:pPr>
        <w:pStyle w:val="Sinespaciado"/>
        <w:rPr>
          <w:rFonts w:ascii="Times New Roman" w:hAnsi="Times New Roman"/>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 xml:space="preserve">Dado el objeto del PLE resulta pertinente precisar el alcance que la Corte Constitucional le ha dado al </w:t>
      </w:r>
      <w:r w:rsidRPr="007C57D2">
        <w:rPr>
          <w:rFonts w:ascii="Times New Roman" w:hAnsi="Times New Roman"/>
          <w:sz w:val="28"/>
          <w:szCs w:val="28"/>
          <w:lang w:val="es-ES"/>
        </w:rPr>
        <w:t>interés superior de los NNA. La jurisprudencia constitucional ha señalad</w:t>
      </w:r>
      <w:r w:rsidRPr="007C57D2">
        <w:rPr>
          <w:rFonts w:ascii="Times New Roman" w:hAnsi="Times New Roman"/>
          <w:sz w:val="28"/>
          <w:szCs w:val="28"/>
          <w:lang w:val="es-ES"/>
        </w:rPr>
        <w:t>o que es: (i) un derecho sustantivo,</w:t>
      </w:r>
      <w:r w:rsidRPr="007C57D2">
        <w:rPr>
          <w:rFonts w:ascii="Times New Roman" w:hAnsi="Times New Roman"/>
          <w:b/>
          <w:bCs/>
          <w:sz w:val="28"/>
          <w:szCs w:val="28"/>
          <w:lang w:val="es-ES"/>
        </w:rPr>
        <w:t> </w:t>
      </w:r>
      <w:r w:rsidRPr="007C57D2">
        <w:rPr>
          <w:rFonts w:ascii="Times New Roman" w:hAnsi="Times New Roman"/>
          <w:sz w:val="28"/>
          <w:szCs w:val="28"/>
        </w:rPr>
        <w:t>en razón a que debe ser una consideración primordial al momento de sopesar los distintos intereses en la toma de una decisión en cualquier ámbito; (ii) una obligación de los Estados, de aplicabilidad inmediata y reclama</w:t>
      </w:r>
      <w:r w:rsidRPr="007C57D2">
        <w:rPr>
          <w:rFonts w:ascii="Times New Roman" w:hAnsi="Times New Roman"/>
          <w:sz w:val="28"/>
          <w:szCs w:val="28"/>
        </w:rPr>
        <w:t>ble ante los jueces; (iii) un principio jurídico interpretativo fundamental, en la medida en que si una disposición admite más de una interpretación debe elegirse aquella que sea más afectiva para el interé</w:t>
      </w:r>
      <w:bookmarkStart w:id="32" w:name="_ftnref33"/>
      <w:r w:rsidRPr="007C57D2">
        <w:rPr>
          <w:rFonts w:ascii="Times New Roman" w:hAnsi="Times New Roman"/>
          <w:sz w:val="28"/>
          <w:szCs w:val="28"/>
        </w:rPr>
        <w:t>s superior de los NNA</w:t>
      </w:r>
      <w:bookmarkEnd w:id="32"/>
      <w:r w:rsidRPr="007C57D2">
        <w:rPr>
          <w:rFonts w:ascii="Times New Roman" w:hAnsi="Times New Roman"/>
          <w:sz w:val="28"/>
          <w:szCs w:val="28"/>
        </w:rPr>
        <w:t>; y, (iv) una norma de proced</w:t>
      </w:r>
      <w:r w:rsidRPr="007C57D2">
        <w:rPr>
          <w:rFonts w:ascii="Times New Roman" w:hAnsi="Times New Roman"/>
          <w:sz w:val="28"/>
          <w:szCs w:val="28"/>
        </w:rPr>
        <w:t>imiento, ya que la toma de decisiones que involucre un menor de edad debe tener una carga argumentativa que estime las repercusiones positivas y negativas en los derechos de aquel</w:t>
      </w:r>
      <w:r w:rsidRPr="007C57D2">
        <w:rPr>
          <w:rStyle w:val="Refdenotaalpie"/>
          <w:rFonts w:ascii="Times New Roman" w:hAnsi="Times New Roman"/>
          <w:sz w:val="28"/>
          <w:szCs w:val="28"/>
        </w:rPr>
        <w:footnoteReference w:id="310"/>
      </w:r>
      <w:r w:rsidRPr="007C57D2">
        <w:rPr>
          <w:rFonts w:ascii="Times New Roman" w:hAnsi="Times New Roman"/>
          <w:sz w:val="28"/>
          <w:szCs w:val="28"/>
        </w:rPr>
        <w:t xml:space="preserve">. </w:t>
      </w:r>
    </w:p>
    <w:p w:rsidR="001E19D5" w:rsidRPr="007C57D2" w:rsidRDefault="007C57D2" w:rsidP="008F3DAB">
      <w:pPr>
        <w:pStyle w:val="Prrafodelista"/>
        <w:ind w:left="0"/>
        <w:rPr>
          <w:rFonts w:ascii="Times New Roman" w:hAnsi="Times New Roman"/>
          <w:sz w:val="28"/>
          <w:szCs w:val="28"/>
          <w:lang w:val="es-ES"/>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lang w:val="es-ES"/>
        </w:rPr>
        <w:t xml:space="preserve">Asimismo, la jurisprudencia de esta Corporación ha sido pacífica en la identificación y defensa del interés superior de los NNA, así como en la prevalencia de sus derechos, con cargo de responsabilidad que recae principalmente en la familia, la sociedad y </w:t>
      </w:r>
      <w:r w:rsidRPr="007C57D2">
        <w:rPr>
          <w:rFonts w:ascii="Times New Roman" w:hAnsi="Times New Roman"/>
          <w:sz w:val="28"/>
          <w:szCs w:val="28"/>
          <w:lang w:val="es-ES"/>
        </w:rPr>
        <w:t xml:space="preserve">el Estado. Al respecto, se ha indicado que “(…) </w:t>
      </w:r>
      <w:r w:rsidRPr="007C57D2">
        <w:rPr>
          <w:rFonts w:ascii="Times New Roman" w:hAnsi="Times New Roman"/>
          <w:iCs/>
          <w:sz w:val="28"/>
          <w:szCs w:val="28"/>
          <w:lang w:val="es-ES"/>
        </w:rPr>
        <w:t>el primer llamado a responder por las necesidades de los niños, niñas y adolescentes es su mismo entorno familiar, sin embargo, en los casos en los que este no tiene las capacidades para asegurar el goce efec</w:t>
      </w:r>
      <w:r w:rsidRPr="007C57D2">
        <w:rPr>
          <w:rFonts w:ascii="Times New Roman" w:hAnsi="Times New Roman"/>
          <w:iCs/>
          <w:sz w:val="28"/>
          <w:szCs w:val="28"/>
          <w:lang w:val="es-ES"/>
        </w:rPr>
        <w:t>tivo de sus derechos, la sociedad y el Estado tienen la responsabilidad de proveer los medios para que cese ese adicional estado de vulnerabilidad</w:t>
      </w:r>
      <w:r w:rsidRPr="007C57D2">
        <w:rPr>
          <w:rFonts w:ascii="Times New Roman" w:hAnsi="Times New Roman"/>
          <w:sz w:val="28"/>
          <w:szCs w:val="28"/>
          <w:lang w:val="es-ES"/>
        </w:rPr>
        <w:t>”</w:t>
      </w:r>
      <w:r w:rsidRPr="007C57D2">
        <w:rPr>
          <w:rFonts w:ascii="Times New Roman" w:hAnsi="Times New Roman"/>
          <w:sz w:val="28"/>
          <w:szCs w:val="28"/>
          <w:vertAlign w:val="superscript"/>
        </w:rPr>
        <w:footnoteReference w:id="311"/>
      </w:r>
      <w:r w:rsidRPr="007C57D2">
        <w:rPr>
          <w:rFonts w:ascii="Times New Roman" w:hAnsi="Times New Roman"/>
          <w:sz w:val="28"/>
          <w:szCs w:val="28"/>
          <w:lang w:val="es-ES"/>
        </w:rPr>
        <w:t>.</w:t>
      </w:r>
    </w:p>
    <w:p w:rsidR="001E19D5" w:rsidRPr="007C57D2" w:rsidRDefault="007C57D2" w:rsidP="008F3DAB">
      <w:pPr>
        <w:pStyle w:val="Sinespaciado"/>
        <w:rPr>
          <w:rFonts w:ascii="Times New Roman" w:hAnsi="Times New Roman"/>
        </w:rPr>
      </w:pPr>
    </w:p>
    <w:p w:rsidR="001E19D5" w:rsidRPr="007C57D2" w:rsidRDefault="007C57D2" w:rsidP="008F3DAB">
      <w:pPr>
        <w:spacing w:after="0" w:line="240" w:lineRule="auto"/>
        <w:rPr>
          <w:rFonts w:ascii="Times New Roman" w:hAnsi="Times New Roman"/>
          <w:b/>
          <w:bCs/>
          <w:sz w:val="28"/>
          <w:szCs w:val="40"/>
        </w:rPr>
      </w:pPr>
      <w:bookmarkStart w:id="33" w:name="_Toc209178800"/>
      <w:r w:rsidRPr="007C57D2">
        <w:rPr>
          <w:rFonts w:ascii="Times New Roman" w:hAnsi="Times New Roman"/>
          <w:b/>
          <w:bCs/>
          <w:sz w:val="28"/>
          <w:szCs w:val="40"/>
        </w:rPr>
        <w:t>5.1.1. Protección de los niños, niñas y adolescentes respecto a situaciones de desaparición, extravío, tr</w:t>
      </w:r>
      <w:r w:rsidRPr="007C57D2">
        <w:rPr>
          <w:rFonts w:ascii="Times New Roman" w:hAnsi="Times New Roman"/>
          <w:b/>
          <w:bCs/>
          <w:sz w:val="28"/>
          <w:szCs w:val="40"/>
        </w:rPr>
        <w:t>áfico internacional o trata de personas</w:t>
      </w:r>
      <w:bookmarkEnd w:id="33"/>
    </w:p>
    <w:p w:rsidR="001E19D5" w:rsidRPr="007C57D2" w:rsidRDefault="007C57D2" w:rsidP="008F3DAB">
      <w:pPr>
        <w:pStyle w:val="Prrafodelista"/>
        <w:tabs>
          <w:tab w:val="left" w:pos="426"/>
        </w:tabs>
        <w:ind w:left="0"/>
        <w:jc w:val="both"/>
        <w:rPr>
          <w:rFonts w:ascii="Times New Roman" w:eastAsia="Aptos" w:hAnsi="Times New Roman"/>
          <w:sz w:val="28"/>
          <w:szCs w:val="28"/>
          <w:lang w:eastAsia="en-US"/>
        </w:rPr>
      </w:pPr>
    </w:p>
    <w:p w:rsidR="001E19D5" w:rsidRPr="007C57D2" w:rsidRDefault="007C57D2" w:rsidP="008F3DAB">
      <w:pPr>
        <w:pStyle w:val="Prrafodelista"/>
        <w:numPr>
          <w:ilvl w:val="0"/>
          <w:numId w:val="3"/>
        </w:numPr>
        <w:tabs>
          <w:tab w:val="left" w:pos="567"/>
        </w:tabs>
        <w:ind w:left="0" w:firstLine="0"/>
        <w:jc w:val="both"/>
        <w:rPr>
          <w:rFonts w:ascii="Times New Roman" w:eastAsia="Aptos" w:hAnsi="Times New Roman"/>
          <w:sz w:val="28"/>
          <w:szCs w:val="28"/>
          <w:lang w:eastAsia="en-US"/>
        </w:rPr>
      </w:pPr>
      <w:r w:rsidRPr="007C57D2">
        <w:rPr>
          <w:rFonts w:ascii="Times New Roman" w:eastAsia="Aptos" w:hAnsi="Times New Roman"/>
          <w:sz w:val="28"/>
          <w:szCs w:val="28"/>
          <w:lang w:eastAsia="en-US"/>
        </w:rPr>
        <w:t xml:space="preserve">La esclavitud, la servidumbre y la trata de seres humanos, en todas sus formas, son conductas que se encuentran prohibidas en nuestro ordenamiento constitucional, por cuenta del artículo 17 de la Constitución </w:t>
      </w:r>
      <w:r w:rsidRPr="007C57D2">
        <w:rPr>
          <w:rFonts w:ascii="Times New Roman" w:eastAsia="Aptos" w:hAnsi="Times New Roman"/>
          <w:sz w:val="28"/>
          <w:szCs w:val="28"/>
          <w:lang w:eastAsia="en-US"/>
        </w:rPr>
        <w:t xml:space="preserve">Política. Norma que encuentra sustento en otras garantías y protecciones constitucionales contenidas en los artículos 1°, 12, 13, 16 y 28 superiores que: (i) prohíben la tortura y los tratos crueles, inhumanos o degradantes; (ii) reconocen el derecho a la </w:t>
      </w:r>
      <w:r w:rsidRPr="007C57D2">
        <w:rPr>
          <w:rFonts w:ascii="Times New Roman" w:eastAsia="Aptos" w:hAnsi="Times New Roman"/>
          <w:sz w:val="28"/>
          <w:szCs w:val="28"/>
          <w:lang w:eastAsia="en-US"/>
        </w:rPr>
        <w:t>libertad personal; (iii) consagran la garantía del derecho al libre desarrollo de la personalidad, el derecho a la libertad e igualdad, así como la prohibición de discriminación; y (iv) señalan que nuestro Estado se funda en el respeto de la dignidad human</w:t>
      </w:r>
      <w:r w:rsidRPr="007C57D2">
        <w:rPr>
          <w:rFonts w:ascii="Times New Roman" w:eastAsia="Aptos" w:hAnsi="Times New Roman"/>
          <w:sz w:val="28"/>
          <w:szCs w:val="28"/>
          <w:lang w:eastAsia="en-US"/>
        </w:rPr>
        <w:t>a.</w:t>
      </w:r>
    </w:p>
    <w:p w:rsidR="001E19D5" w:rsidRPr="007C57D2" w:rsidRDefault="007C57D2" w:rsidP="008F3DAB">
      <w:pPr>
        <w:pStyle w:val="Prrafodelista"/>
        <w:tabs>
          <w:tab w:val="left" w:pos="567"/>
        </w:tabs>
        <w:ind w:left="0"/>
        <w:jc w:val="both"/>
        <w:rPr>
          <w:rFonts w:ascii="Times New Roman" w:eastAsia="Aptos" w:hAnsi="Times New Roman"/>
          <w:sz w:val="28"/>
          <w:szCs w:val="28"/>
          <w:lang w:eastAsia="en-US"/>
        </w:rPr>
      </w:pPr>
    </w:p>
    <w:p w:rsidR="001E19D5" w:rsidRPr="007C57D2" w:rsidRDefault="007C57D2" w:rsidP="008F3DAB">
      <w:pPr>
        <w:pStyle w:val="Prrafodelista"/>
        <w:numPr>
          <w:ilvl w:val="0"/>
          <w:numId w:val="3"/>
        </w:numPr>
        <w:tabs>
          <w:tab w:val="left" w:pos="567"/>
        </w:tabs>
        <w:ind w:left="0" w:firstLine="0"/>
        <w:jc w:val="both"/>
        <w:rPr>
          <w:rFonts w:ascii="Times New Roman" w:eastAsia="Aptos" w:hAnsi="Times New Roman"/>
          <w:sz w:val="28"/>
          <w:szCs w:val="28"/>
          <w:lang w:eastAsia="en-US"/>
        </w:rPr>
      </w:pPr>
      <w:r w:rsidRPr="007C57D2">
        <w:rPr>
          <w:rFonts w:ascii="Times New Roman" w:eastAsia="Aptos" w:hAnsi="Times New Roman"/>
          <w:sz w:val="28"/>
          <w:szCs w:val="28"/>
          <w:lang w:eastAsia="en-US"/>
        </w:rPr>
        <w:t xml:space="preserve">En el caso de los NNA, las anteriores prerrogativas adquieren una especial connotación en virtud de los artículos 44 y 45 de la Constitución Política que establecen el principio de prevalencia de sus derechos, el deber de protección “contra toda forma </w:t>
      </w:r>
      <w:r w:rsidRPr="007C57D2">
        <w:rPr>
          <w:rFonts w:ascii="Times New Roman" w:eastAsia="Aptos" w:hAnsi="Times New Roman"/>
          <w:sz w:val="28"/>
          <w:szCs w:val="28"/>
          <w:lang w:eastAsia="en-US"/>
        </w:rPr>
        <w:t>de abandono, violencia física o moral, secuestro, venta, abuso sexual, explotación laboral y económica”; así como el deber</w:t>
      </w:r>
      <w:r w:rsidRPr="007C57D2">
        <w:rPr>
          <w:rFonts w:ascii="Times New Roman" w:eastAsia="Aptos" w:hAnsi="Times New Roman"/>
          <w:sz w:val="28"/>
          <w:szCs w:val="28"/>
          <w:lang w:val="es-ES" w:eastAsia="en-US"/>
        </w:rPr>
        <w:t xml:space="preserve"> en cabeza de la familia, la sociedad y el Estado de “asistir y proteger al niño para garantizar su desarrollo armónico e integral y e</w:t>
      </w:r>
      <w:r w:rsidRPr="007C57D2">
        <w:rPr>
          <w:rFonts w:ascii="Times New Roman" w:eastAsia="Aptos" w:hAnsi="Times New Roman"/>
          <w:sz w:val="28"/>
          <w:szCs w:val="28"/>
          <w:lang w:val="es-ES" w:eastAsia="en-US"/>
        </w:rPr>
        <w:t>l ejercicio pleno de sus derechos”.</w:t>
      </w:r>
    </w:p>
    <w:p w:rsidR="001E19D5" w:rsidRPr="007C57D2" w:rsidRDefault="007C57D2" w:rsidP="008F3DAB">
      <w:pPr>
        <w:pStyle w:val="Prrafodelista"/>
        <w:ind w:left="0"/>
        <w:rPr>
          <w:rFonts w:ascii="Times New Roman" w:eastAsia="Aptos" w:hAnsi="Times New Roman"/>
          <w:sz w:val="28"/>
          <w:szCs w:val="28"/>
          <w:lang w:eastAsia="en-US"/>
        </w:rPr>
      </w:pPr>
    </w:p>
    <w:p w:rsidR="001E19D5" w:rsidRPr="007C57D2" w:rsidRDefault="007C57D2" w:rsidP="008F3DAB">
      <w:pPr>
        <w:pStyle w:val="Prrafodelista"/>
        <w:numPr>
          <w:ilvl w:val="0"/>
          <w:numId w:val="3"/>
        </w:numPr>
        <w:tabs>
          <w:tab w:val="left" w:pos="567"/>
        </w:tabs>
        <w:ind w:left="0" w:firstLine="0"/>
        <w:jc w:val="both"/>
        <w:rPr>
          <w:rFonts w:ascii="Times New Roman" w:eastAsia="Aptos" w:hAnsi="Times New Roman"/>
          <w:sz w:val="28"/>
          <w:szCs w:val="28"/>
          <w:lang w:eastAsia="en-US"/>
        </w:rPr>
      </w:pPr>
      <w:r w:rsidRPr="007C57D2">
        <w:rPr>
          <w:rFonts w:ascii="Times New Roman" w:eastAsia="Aptos" w:hAnsi="Times New Roman"/>
          <w:sz w:val="28"/>
          <w:szCs w:val="28"/>
          <w:lang w:eastAsia="en-US"/>
        </w:rPr>
        <w:t>Como ya se ha mencionado, acorde con la jurisprudencia constitucional, el interés superior de los NNA es “un imperativo ético, jurídicamente aceptado y socialmente asumido, que compromete prioritariamente la realización</w:t>
      </w:r>
      <w:r w:rsidRPr="007C57D2">
        <w:rPr>
          <w:rFonts w:ascii="Times New Roman" w:eastAsia="Aptos" w:hAnsi="Times New Roman"/>
          <w:sz w:val="28"/>
          <w:szCs w:val="28"/>
          <w:lang w:eastAsia="en-US"/>
        </w:rPr>
        <w:t xml:space="preserve"> de los más altos fines del Estado social de derecho y de la humanidad”. Este permite que “reciban un trato preferente en la toma de decisiones en que se vean involucrados sus derechos, de forma que se garantice su desarrollo armónico e integral como miemb</w:t>
      </w:r>
      <w:r w:rsidRPr="007C57D2">
        <w:rPr>
          <w:rFonts w:ascii="Times New Roman" w:eastAsia="Aptos" w:hAnsi="Times New Roman"/>
          <w:sz w:val="28"/>
          <w:szCs w:val="28"/>
          <w:lang w:eastAsia="en-US"/>
        </w:rPr>
        <w:t>ros de la sociedad”</w:t>
      </w:r>
      <w:r w:rsidRPr="007C57D2">
        <w:rPr>
          <w:rStyle w:val="Refdenotaalpie"/>
          <w:rFonts w:ascii="Times New Roman" w:eastAsia="Aptos" w:hAnsi="Times New Roman"/>
          <w:sz w:val="28"/>
          <w:szCs w:val="28"/>
          <w:lang w:eastAsia="en-US"/>
        </w:rPr>
        <w:footnoteReference w:id="312"/>
      </w:r>
      <w:r w:rsidRPr="007C57D2">
        <w:rPr>
          <w:rFonts w:ascii="Times New Roman" w:eastAsia="Aptos" w:hAnsi="Times New Roman"/>
          <w:sz w:val="28"/>
          <w:szCs w:val="28"/>
          <w:lang w:eastAsia="en-US"/>
        </w:rPr>
        <w:t xml:space="preserve">. </w:t>
      </w:r>
    </w:p>
    <w:p w:rsidR="001E19D5" w:rsidRPr="007C57D2" w:rsidRDefault="007C57D2" w:rsidP="008F3DAB">
      <w:pPr>
        <w:pStyle w:val="Prrafodelista"/>
        <w:ind w:left="0"/>
        <w:rPr>
          <w:rFonts w:ascii="Times New Roman" w:eastAsia="Aptos" w:hAnsi="Times New Roman"/>
          <w:sz w:val="28"/>
          <w:szCs w:val="28"/>
          <w:lang w:eastAsia="en-US"/>
        </w:rPr>
      </w:pPr>
    </w:p>
    <w:p w:rsidR="001E19D5" w:rsidRPr="007C57D2" w:rsidRDefault="007C57D2" w:rsidP="008F3DAB">
      <w:pPr>
        <w:pStyle w:val="Prrafodelista"/>
        <w:numPr>
          <w:ilvl w:val="0"/>
          <w:numId w:val="3"/>
        </w:numPr>
        <w:tabs>
          <w:tab w:val="left" w:pos="567"/>
        </w:tabs>
        <w:ind w:left="0" w:firstLine="0"/>
        <w:jc w:val="both"/>
        <w:rPr>
          <w:rFonts w:ascii="Times New Roman" w:eastAsia="Aptos" w:hAnsi="Times New Roman"/>
          <w:sz w:val="28"/>
          <w:szCs w:val="28"/>
          <w:lang w:eastAsia="en-US"/>
        </w:rPr>
      </w:pPr>
      <w:r w:rsidRPr="007C57D2">
        <w:rPr>
          <w:rFonts w:ascii="Times New Roman" w:eastAsia="Aptos" w:hAnsi="Times New Roman"/>
          <w:sz w:val="28"/>
          <w:szCs w:val="28"/>
          <w:lang w:eastAsia="en-US"/>
        </w:rPr>
        <w:t>En el plano del derecho internacional, existen instrumentos que se incorporan al bloque de constitucionalidad y que les imponen a los Estados parte una serie de obligaciones dirigidas a prevenir y amparar a los NNA de situaciones de</w:t>
      </w:r>
      <w:r w:rsidRPr="007C57D2">
        <w:rPr>
          <w:rFonts w:ascii="Times New Roman" w:eastAsia="Aptos" w:hAnsi="Times New Roman"/>
          <w:sz w:val="28"/>
          <w:szCs w:val="28"/>
          <w:lang w:eastAsia="en-US"/>
        </w:rPr>
        <w:t xml:space="preserve"> desaparición, extravío, tráfico internacional o trata de personas. Entre ellos, cabe resaltar la</w:t>
      </w:r>
      <w:r w:rsidRPr="007C57D2">
        <w:rPr>
          <w:rFonts w:ascii="Times New Roman" w:eastAsia="Aptos" w:hAnsi="Times New Roman"/>
          <w:sz w:val="28"/>
          <w:szCs w:val="28"/>
          <w:lang w:val="es-ES" w:eastAsia="en-US"/>
        </w:rPr>
        <w:t xml:space="preserve"> Convención sobre los Derechos de los Niños que establece, en su artículo 35, que los Estados parte tienen la obligación de adoptar medidas de carácter naciona</w:t>
      </w:r>
      <w:r w:rsidRPr="007C57D2">
        <w:rPr>
          <w:rFonts w:ascii="Times New Roman" w:eastAsia="Aptos" w:hAnsi="Times New Roman"/>
          <w:sz w:val="28"/>
          <w:szCs w:val="28"/>
          <w:lang w:val="es-ES" w:eastAsia="en-US"/>
        </w:rPr>
        <w:t xml:space="preserve">l, bilateral y multilateral contra “el secuestro, </w:t>
      </w:r>
      <w:r w:rsidRPr="007C57D2">
        <w:rPr>
          <w:rFonts w:ascii="Times New Roman" w:hAnsi="Times New Roman"/>
          <w:sz w:val="28"/>
          <w:szCs w:val="28"/>
          <w:lang w:eastAsia="es-CO"/>
        </w:rPr>
        <w:t>la venta o la trata de niños para cualquier fin o en cualquier forma”.</w:t>
      </w:r>
      <w:r w:rsidRPr="007C57D2">
        <w:rPr>
          <w:rFonts w:ascii="Times New Roman" w:eastAsia="Aptos" w:hAnsi="Times New Roman"/>
          <w:sz w:val="28"/>
          <w:szCs w:val="28"/>
          <w:lang w:eastAsia="en-US"/>
        </w:rPr>
        <w:t xml:space="preserve"> </w:t>
      </w:r>
    </w:p>
    <w:p w:rsidR="001E19D5" w:rsidRPr="007C57D2" w:rsidRDefault="007C57D2" w:rsidP="008F3DAB">
      <w:pPr>
        <w:spacing w:after="0" w:line="240" w:lineRule="auto"/>
        <w:rPr>
          <w:rFonts w:ascii="Times New Roman" w:eastAsia="Aptos"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Aptos" w:hAnsi="Times New Roman"/>
          <w:sz w:val="28"/>
          <w:szCs w:val="28"/>
          <w:lang w:eastAsia="en-US"/>
        </w:rPr>
      </w:pPr>
      <w:r w:rsidRPr="007C57D2">
        <w:rPr>
          <w:rFonts w:ascii="Times New Roman" w:eastAsia="Aptos" w:hAnsi="Times New Roman"/>
          <w:sz w:val="28"/>
          <w:szCs w:val="28"/>
          <w:lang w:eastAsia="en-US"/>
        </w:rPr>
        <w:t>En cumplimiento de algunos compromisos internacionales, el legislador colombiano profirió la Ley 679 de 2001</w:t>
      </w:r>
      <w:r w:rsidRPr="007C57D2">
        <w:rPr>
          <w:rStyle w:val="Refdenotaalpie"/>
          <w:rFonts w:ascii="Times New Roman" w:eastAsia="Aptos" w:hAnsi="Times New Roman"/>
          <w:sz w:val="28"/>
          <w:szCs w:val="28"/>
          <w:lang w:eastAsia="en-US"/>
        </w:rPr>
        <w:footnoteReference w:id="313"/>
      </w:r>
      <w:r w:rsidRPr="007C57D2">
        <w:rPr>
          <w:rFonts w:ascii="Times New Roman" w:eastAsia="Aptos" w:hAnsi="Times New Roman"/>
          <w:sz w:val="28"/>
          <w:szCs w:val="28"/>
          <w:lang w:eastAsia="en-US"/>
        </w:rPr>
        <w:t xml:space="preserve">, adicionada por la Ley </w:t>
      </w:r>
      <w:r w:rsidRPr="007C57D2">
        <w:rPr>
          <w:rFonts w:ascii="Times New Roman" w:eastAsia="Aptos" w:hAnsi="Times New Roman"/>
          <w:sz w:val="28"/>
          <w:szCs w:val="28"/>
          <w:lang w:eastAsia="en-US"/>
        </w:rPr>
        <w:t>1336 de 2009</w:t>
      </w:r>
      <w:r w:rsidRPr="007C57D2">
        <w:rPr>
          <w:rStyle w:val="Refdenotaalpie"/>
          <w:rFonts w:ascii="Times New Roman" w:eastAsia="Aptos" w:hAnsi="Times New Roman"/>
          <w:sz w:val="28"/>
          <w:szCs w:val="28"/>
          <w:lang w:eastAsia="en-US"/>
        </w:rPr>
        <w:footnoteReference w:id="314"/>
      </w:r>
      <w:r w:rsidRPr="007C57D2">
        <w:rPr>
          <w:rFonts w:ascii="Times New Roman" w:eastAsia="Aptos" w:hAnsi="Times New Roman"/>
          <w:sz w:val="28"/>
          <w:szCs w:val="28"/>
          <w:lang w:eastAsia="en-US"/>
        </w:rPr>
        <w:t>, que incluye medidas de protección contra la explotación, la pornografía, el turismo sexual y demás formas de abuso sexual de NNA, mediante el establecimiento de normas de carácter preventivo y sancionatorio. Particularmente, en su artículo 2</w:t>
      </w:r>
      <w:r w:rsidRPr="007C57D2">
        <w:rPr>
          <w:rFonts w:ascii="Times New Roman" w:eastAsia="Aptos" w:hAnsi="Times New Roman"/>
          <w:sz w:val="28"/>
          <w:szCs w:val="28"/>
          <w:lang w:eastAsia="en-US"/>
        </w:rPr>
        <w:t>9, la ley establece que la Policía Nacional “llevará un registro de menores de edad desaparecidos, en relación con los cuales establecerá prioridades de búsqueda y devolución a sus familias”. Además, dispone que “los niños desaparecidos durante más de tres</w:t>
      </w:r>
      <w:r w:rsidRPr="007C57D2">
        <w:rPr>
          <w:rFonts w:ascii="Times New Roman" w:eastAsia="Aptos" w:hAnsi="Times New Roman"/>
          <w:sz w:val="28"/>
          <w:szCs w:val="28"/>
          <w:lang w:eastAsia="en-US"/>
        </w:rPr>
        <w:t xml:space="preserve"> meses, deberán ser incluidos en los comunicados internacionales sobre personas desaparecidas en la sede de la Interpol”.</w:t>
      </w:r>
    </w:p>
    <w:p w:rsidR="001E19D5" w:rsidRPr="007C57D2" w:rsidRDefault="007C57D2" w:rsidP="008F3DAB">
      <w:pPr>
        <w:pStyle w:val="Prrafodelista"/>
        <w:tabs>
          <w:tab w:val="left" w:pos="567"/>
        </w:tabs>
        <w:ind w:left="0"/>
        <w:jc w:val="both"/>
        <w:rPr>
          <w:rFonts w:ascii="Times New Roman" w:eastAsia="Aptos" w:hAnsi="Times New Roman"/>
          <w:sz w:val="28"/>
          <w:szCs w:val="28"/>
          <w:lang w:eastAsia="en-US"/>
        </w:rPr>
      </w:pPr>
    </w:p>
    <w:p w:rsidR="001E19D5" w:rsidRPr="007C57D2" w:rsidRDefault="007C57D2" w:rsidP="008F3DAB">
      <w:pPr>
        <w:pStyle w:val="Prrafodelista"/>
        <w:numPr>
          <w:ilvl w:val="0"/>
          <w:numId w:val="3"/>
        </w:numPr>
        <w:tabs>
          <w:tab w:val="left" w:pos="567"/>
        </w:tabs>
        <w:ind w:left="0" w:firstLine="0"/>
        <w:jc w:val="both"/>
        <w:rPr>
          <w:rFonts w:ascii="Times New Roman" w:eastAsia="Aptos" w:hAnsi="Times New Roman"/>
          <w:sz w:val="28"/>
          <w:szCs w:val="28"/>
          <w:lang w:eastAsia="en-US"/>
        </w:rPr>
      </w:pPr>
      <w:r w:rsidRPr="007C57D2">
        <w:rPr>
          <w:rFonts w:ascii="Times New Roman" w:eastAsia="Aptos" w:hAnsi="Times New Roman"/>
          <w:sz w:val="28"/>
          <w:szCs w:val="28"/>
          <w:lang w:eastAsia="en-US"/>
        </w:rPr>
        <w:t>Finalmente, la Ley 2489</w:t>
      </w:r>
      <w:r w:rsidRPr="007C57D2">
        <w:rPr>
          <w:rStyle w:val="Refdenotaalpie"/>
          <w:rFonts w:ascii="Times New Roman" w:eastAsia="Aptos" w:hAnsi="Times New Roman"/>
          <w:sz w:val="28"/>
          <w:szCs w:val="28"/>
          <w:lang w:eastAsia="en-US"/>
        </w:rPr>
        <w:footnoteReference w:id="315"/>
      </w:r>
      <w:r w:rsidRPr="007C57D2">
        <w:rPr>
          <w:rFonts w:ascii="Times New Roman" w:eastAsia="Aptos" w:hAnsi="Times New Roman"/>
          <w:sz w:val="28"/>
          <w:szCs w:val="28"/>
          <w:lang w:eastAsia="en-US"/>
        </w:rPr>
        <w:t xml:space="preserve"> del 17 de julio de 2025  ordenó crear un sistema integral de monitoreo, evaluación y desarrollo tecnológico </w:t>
      </w:r>
      <w:r w:rsidRPr="007C57D2">
        <w:rPr>
          <w:rFonts w:ascii="Times New Roman" w:eastAsia="Aptos" w:hAnsi="Times New Roman"/>
          <w:sz w:val="28"/>
          <w:szCs w:val="28"/>
          <w:lang w:eastAsia="en-US"/>
        </w:rPr>
        <w:t>dedicado a la protección de NNA en entornos digitales</w:t>
      </w:r>
      <w:r w:rsidRPr="007C57D2">
        <w:rPr>
          <w:rStyle w:val="Refdenotaalpie"/>
          <w:rFonts w:ascii="Times New Roman" w:eastAsia="Aptos" w:hAnsi="Times New Roman"/>
          <w:sz w:val="28"/>
          <w:szCs w:val="28"/>
          <w:lang w:eastAsia="en-US"/>
        </w:rPr>
        <w:footnoteReference w:id="316"/>
      </w:r>
      <w:r w:rsidRPr="007C57D2">
        <w:rPr>
          <w:rFonts w:ascii="Times New Roman" w:eastAsia="Aptos" w:hAnsi="Times New Roman"/>
          <w:sz w:val="28"/>
          <w:szCs w:val="28"/>
          <w:lang w:eastAsia="en-US"/>
        </w:rPr>
        <w:t xml:space="preserve"> . Ese sistema se debe enfocar en “desarrollar e implementar herramientas tecnológicas avanzadas para la detección temprana y prevención de riesgos como el ciberacoso, la exposición a contenido inapropi</w:t>
      </w:r>
      <w:r w:rsidRPr="007C57D2">
        <w:rPr>
          <w:rFonts w:ascii="Times New Roman" w:eastAsia="Aptos" w:hAnsi="Times New Roman"/>
          <w:sz w:val="28"/>
          <w:szCs w:val="28"/>
          <w:lang w:eastAsia="en-US"/>
        </w:rPr>
        <w:t>ado, la explotación sexual en línea y delito de trata de personas”</w:t>
      </w:r>
      <w:r w:rsidRPr="007C57D2">
        <w:rPr>
          <w:rStyle w:val="Refdenotaalpie"/>
          <w:rFonts w:ascii="Times New Roman" w:eastAsia="Aptos" w:hAnsi="Times New Roman"/>
          <w:sz w:val="28"/>
          <w:szCs w:val="28"/>
          <w:lang w:eastAsia="en-US"/>
        </w:rPr>
        <w:footnoteReference w:id="317"/>
      </w:r>
      <w:r w:rsidRPr="007C57D2">
        <w:rPr>
          <w:rFonts w:ascii="Times New Roman" w:eastAsia="Aptos" w:hAnsi="Times New Roman"/>
          <w:sz w:val="28"/>
          <w:szCs w:val="28"/>
          <w:lang w:eastAsia="en-US"/>
        </w:rPr>
        <w:t xml:space="preserve"> . Expresamente señala la norma que dicho sistema “garantizará que estas tecnologías respeten los derechos de privacidad y protección de datos personales de los menores de 18 años, en confo</w:t>
      </w:r>
      <w:r w:rsidRPr="007C57D2">
        <w:rPr>
          <w:rFonts w:ascii="Times New Roman" w:eastAsia="Aptos" w:hAnsi="Times New Roman"/>
          <w:sz w:val="28"/>
          <w:szCs w:val="28"/>
          <w:lang w:eastAsia="en-US"/>
        </w:rPr>
        <w:t>rmidad con la legislación nacional e internacional.”</w:t>
      </w:r>
      <w:r w:rsidRPr="007C57D2">
        <w:rPr>
          <w:rStyle w:val="Refdenotaalpie"/>
          <w:rFonts w:ascii="Times New Roman" w:eastAsia="Aptos" w:hAnsi="Times New Roman"/>
          <w:sz w:val="28"/>
          <w:szCs w:val="28"/>
          <w:lang w:eastAsia="en-US"/>
        </w:rPr>
        <w:t xml:space="preserve"> </w:t>
      </w:r>
      <w:r w:rsidRPr="007C57D2">
        <w:rPr>
          <w:rStyle w:val="Refdenotaalpie"/>
          <w:rFonts w:ascii="Times New Roman" w:eastAsia="Aptos" w:hAnsi="Times New Roman"/>
          <w:sz w:val="28"/>
          <w:szCs w:val="28"/>
          <w:lang w:eastAsia="en-US"/>
        </w:rPr>
        <w:footnoteReference w:id="318"/>
      </w:r>
      <w:r w:rsidRPr="007C57D2">
        <w:rPr>
          <w:rFonts w:ascii="Times New Roman" w:eastAsia="Aptos" w:hAnsi="Times New Roman"/>
          <w:sz w:val="28"/>
          <w:szCs w:val="28"/>
          <w:lang w:eastAsia="en-US"/>
        </w:rPr>
        <w:t xml:space="preserve">  .</w:t>
      </w:r>
    </w:p>
    <w:p w:rsidR="001E19D5" w:rsidRPr="007C57D2" w:rsidRDefault="007C57D2" w:rsidP="008F3DAB">
      <w:pPr>
        <w:pStyle w:val="Prrafodelista"/>
        <w:ind w:left="0"/>
        <w:rPr>
          <w:rFonts w:ascii="Times New Roman" w:eastAsia="Aptos" w:hAnsi="Times New Roman"/>
          <w:sz w:val="28"/>
          <w:szCs w:val="28"/>
          <w:lang w:eastAsia="en-US"/>
        </w:rPr>
      </w:pPr>
    </w:p>
    <w:p w:rsidR="001E19D5" w:rsidRPr="007C57D2" w:rsidRDefault="007C57D2" w:rsidP="008F3DAB">
      <w:pPr>
        <w:spacing w:after="0" w:line="240" w:lineRule="auto"/>
        <w:jc w:val="both"/>
        <w:rPr>
          <w:rFonts w:ascii="Times New Roman" w:hAnsi="Times New Roman"/>
          <w:b/>
          <w:bCs/>
          <w:sz w:val="28"/>
          <w:szCs w:val="28"/>
        </w:rPr>
      </w:pPr>
      <w:bookmarkStart w:id="34" w:name="_Toc209178801"/>
      <w:r w:rsidRPr="007C57D2">
        <w:rPr>
          <w:rFonts w:ascii="Times New Roman" w:hAnsi="Times New Roman"/>
          <w:b/>
          <w:bCs/>
          <w:sz w:val="28"/>
          <w:szCs w:val="28"/>
        </w:rPr>
        <w:t xml:space="preserve">5.1.2 El conflicto armado y la desaparición o extravío de niños, niñas y adolescentes en Colombia </w:t>
      </w:r>
      <w:bookmarkEnd w:id="34"/>
    </w:p>
    <w:p w:rsidR="001E19D5" w:rsidRPr="007C57D2" w:rsidRDefault="007C57D2" w:rsidP="008F3DAB">
      <w:pPr>
        <w:spacing w:after="0" w:line="240" w:lineRule="auto"/>
        <w:rPr>
          <w:rFonts w:ascii="Times New Roman" w:hAnsi="Times New Roman"/>
          <w:b/>
          <w:bCs/>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MS Gothic" w:hAnsi="Times New Roman"/>
          <w:sz w:val="28"/>
          <w:szCs w:val="28"/>
          <w:lang w:eastAsia="es-CO"/>
        </w:rPr>
      </w:pPr>
      <w:r w:rsidRPr="007C57D2">
        <w:rPr>
          <w:rFonts w:ascii="Times New Roman" w:hAnsi="Times New Roman"/>
          <w:sz w:val="28"/>
          <w:szCs w:val="28"/>
        </w:rPr>
        <w:t xml:space="preserve">El conflicto armado constituye uno —aunque no el único— de los escenarios que explican la desaparición de menores de edad en Colombia, pues muchos niños, niñas y adolescentes han sido reclutados, desaparecidos o secuestrados en su contexto. </w:t>
      </w:r>
      <w:r w:rsidRPr="007C57D2">
        <w:rPr>
          <w:rFonts w:ascii="Times New Roman" w:eastAsia="MS Gothic" w:hAnsi="Times New Roman"/>
          <w:sz w:val="28"/>
          <w:szCs w:val="28"/>
          <w:lang w:eastAsia="es-CO"/>
        </w:rPr>
        <w:t xml:space="preserve">De acuerdo con </w:t>
      </w:r>
      <w:r w:rsidRPr="007C57D2">
        <w:rPr>
          <w:rFonts w:ascii="Times New Roman" w:eastAsia="MS Gothic" w:hAnsi="Times New Roman"/>
          <w:sz w:val="28"/>
          <w:szCs w:val="28"/>
          <w:lang w:eastAsia="es-CO"/>
        </w:rPr>
        <w:t xml:space="preserve">un </w:t>
      </w:r>
      <w:r w:rsidRPr="007C57D2">
        <w:rPr>
          <w:rFonts w:ascii="Times New Roman" w:eastAsia="MS Gothic" w:hAnsi="Times New Roman"/>
          <w:sz w:val="28"/>
          <w:szCs w:val="28"/>
          <w:lang w:eastAsia="es-CO"/>
        </w:rPr>
        <w:t>informe</w:t>
      </w:r>
      <w:r w:rsidRPr="007C57D2">
        <w:rPr>
          <w:rFonts w:ascii="Times New Roman" w:eastAsia="MS Gothic" w:hAnsi="Times New Roman"/>
          <w:sz w:val="28"/>
          <w:szCs w:val="28"/>
          <w:lang w:eastAsia="es-CO"/>
        </w:rPr>
        <w:t xml:space="preserve"> </w:t>
      </w:r>
      <w:r w:rsidRPr="007C57D2">
        <w:rPr>
          <w:rFonts w:ascii="Times New Roman" w:eastAsia="MS Gothic" w:hAnsi="Times New Roman"/>
          <w:sz w:val="28"/>
          <w:szCs w:val="28"/>
          <w:lang w:eastAsia="es-CO"/>
        </w:rPr>
        <w:t xml:space="preserve">de 2025 </w:t>
      </w:r>
      <w:r w:rsidRPr="007C57D2">
        <w:rPr>
          <w:rFonts w:ascii="Times New Roman" w:eastAsia="MS Gothic" w:hAnsi="Times New Roman"/>
          <w:sz w:val="28"/>
          <w:szCs w:val="28"/>
          <w:lang w:eastAsia="es-CO"/>
        </w:rPr>
        <w:t>del Secretario General de Naciones Unidas sobre niñez y conflictos armados, los NNA se llevan “la peor parte de las hostilidades y los ataques indiscriminados”</w:t>
      </w:r>
      <w:r w:rsidRPr="007C57D2">
        <w:rPr>
          <w:rStyle w:val="Refdenotaalpie"/>
          <w:rFonts w:ascii="Times New Roman" w:eastAsia="MS Gothic" w:hAnsi="Times New Roman"/>
          <w:sz w:val="28"/>
          <w:szCs w:val="28"/>
          <w:lang w:eastAsia="es-CO"/>
        </w:rPr>
        <w:footnoteReference w:id="319"/>
      </w:r>
      <w:r w:rsidRPr="007C57D2">
        <w:rPr>
          <w:rFonts w:ascii="Times New Roman" w:eastAsia="MS Gothic" w:hAnsi="Times New Roman"/>
          <w:sz w:val="28"/>
          <w:szCs w:val="28"/>
          <w:lang w:eastAsia="es-CO"/>
        </w:rPr>
        <w:t>; sus derechos son los más propensos a verse afectados, dadas las condiciones</w:t>
      </w:r>
      <w:r w:rsidRPr="007C57D2">
        <w:rPr>
          <w:rFonts w:ascii="Times New Roman" w:eastAsia="MS Gothic" w:hAnsi="Times New Roman"/>
          <w:sz w:val="28"/>
          <w:szCs w:val="28"/>
          <w:lang w:eastAsia="es-CO"/>
        </w:rPr>
        <w:t xml:space="preserve"> de indefensión y vulnerabilidad en las que se encuentran.</w:t>
      </w:r>
      <w:r w:rsidRPr="007C57D2">
        <w:rPr>
          <w:rFonts w:ascii="Times New Roman" w:eastAsia="MS Gothic" w:hAnsi="Times New Roman"/>
          <w:sz w:val="28"/>
          <w:szCs w:val="28"/>
          <w:lang w:eastAsia="es-CO"/>
        </w:rPr>
        <w:t xml:space="preserve"> Particularmente, el informe señala que </w:t>
      </w:r>
      <w:r w:rsidRPr="007C57D2">
        <w:rPr>
          <w:rFonts w:ascii="Times New Roman" w:eastAsia="MS Gothic" w:hAnsi="Times New Roman"/>
          <w:sz w:val="28"/>
          <w:szCs w:val="28"/>
          <w:lang w:eastAsia="es-CO"/>
        </w:rPr>
        <w:t>durante el año 2024,</w:t>
      </w:r>
      <w:r w:rsidRPr="007C57D2" w:rsidDel="005D189E">
        <w:rPr>
          <w:rFonts w:ascii="Times New Roman" w:eastAsia="MS Gothic" w:hAnsi="Times New Roman"/>
          <w:sz w:val="28"/>
          <w:szCs w:val="28"/>
          <w:lang w:eastAsia="es-CO"/>
        </w:rPr>
        <w:t xml:space="preserve"> </w:t>
      </w:r>
      <w:r w:rsidRPr="007C57D2">
        <w:rPr>
          <w:rFonts w:ascii="Times New Roman" w:eastAsia="MS Gothic" w:hAnsi="Times New Roman"/>
          <w:sz w:val="28"/>
          <w:szCs w:val="28"/>
          <w:lang w:eastAsia="es-CO"/>
        </w:rPr>
        <w:t xml:space="preserve"> se verificaron 646 violaciones graves contra 513 de </w:t>
      </w:r>
      <w:r w:rsidRPr="007C57D2">
        <w:rPr>
          <w:rFonts w:ascii="Times New Roman" w:eastAsia="MS Gothic" w:hAnsi="Times New Roman"/>
          <w:sz w:val="28"/>
          <w:szCs w:val="28"/>
          <w:lang w:eastAsia="es-CO"/>
        </w:rPr>
        <w:t>NNA</w:t>
      </w:r>
      <w:r w:rsidRPr="007C57D2">
        <w:rPr>
          <w:rFonts w:ascii="Times New Roman" w:eastAsia="MS Gothic" w:hAnsi="Times New Roman"/>
          <w:sz w:val="28"/>
          <w:szCs w:val="28"/>
          <w:lang w:eastAsia="es-CO"/>
        </w:rPr>
        <w:t xml:space="preserve">; las cuales incluyen reclutamiento y utilización, asesinatos y mutilaciones, violencia sexual, secuestros, denegación de acceso humanitario y ataques a escuelas y hospitales, con un impacto especial sobre la población indígena y afrocolombiana. </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MS Gothic" w:hAnsi="Times New Roman"/>
          <w:sz w:val="28"/>
          <w:szCs w:val="28"/>
          <w:lang w:eastAsia="es-CO"/>
        </w:rPr>
      </w:pPr>
      <w:r w:rsidRPr="007C57D2">
        <w:rPr>
          <w:rFonts w:ascii="Times New Roman" w:hAnsi="Times New Roman"/>
          <w:sz w:val="28"/>
          <w:szCs w:val="28"/>
        </w:rPr>
        <w:t>En ese e</w:t>
      </w:r>
      <w:r w:rsidRPr="007C57D2">
        <w:rPr>
          <w:rFonts w:ascii="Times New Roman" w:hAnsi="Times New Roman"/>
          <w:sz w:val="28"/>
          <w:szCs w:val="28"/>
        </w:rPr>
        <w:t>scenario de violencia y afectación de derechos, el Estado tiene una serie de obligaciones y deberes orientados a la protección integral de los NNA, derivados de la propia Constitución y de distintos tratados internacionales que la integran a través del blo</w:t>
      </w:r>
      <w:r w:rsidRPr="007C57D2">
        <w:rPr>
          <w:rFonts w:ascii="Times New Roman" w:hAnsi="Times New Roman"/>
          <w:sz w:val="28"/>
          <w:szCs w:val="28"/>
        </w:rPr>
        <w:t xml:space="preserve">que de constitucionalidad. </w:t>
      </w:r>
    </w:p>
    <w:p w:rsidR="001E19D5" w:rsidRPr="007C57D2" w:rsidRDefault="007C57D2" w:rsidP="008F3DAB">
      <w:pPr>
        <w:pStyle w:val="Prrafodelista"/>
        <w:ind w:left="0"/>
        <w:rPr>
          <w:rFonts w:ascii="Times New Roman" w:eastAsia="MS Gothic" w:hAnsi="Times New Roman"/>
          <w:sz w:val="28"/>
          <w:szCs w:val="28"/>
          <w:lang w:eastAsia="es-CO"/>
        </w:rPr>
      </w:pPr>
    </w:p>
    <w:p w:rsidR="001E19D5" w:rsidRPr="007C57D2" w:rsidRDefault="007C57D2" w:rsidP="008F3DAB">
      <w:pPr>
        <w:pStyle w:val="Prrafodelista"/>
        <w:numPr>
          <w:ilvl w:val="0"/>
          <w:numId w:val="3"/>
        </w:numPr>
        <w:tabs>
          <w:tab w:val="left" w:pos="567"/>
        </w:tabs>
        <w:ind w:left="0" w:firstLine="0"/>
        <w:jc w:val="both"/>
        <w:rPr>
          <w:rFonts w:ascii="Times New Roman" w:eastAsia="MS Gothic" w:hAnsi="Times New Roman"/>
          <w:sz w:val="28"/>
          <w:szCs w:val="28"/>
          <w:lang w:eastAsia="es-CO"/>
        </w:rPr>
      </w:pPr>
      <w:r w:rsidRPr="007C57D2">
        <w:rPr>
          <w:rFonts w:ascii="Times New Roman" w:eastAsia="MS Gothic" w:hAnsi="Times New Roman"/>
          <w:sz w:val="28"/>
          <w:szCs w:val="28"/>
          <w:lang w:eastAsia="es-CO"/>
        </w:rPr>
        <w:t>Por ejemplo,</w:t>
      </w:r>
      <w:r w:rsidRPr="007C57D2">
        <w:rPr>
          <w:rFonts w:ascii="Times New Roman" w:hAnsi="Times New Roman"/>
          <w:sz w:val="28"/>
          <w:szCs w:val="28"/>
        </w:rPr>
        <w:t xml:space="preserve"> la Convención Internacional para la Protección de todas las Personas contra las Desapariciones Forzadas</w:t>
      </w:r>
      <w:r w:rsidRPr="007C57D2">
        <w:rPr>
          <w:rStyle w:val="Refdenotaalpie"/>
          <w:rFonts w:ascii="Times New Roman" w:hAnsi="Times New Roman"/>
          <w:sz w:val="28"/>
          <w:szCs w:val="28"/>
        </w:rPr>
        <w:footnoteReference w:id="320"/>
      </w:r>
      <w:r w:rsidRPr="007C57D2">
        <w:rPr>
          <w:rFonts w:ascii="Times New Roman" w:hAnsi="Times New Roman"/>
          <w:sz w:val="28"/>
          <w:szCs w:val="28"/>
        </w:rPr>
        <w:t xml:space="preserve"> dispone medidas especiales para prevenir y sancionar acciones de desaparición forzada contra NNA. En su artículo 25, la Convención dispone que los Estados parte deberán sancionar penalmente la apropiación de niños sometidos a desaparición forzada, así com</w:t>
      </w:r>
      <w:r w:rsidRPr="007C57D2">
        <w:rPr>
          <w:rFonts w:ascii="Times New Roman" w:hAnsi="Times New Roman"/>
          <w:sz w:val="28"/>
          <w:szCs w:val="28"/>
        </w:rPr>
        <w:t xml:space="preserve">o adoptar medidas para identificarlos y restituirlos a sus familias de origen. </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MS Gothic" w:hAnsi="Times New Roman"/>
          <w:sz w:val="28"/>
          <w:szCs w:val="28"/>
          <w:lang w:eastAsia="es-CO"/>
        </w:rPr>
      </w:pPr>
      <w:r w:rsidRPr="007C57D2">
        <w:rPr>
          <w:rFonts w:ascii="Times New Roman" w:hAnsi="Times New Roman"/>
          <w:sz w:val="28"/>
          <w:szCs w:val="28"/>
        </w:rPr>
        <w:t>Además, les impone la obligación de prestarse asistencia mutua en la búsqueda, identificación y localización de niños y niñas desaparecidos; y establece reglas para la revisió</w:t>
      </w:r>
      <w:r w:rsidRPr="007C57D2">
        <w:rPr>
          <w:rFonts w:ascii="Times New Roman" w:hAnsi="Times New Roman"/>
          <w:sz w:val="28"/>
          <w:szCs w:val="28"/>
        </w:rPr>
        <w:t>n de procedimientos de adopción, colocación o guarda. Como principio rector, la Convención establece el interés superior del niño y hace referencia a su derecho a expresar libremente sus opiniones, que serán debidamente valoradas en función de su edad y ma</w:t>
      </w:r>
      <w:r w:rsidRPr="007C57D2">
        <w:rPr>
          <w:rFonts w:ascii="Times New Roman" w:hAnsi="Times New Roman"/>
          <w:sz w:val="28"/>
          <w:szCs w:val="28"/>
        </w:rPr>
        <w:t>durez.</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MS Gothic" w:hAnsi="Times New Roman"/>
          <w:sz w:val="28"/>
          <w:szCs w:val="28"/>
          <w:lang w:eastAsia="es-CO"/>
        </w:rPr>
      </w:pPr>
      <w:r w:rsidRPr="007C57D2">
        <w:rPr>
          <w:rFonts w:ascii="Times New Roman" w:hAnsi="Times New Roman"/>
          <w:sz w:val="28"/>
          <w:szCs w:val="28"/>
        </w:rPr>
        <w:t>En esa misma línea, la Convención Interamericana sobre Desaparición Forzada de Personas</w:t>
      </w:r>
      <w:r w:rsidRPr="007C57D2">
        <w:rPr>
          <w:rStyle w:val="Refdenotaalpie"/>
          <w:rFonts w:ascii="Times New Roman" w:hAnsi="Times New Roman"/>
          <w:sz w:val="28"/>
          <w:szCs w:val="28"/>
        </w:rPr>
        <w:footnoteReference w:id="321"/>
      </w:r>
      <w:r w:rsidRPr="007C57D2">
        <w:rPr>
          <w:rFonts w:ascii="Times New Roman" w:hAnsi="Times New Roman"/>
          <w:sz w:val="28"/>
          <w:szCs w:val="28"/>
        </w:rPr>
        <w:t xml:space="preserve"> dispone que los Estados parte deberán prestarse cooperación recíproca en la búsqueda, identificación, localización y restitución de NNA que hubieren sido trasl</w:t>
      </w:r>
      <w:r w:rsidRPr="007C57D2">
        <w:rPr>
          <w:rFonts w:ascii="Times New Roman" w:hAnsi="Times New Roman"/>
          <w:sz w:val="28"/>
          <w:szCs w:val="28"/>
        </w:rPr>
        <w:t xml:space="preserve">adados a otro Estado o retenidos en éste, como consecuencia de la desaparición forzada de sus padres, tutores o guardadores. Con lo cual se busca “dar respuesta a una desafortunada realidad que acompañó la desaparición forzada de personas en muchos países </w:t>
      </w:r>
      <w:r w:rsidRPr="007C57D2">
        <w:rPr>
          <w:rFonts w:ascii="Times New Roman" w:hAnsi="Times New Roman"/>
          <w:sz w:val="28"/>
          <w:szCs w:val="28"/>
        </w:rPr>
        <w:t>y que consiste en sustraer a los niños del control de sus padres desaparecidos y de sus familiares para entregárselos a otras familias, inclusive a las mismas personas que ejecutaron la desaparición forzada”</w:t>
      </w:r>
      <w:r w:rsidRPr="007C57D2">
        <w:rPr>
          <w:rStyle w:val="Refdenotaalpie"/>
          <w:rFonts w:ascii="Times New Roman" w:hAnsi="Times New Roman"/>
          <w:sz w:val="28"/>
          <w:szCs w:val="28"/>
        </w:rPr>
        <w:footnoteReference w:id="322"/>
      </w:r>
      <w:r w:rsidRPr="007C57D2">
        <w:rPr>
          <w:rFonts w:ascii="Times New Roman" w:hAnsi="Times New Roman"/>
          <w:sz w:val="28"/>
          <w:szCs w:val="28"/>
        </w:rPr>
        <w:t>.</w:t>
      </w:r>
    </w:p>
    <w:p w:rsidR="001E19D5" w:rsidRPr="007C57D2" w:rsidRDefault="007C57D2" w:rsidP="008F3DAB">
      <w:pPr>
        <w:pStyle w:val="Prrafodelista"/>
        <w:tabs>
          <w:tab w:val="left" w:pos="567"/>
        </w:tabs>
        <w:ind w:left="0"/>
        <w:jc w:val="both"/>
        <w:rPr>
          <w:rFonts w:ascii="Times New Roman" w:eastAsia="MS Gothic" w:hAnsi="Times New Roman"/>
          <w:sz w:val="28"/>
          <w:szCs w:val="28"/>
          <w:lang w:eastAsia="es-CO"/>
        </w:rPr>
      </w:pPr>
    </w:p>
    <w:p w:rsidR="001E19D5" w:rsidRPr="007C57D2" w:rsidRDefault="007C57D2" w:rsidP="008F3DAB">
      <w:pPr>
        <w:pStyle w:val="Prrafodelista"/>
        <w:numPr>
          <w:ilvl w:val="0"/>
          <w:numId w:val="3"/>
        </w:numPr>
        <w:tabs>
          <w:tab w:val="left" w:pos="567"/>
        </w:tabs>
        <w:ind w:left="0" w:firstLine="0"/>
        <w:jc w:val="both"/>
        <w:rPr>
          <w:rFonts w:ascii="Times New Roman" w:eastAsia="MS Gothic" w:hAnsi="Times New Roman"/>
          <w:sz w:val="28"/>
          <w:szCs w:val="28"/>
          <w:lang w:eastAsia="es-CO"/>
        </w:rPr>
      </w:pPr>
      <w:r w:rsidRPr="007C57D2">
        <w:rPr>
          <w:rFonts w:ascii="Times New Roman" w:eastAsia="MS Gothic" w:hAnsi="Times New Roman"/>
          <w:sz w:val="28"/>
          <w:szCs w:val="28"/>
          <w:lang w:eastAsia="es-CO"/>
        </w:rPr>
        <w:t>Una vez abordados algunos elementos esenciale</w:t>
      </w:r>
      <w:r w:rsidRPr="007C57D2">
        <w:rPr>
          <w:rFonts w:ascii="Times New Roman" w:eastAsia="MS Gothic" w:hAnsi="Times New Roman"/>
          <w:sz w:val="28"/>
          <w:szCs w:val="28"/>
          <w:lang w:eastAsia="es-CO"/>
        </w:rPr>
        <w:t>s relacionados con el principio de interés superior de la niñez, a continuación, nos referiremos   al tratamiento de datos personales y los parámetros constitucionales que le resultan aplicables.</w:t>
      </w:r>
    </w:p>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Ttulo3"/>
        <w:spacing w:before="0" w:after="0" w:line="240" w:lineRule="auto"/>
        <w:jc w:val="both"/>
        <w:rPr>
          <w:rFonts w:ascii="Times New Roman" w:hAnsi="Times New Roman"/>
          <w:b/>
          <w:bCs/>
          <w:color w:val="000000"/>
          <w:lang w:val="es-MX"/>
        </w:rPr>
      </w:pPr>
      <w:bookmarkStart w:id="35" w:name="_Toc222728030"/>
      <w:bookmarkStart w:id="36" w:name="_Toc209178789"/>
      <w:r w:rsidRPr="007C57D2">
        <w:rPr>
          <w:rFonts w:ascii="Times New Roman" w:hAnsi="Times New Roman"/>
          <w:b/>
          <w:bCs/>
          <w:color w:val="000000"/>
          <w:lang w:val="es-MX"/>
        </w:rPr>
        <w:t>5.2. Tratamiento de datos personales con especial referenci</w:t>
      </w:r>
      <w:r w:rsidRPr="007C57D2">
        <w:rPr>
          <w:rFonts w:ascii="Times New Roman" w:hAnsi="Times New Roman"/>
          <w:b/>
          <w:bCs/>
          <w:color w:val="000000"/>
          <w:lang w:val="es-MX"/>
        </w:rPr>
        <w:t>a a los datos sensibles, las fotos y la información de los niños, niñas y adolescentes (NNA)</w:t>
      </w:r>
      <w:bookmarkEnd w:id="35"/>
    </w:p>
    <w:bookmarkEnd w:id="36"/>
    <w:p w:rsidR="001E19D5" w:rsidRPr="007C57D2" w:rsidRDefault="007C57D2" w:rsidP="008F3DAB">
      <w:pPr>
        <w:pStyle w:val="Sinespaciado"/>
        <w:jc w:val="both"/>
        <w:rPr>
          <w:rFonts w:ascii="Times New Roman" w:hAnsi="Times New Roman"/>
          <w:lang w:val="es-MX"/>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Los “datos personales”</w:t>
      </w:r>
      <w:r w:rsidRPr="007C57D2">
        <w:rPr>
          <w:rStyle w:val="Refdenotaalpie"/>
          <w:rFonts w:ascii="Times New Roman" w:hAnsi="Times New Roman"/>
        </w:rPr>
        <w:footnoteReference w:id="323"/>
      </w:r>
      <w:r w:rsidRPr="007C57D2">
        <w:rPr>
          <w:rFonts w:ascii="Times New Roman" w:hAnsi="Times New Roman"/>
        </w:rPr>
        <w:t xml:space="preserve"> son una clase de información protegida por la Constitución de 1991 y que cuenta con regulación especial para realizar cualquier actividad con la misma. La Carta Política exige que el “tratamiento”</w:t>
      </w:r>
      <w:r w:rsidRPr="007C57D2">
        <w:rPr>
          <w:rStyle w:val="Refdenotaalpie"/>
          <w:rFonts w:ascii="Times New Roman" w:hAnsi="Times New Roman"/>
        </w:rPr>
        <w:footnoteReference w:id="324"/>
      </w:r>
      <w:r w:rsidRPr="007C57D2">
        <w:rPr>
          <w:rFonts w:ascii="Times New Roman" w:hAnsi="Times New Roman"/>
        </w:rPr>
        <w:t xml:space="preserve"> de esa información se realice observando unos mínimos par</w:t>
      </w:r>
      <w:r w:rsidRPr="007C57D2">
        <w:rPr>
          <w:rFonts w:ascii="Times New Roman" w:hAnsi="Times New Roman"/>
        </w:rPr>
        <w:t xml:space="preserve">a evitar que se ponga en riesgo o afecten los derechos y libertades respecto de la persona a que hace referencia dicha información.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Dado lo anterior, los artículos 15 y 20 de la Constitución establece</w:t>
      </w:r>
      <w:r w:rsidRPr="007C57D2">
        <w:rPr>
          <w:rFonts w:ascii="Times New Roman" w:hAnsi="Times New Roman"/>
        </w:rPr>
        <w:t>n</w:t>
      </w:r>
      <w:r w:rsidRPr="007C57D2">
        <w:rPr>
          <w:rFonts w:ascii="Times New Roman" w:hAnsi="Times New Roman"/>
        </w:rPr>
        <w:t xml:space="preserve"> los postulados esenciales para garantizar el correct</w:t>
      </w:r>
      <w:r w:rsidRPr="007C57D2">
        <w:rPr>
          <w:rFonts w:ascii="Times New Roman" w:hAnsi="Times New Roman"/>
        </w:rPr>
        <w:t>o tratamiento de los datos personales. Para el efecto, el artículo 15 no solo ordena que en “la recolección, tratamiento y circulación de datos se respetarán la libertad y demás garantías consagradas en la Constitución”, sino que establece el derecho de to</w:t>
      </w:r>
      <w:r w:rsidRPr="007C57D2">
        <w:rPr>
          <w:rFonts w:ascii="Times New Roman" w:hAnsi="Times New Roman"/>
        </w:rPr>
        <w:t>das las personas a “conocer, actualizar y rectificar las informaciones que se hayan recogido sobre ellas en los bancos de datos y en archivos de entidades públicas y privadas”. El artículo 20, por su parte, establece la libertad de toda persona de “informa</w:t>
      </w:r>
      <w:r w:rsidRPr="007C57D2">
        <w:rPr>
          <w:rFonts w:ascii="Times New Roman" w:hAnsi="Times New Roman"/>
        </w:rPr>
        <w:t xml:space="preserve">r y recibir información veraz e imparcial”.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Estas disposiciones constituyen el marco central del debido tratamiento de datos personales el cual exige, por lo menos, lo siguiente: (i) que se respete la libertad y demás garantías constitucionales al tratar</w:t>
      </w:r>
      <w:r w:rsidRPr="007C57D2">
        <w:rPr>
          <w:rFonts w:ascii="Times New Roman" w:hAnsi="Times New Roman"/>
        </w:rPr>
        <w:t xml:space="preserve"> dicha información; es decir, al recolectar, usar, circular, actualizar, eliminar, indexar o realizar cualquier actividad con datos personales; (ii) que se garantice a la persona el derecho a conocer, actualizar o rectificar la información que traten sobre</w:t>
      </w:r>
      <w:r w:rsidRPr="007C57D2">
        <w:rPr>
          <w:rFonts w:ascii="Times New Roman" w:hAnsi="Times New Roman"/>
        </w:rPr>
        <w:t xml:space="preserve"> ellas las entidades públicas o privadas; y (iii) que los datos personales sean veraces e imparciales, es decir que cumplan unos mínimos de calidad, porque sin ella no solo se afecta a la persona Titular de esa información, sino a terceros y a la sociedad </w:t>
      </w:r>
      <w:r w:rsidRPr="007C57D2">
        <w:rPr>
          <w:rFonts w:ascii="Times New Roman" w:hAnsi="Times New Roman"/>
        </w:rPr>
        <w:t xml:space="preserve">en general al difundir datos erróneos, desactualizados, falsos, entre otros.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Las citadas disposiciones constitucionales han sido reglamentadas mediante las siguientes leyes estatutarias para garantizar el debido tratamiento de los datos personales: (i) l</w:t>
      </w:r>
      <w:r w:rsidRPr="007C57D2">
        <w:rPr>
          <w:rFonts w:ascii="Times New Roman" w:hAnsi="Times New Roman"/>
        </w:rPr>
        <w:t>a Ley Estatutaria 1581</w:t>
      </w:r>
      <w:r w:rsidRPr="007C57D2">
        <w:rPr>
          <w:rStyle w:val="Refdenotaalpie"/>
          <w:rFonts w:ascii="Times New Roman" w:hAnsi="Times New Roman"/>
        </w:rPr>
        <w:footnoteReference w:id="325"/>
      </w:r>
      <w:r w:rsidRPr="007C57D2">
        <w:rPr>
          <w:rFonts w:ascii="Times New Roman" w:hAnsi="Times New Roman"/>
        </w:rPr>
        <w:t xml:space="preserve"> de 2012, que aplica al tratamiento de cualquier dato personal, salvo las regulaciones especiales o los excluidos de su ámbito de aplicación en el artículo 2; (ii) las leyes estatutarias 1266</w:t>
      </w:r>
      <w:r w:rsidRPr="007C57D2">
        <w:rPr>
          <w:rStyle w:val="Refdenotaalpie"/>
          <w:rFonts w:ascii="Times New Roman" w:hAnsi="Times New Roman"/>
        </w:rPr>
        <w:footnoteReference w:id="326"/>
      </w:r>
      <w:r w:rsidRPr="007C57D2">
        <w:rPr>
          <w:rFonts w:ascii="Times New Roman" w:hAnsi="Times New Roman"/>
        </w:rPr>
        <w:t xml:space="preserve"> de 2008 y 2157</w:t>
      </w:r>
      <w:r w:rsidRPr="007C57D2">
        <w:rPr>
          <w:rStyle w:val="Refdenotaalpie"/>
          <w:rFonts w:ascii="Times New Roman" w:hAnsi="Times New Roman"/>
        </w:rPr>
        <w:footnoteReference w:id="327"/>
      </w:r>
      <w:r w:rsidRPr="007C57D2">
        <w:rPr>
          <w:rFonts w:ascii="Times New Roman" w:hAnsi="Times New Roman"/>
        </w:rPr>
        <w:t xml:space="preserve"> de 2021, las cuales regu</w:t>
      </w:r>
      <w:r w:rsidRPr="007C57D2">
        <w:rPr>
          <w:rFonts w:ascii="Times New Roman" w:hAnsi="Times New Roman"/>
        </w:rPr>
        <w:t>lan el tratamiento de datos personales relacionados con el cumplimiento o incumplimiento de obligaciones dinerarias</w:t>
      </w:r>
      <w:r w:rsidRPr="007C57D2">
        <w:rPr>
          <w:rStyle w:val="Refdenotaalpie"/>
          <w:rFonts w:ascii="Times New Roman" w:hAnsi="Times New Roman"/>
        </w:rPr>
        <w:footnoteReference w:id="328"/>
      </w:r>
      <w:r w:rsidRPr="007C57D2">
        <w:rPr>
          <w:rFonts w:ascii="Times New Roman" w:hAnsi="Times New Roman"/>
        </w:rPr>
        <w:t>. Dichas normas han sido parcialmente reglamentadas por los decretos 1727</w:t>
      </w:r>
      <w:r w:rsidRPr="007C57D2">
        <w:rPr>
          <w:rStyle w:val="Refdenotaalpie"/>
          <w:rFonts w:ascii="Times New Roman" w:hAnsi="Times New Roman"/>
        </w:rPr>
        <w:footnoteReference w:id="329"/>
      </w:r>
      <w:r w:rsidRPr="007C57D2">
        <w:rPr>
          <w:rFonts w:ascii="Times New Roman" w:hAnsi="Times New Roman"/>
        </w:rPr>
        <w:t xml:space="preserve"> de 2009, 2952</w:t>
      </w:r>
      <w:r w:rsidRPr="007C57D2">
        <w:rPr>
          <w:rStyle w:val="Refdenotaalpie"/>
          <w:rFonts w:ascii="Times New Roman" w:hAnsi="Times New Roman"/>
        </w:rPr>
        <w:footnoteReference w:id="330"/>
      </w:r>
      <w:r w:rsidRPr="007C57D2">
        <w:rPr>
          <w:rFonts w:ascii="Times New Roman" w:hAnsi="Times New Roman"/>
        </w:rPr>
        <w:t xml:space="preserve"> de 2010, 1377</w:t>
      </w:r>
      <w:r w:rsidRPr="007C57D2">
        <w:rPr>
          <w:rStyle w:val="Refdenotaalpie"/>
          <w:rFonts w:ascii="Times New Roman" w:hAnsi="Times New Roman"/>
        </w:rPr>
        <w:footnoteReference w:id="331"/>
      </w:r>
      <w:r w:rsidRPr="007C57D2">
        <w:rPr>
          <w:rFonts w:ascii="Times New Roman" w:hAnsi="Times New Roman"/>
        </w:rPr>
        <w:t xml:space="preserve"> de 2013, 886</w:t>
      </w:r>
      <w:r w:rsidRPr="007C57D2">
        <w:rPr>
          <w:rStyle w:val="Refdenotaalpie"/>
          <w:rFonts w:ascii="Times New Roman" w:hAnsi="Times New Roman"/>
        </w:rPr>
        <w:footnoteReference w:id="332"/>
      </w:r>
      <w:r w:rsidRPr="007C57D2">
        <w:rPr>
          <w:rFonts w:ascii="Times New Roman" w:hAnsi="Times New Roman"/>
        </w:rPr>
        <w:t xml:space="preserve"> de 2014, incorporados</w:t>
      </w:r>
      <w:r w:rsidRPr="007C57D2">
        <w:rPr>
          <w:rFonts w:ascii="Times New Roman" w:hAnsi="Times New Roman"/>
        </w:rPr>
        <w:t xml:space="preserve"> en el Decreto Único reglamentario 1074</w:t>
      </w:r>
      <w:r w:rsidRPr="007C57D2">
        <w:rPr>
          <w:rStyle w:val="Refdenotaalpie"/>
          <w:rFonts w:ascii="Times New Roman" w:hAnsi="Times New Roman"/>
        </w:rPr>
        <w:footnoteReference w:id="333"/>
      </w:r>
      <w:r w:rsidRPr="007C57D2">
        <w:rPr>
          <w:rFonts w:ascii="Times New Roman" w:hAnsi="Times New Roman"/>
        </w:rPr>
        <w:t xml:space="preserve"> de 2015. Adicionalmente, la Ley 1273</w:t>
      </w:r>
      <w:r w:rsidRPr="007C57D2">
        <w:rPr>
          <w:rStyle w:val="Refdenotaalpie"/>
          <w:rFonts w:ascii="Times New Roman" w:hAnsi="Times New Roman"/>
        </w:rPr>
        <w:footnoteReference w:id="334"/>
      </w:r>
      <w:r w:rsidRPr="007C57D2">
        <w:rPr>
          <w:rFonts w:ascii="Times New Roman" w:hAnsi="Times New Roman"/>
        </w:rPr>
        <w:t xml:space="preserve"> de 2009 tipificó el delito de violación de datos personales</w:t>
      </w:r>
      <w:r w:rsidRPr="007C57D2">
        <w:rPr>
          <w:rStyle w:val="Refdenotaalpie"/>
          <w:rFonts w:ascii="Times New Roman" w:hAnsi="Times New Roman"/>
        </w:rPr>
        <w:footnoteReference w:id="335"/>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lang w:val="es-MX"/>
        </w:rPr>
      </w:pPr>
      <w:r w:rsidRPr="007C57D2">
        <w:rPr>
          <w:rFonts w:ascii="Times New Roman" w:hAnsi="Times New Roman"/>
          <w:lang w:val="es-MX"/>
        </w:rPr>
        <w:t xml:space="preserve">A partir de </w:t>
      </w:r>
      <w:r w:rsidRPr="007C57D2">
        <w:rPr>
          <w:rFonts w:ascii="Times New Roman" w:hAnsi="Times New Roman"/>
          <w:lang w:val="es-ES"/>
        </w:rPr>
        <w:t>1992, la Corte Constitucional ha desarrollado e interpretado los cimientos constitucionales del tratam</w:t>
      </w:r>
      <w:r w:rsidRPr="007C57D2">
        <w:rPr>
          <w:rFonts w:ascii="Times New Roman" w:hAnsi="Times New Roman"/>
          <w:lang w:val="es-ES"/>
        </w:rPr>
        <w:t xml:space="preserve">iento de datos personales que han sido fundamentales para definir el alcance de dicho derecho y su reglamentación mediante leyes estatutarias. A través de su jurisprudencia la Corte no sólo ha delineado y </w:t>
      </w:r>
      <w:r w:rsidRPr="007C57D2">
        <w:rPr>
          <w:rFonts w:ascii="Times New Roman" w:hAnsi="Times New Roman"/>
          <w:lang w:val="es-MX"/>
        </w:rPr>
        <w:t xml:space="preserve">matizado los principales fundamentos del </w:t>
      </w:r>
      <w:r w:rsidRPr="007C57D2">
        <w:rPr>
          <w:rFonts w:ascii="Times New Roman" w:hAnsi="Times New Roman"/>
          <w:i/>
          <w:iCs/>
          <w:lang w:val="es-MX"/>
        </w:rPr>
        <w:t>habeas dat</w:t>
      </w:r>
      <w:r w:rsidRPr="007C57D2">
        <w:rPr>
          <w:rFonts w:ascii="Times New Roman" w:hAnsi="Times New Roman"/>
          <w:i/>
          <w:iCs/>
          <w:lang w:val="es-MX"/>
        </w:rPr>
        <w:t>a</w:t>
      </w:r>
      <w:r w:rsidRPr="007C57D2">
        <w:rPr>
          <w:rFonts w:ascii="Times New Roman" w:hAnsi="Times New Roman"/>
          <w:lang w:val="es-MX"/>
        </w:rPr>
        <w:t>, sino que ha señalado las pautas cardinales del tratamiento de datos personales.</w:t>
      </w:r>
    </w:p>
    <w:p w:rsidR="001E19D5" w:rsidRPr="007C57D2" w:rsidRDefault="007C57D2" w:rsidP="008F3DAB">
      <w:pPr>
        <w:pStyle w:val="Sinespaciado"/>
        <w:jc w:val="both"/>
        <w:rPr>
          <w:rFonts w:ascii="Times New Roman" w:hAnsi="Times New Roman"/>
          <w:lang w:val="es-MX" w:eastAsia="x-none"/>
        </w:rPr>
      </w:pPr>
    </w:p>
    <w:p w:rsidR="00CC3DC3" w:rsidRPr="007C57D2" w:rsidRDefault="007C57D2" w:rsidP="00CC3DC3">
      <w:pPr>
        <w:pStyle w:val="Sinespaciado"/>
        <w:numPr>
          <w:ilvl w:val="0"/>
          <w:numId w:val="3"/>
        </w:numPr>
        <w:ind w:left="0" w:firstLine="0"/>
        <w:jc w:val="both"/>
        <w:rPr>
          <w:rFonts w:ascii="Times New Roman" w:hAnsi="Times New Roman"/>
          <w:lang w:val="es-ES_tradnl"/>
        </w:rPr>
      </w:pPr>
      <w:r w:rsidRPr="007C57D2">
        <w:rPr>
          <w:rFonts w:ascii="Times New Roman" w:hAnsi="Times New Roman"/>
        </w:rPr>
        <w:t xml:space="preserve">La Corte ha señalado que </w:t>
      </w:r>
      <w:r w:rsidRPr="007C57D2">
        <w:rPr>
          <w:rFonts w:ascii="Times New Roman" w:hAnsi="Times New Roman"/>
        </w:rPr>
        <w:t xml:space="preserve">el </w:t>
      </w:r>
      <w:r w:rsidRPr="007C57D2">
        <w:rPr>
          <w:rFonts w:ascii="Times New Roman" w:hAnsi="Times New Roman"/>
        </w:rPr>
        <w:t>artículo 15 de la Constitución reconoció</w:t>
      </w:r>
      <w:r w:rsidRPr="007C57D2">
        <w:rPr>
          <w:rStyle w:val="Refdenotaalpie"/>
          <w:rFonts w:ascii="Times New Roman" w:hAnsi="Times New Roman"/>
        </w:rPr>
        <w:footnoteReference w:id="336"/>
      </w:r>
      <w:r w:rsidRPr="007C57D2">
        <w:rPr>
          <w:rFonts w:ascii="Times New Roman" w:hAnsi="Times New Roman"/>
        </w:rPr>
        <w:t xml:space="preserve"> “un derecho fundamental</w:t>
      </w:r>
      <w:r w:rsidRPr="007C57D2">
        <w:rPr>
          <w:rStyle w:val="Refdenotaalpie"/>
          <w:rFonts w:ascii="Times New Roman" w:hAnsi="Times New Roman"/>
        </w:rPr>
        <w:footnoteReference w:id="337"/>
      </w:r>
      <w:r w:rsidRPr="007C57D2">
        <w:rPr>
          <w:rFonts w:ascii="Times New Roman" w:hAnsi="Times New Roman"/>
        </w:rPr>
        <w:t xml:space="preserve"> autónomo</w:t>
      </w:r>
      <w:r w:rsidRPr="007C57D2">
        <w:rPr>
          <w:rStyle w:val="Refdenotaalpie"/>
          <w:rFonts w:ascii="Times New Roman" w:hAnsi="Times New Roman"/>
        </w:rPr>
        <w:footnoteReference w:id="338"/>
      </w:r>
      <w:r w:rsidRPr="007C57D2">
        <w:rPr>
          <w:rFonts w:ascii="Times New Roman" w:hAnsi="Times New Roman"/>
        </w:rPr>
        <w:t xml:space="preserve"> que ha sido denominado de diferentes maneras, a saber: derecho al habeas data</w:t>
      </w:r>
      <w:r w:rsidRPr="007C57D2">
        <w:rPr>
          <w:rStyle w:val="Refdenotaalpie"/>
          <w:rFonts w:ascii="Times New Roman" w:hAnsi="Times New Roman"/>
        </w:rPr>
        <w:footnoteReference w:id="339"/>
      </w:r>
      <w:r w:rsidRPr="007C57D2">
        <w:rPr>
          <w:rFonts w:ascii="Times New Roman" w:hAnsi="Times New Roman"/>
        </w:rPr>
        <w:t>, autodeterminación informativa</w:t>
      </w:r>
      <w:r w:rsidRPr="007C57D2">
        <w:rPr>
          <w:rStyle w:val="Refdenotaalpie"/>
          <w:rFonts w:ascii="Times New Roman" w:hAnsi="Times New Roman"/>
        </w:rPr>
        <w:footnoteReference w:id="340"/>
      </w:r>
      <w:r w:rsidRPr="007C57D2">
        <w:rPr>
          <w:rFonts w:ascii="Times New Roman" w:hAnsi="Times New Roman"/>
        </w:rPr>
        <w:t xml:space="preserve"> o informática</w:t>
      </w:r>
      <w:r w:rsidRPr="007C57D2">
        <w:rPr>
          <w:rStyle w:val="Refdenotaalpie"/>
          <w:rFonts w:ascii="Times New Roman" w:hAnsi="Times New Roman"/>
        </w:rPr>
        <w:footnoteReference w:id="341"/>
      </w:r>
      <w:r w:rsidRPr="007C57D2">
        <w:rPr>
          <w:rFonts w:ascii="Times New Roman" w:hAnsi="Times New Roman"/>
        </w:rPr>
        <w:t xml:space="preserve"> y el “derecho a la protección de datos”</w:t>
      </w:r>
      <w:r w:rsidRPr="007C57D2">
        <w:rPr>
          <w:rStyle w:val="Refdenotaalpie"/>
          <w:rFonts w:ascii="Times New Roman" w:hAnsi="Times New Roman"/>
        </w:rPr>
        <w:footnoteReference w:id="342"/>
      </w:r>
      <w:r w:rsidRPr="007C57D2">
        <w:rPr>
          <w:rFonts w:ascii="Times New Roman" w:hAnsi="Times New Roman"/>
        </w:rPr>
        <w:t xml:space="preserve">. </w:t>
      </w:r>
      <w:r w:rsidRPr="007C57D2">
        <w:rPr>
          <w:rFonts w:ascii="Times New Roman" w:hAnsi="Times New Roman"/>
          <w:lang w:val="es-ES_tradnl"/>
        </w:rPr>
        <w:t xml:space="preserve">Este derecho es </w:t>
      </w:r>
      <w:r w:rsidRPr="007C57D2">
        <w:rPr>
          <w:rFonts w:ascii="Times New Roman" w:hAnsi="Times New Roman"/>
          <w:lang w:val="es-ES_tradnl"/>
        </w:rPr>
        <w:t>nombrado</w:t>
      </w:r>
      <w:r w:rsidRPr="007C57D2">
        <w:rPr>
          <w:rFonts w:ascii="Times New Roman" w:hAnsi="Times New Roman"/>
          <w:lang w:val="es-ES_tradnl"/>
        </w:rPr>
        <w:t xml:space="preserve"> en la regulación estatutaria (Ley 1581 de 2012) del precitado </w:t>
      </w:r>
      <w:r w:rsidRPr="007C57D2">
        <w:rPr>
          <w:rFonts w:ascii="Times New Roman" w:hAnsi="Times New Roman"/>
          <w:lang w:val="es-ES_tradnl"/>
        </w:rPr>
        <w:t>artículo constitucional como “el derecho de habeas data” o “derecho fundamental a la protección de datos”</w:t>
      </w:r>
      <w:r w:rsidRPr="007C57D2">
        <w:rPr>
          <w:rFonts w:ascii="Times New Roman" w:hAnsi="Times New Roman"/>
          <w:vertAlign w:val="superscript"/>
          <w:lang w:val="es-ES_tradnl"/>
        </w:rPr>
        <w:footnoteReference w:id="343"/>
      </w:r>
    </w:p>
    <w:p w:rsidR="00CC3DC3" w:rsidRPr="007C57D2" w:rsidRDefault="007C57D2" w:rsidP="00CC3DC3">
      <w:pPr>
        <w:pStyle w:val="Prrafodelista"/>
        <w:rPr>
          <w:rFonts w:ascii="Times New Roman" w:hAnsi="Times New Roman"/>
          <w:sz w:val="28"/>
        </w:rPr>
      </w:pPr>
    </w:p>
    <w:p w:rsidR="003B377E" w:rsidRPr="007C57D2" w:rsidRDefault="007C57D2" w:rsidP="00CC3DC3">
      <w:pPr>
        <w:pStyle w:val="Sinespaciado"/>
        <w:numPr>
          <w:ilvl w:val="0"/>
          <w:numId w:val="3"/>
        </w:numPr>
        <w:ind w:left="0" w:firstLine="0"/>
        <w:jc w:val="both"/>
        <w:rPr>
          <w:rFonts w:ascii="Times New Roman" w:hAnsi="Times New Roman"/>
          <w:lang w:val="es-ES_tradnl"/>
        </w:rPr>
      </w:pPr>
      <w:r w:rsidRPr="007C57D2">
        <w:rPr>
          <w:rFonts w:ascii="Times New Roman" w:hAnsi="Times New Roman"/>
        </w:rPr>
        <w:t xml:space="preserve">En el año 2023, </w:t>
      </w:r>
      <w:r w:rsidRPr="007C57D2">
        <w:rPr>
          <w:rFonts w:ascii="Times New Roman" w:eastAsia="Arial" w:hAnsi="Times New Roman"/>
        </w:rPr>
        <w:t xml:space="preserve">la Corte Interamericana de Derechos Humanos (CIDH), </w:t>
      </w:r>
      <w:r w:rsidRPr="007C57D2">
        <w:rPr>
          <w:rFonts w:ascii="Times New Roman" w:eastAsia="Arial" w:hAnsi="Times New Roman"/>
        </w:rPr>
        <w:t>no solo</w:t>
      </w:r>
      <w:r w:rsidRPr="007C57D2">
        <w:rPr>
          <w:rFonts w:ascii="Times New Roman" w:eastAsia="Arial" w:hAnsi="Times New Roman"/>
        </w:rPr>
        <w:t xml:space="preserve"> reconoció la autodeterminación informativa como un derecho humano autóno</w:t>
      </w:r>
      <w:r w:rsidRPr="007C57D2">
        <w:rPr>
          <w:rFonts w:ascii="Times New Roman" w:eastAsia="Arial" w:hAnsi="Times New Roman"/>
        </w:rPr>
        <w:t>mo “que sirve, a su vez, de garantía de otros derechos, como los concernientes a la privacidad, a la protección de la honra, a la salvaguarda de la reputación y, en general, a la dignidad de la persona”</w:t>
      </w:r>
      <w:r w:rsidRPr="007C57D2">
        <w:rPr>
          <w:rStyle w:val="Refdenotaalpie"/>
          <w:rFonts w:ascii="Times New Roman" w:eastAsia="Arial" w:hAnsi="Times New Roman"/>
        </w:rPr>
        <w:footnoteReference w:id="344"/>
      </w:r>
      <w:r w:rsidRPr="007C57D2">
        <w:rPr>
          <w:rFonts w:ascii="Times New Roman" w:eastAsia="Arial" w:hAnsi="Times New Roman"/>
        </w:rPr>
        <w:t xml:space="preserve"> </w:t>
      </w:r>
      <w:r w:rsidRPr="007C57D2">
        <w:rPr>
          <w:rFonts w:ascii="Times New Roman" w:eastAsia="Arial" w:hAnsi="Times New Roman"/>
        </w:rPr>
        <w:t xml:space="preserve">, sino que concluyó </w:t>
      </w:r>
      <w:r w:rsidRPr="007C57D2">
        <w:rPr>
          <w:rFonts w:ascii="Times New Roman" w:eastAsia="Arial" w:hAnsi="Times New Roman"/>
        </w:rPr>
        <w:t>que es deber de los Estados adop</w:t>
      </w:r>
      <w:r w:rsidRPr="007C57D2">
        <w:rPr>
          <w:rFonts w:ascii="Times New Roman" w:eastAsia="Arial" w:hAnsi="Times New Roman"/>
        </w:rPr>
        <w:t>tar mecanismos para garantizar  la efectividad del citado derecho</w:t>
      </w:r>
      <w:r w:rsidRPr="007C57D2">
        <w:rPr>
          <w:rStyle w:val="Refdenotaalpie"/>
          <w:rFonts w:ascii="Times New Roman" w:eastAsia="Arial" w:hAnsi="Times New Roman"/>
        </w:rPr>
        <w:footnoteReference w:id="345"/>
      </w:r>
      <w:r w:rsidRPr="007C57D2">
        <w:rPr>
          <w:rFonts w:ascii="Times New Roman" w:eastAsia="Arial" w:hAnsi="Times New Roman"/>
        </w:rPr>
        <w:t xml:space="preserve">. </w:t>
      </w:r>
    </w:p>
    <w:p w:rsidR="003B377E" w:rsidRPr="007C57D2" w:rsidRDefault="007C57D2" w:rsidP="008F3DAB">
      <w:pPr>
        <w:pStyle w:val="Sinespaciado"/>
        <w:jc w:val="both"/>
        <w:rPr>
          <w:rFonts w:ascii="Times New Roman" w:eastAsia="Arial" w:hAnsi="Times New Roman"/>
        </w:rPr>
      </w:pPr>
    </w:p>
    <w:p w:rsidR="00CC3DC3" w:rsidRPr="007C57D2" w:rsidRDefault="007C57D2" w:rsidP="00CC3DC3">
      <w:pPr>
        <w:pStyle w:val="Sinespaciado"/>
        <w:numPr>
          <w:ilvl w:val="0"/>
          <w:numId w:val="3"/>
        </w:numPr>
        <w:ind w:left="0" w:firstLine="0"/>
        <w:jc w:val="both"/>
        <w:rPr>
          <w:rFonts w:ascii="Times New Roman" w:hAnsi="Times New Roman"/>
        </w:rPr>
      </w:pPr>
      <w:r w:rsidRPr="007C57D2">
        <w:rPr>
          <w:rFonts w:ascii="Times New Roman" w:hAnsi="Times New Roman"/>
        </w:rPr>
        <w:t xml:space="preserve">En varias sentencias de esta </w:t>
      </w:r>
      <w:r w:rsidRPr="007C57D2">
        <w:rPr>
          <w:rFonts w:ascii="Times New Roman" w:hAnsi="Times New Roman"/>
        </w:rPr>
        <w:t>Corporación</w:t>
      </w:r>
      <w:r w:rsidRPr="007C57D2">
        <w:rPr>
          <w:rFonts w:ascii="Times New Roman" w:hAnsi="Times New Roman"/>
        </w:rPr>
        <w:t xml:space="preserve"> se ha precisado su alcance</w:t>
      </w:r>
      <w:r w:rsidRPr="007C57D2">
        <w:rPr>
          <w:rStyle w:val="Refdenotaalpie"/>
          <w:rFonts w:ascii="Times New Roman" w:hAnsi="Times New Roman"/>
        </w:rPr>
        <w:footnoteReference w:id="346"/>
      </w:r>
      <w:r w:rsidRPr="007C57D2">
        <w:rPr>
          <w:rFonts w:ascii="Times New Roman" w:hAnsi="Times New Roman"/>
        </w:rPr>
        <w:t xml:space="preserve"> y núcleo esencial</w:t>
      </w:r>
      <w:r w:rsidRPr="007C57D2">
        <w:rPr>
          <w:rFonts w:ascii="Times New Roman" w:hAnsi="Times New Roman"/>
          <w:vertAlign w:val="superscript"/>
        </w:rPr>
        <w:footnoteReference w:id="347"/>
      </w:r>
      <w:r w:rsidRPr="007C57D2">
        <w:rPr>
          <w:rFonts w:ascii="Times New Roman" w:hAnsi="Times New Roman"/>
        </w:rPr>
        <w:t xml:space="preserve">, señalando que el </w:t>
      </w:r>
      <w:r w:rsidRPr="007C57D2">
        <w:rPr>
          <w:rFonts w:ascii="Times New Roman" w:hAnsi="Times New Roman"/>
          <w:i/>
          <w:iCs/>
        </w:rPr>
        <w:t>habeas data</w:t>
      </w:r>
      <w:r w:rsidRPr="007C57D2">
        <w:rPr>
          <w:rFonts w:ascii="Times New Roman" w:hAnsi="Times New Roman"/>
        </w:rPr>
        <w:t xml:space="preserve"> es, entre otras, una garantía “iusfundamental”</w:t>
      </w:r>
      <w:r w:rsidRPr="007C57D2">
        <w:rPr>
          <w:rStyle w:val="Refdenotaalpie"/>
          <w:rFonts w:ascii="Times New Roman" w:hAnsi="Times New Roman"/>
        </w:rPr>
        <w:footnoteReference w:id="348"/>
      </w:r>
      <w:r w:rsidRPr="007C57D2">
        <w:rPr>
          <w:rFonts w:ascii="Times New Roman" w:hAnsi="Times New Roman"/>
        </w:rPr>
        <w:t xml:space="preserve"> que “busca la protección de los datos personales en un universo globalizado en el que el poder informático es creciente”</w:t>
      </w:r>
      <w:r w:rsidRPr="007C57D2">
        <w:rPr>
          <w:rStyle w:val="Refdenotaalpie"/>
          <w:rFonts w:ascii="Times New Roman" w:hAnsi="Times New Roman"/>
        </w:rPr>
        <w:footnoteReference w:id="349"/>
      </w:r>
      <w:r w:rsidRPr="007C57D2">
        <w:rPr>
          <w:rFonts w:ascii="Times New Roman" w:hAnsi="Times New Roman"/>
        </w:rPr>
        <w:t>.</w:t>
      </w:r>
      <w:r w:rsidRPr="007C57D2">
        <w:rPr>
          <w:rFonts w:ascii="Times New Roman" w:hAnsi="Times New Roman"/>
        </w:rPr>
        <w:t xml:space="preserve"> </w:t>
      </w:r>
      <w:r w:rsidRPr="007C57D2">
        <w:rPr>
          <w:rFonts w:ascii="Times New Roman" w:hAnsi="Times New Roman"/>
        </w:rPr>
        <w:br/>
        <w:t xml:space="preserve">La </w:t>
      </w:r>
      <w:r w:rsidRPr="007C57D2">
        <w:rPr>
          <w:rFonts w:ascii="Times New Roman" w:hAnsi="Times New Roman"/>
        </w:rPr>
        <w:t>S</w:t>
      </w:r>
      <w:r w:rsidRPr="007C57D2">
        <w:rPr>
          <w:rFonts w:ascii="Times New Roman" w:hAnsi="Times New Roman"/>
        </w:rPr>
        <w:t>entencia C-748 de 2011 contiene los fundamentos constitucionales que inspiraron lo que hoy es la Ley Estatutaria 1581 de 2012 s</w:t>
      </w:r>
      <w:r w:rsidRPr="007C57D2">
        <w:rPr>
          <w:rFonts w:ascii="Times New Roman" w:hAnsi="Times New Roman"/>
        </w:rPr>
        <w:t>obre protección de datos personales. No obstante, el análisis de constitucionalidad que aquí realiza la Corte se funda en la comparación directa entre el texto del proyecto de ley y la Constitución Política, y no en la Ley 1581. Si bien la Corte puede cita</w:t>
      </w:r>
      <w:r w:rsidRPr="007C57D2">
        <w:rPr>
          <w:rFonts w:ascii="Times New Roman" w:hAnsi="Times New Roman"/>
        </w:rPr>
        <w:t xml:space="preserve">r o tomar en cuenta la jurisprudencia relacionada o disposiciones de la mencionada ley como referencias interpretativas, el control de constitucionalidad se hará frente al texto constitucional, estableciéndose un contraste explícito entre el proyecto y la </w:t>
      </w:r>
      <w:r w:rsidRPr="007C57D2">
        <w:rPr>
          <w:rFonts w:ascii="Times New Roman" w:hAnsi="Times New Roman"/>
        </w:rPr>
        <w:t xml:space="preserve">Carta Política. </w:t>
      </w:r>
    </w:p>
    <w:p w:rsidR="00CC3DC3" w:rsidRPr="007C57D2" w:rsidRDefault="007C57D2" w:rsidP="00CC3DC3">
      <w:pPr>
        <w:pStyle w:val="Prrafodelista"/>
        <w:rPr>
          <w:rFonts w:ascii="Times New Roman" w:hAnsi="Times New Roman"/>
          <w:sz w:val="28"/>
        </w:rPr>
      </w:pPr>
    </w:p>
    <w:p w:rsidR="006D7D7B" w:rsidRPr="007C57D2" w:rsidRDefault="007C57D2" w:rsidP="00CC3DC3">
      <w:pPr>
        <w:pStyle w:val="Sinespaciado"/>
        <w:numPr>
          <w:ilvl w:val="0"/>
          <w:numId w:val="3"/>
        </w:numPr>
        <w:ind w:left="0" w:firstLine="0"/>
        <w:jc w:val="both"/>
        <w:rPr>
          <w:rFonts w:ascii="Times New Roman" w:hAnsi="Times New Roman"/>
        </w:rPr>
      </w:pPr>
      <w:r w:rsidRPr="007C57D2">
        <w:rPr>
          <w:rFonts w:ascii="Times New Roman" w:hAnsi="Times New Roman"/>
        </w:rPr>
        <w:t xml:space="preserve">Mediante sentencias de esta </w:t>
      </w:r>
      <w:r w:rsidRPr="007C57D2">
        <w:rPr>
          <w:rFonts w:ascii="Times New Roman" w:hAnsi="Times New Roman"/>
        </w:rPr>
        <w:t>Corporación</w:t>
      </w:r>
      <w:r w:rsidRPr="007C57D2">
        <w:rPr>
          <w:rFonts w:ascii="Times New Roman" w:hAnsi="Times New Roman"/>
        </w:rPr>
        <w:t xml:space="preserve"> se han construido un plexo de principios</w:t>
      </w:r>
      <w:r w:rsidRPr="007C57D2">
        <w:rPr>
          <w:rFonts w:ascii="Times New Roman" w:hAnsi="Times New Roman"/>
          <w:vertAlign w:val="superscript"/>
        </w:rPr>
        <w:footnoteReference w:id="350"/>
      </w:r>
      <w:r w:rsidRPr="007C57D2">
        <w:rPr>
          <w:rFonts w:ascii="Times New Roman" w:hAnsi="Times New Roman"/>
        </w:rPr>
        <w:t xml:space="preserve"> de que deben cumplirse en la recolección, almacenamiento y uso de datos personales: legalidad, libertad, finalidad, necesidad, veracidad o calidad, utilidad</w:t>
      </w:r>
      <w:r w:rsidRPr="007C57D2">
        <w:rPr>
          <w:rFonts w:ascii="Times New Roman" w:hAnsi="Times New Roman"/>
        </w:rPr>
        <w:t>, acceso o circulación restringida, incorporación, caducidad o temporalidad, individualidad, confidencialidad, transparencia, integridad y seguridad</w:t>
      </w:r>
      <w:r w:rsidRPr="007C57D2">
        <w:rPr>
          <w:rFonts w:ascii="Times New Roman" w:hAnsi="Times New Roman"/>
          <w:vertAlign w:val="superscript"/>
        </w:rPr>
        <w:footnoteReference w:id="351"/>
      </w:r>
      <w:r w:rsidRPr="007C57D2">
        <w:rPr>
          <w:rFonts w:ascii="Times New Roman" w:hAnsi="Times New Roman"/>
          <w:lang w:val="es-MX"/>
        </w:rPr>
        <w:t>. Esos principios son los elementos medulares que deben observarse en el tratamiento de datos personales pa</w:t>
      </w:r>
      <w:r w:rsidRPr="007C57D2">
        <w:rPr>
          <w:rFonts w:ascii="Times New Roman" w:hAnsi="Times New Roman"/>
          <w:lang w:val="es-MX"/>
        </w:rPr>
        <w:t xml:space="preserve">ra garantizar el respeto de los derechos de las personas cuando su información es recolectada, usada, circulada o, en general, es objeto de tratamiento. </w:t>
      </w:r>
      <w:r w:rsidRPr="007C57D2">
        <w:rPr>
          <w:rFonts w:ascii="Times New Roman" w:hAnsi="Times New Roman"/>
        </w:rPr>
        <w:t>La Corte ha considerado los principios como límites al tratamiento de datos personales</w:t>
      </w:r>
      <w:r w:rsidRPr="007C57D2">
        <w:rPr>
          <w:rFonts w:ascii="Times New Roman" w:hAnsi="Times New Roman"/>
          <w:vertAlign w:val="superscript"/>
        </w:rPr>
        <w:footnoteReference w:id="352"/>
      </w:r>
      <w:r w:rsidRPr="007C57D2">
        <w:rPr>
          <w:rFonts w:ascii="Times New Roman" w:hAnsi="Times New Roman"/>
        </w:rPr>
        <w:t xml:space="preserve"> concluyendo que</w:t>
      </w:r>
      <w:r w:rsidRPr="007C57D2">
        <w:rPr>
          <w:rFonts w:ascii="Times New Roman" w:hAnsi="Times New Roman"/>
        </w:rPr>
        <w:t xml:space="preserve"> </w:t>
      </w:r>
      <w:r w:rsidRPr="007C57D2">
        <w:rPr>
          <w:rFonts w:ascii="Times New Roman" w:hAnsi="Times New Roman"/>
          <w:bCs/>
          <w:lang w:val="es-ES"/>
        </w:rPr>
        <w:t>el artículo 4 de la Ley Estatutaria 1581 de 2012 “</w:t>
      </w:r>
      <w:r w:rsidRPr="007C57D2">
        <w:rPr>
          <w:rFonts w:ascii="Times New Roman" w:hAnsi="Times New Roman"/>
          <w:lang w:val="es-ES"/>
        </w:rPr>
        <w:t>define el contexto axiológico dentro del cual debe moverse, el proceso informático. Según este marco, existen unos parámetros generales que deben ser respetados para poder afirmar que el proceso de acopio,</w:t>
      </w:r>
      <w:r w:rsidRPr="007C57D2">
        <w:rPr>
          <w:rFonts w:ascii="Times New Roman" w:hAnsi="Times New Roman"/>
          <w:lang w:val="es-ES"/>
        </w:rPr>
        <w:t xml:space="preserve"> uso y difusión de datos personales sea constitucionalmente legítimo”</w:t>
      </w:r>
      <w:r w:rsidRPr="007C57D2">
        <w:rPr>
          <w:rFonts w:ascii="Times New Roman" w:hAnsi="Times New Roman"/>
          <w:vertAlign w:val="superscript"/>
          <w:lang w:val="es-ES"/>
        </w:rPr>
        <w:footnoteReference w:id="353"/>
      </w:r>
      <w:r w:rsidRPr="007C57D2">
        <w:rPr>
          <w:rFonts w:ascii="Times New Roman" w:hAnsi="Times New Roman"/>
          <w:lang w:val="es-ES"/>
        </w:rPr>
        <w:t>.</w:t>
      </w:r>
    </w:p>
    <w:p w:rsidR="006D7D7B" w:rsidRPr="007C57D2" w:rsidRDefault="007C57D2" w:rsidP="008F3DAB">
      <w:pPr>
        <w:pStyle w:val="Sinespaciado"/>
        <w:jc w:val="both"/>
        <w:rPr>
          <w:rFonts w:ascii="Times New Roman" w:hAnsi="Times New Roman"/>
          <w:lang w:val="es-ES"/>
        </w:rPr>
      </w:pPr>
    </w:p>
    <w:p w:rsidR="006D7D7B" w:rsidRPr="007C57D2" w:rsidRDefault="007C57D2" w:rsidP="00CC3DC3">
      <w:pPr>
        <w:pStyle w:val="Ttulo3"/>
        <w:rPr>
          <w:rFonts w:ascii="Times New Roman" w:hAnsi="Times New Roman"/>
          <w:b/>
          <w:bCs/>
          <w:color w:val="000000"/>
        </w:rPr>
      </w:pPr>
      <w:r w:rsidRPr="007C57D2">
        <w:rPr>
          <w:rFonts w:ascii="Times New Roman" w:hAnsi="Times New Roman"/>
          <w:b/>
          <w:bCs/>
          <w:color w:val="000000"/>
        </w:rPr>
        <w:t>5.</w:t>
      </w:r>
      <w:r w:rsidRPr="007C57D2">
        <w:rPr>
          <w:rFonts w:ascii="Times New Roman" w:hAnsi="Times New Roman"/>
          <w:b/>
          <w:bCs/>
          <w:color w:val="000000"/>
        </w:rPr>
        <w:t>2</w:t>
      </w:r>
      <w:r w:rsidRPr="007C57D2">
        <w:rPr>
          <w:rFonts w:ascii="Times New Roman" w:hAnsi="Times New Roman"/>
          <w:b/>
          <w:bCs/>
          <w:color w:val="000000"/>
        </w:rPr>
        <w:t>.</w:t>
      </w:r>
      <w:r w:rsidRPr="007C57D2">
        <w:rPr>
          <w:rFonts w:ascii="Times New Roman" w:hAnsi="Times New Roman"/>
          <w:b/>
          <w:bCs/>
          <w:color w:val="000000"/>
        </w:rPr>
        <w:t>1</w:t>
      </w:r>
      <w:r w:rsidRPr="007C57D2">
        <w:rPr>
          <w:rFonts w:ascii="Times New Roman" w:hAnsi="Times New Roman"/>
          <w:b/>
          <w:bCs/>
          <w:color w:val="000000"/>
        </w:rPr>
        <w:t xml:space="preserve"> </w:t>
      </w:r>
      <w:r w:rsidRPr="007C57D2">
        <w:rPr>
          <w:rFonts w:ascii="Times New Roman" w:hAnsi="Times New Roman"/>
          <w:b/>
          <w:bCs/>
          <w:color w:val="000000"/>
        </w:rPr>
        <w:t>Sujetos que intervienen en el tratamiento de datos personales: Titular del dato, Responsable y Encargado del Tratamiento.</w:t>
      </w:r>
    </w:p>
    <w:p w:rsidR="006D7D7B" w:rsidRPr="007C57D2" w:rsidRDefault="007C57D2" w:rsidP="008F3DAB">
      <w:pPr>
        <w:pStyle w:val="Sinespaciado"/>
        <w:jc w:val="both"/>
        <w:rPr>
          <w:rFonts w:ascii="Times New Roman" w:hAnsi="Times New Roman"/>
          <w:lang w:val="es-ES"/>
        </w:rPr>
      </w:pPr>
    </w:p>
    <w:p w:rsidR="00083532"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El tratamiento de datos personales comprende cualquier</w:t>
      </w:r>
      <w:r w:rsidRPr="007C57D2">
        <w:rPr>
          <w:rFonts w:ascii="Times New Roman" w:hAnsi="Times New Roman"/>
        </w:rPr>
        <w:t xml:space="preserve"> gestión</w:t>
      </w:r>
      <w:r w:rsidRPr="007C57D2">
        <w:rPr>
          <w:rFonts w:ascii="Times New Roman" w:hAnsi="Times New Roman"/>
        </w:rPr>
        <w:t>, operación o actividad</w:t>
      </w:r>
      <w:r w:rsidRPr="007C57D2">
        <w:rPr>
          <w:rFonts w:ascii="Times New Roman" w:hAnsi="Times New Roman"/>
        </w:rPr>
        <w:t xml:space="preserve"> que se efectúe sobre los datos como, entre otras, la recolección, el almacenamiento, el uso, la circulación, la interrelación, la indexación, la comercialización, la corrección y la supresión</w:t>
      </w:r>
      <w:r w:rsidRPr="007C57D2">
        <w:rPr>
          <w:rFonts w:ascii="Times New Roman" w:hAnsi="Times New Roman"/>
          <w:vertAlign w:val="superscript"/>
          <w:lang w:val="es-ES_tradnl"/>
        </w:rPr>
        <w:footnoteReference w:id="354"/>
      </w:r>
      <w:r w:rsidRPr="007C57D2">
        <w:rPr>
          <w:rFonts w:ascii="Times New Roman" w:hAnsi="Times New Roman"/>
        </w:rPr>
        <w:t>. E</w:t>
      </w:r>
      <w:r w:rsidRPr="007C57D2">
        <w:rPr>
          <w:rFonts w:ascii="Times New Roman" w:hAnsi="Times New Roman"/>
        </w:rPr>
        <w:t xml:space="preserve">ste </w:t>
      </w:r>
      <w:r w:rsidRPr="007C57D2">
        <w:rPr>
          <w:rFonts w:ascii="Times New Roman" w:hAnsi="Times New Roman"/>
        </w:rPr>
        <w:t>no puede efectuarse de cu</w:t>
      </w:r>
      <w:r w:rsidRPr="007C57D2">
        <w:rPr>
          <w:rFonts w:ascii="Times New Roman" w:hAnsi="Times New Roman"/>
        </w:rPr>
        <w:t>alquier manera sino observado unos principios que, para la Corte, son “límites al tratamiento de datos personales”</w:t>
      </w:r>
      <w:r w:rsidRPr="007C57D2">
        <w:rPr>
          <w:rStyle w:val="Refdenotaalpie"/>
          <w:rFonts w:ascii="Times New Roman" w:hAnsi="Times New Roman"/>
        </w:rPr>
        <w:footnoteReference w:id="355"/>
      </w:r>
      <w:r w:rsidRPr="007C57D2">
        <w:rPr>
          <w:rFonts w:ascii="Times New Roman" w:hAnsi="Times New Roman"/>
        </w:rPr>
        <w:t>, razón por la cual son de imperativa observancia junto con una serie de obligaciones</w:t>
      </w:r>
      <w:r w:rsidRPr="007C57D2">
        <w:rPr>
          <w:rStyle w:val="Refdenotaalpie"/>
          <w:rFonts w:ascii="Times New Roman" w:hAnsi="Times New Roman"/>
        </w:rPr>
        <w:footnoteReference w:id="356"/>
      </w:r>
      <w:r w:rsidRPr="007C57D2">
        <w:rPr>
          <w:rFonts w:ascii="Times New Roman" w:hAnsi="Times New Roman"/>
        </w:rPr>
        <w:t xml:space="preserve"> que se deben cumplir cuando se pretenda realizar cualquier actividad sobre los datos personales. </w:t>
      </w:r>
    </w:p>
    <w:p w:rsidR="00083532" w:rsidRPr="007C57D2" w:rsidRDefault="007C57D2" w:rsidP="008F3DAB">
      <w:pPr>
        <w:pStyle w:val="Sinespaciado"/>
        <w:jc w:val="both"/>
        <w:rPr>
          <w:rFonts w:ascii="Times New Roman" w:hAnsi="Times New Roman"/>
        </w:rPr>
      </w:pPr>
    </w:p>
    <w:p w:rsidR="00083532"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bCs/>
        </w:rPr>
        <w:t xml:space="preserve">En el PLE se enuncian diferentes persona y sujetos que, según el caso, intervienen en la activación y difusión de la Alerta Colombia como, entre otros, los </w:t>
      </w:r>
      <w:r w:rsidRPr="007C57D2">
        <w:rPr>
          <w:rFonts w:ascii="Times New Roman" w:hAnsi="Times New Roman"/>
          <w:bCs/>
        </w:rPr>
        <w:t>siguientes: el niño, niña o adolescente extraviado(a), los padres, tutores, representantes legales, quienes ostenten la custodia o cuidadores, familiares del NNA, el Instituto Colombiano de Bienestar Familiar, la Policía Nacional, proveedores de redes y se</w:t>
      </w:r>
      <w:r w:rsidRPr="007C57D2">
        <w:rPr>
          <w:rFonts w:ascii="Times New Roman" w:hAnsi="Times New Roman"/>
          <w:bCs/>
        </w:rPr>
        <w:t>rvicios de telecomunicaciones móviles, Defensoría de familia, Comisaría de Familia, Fiscalía General de la Nación, Ministerio de Relaciones Exteriores, Migración Colombia, Autoridades en las fronteras, puertos y aeropuertos, Operadores logísticos de aeropu</w:t>
      </w:r>
      <w:r w:rsidRPr="007C57D2">
        <w:rPr>
          <w:rFonts w:ascii="Times New Roman" w:hAnsi="Times New Roman"/>
          <w:bCs/>
        </w:rPr>
        <w:t xml:space="preserve">ertos internacionales, medios de comunicación de amplia cobertura (radio, televisión, medios digitales). Adicionalmente, los titulares de los teléfonos móviles recibirán información sobre el NNA desaparecido. </w:t>
      </w:r>
    </w:p>
    <w:p w:rsidR="00554A1E" w:rsidRPr="007C57D2" w:rsidRDefault="007C57D2" w:rsidP="008F3DAB">
      <w:pPr>
        <w:pStyle w:val="Sinespaciado"/>
        <w:jc w:val="both"/>
        <w:rPr>
          <w:rFonts w:ascii="Times New Roman" w:hAnsi="Times New Roman"/>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rPr>
        <w:t xml:space="preserve">Según las características de cada situación, </w:t>
      </w:r>
      <w:r w:rsidRPr="007C57D2">
        <w:rPr>
          <w:rFonts w:ascii="Times New Roman" w:hAnsi="Times New Roman"/>
          <w:bCs/>
        </w:rPr>
        <w:t xml:space="preserve">pueden participar distintas personas o entidades en la recolección, uso, circulación y tratamiento de datos personales: unas son titulares de derechos y otras tienen obligaciones a su cargo. El PLE les impone deberes específicos para activar y divulgar la </w:t>
      </w:r>
      <w:r w:rsidRPr="007C57D2">
        <w:rPr>
          <w:rFonts w:ascii="Times New Roman" w:hAnsi="Times New Roman"/>
          <w:bCs/>
        </w:rPr>
        <w:t>Alerta Colombia, con el propósito de efectuar la búsqueda, ubicación y retorno inmediato de los NNA extraviados. Además, el artículo 7</w:t>
      </w:r>
      <w:r w:rsidRPr="007C57D2">
        <w:rPr>
          <w:rFonts w:ascii="Times New Roman" w:hAnsi="Times New Roman"/>
          <w:bCs/>
          <w:vertAlign w:val="superscript"/>
        </w:rPr>
        <w:footnoteReference w:id="357"/>
      </w:r>
      <w:r w:rsidRPr="007C57D2">
        <w:rPr>
          <w:rFonts w:ascii="Times New Roman" w:hAnsi="Times New Roman"/>
          <w:bCs/>
        </w:rPr>
        <w:t xml:space="preserve">  del PLE exige que, en todo lo relativo al tratamiento de datos, se respeten los derechos y se cumplan las obligaciones </w:t>
      </w:r>
      <w:r w:rsidRPr="007C57D2">
        <w:rPr>
          <w:rFonts w:ascii="Times New Roman" w:hAnsi="Times New Roman"/>
          <w:bCs/>
        </w:rPr>
        <w:t>previstas en la Ley Estatutaria 1581 de 2012. Como no es posible anticipar todos los escenarios, la Corte considera necesario formular algunas precisiones sobre los actores que intervienen en dicho tratamiento (Titular del dato, Responsable y Encargado del</w:t>
      </w:r>
      <w:r w:rsidRPr="007C57D2">
        <w:rPr>
          <w:rFonts w:ascii="Times New Roman" w:hAnsi="Times New Roman"/>
          <w:bCs/>
        </w:rPr>
        <w:t xml:space="preserve"> Tratamiento), relevantes para aplicar la norma en cada caso concreto.</w:t>
      </w:r>
    </w:p>
    <w:p w:rsidR="00083532" w:rsidRPr="007C57D2" w:rsidRDefault="007C57D2" w:rsidP="008F3DAB">
      <w:pPr>
        <w:pStyle w:val="Sinespaciado"/>
        <w:jc w:val="both"/>
        <w:rPr>
          <w:rFonts w:ascii="Times New Roman" w:hAnsi="Times New Roman"/>
          <w:bC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rPr>
        <w:t>Respecto del tratamiento de datos personales es factible que las entidades públicas y las empresas privadas contraten a otras compañías u organizaciones para, según el caso, cumplir to</w:t>
      </w:r>
      <w:r w:rsidRPr="007C57D2">
        <w:rPr>
          <w:rFonts w:ascii="Times New Roman" w:hAnsi="Times New Roman"/>
          <w:bCs/>
        </w:rPr>
        <w:t>das o algunas actividades. Un ejemplo de esto es el uso de servicios de computación en la nube</w:t>
      </w:r>
      <w:r w:rsidRPr="007C57D2">
        <w:rPr>
          <w:rFonts w:ascii="Times New Roman" w:hAnsi="Times New Roman"/>
          <w:bCs/>
        </w:rPr>
        <w:t xml:space="preserve"> (</w:t>
      </w:r>
      <w:r w:rsidRPr="007C57D2">
        <w:rPr>
          <w:rFonts w:ascii="Times New Roman" w:hAnsi="Times New Roman"/>
          <w:bCs/>
          <w:i/>
          <w:iCs/>
        </w:rPr>
        <w:t>cloud computing)</w:t>
      </w:r>
      <w:r w:rsidRPr="007C57D2">
        <w:rPr>
          <w:rFonts w:ascii="Times New Roman" w:hAnsi="Times New Roman"/>
          <w:bCs/>
          <w:i/>
          <w:iCs/>
        </w:rPr>
        <w:t>,</w:t>
      </w:r>
      <w:r w:rsidRPr="007C57D2">
        <w:rPr>
          <w:rFonts w:ascii="Times New Roman" w:hAnsi="Times New Roman"/>
          <w:bCs/>
        </w:rPr>
        <w:t xml:space="preserve"> donde organizaciones recurren a proveedores especializados para el almacenamiento, archivo y seguridad de la información. En otros casos, para</w:t>
      </w:r>
      <w:r w:rsidRPr="007C57D2">
        <w:rPr>
          <w:rFonts w:ascii="Times New Roman" w:hAnsi="Times New Roman"/>
          <w:bCs/>
        </w:rPr>
        <w:t xml:space="preserve"> efectos de la prevención, detección, monitoreo y control del lavado de activos y el financiamiento del terrorismo, algunas entidades públicas o empresas contratan empresas externas a quienes les suministran datos de sus clientes, empleados o terceros para</w:t>
      </w:r>
      <w:r w:rsidRPr="007C57D2">
        <w:rPr>
          <w:rFonts w:ascii="Times New Roman" w:hAnsi="Times New Roman"/>
          <w:bCs/>
        </w:rPr>
        <w:t xml:space="preserve"> que complementen esa información con la que reposa en fuentes de naturaleza pública o de acceso público con el objetivo de tener más información sobre una persona y cumplir requerimientos legales con miras a acreditar procesos de debida diligencia en el c</w:t>
      </w:r>
      <w:r w:rsidRPr="007C57D2">
        <w:rPr>
          <w:rFonts w:ascii="Times New Roman" w:hAnsi="Times New Roman"/>
          <w:bCs/>
        </w:rPr>
        <w:t xml:space="preserve">onocimiento de sus clientes, proveedores, socios, empleados, entre otros (estudio de riesgo del cliente, contratistas o alertas de eventuales órdenes de capturas, antecedentes penales, entre otras). </w:t>
      </w:r>
    </w:p>
    <w:p w:rsidR="00083532" w:rsidRPr="007C57D2" w:rsidRDefault="007C57D2" w:rsidP="008F3DAB">
      <w:pPr>
        <w:pStyle w:val="Sinespaciado"/>
        <w:jc w:val="both"/>
        <w:rPr>
          <w:rFonts w:ascii="Times New Roman" w:hAnsi="Times New Roman"/>
          <w:bC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rPr>
        <w:t>Algunas entidades públicas y empresas optan por utiliza</w:t>
      </w:r>
      <w:r w:rsidRPr="007C57D2">
        <w:rPr>
          <w:rFonts w:ascii="Times New Roman" w:hAnsi="Times New Roman"/>
          <w:bCs/>
        </w:rPr>
        <w:t xml:space="preserve">r contratos de </w:t>
      </w:r>
      <w:r w:rsidRPr="007C57D2">
        <w:rPr>
          <w:rFonts w:ascii="Times New Roman" w:hAnsi="Times New Roman"/>
          <w:bCs/>
          <w:i/>
          <w:iCs/>
        </w:rPr>
        <w:t>outsourcing</w:t>
      </w:r>
      <w:r w:rsidRPr="007C57D2">
        <w:rPr>
          <w:rFonts w:ascii="Times New Roman" w:hAnsi="Times New Roman"/>
          <w:bCs/>
        </w:rPr>
        <w:t xml:space="preserve"> para delegar tareas que implican tratamiento de datos como la liquidación y pago de la nómina de empleados, o la comunicación con clientes y terceros para ofrecer bienes o servicios. Estas firmas externas, mediante procesos de te</w:t>
      </w:r>
      <w:r w:rsidRPr="007C57D2">
        <w:rPr>
          <w:rFonts w:ascii="Times New Roman" w:hAnsi="Times New Roman"/>
          <w:bCs/>
        </w:rPr>
        <w:t xml:space="preserve">rcerización o externalización de procesos de negocios (BPO </w:t>
      </w:r>
      <w:r w:rsidRPr="007C57D2">
        <w:rPr>
          <w:rFonts w:ascii="Times New Roman" w:hAnsi="Times New Roman"/>
          <w:bCs/>
          <w:i/>
          <w:iCs/>
        </w:rPr>
        <w:t>- Business Process Outsourcing-)</w:t>
      </w:r>
      <w:r w:rsidRPr="007C57D2">
        <w:rPr>
          <w:rFonts w:ascii="Times New Roman" w:hAnsi="Times New Roman"/>
          <w:bCs/>
        </w:rPr>
        <w:t>, asumen funciones específicas, como atención al cliente, recursos humanos o contabilidad. Estos terceros proveedores de servicios o  tecnologías actúan como Encarga</w:t>
      </w:r>
      <w:r w:rsidRPr="007C57D2">
        <w:rPr>
          <w:rFonts w:ascii="Times New Roman" w:hAnsi="Times New Roman"/>
          <w:bCs/>
        </w:rPr>
        <w:t>dos del Tratamiento al gestionar y proteger la información bajo el mandato del Responsable del Tratamiento (la entidad pública o privada que los contrató). La entidad pública o empresa que contrata a otra empresa es Responsable del Tratamiento de los datos</w:t>
      </w:r>
      <w:r w:rsidRPr="007C57D2">
        <w:rPr>
          <w:rFonts w:ascii="Times New Roman" w:hAnsi="Times New Roman"/>
          <w:bCs/>
        </w:rPr>
        <w:t xml:space="preserve">, mientras que la empresa externa contratada actúa como el Encargado, cumpliendo funciones establecidas por el Responsable. El Encargado no trata los datos a nombre propio, sino en nombre y por cuenta del Responsable del Tratamiento. </w:t>
      </w:r>
    </w:p>
    <w:p w:rsidR="00083532" w:rsidRPr="007C57D2" w:rsidRDefault="007C57D2" w:rsidP="008F3DAB">
      <w:pPr>
        <w:pStyle w:val="Prrafodelista"/>
        <w:rPr>
          <w:rFonts w:ascii="Times New Roman" w:hAnsi="Times New Roman"/>
          <w:bCs/>
          <w:sz w:val="28"/>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rPr>
        <w:t xml:space="preserve">En la </w:t>
      </w:r>
      <w:r w:rsidRPr="007C57D2">
        <w:rPr>
          <w:rFonts w:ascii="Times New Roman" w:hAnsi="Times New Roman"/>
          <w:bCs/>
        </w:rPr>
        <w:t>S</w:t>
      </w:r>
      <w:r w:rsidRPr="007C57D2">
        <w:rPr>
          <w:rFonts w:ascii="Times New Roman" w:hAnsi="Times New Roman"/>
          <w:bCs/>
        </w:rPr>
        <w:t>entencia C-74</w:t>
      </w:r>
      <w:r w:rsidRPr="007C57D2">
        <w:rPr>
          <w:rFonts w:ascii="Times New Roman" w:hAnsi="Times New Roman"/>
          <w:bCs/>
        </w:rPr>
        <w:t>8 de 2001, la Corte ilustró en los siguientes términos la diferencia entre Responsable y Encargado:</w:t>
      </w:r>
      <w:r w:rsidRPr="007C57D2">
        <w:rPr>
          <w:rFonts w:ascii="Times New Roman" w:hAnsi="Times New Roman"/>
          <w:bCs/>
        </w:rPr>
        <w:t xml:space="preserve"> </w:t>
      </w:r>
      <w:r w:rsidRPr="007C57D2">
        <w:rPr>
          <w:rFonts w:ascii="Times New Roman" w:hAnsi="Times New Roman"/>
          <w:bCs/>
        </w:rPr>
        <w:t xml:space="preserve">“Así, por ejemplo, será responsable del dato el hospital que crea la historia clínica de su paciente, la universidad o las instituciones educativas en </w:t>
      </w:r>
      <w:r w:rsidRPr="007C57D2">
        <w:rPr>
          <w:rFonts w:ascii="Times New Roman" w:hAnsi="Times New Roman"/>
          <w:bCs/>
        </w:rPr>
        <w:t>relación con los datos de sus alumnos, pues estos determinan la finalidad (en razón de su objeto que, puede estar  señalado</w:t>
      </w:r>
      <w:r w:rsidRPr="007C57D2">
        <w:rPr>
          <w:rFonts w:ascii="Times New Roman" w:hAnsi="Times New Roman"/>
          <w:bCs/>
        </w:rPr>
        <w:t xml:space="preserve"> </w:t>
      </w:r>
      <w:r w:rsidRPr="007C57D2">
        <w:rPr>
          <w:rFonts w:ascii="Times New Roman" w:hAnsi="Times New Roman"/>
          <w:bCs/>
        </w:rPr>
        <w:t>en una ley o por el giro normal de la actividad que se desarrolla) para la recolección de los datos, así como la forma en que los da</w:t>
      </w:r>
      <w:r w:rsidRPr="007C57D2">
        <w:rPr>
          <w:rFonts w:ascii="Times New Roman" w:hAnsi="Times New Roman"/>
          <w:bCs/>
        </w:rPr>
        <w:t xml:space="preserve">tos serán procesados, almacenados, circulados, etc. (…) </w:t>
      </w:r>
      <w:r w:rsidRPr="007C57D2">
        <w:rPr>
          <w:rFonts w:ascii="Times New Roman" w:hAnsi="Times New Roman"/>
          <w:bCs/>
          <w:lang w:val="es-ES_tradnl"/>
        </w:rPr>
        <w:t>Volvamos al ejemplo de la historia clínica, en el que la institución de salud contrata con una compañía el procesamiento de las historias para que con un programa especial que puede determinar el resp</w:t>
      </w:r>
      <w:r w:rsidRPr="007C57D2">
        <w:rPr>
          <w:rFonts w:ascii="Times New Roman" w:hAnsi="Times New Roman"/>
          <w:bCs/>
          <w:lang w:val="es-ES_tradnl"/>
        </w:rPr>
        <w:t>onsable o la empresa contratada, le organice la información contenida en ellas, siguiendo las indicaciones que establece el hospital. En este caso, el encargado del tratamiento de los datos es la persona jurídica que se contrata para el procesamiento de la</w:t>
      </w:r>
      <w:r w:rsidRPr="007C57D2">
        <w:rPr>
          <w:rFonts w:ascii="Times New Roman" w:hAnsi="Times New Roman"/>
          <w:bCs/>
          <w:lang w:val="es-ES_tradnl"/>
        </w:rPr>
        <w:t>s hojas de vida.”</w:t>
      </w:r>
      <w:r w:rsidRPr="007C57D2">
        <w:rPr>
          <w:rFonts w:ascii="Times New Roman" w:hAnsi="Times New Roman"/>
          <w:vertAlign w:val="superscript"/>
        </w:rPr>
        <w:footnoteReference w:id="358"/>
      </w:r>
    </w:p>
    <w:p w:rsidR="00083532" w:rsidRPr="007C57D2" w:rsidRDefault="007C57D2" w:rsidP="008F3DAB">
      <w:pPr>
        <w:pStyle w:val="Prrafodelista"/>
        <w:rPr>
          <w:rFonts w:ascii="Times New Roman" w:hAnsi="Times New Roman"/>
          <w:sz w:val="28"/>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rPr>
        <w:t>La Corte Constitucional, con ocasión del estudio de la regulación estatutaria sobre la protección de datos personales,</w:t>
      </w:r>
      <w:r w:rsidRPr="007C57D2">
        <w:rPr>
          <w:rFonts w:ascii="Times New Roman" w:hAnsi="Times New Roman"/>
        </w:rPr>
        <w:t xml:space="preserve"> </w:t>
      </w:r>
      <w:r w:rsidRPr="007C57D2">
        <w:rPr>
          <w:rFonts w:ascii="Times New Roman" w:hAnsi="Times New Roman"/>
        </w:rPr>
        <w:t xml:space="preserve">ha distinguido varios sujetos que intervienen en el tratamiento de </w:t>
      </w:r>
      <w:r w:rsidRPr="007C57D2">
        <w:rPr>
          <w:rFonts w:ascii="Times New Roman" w:hAnsi="Times New Roman"/>
        </w:rPr>
        <w:t>esa información</w:t>
      </w:r>
      <w:r w:rsidRPr="007C57D2">
        <w:rPr>
          <w:rFonts w:ascii="Times New Roman" w:hAnsi="Times New Roman"/>
        </w:rPr>
        <w:t xml:space="preserve">, a saber: (i) el Titular del dato personal, (ii) el Responsables del Tratamiento y (iii) el Encargado del Tratamiento. </w:t>
      </w:r>
      <w:r w:rsidRPr="007C57D2">
        <w:rPr>
          <w:rFonts w:ascii="Times New Roman" w:hAnsi="Times New Roman"/>
          <w:lang w:val="es-ES_tradnl"/>
        </w:rPr>
        <w:t xml:space="preserve"> </w:t>
      </w:r>
    </w:p>
    <w:p w:rsidR="00083532" w:rsidRPr="007C57D2" w:rsidRDefault="007C57D2" w:rsidP="008F3DAB">
      <w:pPr>
        <w:pStyle w:val="Prrafodelista"/>
        <w:rPr>
          <w:rFonts w:ascii="Times New Roman" w:hAnsi="Times New Roman"/>
          <w:i/>
          <w:iCs/>
          <w:sz w:val="28"/>
          <w:lang w:val="es-ES_tradnl"/>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i/>
          <w:iCs/>
          <w:lang w:val="es-ES_tradnl"/>
        </w:rPr>
        <w:t>El Titular del dato</w:t>
      </w:r>
      <w:r w:rsidRPr="007C57D2">
        <w:rPr>
          <w:rFonts w:ascii="Times New Roman" w:hAnsi="Times New Roman"/>
          <w:lang w:val="es-ES_tradnl"/>
        </w:rPr>
        <w:t xml:space="preserve"> es la “persona natural cuyos datos personales sean objeto de tratamiento</w:t>
      </w:r>
      <w:r w:rsidRPr="007C57D2">
        <w:rPr>
          <w:rFonts w:ascii="Times New Roman" w:hAnsi="Times New Roman"/>
          <w:i/>
          <w:iCs/>
          <w:lang w:val="es-ES_tradnl"/>
        </w:rPr>
        <w:t>”</w:t>
      </w:r>
      <w:r w:rsidRPr="007C57D2">
        <w:rPr>
          <w:rFonts w:ascii="Times New Roman" w:hAnsi="Times New Roman"/>
          <w:vertAlign w:val="superscript"/>
          <w:lang w:val="es-ES_tradnl"/>
        </w:rPr>
        <w:footnoteReference w:id="359"/>
      </w:r>
      <w:r w:rsidRPr="007C57D2">
        <w:rPr>
          <w:rFonts w:ascii="Times New Roman" w:hAnsi="Times New Roman"/>
          <w:lang w:val="es-ES_tradnl"/>
        </w:rPr>
        <w:t>. A esa persona, la Constitución y la l</w:t>
      </w:r>
      <w:r w:rsidRPr="007C57D2">
        <w:rPr>
          <w:rFonts w:ascii="Times New Roman" w:hAnsi="Times New Roman"/>
          <w:lang w:val="es-ES_tradnl"/>
        </w:rPr>
        <w:t>ey le confiere unos derechos. Al mismo tiempo, los responsables y encargados deben cumplir unos principios y deberes para garantizar un debido tratamiento de la información del Titular del dato.</w:t>
      </w:r>
      <w:r w:rsidRPr="007C57D2">
        <w:rPr>
          <w:rFonts w:ascii="Times New Roman" w:hAnsi="Times New Roman"/>
          <w:vertAlign w:val="superscript"/>
          <w:lang w:val="es-ES_tradnl"/>
        </w:rPr>
        <w:footnoteReference w:id="360"/>
      </w:r>
      <w:r w:rsidRPr="007C57D2">
        <w:rPr>
          <w:rFonts w:ascii="Times New Roman" w:hAnsi="Times New Roman"/>
          <w:lang w:val="es-ES_tradnl"/>
        </w:rPr>
        <w:t xml:space="preserve"> En el caso del PLE son titulares de los datos las siguientes</w:t>
      </w:r>
      <w:r w:rsidRPr="007C57D2">
        <w:rPr>
          <w:rFonts w:ascii="Times New Roman" w:hAnsi="Times New Roman"/>
          <w:lang w:val="es-ES_tradnl"/>
        </w:rPr>
        <w:t xml:space="preserve"> personas naturales sobre las cuales se recolecta y usa su información: el niño, la niña o adolescente extraviado (a); las personas naturales que deben realizar el reporte y que con ocasión de este suministran datos personales</w:t>
      </w:r>
      <w:r w:rsidRPr="007C57D2">
        <w:rPr>
          <w:rFonts w:ascii="Times New Roman" w:hAnsi="Times New Roman"/>
          <w:vertAlign w:val="superscript"/>
          <w:lang w:val="es-ES_tradnl"/>
        </w:rPr>
        <w:footnoteReference w:id="361"/>
      </w:r>
      <w:r w:rsidRPr="007C57D2">
        <w:rPr>
          <w:rFonts w:ascii="Times New Roman" w:hAnsi="Times New Roman"/>
          <w:lang w:val="es-ES_tradnl"/>
        </w:rPr>
        <w:t xml:space="preserve">. </w:t>
      </w:r>
    </w:p>
    <w:p w:rsidR="00083532" w:rsidRPr="007C57D2" w:rsidRDefault="007C57D2" w:rsidP="008F3DAB">
      <w:pPr>
        <w:pStyle w:val="Prrafodelista"/>
        <w:rPr>
          <w:rFonts w:ascii="Times New Roman" w:hAnsi="Times New Roman"/>
          <w:i/>
          <w:sz w:val="28"/>
          <w:lang w:val="es-E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i/>
          <w:lang w:val="es-ES"/>
        </w:rPr>
        <w:t xml:space="preserve">El Responsable del </w:t>
      </w:r>
      <w:r w:rsidRPr="007C57D2">
        <w:rPr>
          <w:rFonts w:ascii="Times New Roman" w:hAnsi="Times New Roman"/>
          <w:i/>
          <w:lang w:val="es-ES"/>
        </w:rPr>
        <w:t>Tratamiento</w:t>
      </w:r>
      <w:r w:rsidRPr="007C57D2">
        <w:rPr>
          <w:rFonts w:ascii="Times New Roman" w:hAnsi="Times New Roman"/>
          <w:iCs/>
          <w:lang w:val="es-ES"/>
        </w:rPr>
        <w:t xml:space="preserve"> está definido en la Ley Estatutaria 1581 de 2012 como la </w:t>
      </w:r>
      <w:r w:rsidRPr="007C57D2">
        <w:rPr>
          <w:rFonts w:ascii="Times New Roman" w:hAnsi="Times New Roman"/>
          <w:i/>
          <w:iCs/>
          <w:lang w:val="es-ES"/>
        </w:rPr>
        <w:t>“</w:t>
      </w:r>
      <w:r w:rsidRPr="007C57D2">
        <w:rPr>
          <w:rFonts w:ascii="Times New Roman" w:hAnsi="Times New Roman"/>
          <w:lang w:val="es-ES"/>
        </w:rPr>
        <w:t>persona natural o jurídica, pública o privada, que por sí misma o en asocio con otros, decida sobre la base de datos y/o el Tratamiento de los datos”</w:t>
      </w:r>
      <w:r w:rsidRPr="007C57D2">
        <w:rPr>
          <w:rFonts w:ascii="Times New Roman" w:hAnsi="Times New Roman"/>
          <w:vertAlign w:val="superscript"/>
          <w:lang w:val="es-ES"/>
        </w:rPr>
        <w:footnoteReference w:id="362"/>
      </w:r>
      <w:r w:rsidRPr="007C57D2">
        <w:rPr>
          <w:rFonts w:ascii="Times New Roman" w:hAnsi="Times New Roman"/>
          <w:lang w:val="es-ES"/>
        </w:rPr>
        <w:t xml:space="preserve">. Se trata del sujeto que establece </w:t>
      </w:r>
      <w:r w:rsidRPr="007C57D2">
        <w:rPr>
          <w:rFonts w:ascii="Times New Roman" w:hAnsi="Times New Roman"/>
          <w:lang w:val="es-ES"/>
        </w:rPr>
        <w:t>los usos o finalidades junto con las demás actividades que comprende el tratamiento</w:t>
      </w:r>
      <w:r w:rsidRPr="007C57D2">
        <w:rPr>
          <w:rFonts w:ascii="Times New Roman" w:hAnsi="Times New Roman"/>
          <w:vertAlign w:val="superscript"/>
          <w:lang w:val="es-ES"/>
        </w:rPr>
        <w:footnoteReference w:id="363"/>
      </w:r>
      <w:r w:rsidRPr="007C57D2">
        <w:rPr>
          <w:rFonts w:ascii="Times New Roman" w:hAnsi="Times New Roman"/>
          <w:lang w:val="es-ES"/>
        </w:rPr>
        <w:t>. Le corresponde obtener la autorización previa, expresa e informada del Titular del dato</w:t>
      </w:r>
      <w:r w:rsidRPr="007C57D2">
        <w:rPr>
          <w:rFonts w:ascii="Times New Roman" w:hAnsi="Times New Roman"/>
          <w:vertAlign w:val="superscript"/>
          <w:lang w:val="es-ES"/>
        </w:rPr>
        <w:footnoteReference w:id="364"/>
      </w:r>
      <w:r w:rsidRPr="007C57D2">
        <w:rPr>
          <w:rFonts w:ascii="Times New Roman" w:hAnsi="Times New Roman"/>
          <w:lang w:val="es-ES"/>
        </w:rPr>
        <w:t xml:space="preserve">. Con ocasión de dicho proceso, debe informarle, entre otros, las finalidades del </w:t>
      </w:r>
      <w:r w:rsidRPr="007C57D2">
        <w:rPr>
          <w:rFonts w:ascii="Times New Roman" w:hAnsi="Times New Roman"/>
          <w:lang w:val="es-ES"/>
        </w:rPr>
        <w:t>tratamiento, los derechos del titular y el nombre, razón social, identificación, dirección y el número telefónico del Responsable</w:t>
      </w:r>
      <w:r w:rsidRPr="007C57D2">
        <w:rPr>
          <w:rFonts w:ascii="Times New Roman" w:hAnsi="Times New Roman"/>
          <w:vertAlign w:val="superscript"/>
          <w:lang w:val="es-ES"/>
        </w:rPr>
        <w:footnoteReference w:id="365"/>
      </w:r>
      <w:r w:rsidRPr="007C57D2">
        <w:rPr>
          <w:rFonts w:ascii="Times New Roman" w:hAnsi="Times New Roman"/>
          <w:lang w:val="es-ES"/>
        </w:rPr>
        <w:t>. Sus deberes legales están enunciados, principalmente, en el artículo 17 de la citada ley. En el caso del PLE, son Responsabl</w:t>
      </w:r>
      <w:r w:rsidRPr="007C57D2">
        <w:rPr>
          <w:rFonts w:ascii="Times New Roman" w:hAnsi="Times New Roman"/>
          <w:lang w:val="es-ES"/>
        </w:rPr>
        <w:t xml:space="preserve">es del Tratamiento, por ejemplo, el Instituto Colombiano de Bienestar Familiar y la Policía Nacional, entre otros. </w:t>
      </w:r>
    </w:p>
    <w:p w:rsidR="00083532" w:rsidRPr="007C57D2" w:rsidRDefault="007C57D2" w:rsidP="008F3DAB">
      <w:pPr>
        <w:pStyle w:val="Prrafodelista"/>
        <w:rPr>
          <w:rFonts w:ascii="Times New Roman" w:hAnsi="Times New Roman"/>
          <w:sz w:val="28"/>
          <w:lang w:val="es-E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lang w:val="es-ES"/>
        </w:rPr>
        <w:t>El Responsable puede realizar el tratamiento directamente con su equipo humano e infraestructura o, acudiendo a un tercero denominado Encar</w:t>
      </w:r>
      <w:r w:rsidRPr="007C57D2">
        <w:rPr>
          <w:rFonts w:ascii="Times New Roman" w:hAnsi="Times New Roman"/>
          <w:lang w:val="es-ES"/>
        </w:rPr>
        <w:t>gado con quien suscribe un contrato para definir, entre otras, lo siguiente: (i) el alcance del tratamiento (qué datos se tratarán y con qué finalidad); (ii) Las actividades específicas que realizará el Encargado en nombre del Responsable; (iii) las obliga</w:t>
      </w:r>
      <w:r w:rsidRPr="007C57D2">
        <w:rPr>
          <w:rFonts w:ascii="Times New Roman" w:hAnsi="Times New Roman"/>
          <w:lang w:val="es-ES"/>
        </w:rPr>
        <w:t>ciones del Encargado frente al Responsable (por ejemplo tratar los datos únicamente para la finalidad autorizada por los titulares, respetando los principios de protección de datos, garantizando seguridad de la información y manteniendo confidencialidad de</w:t>
      </w:r>
      <w:r w:rsidRPr="007C57D2">
        <w:rPr>
          <w:rFonts w:ascii="Times New Roman" w:hAnsi="Times New Roman"/>
          <w:lang w:val="es-ES"/>
        </w:rPr>
        <w:t xml:space="preserve"> la información); (iv) las obligaciones del Encargado frente al Titular del dato (Por ejemplo, respetar los derechos del Titular).</w:t>
      </w:r>
    </w:p>
    <w:p w:rsidR="00083532" w:rsidRPr="007C57D2" w:rsidRDefault="007C57D2" w:rsidP="008F3DAB">
      <w:pPr>
        <w:pStyle w:val="Prrafodelista"/>
        <w:rPr>
          <w:rFonts w:ascii="Times New Roman" w:hAnsi="Times New Roman"/>
          <w:i/>
          <w:iCs/>
          <w:sz w:val="28"/>
          <w:lang w:val="es-E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i/>
          <w:iCs/>
          <w:lang w:val="es-ES"/>
        </w:rPr>
        <w:t>El Encargado del Tratamiento</w:t>
      </w:r>
      <w:r w:rsidRPr="007C57D2">
        <w:rPr>
          <w:rFonts w:ascii="Times New Roman" w:hAnsi="Times New Roman"/>
          <w:lang w:val="es-ES"/>
        </w:rPr>
        <w:t xml:space="preserve"> es la “persona natural o jurídica, pública o privada, que por sí misma o en asocio con otros, r</w:t>
      </w:r>
      <w:r w:rsidRPr="007C57D2">
        <w:rPr>
          <w:rFonts w:ascii="Times New Roman" w:hAnsi="Times New Roman"/>
          <w:lang w:val="es-ES"/>
        </w:rPr>
        <w:t>ealice el Tratamiento de datos personales por cuenta del Responsable del Tratamiento”</w:t>
      </w:r>
      <w:r w:rsidRPr="007C57D2">
        <w:rPr>
          <w:rFonts w:ascii="Times New Roman" w:hAnsi="Times New Roman"/>
          <w:vertAlign w:val="superscript"/>
          <w:lang w:val="es-ES"/>
        </w:rPr>
        <w:footnoteReference w:id="366"/>
      </w:r>
      <w:r w:rsidRPr="007C57D2">
        <w:rPr>
          <w:rFonts w:ascii="Times New Roman" w:hAnsi="Times New Roman"/>
          <w:lang w:val="es-ES"/>
        </w:rPr>
        <w:t>. En línea con lo anterior, la Corte ha precisado que “</w:t>
      </w:r>
      <w:r w:rsidRPr="007C57D2">
        <w:rPr>
          <w:rFonts w:ascii="Times New Roman" w:hAnsi="Times New Roman"/>
          <w:bCs/>
        </w:rPr>
        <w:t>vale la pena advertir que </w:t>
      </w:r>
      <w:r w:rsidRPr="007C57D2">
        <w:rPr>
          <w:rFonts w:ascii="Times New Roman" w:hAnsi="Times New Roman"/>
          <w:bCs/>
          <w:lang w:val="es-ES_tradnl"/>
        </w:rPr>
        <w:t>el encargado del tratamiento no puede ser el mismo responsable, pues se requiere que exis</w:t>
      </w:r>
      <w:r w:rsidRPr="007C57D2">
        <w:rPr>
          <w:rFonts w:ascii="Times New Roman" w:hAnsi="Times New Roman"/>
          <w:bCs/>
          <w:lang w:val="es-ES_tradnl"/>
        </w:rPr>
        <w:t>tan dos personas identificables e independientes, natural y jurídicamente, entre las cuales una –el responsable- le señala a la otra –el encargado- como quiere el procesamiento de unos determinados datos. En este orden, el encargado recibe unas instruccion</w:t>
      </w:r>
      <w:r w:rsidRPr="007C57D2">
        <w:rPr>
          <w:rFonts w:ascii="Times New Roman" w:hAnsi="Times New Roman"/>
          <w:bCs/>
          <w:lang w:val="es-ES_tradnl"/>
        </w:rPr>
        <w:t>es sobre la forma como los datos serán administrados.”</w:t>
      </w:r>
      <w:r w:rsidRPr="007C57D2">
        <w:rPr>
          <w:rFonts w:ascii="Times New Roman" w:hAnsi="Times New Roman"/>
          <w:vertAlign w:val="superscript"/>
        </w:rPr>
        <w:t xml:space="preserve"> </w:t>
      </w:r>
      <w:r w:rsidRPr="007C57D2">
        <w:rPr>
          <w:rFonts w:ascii="Times New Roman" w:hAnsi="Times New Roman"/>
          <w:vertAlign w:val="superscript"/>
        </w:rPr>
        <w:footnoteReference w:id="367"/>
      </w:r>
    </w:p>
    <w:p w:rsidR="00083532" w:rsidRPr="007C57D2" w:rsidRDefault="007C57D2" w:rsidP="008F3DAB">
      <w:pPr>
        <w:pStyle w:val="Prrafodelista"/>
        <w:rPr>
          <w:rFonts w:ascii="Times New Roman" w:hAnsi="Times New Roman"/>
          <w:sz w:val="28"/>
          <w:lang w:val="es-E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lang w:val="es-ES"/>
        </w:rPr>
        <w:t xml:space="preserve">El Encargado obra en nombre del Responsable del tratamiento para realizar una o varias actividades. Entre uno </w:t>
      </w:r>
      <w:r w:rsidRPr="007C57D2">
        <w:rPr>
          <w:rFonts w:ascii="Times New Roman" w:hAnsi="Times New Roman"/>
          <w:i/>
          <w:iCs/>
          <w:lang w:val="es-ES"/>
        </w:rPr>
        <w:t xml:space="preserve">-Responsable- </w:t>
      </w:r>
      <w:r w:rsidRPr="007C57D2">
        <w:rPr>
          <w:rFonts w:ascii="Times New Roman" w:hAnsi="Times New Roman"/>
          <w:lang w:val="es-ES"/>
        </w:rPr>
        <w:t xml:space="preserve">y otro </w:t>
      </w:r>
      <w:r w:rsidRPr="007C57D2">
        <w:rPr>
          <w:rFonts w:ascii="Times New Roman" w:hAnsi="Times New Roman"/>
          <w:i/>
          <w:iCs/>
          <w:lang w:val="es-ES"/>
        </w:rPr>
        <w:t>-Encargado-</w:t>
      </w:r>
      <w:r w:rsidRPr="007C57D2">
        <w:rPr>
          <w:rFonts w:ascii="Times New Roman" w:hAnsi="Times New Roman"/>
          <w:lang w:val="es-ES"/>
        </w:rPr>
        <w:t xml:space="preserve"> existe una relación jurídica de mandato, razón por la cual el Encargado cumple las instrucciones que le da el Responsable. En línea con lo anterior, la Corte ha señalado que existe subordinación entre el Encargado y el Responsable: “</w:t>
      </w:r>
      <w:r w:rsidRPr="007C57D2">
        <w:rPr>
          <w:rFonts w:ascii="Times New Roman" w:hAnsi="Times New Roman"/>
        </w:rPr>
        <w:t>el término “</w:t>
      </w:r>
      <w:r w:rsidRPr="007C57D2">
        <w:rPr>
          <w:rFonts w:ascii="Times New Roman" w:hAnsi="Times New Roman"/>
          <w:i/>
          <w:iCs/>
        </w:rPr>
        <w:t>por cuenta</w:t>
      </w:r>
      <w:r w:rsidRPr="007C57D2">
        <w:rPr>
          <w:rFonts w:ascii="Times New Roman" w:hAnsi="Times New Roman"/>
          <w:i/>
          <w:iCs/>
        </w:rPr>
        <w:t xml:space="preserve"> de”</w:t>
      </w:r>
      <w:r w:rsidRPr="007C57D2">
        <w:rPr>
          <w:rFonts w:ascii="Times New Roman" w:hAnsi="Times New Roman"/>
        </w:rPr>
        <w:t> utilizado por el literal e), lo que da a entender una relación de subordinación del encargado al responsable, sin que ello implique que se exima de su responsabilidad frente al titular del dato.”</w:t>
      </w:r>
      <w:r w:rsidRPr="007C57D2">
        <w:rPr>
          <w:rFonts w:ascii="Times New Roman" w:hAnsi="Times New Roman"/>
          <w:vertAlign w:val="superscript"/>
        </w:rPr>
        <w:footnoteReference w:id="368"/>
      </w:r>
    </w:p>
    <w:p w:rsidR="00083532" w:rsidRPr="007C57D2" w:rsidRDefault="007C57D2" w:rsidP="008F3DAB">
      <w:pPr>
        <w:pStyle w:val="Prrafodelista"/>
        <w:rPr>
          <w:rFonts w:ascii="Times New Roman" w:hAnsi="Times New Roman"/>
          <w:bCs/>
          <w:sz w:val="28"/>
          <w:lang w:val="es-E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lang w:val="es-ES"/>
        </w:rPr>
        <w:t>Los deberes legales del Encargado están enunciados en</w:t>
      </w:r>
      <w:r w:rsidRPr="007C57D2">
        <w:rPr>
          <w:rFonts w:ascii="Times New Roman" w:hAnsi="Times New Roman"/>
          <w:bCs/>
          <w:lang w:val="es-ES"/>
        </w:rPr>
        <w:t>, entre otros, el artículo 18 de la Ley Estatutaria 1581 de 2012. Su función se limita a la ejecución de las instrucciones dadas por el Responsable del Tratamiento, quien es el verdadero titular de las decisiones sobre el uso de los datos personales. En co</w:t>
      </w:r>
      <w:r w:rsidRPr="007C57D2">
        <w:rPr>
          <w:rFonts w:ascii="Times New Roman" w:hAnsi="Times New Roman"/>
          <w:bCs/>
          <w:lang w:val="es-ES"/>
        </w:rPr>
        <w:t>nsecuencia, el mero hecho de que un tercero suministre software, maquinaria o una plataforma tecnológica para el tratamiento de datos no lo convierte automáticamente en Responsable del Tratamiento, ya que al Encargado no le corresponde la toma de decisione</w:t>
      </w:r>
      <w:r w:rsidRPr="007C57D2">
        <w:rPr>
          <w:rFonts w:ascii="Times New Roman" w:hAnsi="Times New Roman"/>
          <w:bCs/>
          <w:lang w:val="es-ES"/>
        </w:rPr>
        <w:t xml:space="preserve">s sobre los fines del tratamiento de datos, sino únicamente la prestación de un servicio respecto de los datos que suministra o decida el Responsables del Tratamiento. </w:t>
      </w:r>
      <w:r w:rsidRPr="007C57D2">
        <w:rPr>
          <w:rFonts w:ascii="Times New Roman" w:hAnsi="Times New Roman"/>
          <w:bCs/>
        </w:rPr>
        <w:t>Lo decisivo para identificar al Responsable no es quién posee o es dueño de la tecnologí</w:t>
      </w:r>
      <w:r w:rsidRPr="007C57D2">
        <w:rPr>
          <w:rFonts w:ascii="Times New Roman" w:hAnsi="Times New Roman"/>
          <w:bCs/>
        </w:rPr>
        <w:t xml:space="preserve">a, el software o la infraestructura, sino quién fija las finalidades del tratamiento; de hecho, </w:t>
      </w:r>
      <w:r w:rsidRPr="007C57D2">
        <w:rPr>
          <w:rFonts w:ascii="Times New Roman" w:hAnsi="Times New Roman"/>
          <w:bCs/>
          <w:lang w:val="es-ES"/>
        </w:rPr>
        <w:t xml:space="preserve">la definición legal de Responsable no menciona nada sobre la infraestructura o tecnología. </w:t>
      </w:r>
    </w:p>
    <w:p w:rsidR="00083532" w:rsidRPr="007C57D2" w:rsidRDefault="007C57D2" w:rsidP="008F3DAB">
      <w:pPr>
        <w:pStyle w:val="Prrafodelista"/>
        <w:rPr>
          <w:rFonts w:ascii="Times New Roman" w:hAnsi="Times New Roman"/>
          <w:bCs/>
          <w:sz w:val="28"/>
          <w:lang w:val="es-E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lang w:val="es-ES"/>
        </w:rPr>
        <w:t>La Ley Estatutaria 1581 de 2012, en su artículo 17, establece de ma</w:t>
      </w:r>
      <w:r w:rsidRPr="007C57D2">
        <w:rPr>
          <w:rFonts w:ascii="Times New Roman" w:hAnsi="Times New Roman"/>
          <w:bCs/>
          <w:lang w:val="es-ES"/>
        </w:rPr>
        <w:t>nera clara que</w:t>
      </w:r>
      <w:r w:rsidRPr="007C57D2">
        <w:rPr>
          <w:rFonts w:ascii="Times New Roman" w:hAnsi="Times New Roman"/>
          <w:bCs/>
          <w:lang w:val="es-ES"/>
        </w:rPr>
        <w:t xml:space="preserve"> </w:t>
      </w:r>
      <w:r w:rsidRPr="007C57D2">
        <w:rPr>
          <w:rFonts w:ascii="Times New Roman" w:hAnsi="Times New Roman"/>
          <w:bCs/>
          <w:lang w:val="es-ES"/>
        </w:rPr>
        <w:t>es responsabilidad del Responsable del Tratamiento obtener la autorización del titular de los datos personales</w:t>
      </w:r>
      <w:r w:rsidRPr="007C57D2">
        <w:rPr>
          <w:rFonts w:ascii="Times New Roman" w:hAnsi="Times New Roman"/>
          <w:bCs/>
          <w:vertAlign w:val="superscript"/>
          <w:lang w:val="es-ES"/>
        </w:rPr>
        <w:footnoteReference w:id="369"/>
      </w:r>
      <w:r w:rsidRPr="007C57D2">
        <w:rPr>
          <w:rFonts w:ascii="Times New Roman" w:hAnsi="Times New Roman"/>
          <w:bCs/>
          <w:lang w:val="es-ES"/>
        </w:rPr>
        <w:t xml:space="preserve">. La norma no exige que el Encargado del Tratamiento deba obtener una segunda autorización para tratar los datos en nombre del Responsables. En este sentido, la Corte ha puesto de presente que </w:t>
      </w:r>
      <w:r w:rsidRPr="007C57D2">
        <w:rPr>
          <w:rFonts w:ascii="Times New Roman" w:hAnsi="Times New Roman"/>
          <w:bCs/>
        </w:rPr>
        <w:t>“si bien es cierto que el artículo 17 señala que el responsable</w:t>
      </w:r>
      <w:r w:rsidRPr="007C57D2">
        <w:rPr>
          <w:rFonts w:ascii="Times New Roman" w:hAnsi="Times New Roman"/>
          <w:bCs/>
        </w:rPr>
        <w:t xml:space="preserve"> del tratamiento es quien debe solicitar y conservar la autorización en la que conste el </w:t>
      </w:r>
      <w:r w:rsidRPr="007C57D2">
        <w:rPr>
          <w:rFonts w:ascii="Times New Roman" w:hAnsi="Times New Roman"/>
          <w:b/>
          <w:bCs/>
        </w:rPr>
        <w:t>consentimiento expreso</w:t>
      </w:r>
      <w:r w:rsidRPr="007C57D2">
        <w:rPr>
          <w:rFonts w:ascii="Times New Roman" w:hAnsi="Times New Roman"/>
          <w:bCs/>
        </w:rPr>
        <w:t> del titular para el tratamiento de sus datos, así como informar con </w:t>
      </w:r>
      <w:r w:rsidRPr="007C57D2">
        <w:rPr>
          <w:rFonts w:ascii="Times New Roman" w:hAnsi="Times New Roman"/>
          <w:b/>
          <w:bCs/>
        </w:rPr>
        <w:t>claridad la finalidad del mismo</w:t>
      </w:r>
      <w:r w:rsidRPr="007C57D2">
        <w:rPr>
          <w:rFonts w:ascii="Times New Roman" w:hAnsi="Times New Roman"/>
          <w:bCs/>
        </w:rPr>
        <w:t>, también lo</w:t>
      </w:r>
      <w:r w:rsidRPr="007C57D2">
        <w:rPr>
          <w:rFonts w:ascii="Times New Roman" w:hAnsi="Times New Roman"/>
          <w:bCs/>
        </w:rPr>
        <w:t xml:space="preserve"> </w:t>
      </w:r>
      <w:r w:rsidRPr="007C57D2">
        <w:rPr>
          <w:rFonts w:ascii="Times New Roman" w:hAnsi="Times New Roman"/>
          <w:bCs/>
        </w:rPr>
        <w:t>es que, en cumplimiento de los p</w:t>
      </w:r>
      <w:r w:rsidRPr="007C57D2">
        <w:rPr>
          <w:rFonts w:ascii="Times New Roman" w:hAnsi="Times New Roman"/>
          <w:bCs/>
        </w:rPr>
        <w:t>rincipios de libertad y finalidad, el encargado  del tratamiento al recibir la delegación para tratar el dato en los términos en que lo determine el responsable, debe cerciorarse de que aquel tiene la autorización para su tratamiento y que el tratamiento s</w:t>
      </w:r>
      <w:r w:rsidRPr="007C57D2">
        <w:rPr>
          <w:rFonts w:ascii="Times New Roman" w:hAnsi="Times New Roman"/>
          <w:bCs/>
        </w:rPr>
        <w:t>e realizará para las finalidades informadas y aceptadas por el titular del dato. Esto significa que en razón de la posición que cada uno de estos sujetos ocupa en las etapas del proceso del tratamiento del dato, es al </w:t>
      </w:r>
      <w:r w:rsidRPr="007C57D2">
        <w:rPr>
          <w:rFonts w:ascii="Times New Roman" w:hAnsi="Times New Roman"/>
          <w:b/>
          <w:bCs/>
        </w:rPr>
        <w:t>responsable</w:t>
      </w:r>
      <w:r w:rsidRPr="007C57D2">
        <w:rPr>
          <w:rFonts w:ascii="Times New Roman" w:hAnsi="Times New Roman"/>
          <w:bCs/>
        </w:rPr>
        <w:t> al que le corresponde </w:t>
      </w:r>
      <w:r w:rsidRPr="007C57D2">
        <w:rPr>
          <w:rFonts w:ascii="Times New Roman" w:hAnsi="Times New Roman"/>
          <w:b/>
          <w:bCs/>
        </w:rPr>
        <w:t>obte</w:t>
      </w:r>
      <w:r w:rsidRPr="007C57D2">
        <w:rPr>
          <w:rFonts w:ascii="Times New Roman" w:hAnsi="Times New Roman"/>
          <w:b/>
          <w:bCs/>
        </w:rPr>
        <w:t>ner</w:t>
      </w:r>
      <w:r w:rsidRPr="007C57D2">
        <w:rPr>
          <w:rFonts w:ascii="Times New Roman" w:hAnsi="Times New Roman"/>
          <w:bCs/>
        </w:rPr>
        <w:t> </w:t>
      </w:r>
      <w:r w:rsidRPr="007C57D2">
        <w:rPr>
          <w:rFonts w:ascii="Times New Roman" w:hAnsi="Times New Roman"/>
          <w:b/>
          <w:bCs/>
        </w:rPr>
        <w:t>y conservar</w:t>
      </w:r>
      <w:r w:rsidRPr="007C57D2">
        <w:rPr>
          <w:rFonts w:ascii="Times New Roman" w:hAnsi="Times New Roman"/>
          <w:bCs/>
        </w:rPr>
        <w:t> la autorización del titular, asunto que no impide al encargado solicitar a su mandante exhibir la autorización correspondiente y verificar que se cumpla la finalidad informada y aceptada por el titular de dato. (…). Lo anterior no significa</w:t>
      </w:r>
      <w:r w:rsidRPr="007C57D2">
        <w:rPr>
          <w:rFonts w:ascii="Times New Roman" w:hAnsi="Times New Roman"/>
          <w:bCs/>
        </w:rPr>
        <w:t xml:space="preserve"> que el encargado deba ser quien recabe la autorización. Su deber en relación con  ésta </w:t>
      </w:r>
      <w:r w:rsidRPr="007C57D2">
        <w:rPr>
          <w:rFonts w:ascii="Times New Roman" w:hAnsi="Times New Roman"/>
          <w:b/>
          <w:bCs/>
        </w:rPr>
        <w:t>consiste en verificar  su existencia y alcance.”</w:t>
      </w:r>
      <w:r w:rsidRPr="007C57D2">
        <w:rPr>
          <w:rFonts w:ascii="Times New Roman" w:hAnsi="Times New Roman"/>
          <w:bCs/>
          <w:vertAlign w:val="superscript"/>
          <w:lang w:val="es-ES"/>
        </w:rPr>
        <w:footnoteReference w:id="370"/>
      </w:r>
      <w:r w:rsidRPr="007C57D2">
        <w:rPr>
          <w:rFonts w:ascii="Times New Roman" w:hAnsi="Times New Roman"/>
          <w:bCs/>
          <w:lang w:val="es-ES"/>
        </w:rPr>
        <w:t xml:space="preserve"> (Negrillas del texto original)</w:t>
      </w:r>
    </w:p>
    <w:p w:rsidR="00083532" w:rsidRPr="007C57D2" w:rsidRDefault="007C57D2" w:rsidP="008F3DAB">
      <w:pPr>
        <w:pStyle w:val="Sinespaciado"/>
        <w:jc w:val="both"/>
        <w:rPr>
          <w:rFonts w:ascii="Times New Roman" w:hAnsi="Times New Roman"/>
          <w:bC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rPr>
        <w:t>Finalmente, cuando la ley no establezca</w:t>
      </w:r>
      <w:r w:rsidRPr="007C57D2">
        <w:rPr>
          <w:rFonts w:ascii="Times New Roman" w:hAnsi="Times New Roman"/>
        </w:rPr>
        <w:t xml:space="preserve"> lo contrario</w:t>
      </w:r>
      <w:r w:rsidRPr="007C57D2">
        <w:rPr>
          <w:rFonts w:ascii="Times New Roman" w:hAnsi="Times New Roman"/>
        </w:rPr>
        <w:t>, las entidades públicas y las ent</w:t>
      </w:r>
      <w:r w:rsidRPr="007C57D2">
        <w:rPr>
          <w:rFonts w:ascii="Times New Roman" w:hAnsi="Times New Roman"/>
        </w:rPr>
        <w:t xml:space="preserve">idades privadas pueden pactar mediante acuerdo quién asumirá el rol de Responsable y Encargado. Esto, per se, </w:t>
      </w:r>
      <w:r w:rsidRPr="007C57D2">
        <w:rPr>
          <w:rFonts w:ascii="Times New Roman" w:hAnsi="Times New Roman"/>
        </w:rPr>
        <w:t xml:space="preserve">no es ilegal </w:t>
      </w:r>
      <w:r w:rsidRPr="007C57D2">
        <w:rPr>
          <w:rFonts w:ascii="Times New Roman" w:hAnsi="Times New Roman"/>
        </w:rPr>
        <w:t>n</w:t>
      </w:r>
      <w:r w:rsidRPr="007C57D2">
        <w:rPr>
          <w:rFonts w:ascii="Times New Roman" w:hAnsi="Times New Roman"/>
        </w:rPr>
        <w:t>i</w:t>
      </w:r>
      <w:r w:rsidRPr="007C57D2">
        <w:rPr>
          <w:rFonts w:ascii="Times New Roman" w:hAnsi="Times New Roman"/>
        </w:rPr>
        <w:t xml:space="preserve"> afecta los derechos de los titulares de los datos por varias razones: </w:t>
      </w:r>
    </w:p>
    <w:p w:rsidR="00083532" w:rsidRPr="007C57D2" w:rsidRDefault="007C57D2" w:rsidP="008F3DAB">
      <w:pPr>
        <w:pStyle w:val="Prrafodelista"/>
        <w:rPr>
          <w:rFonts w:ascii="Times New Roman" w:hAnsi="Times New Roman"/>
          <w:sz w:val="28"/>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rPr>
        <w:t>En primer lugar, si no es claro qu</w:t>
      </w:r>
      <w:r w:rsidRPr="007C57D2">
        <w:rPr>
          <w:rFonts w:ascii="Times New Roman" w:hAnsi="Times New Roman"/>
        </w:rPr>
        <w:t>é</w:t>
      </w:r>
      <w:r w:rsidRPr="007C57D2">
        <w:rPr>
          <w:rFonts w:ascii="Times New Roman" w:hAnsi="Times New Roman"/>
        </w:rPr>
        <w:t xml:space="preserve"> sujeto es Responsable </w:t>
      </w:r>
      <w:r w:rsidRPr="007C57D2">
        <w:rPr>
          <w:rFonts w:ascii="Times New Roman" w:hAnsi="Times New Roman"/>
        </w:rPr>
        <w:t>o Encargado, la Corte ha concluido que “las autoridades correspondientes </w:t>
      </w:r>
      <w:r w:rsidRPr="007C57D2">
        <w:rPr>
          <w:rFonts w:ascii="Times New Roman" w:hAnsi="Times New Roman"/>
          <w:b/>
          <w:bCs/>
          <w:i/>
          <w:iCs/>
        </w:rPr>
        <w:t>habrán de presumir la responsabilidad solidaria de todos</w:t>
      </w:r>
      <w:r w:rsidRPr="007C57D2">
        <w:rPr>
          <w:rFonts w:ascii="Times New Roman" w:hAnsi="Times New Roman"/>
        </w:rPr>
        <w:t xml:space="preserve">, aspecto éste sobre el que guarda silencio el proyecto de ley y que la Corte debe afirmar como una forma de hacer efectiva la </w:t>
      </w:r>
      <w:r w:rsidRPr="007C57D2">
        <w:rPr>
          <w:rFonts w:ascii="Times New Roman" w:hAnsi="Times New Roman"/>
        </w:rPr>
        <w:t>protección a la que se refiere el artículo 15 de la Carta”</w:t>
      </w:r>
      <w:r w:rsidRPr="007C57D2">
        <w:rPr>
          <w:rFonts w:ascii="Times New Roman" w:hAnsi="Times New Roman"/>
          <w:vertAlign w:val="superscript"/>
        </w:rPr>
        <w:t xml:space="preserve"> </w:t>
      </w:r>
      <w:r w:rsidRPr="007C57D2">
        <w:rPr>
          <w:rFonts w:ascii="Times New Roman" w:hAnsi="Times New Roman"/>
          <w:vertAlign w:val="superscript"/>
        </w:rPr>
        <w:footnoteReference w:id="371"/>
      </w:r>
      <w:r w:rsidRPr="007C57D2">
        <w:rPr>
          <w:rFonts w:ascii="Times New Roman" w:hAnsi="Times New Roman"/>
        </w:rPr>
        <w:t xml:space="preserve"> (Negrillas del texto original). La jurisprudencia constitucional  no solo recalca que “lo importante para una verdadera garantía del derecho al habeas data, es que se pueda establecer de manera c</w:t>
      </w:r>
      <w:r w:rsidRPr="007C57D2">
        <w:rPr>
          <w:rFonts w:ascii="Times New Roman" w:hAnsi="Times New Roman"/>
        </w:rPr>
        <w:t>lara la responsabilidad de cada sujeto o agente en el evento en que el titular del dato decida ejercer sus derechos”</w:t>
      </w:r>
      <w:r w:rsidRPr="007C57D2">
        <w:rPr>
          <w:rFonts w:ascii="Times New Roman" w:hAnsi="Times New Roman"/>
          <w:vertAlign w:val="superscript"/>
        </w:rPr>
        <w:t xml:space="preserve"> </w:t>
      </w:r>
      <w:r w:rsidRPr="007C57D2">
        <w:rPr>
          <w:rFonts w:ascii="Times New Roman" w:hAnsi="Times New Roman"/>
          <w:vertAlign w:val="superscript"/>
        </w:rPr>
        <w:footnoteReference w:id="372"/>
      </w:r>
      <w:r w:rsidRPr="007C57D2">
        <w:rPr>
          <w:rFonts w:ascii="Times New Roman" w:hAnsi="Times New Roman"/>
        </w:rPr>
        <w:t xml:space="preserve">, sino que precisa que “tanto el responsable como el encargado del tratamiento tienen responsabilidades claras, concretas y precisas </w:t>
      </w:r>
      <w:r w:rsidRPr="007C57D2">
        <w:rPr>
          <w:rFonts w:ascii="Times New Roman" w:hAnsi="Times New Roman"/>
        </w:rPr>
        <w:t xml:space="preserve">frente al titular del dato, por cuanto ambos sujetos, en los términos de los preceptos en análisis, están obligados a garantizar el ejercicio pleno y efectivo del derecho al habeas data, el cual se irradia por todos los principios que rigen el tratamiento </w:t>
      </w:r>
      <w:r w:rsidRPr="007C57D2">
        <w:rPr>
          <w:rFonts w:ascii="Times New Roman" w:hAnsi="Times New Roman"/>
        </w:rPr>
        <w:t>de datos, en donde el titular  dispone de todos los medios para lograr la actualización, rectificación y  supresión o cancelación de la información, según lo analizado en el acápite anterior”</w:t>
      </w:r>
      <w:r w:rsidRPr="007C57D2">
        <w:rPr>
          <w:rFonts w:ascii="Times New Roman" w:hAnsi="Times New Roman"/>
          <w:vertAlign w:val="superscript"/>
        </w:rPr>
        <w:footnoteReference w:id="373"/>
      </w:r>
    </w:p>
    <w:p w:rsidR="00083532" w:rsidRPr="007C57D2" w:rsidRDefault="007C57D2" w:rsidP="008F3DAB">
      <w:pPr>
        <w:pStyle w:val="Sinespaciado"/>
        <w:jc w:val="both"/>
        <w:rPr>
          <w:rFonts w:ascii="Times New Roman" w:hAnsi="Times New Roman"/>
          <w:bC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rPr>
        <w:t>En segundo lugar, es obligatorio que al momento de solicitar a</w:t>
      </w:r>
      <w:r w:rsidRPr="007C57D2">
        <w:rPr>
          <w:rFonts w:ascii="Times New Roman" w:hAnsi="Times New Roman"/>
        </w:rPr>
        <w:t>l Titular la autorización, se informe, entre otras, el nombre o razón social, “la identificación, dirección física o electrónica y teléfono del Responsable del Tratamiento”</w:t>
      </w:r>
      <w:r w:rsidRPr="007C57D2">
        <w:rPr>
          <w:rFonts w:ascii="Times New Roman" w:hAnsi="Times New Roman"/>
          <w:vertAlign w:val="superscript"/>
        </w:rPr>
        <w:footnoteReference w:id="374"/>
      </w:r>
      <w:r w:rsidRPr="007C57D2">
        <w:rPr>
          <w:rFonts w:ascii="Times New Roman" w:hAnsi="Times New Roman"/>
        </w:rPr>
        <w:t xml:space="preserve">. Con esto, el Titular del dato tendrá certeza sobre </w:t>
      </w:r>
      <w:r w:rsidRPr="007C57D2">
        <w:rPr>
          <w:rFonts w:ascii="Times New Roman" w:hAnsi="Times New Roman"/>
        </w:rPr>
        <w:t>cuál</w:t>
      </w:r>
      <w:r w:rsidRPr="007C57D2">
        <w:rPr>
          <w:rFonts w:ascii="Times New Roman" w:hAnsi="Times New Roman"/>
        </w:rPr>
        <w:t xml:space="preserve"> es la entidad pública o p</w:t>
      </w:r>
      <w:r w:rsidRPr="007C57D2">
        <w:rPr>
          <w:rFonts w:ascii="Times New Roman" w:hAnsi="Times New Roman"/>
        </w:rPr>
        <w:t xml:space="preserve">rivada que es Responsable del tratamiento de los datos personales; </w:t>
      </w:r>
    </w:p>
    <w:p w:rsidR="00083532" w:rsidRPr="007C57D2" w:rsidRDefault="007C57D2" w:rsidP="008F3DAB">
      <w:pPr>
        <w:pStyle w:val="Prrafodelista"/>
        <w:rPr>
          <w:rFonts w:ascii="Times New Roman" w:hAnsi="Times New Roman"/>
          <w:sz w:val="28"/>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rPr>
        <w:t>En tercer lugar, el Responsable está obligado a, entre otras, lo siguiente: a) “Garantizar al Titular, en todo tiempo, el pleno y efectivo ejercicio del derecho de hábeas data”</w:t>
      </w:r>
      <w:r w:rsidRPr="007C57D2">
        <w:rPr>
          <w:rFonts w:ascii="Times New Roman" w:hAnsi="Times New Roman"/>
          <w:vertAlign w:val="superscript"/>
        </w:rPr>
        <w:footnoteReference w:id="375"/>
      </w:r>
      <w:r w:rsidRPr="007C57D2">
        <w:rPr>
          <w:rFonts w:ascii="Times New Roman" w:hAnsi="Times New Roman"/>
        </w:rPr>
        <w:t>; b) Solic</w:t>
      </w:r>
      <w:r w:rsidRPr="007C57D2">
        <w:rPr>
          <w:rFonts w:ascii="Times New Roman" w:hAnsi="Times New Roman"/>
        </w:rPr>
        <w:t>itar y conservar copia de la respectiva autorización otorgada por el Titular</w:t>
      </w:r>
      <w:r w:rsidRPr="007C57D2">
        <w:rPr>
          <w:rFonts w:ascii="Times New Roman" w:hAnsi="Times New Roman"/>
          <w:vertAlign w:val="superscript"/>
        </w:rPr>
        <w:footnoteReference w:id="376"/>
      </w:r>
      <w:r w:rsidRPr="007C57D2">
        <w:rPr>
          <w:rFonts w:ascii="Times New Roman" w:hAnsi="Times New Roman"/>
        </w:rPr>
        <w:t>; c) “Conservar la información bajo las condiciones de seguridad necesarias para impedir su adulteración, pérdida, consulta, uso o acceso no autorizado o fraudulento”</w:t>
      </w:r>
      <w:r w:rsidRPr="007C57D2">
        <w:rPr>
          <w:rFonts w:ascii="Times New Roman" w:hAnsi="Times New Roman"/>
          <w:vertAlign w:val="superscript"/>
        </w:rPr>
        <w:t xml:space="preserve"> </w:t>
      </w:r>
      <w:r w:rsidRPr="007C57D2">
        <w:rPr>
          <w:rFonts w:ascii="Times New Roman" w:hAnsi="Times New Roman"/>
          <w:vertAlign w:val="superscript"/>
        </w:rPr>
        <w:footnoteReference w:id="377"/>
      </w:r>
      <w:r w:rsidRPr="007C57D2">
        <w:rPr>
          <w:rFonts w:ascii="Times New Roman" w:hAnsi="Times New Roman"/>
        </w:rPr>
        <w:t>; d) “Garan</w:t>
      </w:r>
      <w:r w:rsidRPr="007C57D2">
        <w:rPr>
          <w:rFonts w:ascii="Times New Roman" w:hAnsi="Times New Roman"/>
        </w:rPr>
        <w:t>tizar que la información que se suministre al Encargado del Tratamiento sea veraz, completa, exacta, actualizada, comprobable y comprensible”</w:t>
      </w:r>
      <w:r w:rsidRPr="007C57D2">
        <w:rPr>
          <w:rFonts w:ascii="Times New Roman" w:hAnsi="Times New Roman"/>
          <w:vertAlign w:val="superscript"/>
        </w:rPr>
        <w:t xml:space="preserve"> </w:t>
      </w:r>
      <w:r w:rsidRPr="007C57D2">
        <w:rPr>
          <w:rFonts w:ascii="Times New Roman" w:hAnsi="Times New Roman"/>
          <w:vertAlign w:val="superscript"/>
        </w:rPr>
        <w:footnoteReference w:id="378"/>
      </w:r>
      <w:r w:rsidRPr="007C57D2">
        <w:rPr>
          <w:rFonts w:ascii="Times New Roman" w:hAnsi="Times New Roman"/>
        </w:rPr>
        <w:t xml:space="preserve">; e) “Actualizar la información, comunicando de forma oportuna al Encargado del Tratamiento, todas las novedades </w:t>
      </w:r>
      <w:r w:rsidRPr="007C57D2">
        <w:rPr>
          <w:rFonts w:ascii="Times New Roman" w:hAnsi="Times New Roman"/>
        </w:rPr>
        <w:t>respecto de los datos que previamente le haya suministrado y adoptar las demás medidas necesarias para que la información suministrada a este se mantenga actualizada”</w:t>
      </w:r>
      <w:r w:rsidRPr="007C57D2">
        <w:rPr>
          <w:rFonts w:ascii="Times New Roman" w:hAnsi="Times New Roman"/>
          <w:vertAlign w:val="superscript"/>
        </w:rPr>
        <w:t xml:space="preserve"> </w:t>
      </w:r>
      <w:r w:rsidRPr="007C57D2">
        <w:rPr>
          <w:rFonts w:ascii="Times New Roman" w:hAnsi="Times New Roman"/>
          <w:vertAlign w:val="superscript"/>
        </w:rPr>
        <w:footnoteReference w:id="379"/>
      </w:r>
      <w:r w:rsidRPr="007C57D2">
        <w:rPr>
          <w:rFonts w:ascii="Times New Roman" w:hAnsi="Times New Roman"/>
        </w:rPr>
        <w:t>; f) “Rectificar la información cuando sea incorrecta y comunicar lo pertinente al Encar</w:t>
      </w:r>
      <w:r w:rsidRPr="007C57D2">
        <w:rPr>
          <w:rFonts w:ascii="Times New Roman" w:hAnsi="Times New Roman"/>
        </w:rPr>
        <w:t>gado del Tratamiento”</w:t>
      </w:r>
      <w:r w:rsidRPr="007C57D2">
        <w:rPr>
          <w:rFonts w:ascii="Times New Roman" w:hAnsi="Times New Roman"/>
          <w:vertAlign w:val="superscript"/>
        </w:rPr>
        <w:footnoteReference w:id="380"/>
      </w:r>
      <w:r w:rsidRPr="007C57D2">
        <w:rPr>
          <w:rFonts w:ascii="Times New Roman" w:hAnsi="Times New Roman"/>
        </w:rPr>
        <w:t>; g) “Suministrar al Encargado del Tratamiento, según el caso, únicamente datos cuyo Tratamiento esté previamente autorizado de conformidad con lo previsto en la presente ley”</w:t>
      </w:r>
      <w:r w:rsidRPr="007C57D2">
        <w:rPr>
          <w:rFonts w:ascii="Times New Roman" w:hAnsi="Times New Roman"/>
          <w:vertAlign w:val="superscript"/>
        </w:rPr>
        <w:t xml:space="preserve"> </w:t>
      </w:r>
      <w:r w:rsidRPr="007C57D2">
        <w:rPr>
          <w:rFonts w:ascii="Times New Roman" w:hAnsi="Times New Roman"/>
          <w:vertAlign w:val="superscript"/>
        </w:rPr>
        <w:footnoteReference w:id="381"/>
      </w:r>
      <w:r w:rsidRPr="007C57D2">
        <w:rPr>
          <w:rFonts w:ascii="Times New Roman" w:hAnsi="Times New Roman"/>
        </w:rPr>
        <w:t>; h) “Exigir al Encargado del Tratamiento en todo momento</w:t>
      </w:r>
      <w:r w:rsidRPr="007C57D2">
        <w:rPr>
          <w:rFonts w:ascii="Times New Roman" w:hAnsi="Times New Roman"/>
        </w:rPr>
        <w:t>, el respeto a las condiciones de seguridad y privacidad de la información del Titular”</w:t>
      </w:r>
      <w:r w:rsidRPr="007C57D2">
        <w:rPr>
          <w:rFonts w:ascii="Times New Roman" w:hAnsi="Times New Roman"/>
          <w:vertAlign w:val="superscript"/>
        </w:rPr>
        <w:t xml:space="preserve"> </w:t>
      </w:r>
      <w:r w:rsidRPr="007C57D2">
        <w:rPr>
          <w:rFonts w:ascii="Times New Roman" w:hAnsi="Times New Roman"/>
          <w:vertAlign w:val="superscript"/>
        </w:rPr>
        <w:footnoteReference w:id="382"/>
      </w:r>
    </w:p>
    <w:p w:rsidR="00083532" w:rsidRPr="007C57D2" w:rsidRDefault="007C57D2" w:rsidP="008F3DAB">
      <w:pPr>
        <w:pStyle w:val="Sinespaciado"/>
        <w:jc w:val="both"/>
        <w:rPr>
          <w:rFonts w:ascii="Times New Roman" w:hAnsi="Times New Roman"/>
          <w:bCs/>
        </w:rPr>
      </w:pPr>
    </w:p>
    <w:p w:rsidR="00083532"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rPr>
        <w:t xml:space="preserve">Finalmente, el Responsable que realice el tratamiento de datos a través de un Encargado sigue siendo obligado a cumplir los deberes que </w:t>
      </w:r>
      <w:r w:rsidRPr="007C57D2">
        <w:rPr>
          <w:rFonts w:ascii="Times New Roman" w:hAnsi="Times New Roman"/>
        </w:rPr>
        <w:t>exige</w:t>
      </w:r>
      <w:r w:rsidRPr="007C57D2">
        <w:rPr>
          <w:rFonts w:ascii="Times New Roman" w:hAnsi="Times New Roman"/>
        </w:rPr>
        <w:t xml:space="preserve"> la ley</w:t>
      </w:r>
      <w:r w:rsidRPr="007C57D2">
        <w:rPr>
          <w:rFonts w:ascii="Times New Roman" w:hAnsi="Times New Roman"/>
        </w:rPr>
        <w:t xml:space="preserve"> a los Responsabl</w:t>
      </w:r>
      <w:r w:rsidRPr="007C57D2">
        <w:rPr>
          <w:rFonts w:ascii="Times New Roman" w:hAnsi="Times New Roman"/>
        </w:rPr>
        <w:t>es del Tratamiento</w:t>
      </w:r>
      <w:r w:rsidRPr="007C57D2">
        <w:rPr>
          <w:rFonts w:ascii="Times New Roman" w:hAnsi="Times New Roman"/>
        </w:rPr>
        <w:t>. El hecho de contratar o designar un Encargado no lo exonera del cumplimiento de sus obligaciones legales. Por tanto, el Titular del dato no queda desprotegido, ni sus derechos se disminuyen por el mero hecho de que el Responsable realic</w:t>
      </w:r>
      <w:r w:rsidRPr="007C57D2">
        <w:rPr>
          <w:rFonts w:ascii="Times New Roman" w:hAnsi="Times New Roman"/>
        </w:rPr>
        <w:t>e el tratamiento (parcial o total) mediate uno o varios Encargados.</w:t>
      </w:r>
    </w:p>
    <w:p w:rsidR="005650AC" w:rsidRPr="007C57D2" w:rsidRDefault="007C57D2" w:rsidP="008F3DAB">
      <w:pPr>
        <w:pStyle w:val="Sinespaciado"/>
        <w:jc w:val="both"/>
        <w:rPr>
          <w:rFonts w:ascii="Times New Roman" w:hAnsi="Times New Roman"/>
        </w:rPr>
      </w:pPr>
    </w:p>
    <w:p w:rsidR="001E19D5" w:rsidRPr="007C57D2" w:rsidRDefault="007C57D2" w:rsidP="008F3DAB">
      <w:pPr>
        <w:pStyle w:val="Sinespaciado"/>
        <w:jc w:val="both"/>
        <w:rPr>
          <w:rFonts w:ascii="Times New Roman" w:hAnsi="Times New Roman"/>
        </w:rPr>
      </w:pPr>
    </w:p>
    <w:p w:rsidR="001E19D5" w:rsidRPr="007C57D2" w:rsidRDefault="007C57D2" w:rsidP="008F3DAB">
      <w:pPr>
        <w:spacing w:after="0" w:line="240" w:lineRule="auto"/>
        <w:rPr>
          <w:rFonts w:ascii="Times New Roman" w:hAnsi="Times New Roman"/>
          <w:b/>
          <w:bCs/>
          <w:sz w:val="28"/>
          <w:szCs w:val="28"/>
          <w:lang w:val="es-MX"/>
        </w:rPr>
      </w:pPr>
      <w:bookmarkStart w:id="37" w:name="_Toc209178790"/>
      <w:r w:rsidRPr="007C57D2">
        <w:rPr>
          <w:rFonts w:ascii="Times New Roman" w:hAnsi="Times New Roman"/>
          <w:b/>
          <w:bCs/>
          <w:sz w:val="28"/>
          <w:szCs w:val="28"/>
          <w:lang w:val="es-MX"/>
        </w:rPr>
        <w:t>5.2.</w:t>
      </w:r>
      <w:r w:rsidRPr="007C57D2">
        <w:rPr>
          <w:rFonts w:ascii="Times New Roman" w:hAnsi="Times New Roman"/>
          <w:b/>
          <w:bCs/>
          <w:sz w:val="28"/>
          <w:szCs w:val="28"/>
          <w:lang w:val="es-MX"/>
        </w:rPr>
        <w:t>2</w:t>
      </w:r>
      <w:r w:rsidRPr="007C57D2">
        <w:rPr>
          <w:rFonts w:ascii="Times New Roman" w:hAnsi="Times New Roman"/>
          <w:b/>
          <w:bCs/>
          <w:sz w:val="28"/>
          <w:szCs w:val="28"/>
          <w:lang w:val="es-MX"/>
        </w:rPr>
        <w:t xml:space="preserve"> Clasificación de los datos personales </w:t>
      </w:r>
      <w:bookmarkEnd w:id="37"/>
    </w:p>
    <w:p w:rsidR="001E19D5" w:rsidRPr="007C57D2" w:rsidRDefault="007C57D2" w:rsidP="008F3DAB">
      <w:pPr>
        <w:spacing w:after="0" w:line="240" w:lineRule="auto"/>
        <w:rPr>
          <w:rFonts w:ascii="Times New Roman" w:hAnsi="Times New Roman"/>
          <w:i/>
          <w:iCs/>
          <w:sz w:val="28"/>
          <w:szCs w:val="28"/>
          <w:lang w:val="es-MX"/>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 xml:space="preserve">Los datos personales son una categoría especial de información que ha ameritado la creación de una regulación especial para tratarlos. </w:t>
      </w:r>
      <w:r w:rsidRPr="007C57D2">
        <w:rPr>
          <w:rFonts w:ascii="Times New Roman" w:hAnsi="Times New Roman"/>
          <w:shd w:val="clear" w:color="auto" w:fill="FFFFFF"/>
        </w:rPr>
        <w:t xml:space="preserve">Esta </w:t>
      </w:r>
      <w:r w:rsidRPr="007C57D2">
        <w:rPr>
          <w:rFonts w:ascii="Times New Roman" w:hAnsi="Times New Roman"/>
          <w:shd w:val="clear" w:color="auto" w:fill="FFFFFF"/>
        </w:rPr>
        <w:t>Corte ha establecido que el dato personal se caracteriza por: “</w:t>
      </w:r>
      <w:r w:rsidRPr="007C57D2">
        <w:rPr>
          <w:rFonts w:ascii="Times New Roman" w:hAnsi="Times New Roman"/>
        </w:rPr>
        <w:t>i) estar referido a aspectos exclusivos y propios de una persona natural, ii) permitir identificar a la persona, en mayor o menor medida, gracias a la visión de conjunto que se logre con el mis</w:t>
      </w:r>
      <w:r w:rsidRPr="007C57D2">
        <w:rPr>
          <w:rFonts w:ascii="Times New Roman" w:hAnsi="Times New Roman"/>
        </w:rPr>
        <w:t>mo y con otros datos; iii) su propiedad reside exclusivamente en el titular del mismo, situación que no se altera por su obtención por parte de un tercero de manera lícita o ilícita, y iv) su tratamiento está sometido a reglas especiales (principios) en lo</w:t>
      </w:r>
      <w:r w:rsidRPr="007C57D2">
        <w:rPr>
          <w:rFonts w:ascii="Times New Roman" w:hAnsi="Times New Roman"/>
        </w:rPr>
        <w:t xml:space="preserve"> relativo a su captación, administración y divulgación</w:t>
      </w:r>
      <w:r w:rsidRPr="007C57D2">
        <w:rPr>
          <w:rFonts w:ascii="Times New Roman" w:hAnsi="Times New Roman"/>
          <w:shd w:val="clear" w:color="auto" w:fill="FFFFFF"/>
        </w:rPr>
        <w:t>”</w:t>
      </w:r>
      <w:r w:rsidRPr="007C57D2">
        <w:rPr>
          <w:rStyle w:val="Refdenotaalpie"/>
          <w:rFonts w:ascii="Times New Roman" w:hAnsi="Times New Roman"/>
        </w:rPr>
        <w:t xml:space="preserve"> </w:t>
      </w:r>
      <w:r w:rsidRPr="007C57D2">
        <w:rPr>
          <w:rStyle w:val="Refdenotaalpie"/>
          <w:rFonts w:ascii="Times New Roman" w:hAnsi="Times New Roman"/>
        </w:rPr>
        <w:footnoteReference w:id="383"/>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 xml:space="preserve">El ser humano es fuente de información sobre diversos aspectos de su vida. Esa heterogeneidad informativa sobre la persona puede referirse a cualquier dato sobre la misma que va desde su fecha de </w:t>
      </w:r>
      <w:r w:rsidRPr="007C57D2">
        <w:rPr>
          <w:rFonts w:ascii="Times New Roman" w:hAnsi="Times New Roman"/>
        </w:rPr>
        <w:t>nacimiento, su número de identificación ciudadana, pasando por su información relativa a la salud, su información biométrica, su foto, sus datos de contacto, su comportamiento sexual, hasta la información sobre su cerebro (neurodatos), entre otros. Dado lo</w:t>
      </w:r>
      <w:r w:rsidRPr="007C57D2">
        <w:rPr>
          <w:rFonts w:ascii="Times New Roman" w:hAnsi="Times New Roman"/>
        </w:rPr>
        <w:t xml:space="preserve"> anterior, la regulación ha clasificado</w:t>
      </w:r>
      <w:r w:rsidRPr="007C57D2">
        <w:rPr>
          <w:rStyle w:val="Refdenotaalpie"/>
          <w:rFonts w:ascii="Times New Roman" w:hAnsi="Times New Roman"/>
        </w:rPr>
        <w:footnoteReference w:id="384"/>
      </w:r>
      <w:r w:rsidRPr="007C57D2">
        <w:rPr>
          <w:rFonts w:ascii="Times New Roman" w:hAnsi="Times New Roman"/>
        </w:rPr>
        <w:t>, los datos personales en (i) privados</w:t>
      </w:r>
      <w:r w:rsidRPr="007C57D2">
        <w:rPr>
          <w:rStyle w:val="Refdenotaalpie"/>
          <w:rFonts w:ascii="Times New Roman" w:hAnsi="Times New Roman"/>
        </w:rPr>
        <w:footnoteReference w:id="385"/>
      </w:r>
      <w:r w:rsidRPr="007C57D2">
        <w:rPr>
          <w:rFonts w:ascii="Times New Roman" w:hAnsi="Times New Roman"/>
        </w:rPr>
        <w:t>, (ii) semiprivados</w:t>
      </w:r>
      <w:r w:rsidRPr="007C57D2">
        <w:rPr>
          <w:rStyle w:val="Refdenotaalpie"/>
          <w:rFonts w:ascii="Times New Roman" w:hAnsi="Times New Roman"/>
        </w:rPr>
        <w:footnoteReference w:id="386"/>
      </w:r>
      <w:r w:rsidRPr="007C57D2">
        <w:rPr>
          <w:rFonts w:ascii="Times New Roman" w:hAnsi="Times New Roman"/>
        </w:rPr>
        <w:t>, (iii) sensibles</w:t>
      </w:r>
      <w:r w:rsidRPr="007C57D2">
        <w:rPr>
          <w:rStyle w:val="Refdenotaalpie"/>
          <w:rFonts w:ascii="Times New Roman" w:hAnsi="Times New Roman"/>
        </w:rPr>
        <w:footnoteReference w:id="387"/>
      </w:r>
      <w:r w:rsidRPr="007C57D2">
        <w:rPr>
          <w:rFonts w:ascii="Times New Roman" w:hAnsi="Times New Roman"/>
        </w:rPr>
        <w:t xml:space="preserve"> y (iv) públicos</w:t>
      </w:r>
      <w:r w:rsidRPr="007C57D2">
        <w:rPr>
          <w:rStyle w:val="Refdenotaalpie"/>
          <w:rFonts w:ascii="Times New Roman" w:hAnsi="Times New Roman"/>
        </w:rPr>
        <w:footnoteReference w:id="388"/>
      </w:r>
      <w:r w:rsidRPr="007C57D2">
        <w:rPr>
          <w:rFonts w:ascii="Times New Roman" w:hAnsi="Times New Roman"/>
        </w:rPr>
        <w:t>. Esta diferenciación tiene consecuencias jurídicas porque determina, entre otros, las reglas de legitimación para su trat</w:t>
      </w:r>
      <w:r w:rsidRPr="007C57D2">
        <w:rPr>
          <w:rFonts w:ascii="Times New Roman" w:hAnsi="Times New Roman"/>
        </w:rPr>
        <w:t xml:space="preserve">amiento (por ejemplo, los requisitos para recolectarlos, usarlos, circularlos o tener acceso a ellos) y las medidas especiales que se deben adoptar sobre cierto tipo de datos.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rPr>
        <w:t>Dentro de la clasificación anterior existen los datos sensibles que se refiere</w:t>
      </w:r>
      <w:r w:rsidRPr="007C57D2">
        <w:rPr>
          <w:rFonts w:ascii="Times New Roman" w:hAnsi="Times New Roman"/>
        </w:rPr>
        <w:t xml:space="preserve"> a</w:t>
      </w:r>
      <w:r w:rsidRPr="007C57D2">
        <w:rPr>
          <w:rFonts w:ascii="Times New Roman" w:hAnsi="Times New Roman"/>
          <w:spacing w:val="-3"/>
          <w:lang w:val="es-MX"/>
        </w:rPr>
        <w:t xml:space="preserve"> aquellos que, </w:t>
      </w:r>
      <w:r w:rsidRPr="007C57D2">
        <w:rPr>
          <w:rFonts w:ascii="Times New Roman" w:hAnsi="Times New Roman"/>
          <w:lang w:val="es-MX"/>
        </w:rPr>
        <w:t xml:space="preserve">por su naturaleza, están relacionados con aspectos muy íntimos de la persona o que pueden ser nicho de discriminaciones o comprometer los derechos y libertades de los seres humanos. Esta clase de datos </w:t>
      </w:r>
      <w:r w:rsidRPr="007C57D2">
        <w:rPr>
          <w:rFonts w:ascii="Times New Roman" w:hAnsi="Times New Roman"/>
        </w:rPr>
        <w:t xml:space="preserve">está definida en la Ley Estatutaria </w:t>
      </w:r>
      <w:r w:rsidRPr="007C57D2">
        <w:rPr>
          <w:rFonts w:ascii="Times New Roman" w:hAnsi="Times New Roman"/>
          <w:lang w:val="es-ES"/>
        </w:rPr>
        <w:t>1</w:t>
      </w:r>
      <w:r w:rsidRPr="007C57D2">
        <w:rPr>
          <w:rFonts w:ascii="Times New Roman" w:hAnsi="Times New Roman"/>
          <w:lang w:val="es-ES"/>
        </w:rPr>
        <w:t>581 de 2012 y en el decreto 1377 de 2013 como</w:t>
      </w:r>
      <w:r w:rsidRPr="007C57D2">
        <w:rPr>
          <w:rFonts w:ascii="Times New Roman" w:hAnsi="Times New Roman"/>
          <w:b/>
          <w:bCs/>
          <w:lang w:val="es-ES"/>
        </w:rPr>
        <w:t xml:space="preserve"> “</w:t>
      </w:r>
      <w:r w:rsidRPr="007C57D2">
        <w:rPr>
          <w:rFonts w:ascii="Times New Roman" w:hAnsi="Times New Roman"/>
          <w:lang w:val="es-ES"/>
        </w:rPr>
        <w:t xml:space="preserve">aquellos que afectan la intimidad del Titular o cuyo uso indebido puede generar su discriminación, tales como aquellos que revelen el origen racial o étnico, la orientación política, las convicciones </w:t>
      </w:r>
      <w:r w:rsidRPr="007C57D2">
        <w:rPr>
          <w:rFonts w:ascii="Times New Roman" w:hAnsi="Times New Roman"/>
          <w:lang w:val="es-ES"/>
        </w:rPr>
        <w:t>religiosas o filosóficas, la pertenencia a sindicatos, organizaciones sociales, de derechos humanos o que promueva intereses de cualquier partido político o que garanticen los derechos y garantías de partidos políticos de oposición, así como los datos rela</w:t>
      </w:r>
      <w:r w:rsidRPr="007C57D2">
        <w:rPr>
          <w:rFonts w:ascii="Times New Roman" w:hAnsi="Times New Roman"/>
          <w:lang w:val="es-ES"/>
        </w:rPr>
        <w:t>tivos a la salud, a la vida sexual, y los datos biométricos”</w:t>
      </w:r>
      <w:r w:rsidRPr="007C57D2">
        <w:rPr>
          <w:rStyle w:val="Refdenotaalpie"/>
          <w:rFonts w:ascii="Times New Roman" w:hAnsi="Times New Roman"/>
          <w:lang w:val="es-ES"/>
        </w:rPr>
        <w:footnoteReference w:id="389"/>
      </w:r>
      <w:r w:rsidRPr="007C57D2">
        <w:rPr>
          <w:rFonts w:ascii="Times New Roman" w:hAnsi="Times New Roman"/>
          <w:lang w:val="es-ES"/>
        </w:rPr>
        <w:t>. Para la Corte Constitucional la anterior lista de ejemplos de información sensible no debe considerarse como taxativa “sino meramente enunciativa de datos sensibles, pues los datos que pertenec</w:t>
      </w:r>
      <w:r w:rsidRPr="007C57D2">
        <w:rPr>
          <w:rFonts w:ascii="Times New Roman" w:hAnsi="Times New Roman"/>
          <w:lang w:val="es-ES"/>
        </w:rPr>
        <w:t>en a la esfera íntima son determinados por los cambios y el desarrollo histórico”</w:t>
      </w:r>
      <w:r w:rsidRPr="007C57D2">
        <w:rPr>
          <w:rStyle w:val="Refdenotaalpie"/>
          <w:rFonts w:ascii="Times New Roman" w:hAnsi="Times New Roman"/>
          <w:lang w:val="es-ES"/>
        </w:rPr>
        <w:footnoteReference w:id="390"/>
      </w:r>
      <w:r w:rsidRPr="007C57D2">
        <w:rPr>
          <w:rFonts w:ascii="Times New Roman" w:hAnsi="Times New Roman"/>
          <w:lang w:val="es-ES"/>
        </w:rPr>
        <w:t xml:space="preserve">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Por regla general el tratamiento de estos datos es restrictivo y se puede realizar bajo ciertas condiciones indicadas en la citada regulación y la jurisprudencia de la Cor</w:t>
      </w:r>
      <w:r w:rsidRPr="007C57D2">
        <w:rPr>
          <w:rFonts w:ascii="Times New Roman" w:hAnsi="Times New Roman"/>
          <w:lang w:val="es-ES"/>
        </w:rPr>
        <w:t>te Constitucional. La regla general de prohibición del tratamiento de datos sensibles está prevista explícitamente en la Ley Estatutaria 1581 de 2012 y el decreto 1377 de 2013</w:t>
      </w:r>
      <w:r w:rsidRPr="007C57D2">
        <w:rPr>
          <w:rStyle w:val="Refdenotaalpie"/>
          <w:rFonts w:ascii="Times New Roman" w:hAnsi="Times New Roman"/>
          <w:lang w:val="es-ES"/>
        </w:rPr>
        <w:footnoteReference w:id="391"/>
      </w:r>
      <w:r w:rsidRPr="007C57D2">
        <w:rPr>
          <w:rFonts w:ascii="Times New Roman" w:hAnsi="Times New Roman"/>
          <w:lang w:val="es-ES"/>
        </w:rPr>
        <w:t xml:space="preserve"> que a su vez consagran una serie de casos excepcionales en los que es legítimo </w:t>
      </w:r>
      <w:r w:rsidRPr="007C57D2">
        <w:rPr>
          <w:rFonts w:ascii="Times New Roman" w:hAnsi="Times New Roman"/>
          <w:lang w:val="es-ES"/>
        </w:rPr>
        <w:t xml:space="preserve">recolectar, almacenar y usar esta información. </w:t>
      </w:r>
    </w:p>
    <w:p w:rsidR="001E19D5" w:rsidRPr="007C57D2" w:rsidRDefault="007C57D2" w:rsidP="008F3DAB">
      <w:pPr>
        <w:pStyle w:val="Sinespaciado"/>
        <w:jc w:val="both"/>
        <w:rPr>
          <w:rFonts w:ascii="Times New Roman" w:hAnsi="Times New Roman"/>
          <w:lang w:val="es-ES"/>
        </w:rPr>
      </w:pPr>
    </w:p>
    <w:p w:rsidR="001E19D5" w:rsidRPr="007C57D2" w:rsidRDefault="007C57D2" w:rsidP="008F3DAB">
      <w:pPr>
        <w:pStyle w:val="Sinespaciado"/>
        <w:numPr>
          <w:ilvl w:val="0"/>
          <w:numId w:val="3"/>
        </w:numPr>
        <w:ind w:left="0" w:firstLine="0"/>
        <w:jc w:val="both"/>
        <w:rPr>
          <w:rFonts w:ascii="Times New Roman" w:hAnsi="Times New Roman"/>
          <w:i/>
          <w:iCs/>
        </w:rPr>
      </w:pPr>
      <w:r w:rsidRPr="007C57D2">
        <w:rPr>
          <w:rFonts w:ascii="Times New Roman" w:hAnsi="Times New Roman"/>
          <w:lang w:val="es-ES"/>
        </w:rPr>
        <w:t>Según el artículo 6 de la citada ley los datos sensibles pueden ser tratados únicamente en algunos casos que deben interpretarse restrictivamente</w:t>
      </w:r>
      <w:r w:rsidRPr="007C57D2">
        <w:rPr>
          <w:rStyle w:val="Refdenotaalpie"/>
          <w:rFonts w:ascii="Times New Roman" w:hAnsi="Times New Roman"/>
          <w:lang w:val="es-ES"/>
        </w:rPr>
        <w:footnoteReference w:id="392"/>
      </w:r>
      <w:r w:rsidRPr="007C57D2">
        <w:rPr>
          <w:rFonts w:ascii="Times New Roman" w:hAnsi="Times New Roman"/>
          <w:lang w:val="es-ES"/>
        </w:rPr>
        <w:t xml:space="preserve"> y cuya reglamentación debe estar a cargo del legislador esta</w:t>
      </w:r>
      <w:r w:rsidRPr="007C57D2">
        <w:rPr>
          <w:rFonts w:ascii="Times New Roman" w:hAnsi="Times New Roman"/>
          <w:lang w:val="es-ES"/>
        </w:rPr>
        <w:t>tutario</w:t>
      </w:r>
      <w:r w:rsidRPr="007C57D2">
        <w:rPr>
          <w:rStyle w:val="Refdenotaalpie"/>
          <w:rFonts w:ascii="Times New Roman" w:hAnsi="Times New Roman"/>
          <w:lang w:val="es-ES"/>
        </w:rPr>
        <w:footnoteReference w:id="393"/>
      </w:r>
      <w:r w:rsidRPr="007C57D2">
        <w:rPr>
          <w:rFonts w:ascii="Times New Roman" w:hAnsi="Times New Roman"/>
          <w:lang w:val="es-ES"/>
        </w:rPr>
        <w:t xml:space="preserve"> por mandato de la Corte Constitucional. En todos estos casos, los Responsables y Encargados deben obrar con mayor diligencia y cuidado utilizando, entre otros, mejores medidas de seguridad, de restricción de acceso, de confidencialidad, de circula</w:t>
      </w:r>
      <w:r w:rsidRPr="007C57D2">
        <w:rPr>
          <w:rFonts w:ascii="Times New Roman" w:hAnsi="Times New Roman"/>
          <w:lang w:val="es-ES"/>
        </w:rPr>
        <w:t xml:space="preserve">ción. </w:t>
      </w:r>
    </w:p>
    <w:p w:rsidR="001E19D5" w:rsidRPr="007C57D2" w:rsidRDefault="007C57D2" w:rsidP="008F3DAB">
      <w:pPr>
        <w:pStyle w:val="Sinespaciado"/>
        <w:jc w:val="both"/>
        <w:rPr>
          <w:rFonts w:ascii="Times New Roman" w:hAnsi="Times New Roman"/>
          <w:i/>
          <w:iCs/>
        </w:rPr>
      </w:pPr>
    </w:p>
    <w:p w:rsidR="001E19D5" w:rsidRPr="007C57D2" w:rsidRDefault="007C57D2" w:rsidP="008F3DAB">
      <w:pPr>
        <w:pStyle w:val="Sinespaciado"/>
        <w:numPr>
          <w:ilvl w:val="0"/>
          <w:numId w:val="3"/>
        </w:numPr>
        <w:ind w:left="0" w:firstLine="0"/>
        <w:jc w:val="both"/>
        <w:rPr>
          <w:rFonts w:ascii="Times New Roman" w:hAnsi="Times New Roman"/>
          <w:i/>
          <w:iCs/>
        </w:rPr>
      </w:pPr>
      <w:r w:rsidRPr="007C57D2">
        <w:rPr>
          <w:rFonts w:ascii="Times New Roman" w:hAnsi="Times New Roman"/>
          <w:lang w:val="es-ES"/>
        </w:rPr>
        <w:t>La anterior es otra exigencia constitucional que la Corte explica en los siguientes términos “</w:t>
      </w:r>
      <w:r w:rsidRPr="007C57D2">
        <w:rPr>
          <w:rFonts w:ascii="Times New Roman" w:hAnsi="Times New Roman"/>
        </w:rPr>
        <w:t>como se trata de casos exceptuados y que, por tanto, pueden generar altos riesgos en términos de vulneración del habeas data, la intimidad e incluso la di</w:t>
      </w:r>
      <w:r w:rsidRPr="007C57D2">
        <w:rPr>
          <w:rFonts w:ascii="Times New Roman" w:hAnsi="Times New Roman"/>
        </w:rPr>
        <w:t>gnidad de los titulares de los datos, los agentes que realizan en estos casos el tratamiento tienen una responsabilidad reforzada que se traduce en una exigencia mayor en términos de cumplimiento de los principios del artículo 4 y los deberes del título VI</w:t>
      </w:r>
      <w:r w:rsidRPr="007C57D2">
        <w:rPr>
          <w:rFonts w:ascii="Times New Roman" w:hAnsi="Times New Roman"/>
        </w:rPr>
        <w:t>”</w:t>
      </w:r>
      <w:r w:rsidRPr="007C57D2">
        <w:rPr>
          <w:rStyle w:val="Refdenotaalpie"/>
          <w:rFonts w:ascii="Times New Roman" w:hAnsi="Times New Roman"/>
        </w:rPr>
        <w:footnoteReference w:id="394"/>
      </w:r>
      <w:r w:rsidRPr="007C57D2">
        <w:rPr>
          <w:rFonts w:ascii="Times New Roman" w:hAnsi="Times New Roman"/>
        </w:rPr>
        <w:t xml:space="preserve">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rPr>
        <w:t>Los datos biométricos son expresamente catalogados como datos sensibles por el artículo 5 de la Ley Estatutaria 1581 de 2012 y por lo tanto sujetos a lo dispuesto en la misma, en el decreto 1377 de 2013 y en la jurisprudencia de la Corte Constituciona</w:t>
      </w:r>
      <w:r w:rsidRPr="007C57D2">
        <w:rPr>
          <w:rFonts w:ascii="Times New Roman" w:hAnsi="Times New Roman"/>
        </w:rPr>
        <w:t xml:space="preserve">l. </w:t>
      </w:r>
      <w:r w:rsidRPr="007C57D2">
        <w:rPr>
          <w:rFonts w:ascii="Times New Roman" w:hAnsi="Times New Roman"/>
          <w:lang w:val="es-ES"/>
        </w:rPr>
        <w:t>La información biométrica</w:t>
      </w:r>
      <w:r w:rsidRPr="007C57D2">
        <w:rPr>
          <w:rStyle w:val="Refdenotaalpie"/>
          <w:rFonts w:ascii="Times New Roman" w:hAnsi="Times New Roman"/>
          <w:lang w:val="es-ES"/>
        </w:rPr>
        <w:footnoteReference w:id="395"/>
      </w:r>
      <w:r w:rsidRPr="007C57D2">
        <w:rPr>
          <w:rFonts w:ascii="Times New Roman" w:hAnsi="Times New Roman"/>
          <w:lang w:val="es-ES"/>
        </w:rPr>
        <w:t xml:space="preserve"> incluye datos sobre las características físicas (rostro, huella dactilar, palma de la mano, retina, ADN) y “comportamentales” (forma de firmar, tono de voz) sobre las personas</w:t>
      </w:r>
      <w:r w:rsidRPr="007C57D2">
        <w:rPr>
          <w:rStyle w:val="Refdenotaalpie"/>
          <w:rFonts w:ascii="Times New Roman" w:hAnsi="Times New Roman"/>
          <w:lang w:val="es-ES"/>
        </w:rPr>
        <w:footnoteReference w:id="396"/>
      </w:r>
      <w:r w:rsidRPr="007C57D2">
        <w:rPr>
          <w:rFonts w:ascii="Times New Roman" w:hAnsi="Times New Roman"/>
          <w:lang w:val="es-ES"/>
        </w:rPr>
        <w:t xml:space="preserve">. </w:t>
      </w:r>
    </w:p>
    <w:p w:rsidR="001E19D5" w:rsidRPr="007C57D2" w:rsidRDefault="007C57D2" w:rsidP="008F3DAB">
      <w:pPr>
        <w:pStyle w:val="Sinespaciado"/>
        <w:jc w:val="both"/>
        <w:rPr>
          <w:rFonts w:ascii="Times New Roman" w:hAnsi="Times New Roman"/>
          <w:lang w:val="es-ES"/>
        </w:rPr>
      </w:pPr>
    </w:p>
    <w:p w:rsidR="006A5597" w:rsidRPr="007C57D2" w:rsidRDefault="007C57D2" w:rsidP="00230249">
      <w:pPr>
        <w:pStyle w:val="Sinespaciado"/>
        <w:numPr>
          <w:ilvl w:val="0"/>
          <w:numId w:val="3"/>
        </w:numPr>
        <w:ind w:left="0" w:firstLine="0"/>
        <w:jc w:val="both"/>
        <w:rPr>
          <w:rFonts w:ascii="Times New Roman" w:eastAsia="DengXian" w:hAnsi="Times New Roman"/>
          <w:lang w:val="es-ES"/>
        </w:rPr>
      </w:pPr>
      <w:r w:rsidRPr="007C57D2">
        <w:rPr>
          <w:rFonts w:ascii="Times New Roman" w:hAnsi="Times New Roman"/>
        </w:rPr>
        <w:t>Las fotografías y las videograbaciones son jur</w:t>
      </w:r>
      <w:r w:rsidRPr="007C57D2">
        <w:rPr>
          <w:rFonts w:ascii="Times New Roman" w:hAnsi="Times New Roman"/>
        </w:rPr>
        <w:t>ídicamente catalogadas como documentos</w:t>
      </w:r>
      <w:r w:rsidRPr="007C57D2">
        <w:rPr>
          <w:rStyle w:val="Refdenotaalpie"/>
          <w:rFonts w:ascii="Times New Roman" w:hAnsi="Times New Roman"/>
        </w:rPr>
        <w:footnoteReference w:id="397"/>
      </w:r>
      <w:r w:rsidRPr="007C57D2">
        <w:rPr>
          <w:rFonts w:ascii="Times New Roman" w:hAnsi="Times New Roman"/>
        </w:rPr>
        <w:t>, los cuales pueden, según el caso, contener diferentes tipos de información como, por ejemplo, el rostro o la cara de una persona que, según la regulación colombiana, es un dato biométrico</w:t>
      </w:r>
      <w:r w:rsidRPr="007C57D2">
        <w:rPr>
          <w:rStyle w:val="Refdenotaalpie"/>
          <w:rFonts w:ascii="Times New Roman" w:hAnsi="Times New Roman"/>
        </w:rPr>
        <w:footnoteReference w:id="398"/>
      </w:r>
      <w:r w:rsidRPr="007C57D2">
        <w:rPr>
          <w:rFonts w:ascii="Times New Roman" w:hAnsi="Times New Roman"/>
        </w:rPr>
        <w:t xml:space="preserve"> y, por tanto, un dato personal sensible. </w:t>
      </w:r>
      <w:r w:rsidRPr="007C57D2">
        <w:rPr>
          <w:rFonts w:ascii="Times New Roman" w:eastAsia="DengXian" w:hAnsi="Times New Roman"/>
        </w:rPr>
        <w:t>Es importante aclarar que, aunque el rostro de una persona en una foto se considera un dato sensible (dato biométrico), una foto puede contener otros tipos de datos personales e incluso información que no son datos</w:t>
      </w:r>
      <w:r w:rsidRPr="007C57D2">
        <w:rPr>
          <w:rFonts w:ascii="Times New Roman" w:eastAsia="DengXian" w:hAnsi="Times New Roman"/>
        </w:rPr>
        <w:t xml:space="preserve"> personales, como un paisaje, una calle o un edificio. De igual forma, en documentos como una hoja de vida, una sentencia</w:t>
      </w:r>
      <w:r w:rsidRPr="007C57D2">
        <w:rPr>
          <w:rFonts w:ascii="Times New Roman" w:eastAsia="DengXian" w:hAnsi="Times New Roman"/>
        </w:rPr>
        <w:t>, un video</w:t>
      </w:r>
      <w:r w:rsidRPr="007C57D2">
        <w:rPr>
          <w:rFonts w:ascii="Times New Roman" w:eastAsia="DengXian" w:hAnsi="Times New Roman"/>
        </w:rPr>
        <w:t xml:space="preserve"> o una cédula de ciudadanía pueden aparecer datos sensibles, privados, semiprivados o públicos, según el caso. En consecuenci</w:t>
      </w:r>
      <w:r w:rsidRPr="007C57D2">
        <w:rPr>
          <w:rFonts w:ascii="Times New Roman" w:eastAsia="DengXian" w:hAnsi="Times New Roman"/>
        </w:rPr>
        <w:t>a, en un mismo documento pueden coexistir varias categorías de información: no todo su contenido es totalmente sensible por incluir el rostro de una persona, ni enteramente público por aparecer el número de la cédula.</w:t>
      </w:r>
      <w:r w:rsidRPr="007C57D2">
        <w:rPr>
          <w:rStyle w:val="Refdenotaalpie"/>
          <w:rFonts w:ascii="Times New Roman" w:eastAsia="DengXian" w:hAnsi="Times New Roman"/>
        </w:rPr>
        <w:footnoteReference w:id="399"/>
      </w:r>
      <w:r w:rsidRPr="007C57D2">
        <w:rPr>
          <w:rFonts w:ascii="Times New Roman" w:eastAsia="DengXian" w:hAnsi="Times New Roman"/>
        </w:rPr>
        <w:t xml:space="preserve"> </w:t>
      </w:r>
    </w:p>
    <w:p w:rsidR="006A5597" w:rsidRPr="007C57D2" w:rsidRDefault="007C57D2" w:rsidP="008F3DAB">
      <w:pPr>
        <w:pStyle w:val="Prrafodelista"/>
        <w:rPr>
          <w:rFonts w:ascii="Times New Roman" w:hAnsi="Times New Roman"/>
          <w:sz w:val="28"/>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Para la recolección</w:t>
      </w:r>
      <w:r w:rsidRPr="007C57D2">
        <w:rPr>
          <w:rFonts w:ascii="Times New Roman" w:hAnsi="Times New Roman"/>
        </w:rPr>
        <w:t xml:space="preserve">, </w:t>
      </w:r>
      <w:r w:rsidRPr="007C57D2">
        <w:rPr>
          <w:rFonts w:ascii="Times New Roman" w:hAnsi="Times New Roman"/>
        </w:rPr>
        <w:t xml:space="preserve">uso </w:t>
      </w:r>
      <w:r w:rsidRPr="007C57D2">
        <w:rPr>
          <w:rFonts w:ascii="Times New Roman" w:hAnsi="Times New Roman"/>
        </w:rPr>
        <w:t>o tratamie</w:t>
      </w:r>
      <w:r w:rsidRPr="007C57D2">
        <w:rPr>
          <w:rFonts w:ascii="Times New Roman" w:hAnsi="Times New Roman"/>
        </w:rPr>
        <w:t xml:space="preserve">nto </w:t>
      </w:r>
      <w:r w:rsidRPr="007C57D2">
        <w:rPr>
          <w:rFonts w:ascii="Times New Roman" w:hAnsi="Times New Roman"/>
        </w:rPr>
        <w:t>de fotos como datos personales sensibles deben observarse las reglas especiales señaladas en el artículo 6 del Decreto 1377 de 2013</w:t>
      </w:r>
      <w:r w:rsidRPr="007C57D2">
        <w:rPr>
          <w:rStyle w:val="Refdenotaalpie"/>
          <w:rFonts w:ascii="Times New Roman" w:hAnsi="Times New Roman"/>
        </w:rPr>
        <w:footnoteReference w:id="400"/>
      </w:r>
      <w:r w:rsidRPr="007C57D2">
        <w:rPr>
          <w:rFonts w:ascii="Times New Roman" w:hAnsi="Times New Roman"/>
        </w:rPr>
        <w:t xml:space="preserve"> en concordancia con lo dispuesto en los artículos 4 (literal c), 9 y 12 de la Ley Estatutaria 1581 de 2012. </w:t>
      </w:r>
      <w:r w:rsidRPr="007C57D2">
        <w:rPr>
          <w:rFonts w:ascii="Times New Roman" w:hAnsi="Times New Roman"/>
        </w:rPr>
        <w:t>En particul</w:t>
      </w:r>
      <w:r w:rsidRPr="007C57D2">
        <w:rPr>
          <w:rFonts w:ascii="Times New Roman" w:hAnsi="Times New Roman"/>
        </w:rPr>
        <w:t xml:space="preserve">ar, deben observarse los siguientes mandatos legales: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rPr>
      </w:pPr>
      <w:r w:rsidRPr="007C57D2">
        <w:rPr>
          <w:rFonts w:ascii="Times New Roman" w:hAnsi="Times New Roman"/>
        </w:rPr>
        <w:t>“Se prohíbe el Tratamiento de datos sensibles, excepto cuando:</w:t>
      </w:r>
      <w:bookmarkStart w:id="38" w:name="6.a"/>
      <w:bookmarkEnd w:id="38"/>
      <w:r w:rsidRPr="007C57D2">
        <w:rPr>
          <w:rFonts w:ascii="Times New Roman" w:hAnsi="Times New Roman"/>
        </w:rPr>
        <w:t xml:space="preserve"> a) El Titular haya dado su autorización explícita a dicho Tratamiento, salvo en los casos que por ley no sea requerido el otorgamiento de dicha autorización”</w:t>
      </w:r>
      <w:r w:rsidRPr="007C57D2">
        <w:rPr>
          <w:rStyle w:val="Refdenotaalpie"/>
          <w:rFonts w:ascii="Times New Roman" w:hAnsi="Times New Roman"/>
        </w:rPr>
        <w:footnoteReference w:id="401"/>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rPr>
      </w:pPr>
      <w:r w:rsidRPr="007C57D2">
        <w:rPr>
          <w:rFonts w:ascii="Times New Roman" w:hAnsi="Times New Roman"/>
        </w:rPr>
        <w:t xml:space="preserve">“El Tratamiento sólo </w:t>
      </w:r>
      <w:r w:rsidRPr="007C57D2">
        <w:rPr>
          <w:rFonts w:ascii="Times New Roman" w:eastAsia="Arial" w:hAnsi="Times New Roman"/>
        </w:rPr>
        <w:t>[sic]</w:t>
      </w:r>
      <w:r w:rsidRPr="007C57D2">
        <w:rPr>
          <w:rFonts w:ascii="Times New Roman" w:hAnsi="Times New Roman"/>
        </w:rPr>
        <w:t xml:space="preserve"> puede ejercerse con el consentimiento, previo, expreso e informado </w:t>
      </w:r>
      <w:r w:rsidRPr="007C57D2">
        <w:rPr>
          <w:rFonts w:ascii="Times New Roman" w:hAnsi="Times New Roman"/>
        </w:rPr>
        <w:t>del Titular. Los datos</w:t>
      </w:r>
      <w:r w:rsidRPr="007C57D2">
        <w:rPr>
          <w:rFonts w:ascii="Times New Roman" w:eastAsia="Arial" w:hAnsi="Times New Roman"/>
        </w:rPr>
        <w:t xml:space="preserve"> </w:t>
      </w:r>
      <w:r w:rsidRPr="007C57D2">
        <w:rPr>
          <w:rFonts w:ascii="Times New Roman" w:hAnsi="Times New Roman"/>
        </w:rPr>
        <w:t>personales no podrán ser obtenidos o divulgados sin previa autorización, o en ausencia de mandato legal o judicial que releve el consentimiento”</w:t>
      </w:r>
      <w:r w:rsidRPr="007C57D2">
        <w:rPr>
          <w:rFonts w:ascii="Times New Roman" w:hAnsi="Times New Roman"/>
          <w:vertAlign w:val="superscript"/>
        </w:rPr>
        <w:footnoteReference w:id="402"/>
      </w:r>
      <w:r w:rsidRPr="007C57D2">
        <w:rPr>
          <w:rFonts w:ascii="Times New Roman" w:hAnsi="Times New Roman"/>
        </w:rPr>
        <w:t xml:space="preserve"> (Principio de Libertad).</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rPr>
      </w:pPr>
      <w:r w:rsidRPr="007C57D2">
        <w:rPr>
          <w:rFonts w:ascii="Times New Roman" w:hAnsi="Times New Roman"/>
        </w:rPr>
        <w:t>“(…) en el Tratamiento se requiere la autorización previa e i</w:t>
      </w:r>
      <w:r w:rsidRPr="007C57D2">
        <w:rPr>
          <w:rFonts w:ascii="Times New Roman" w:hAnsi="Times New Roman"/>
        </w:rPr>
        <w:t>nformada del Titular, la cual deberá ser obtenida por cualquier medio que pueda ser objeto de consulta posterior”</w:t>
      </w:r>
      <w:r w:rsidRPr="007C57D2">
        <w:rPr>
          <w:rFonts w:ascii="Times New Roman" w:hAnsi="Times New Roman"/>
          <w:vertAlign w:val="superscript"/>
        </w:rPr>
        <w:t xml:space="preserve"> </w:t>
      </w:r>
      <w:r w:rsidRPr="007C57D2">
        <w:rPr>
          <w:rFonts w:ascii="Times New Roman" w:hAnsi="Times New Roman"/>
          <w:vertAlign w:val="superscript"/>
        </w:rPr>
        <w:footnoteReference w:id="403"/>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rPr>
      </w:pPr>
      <w:r w:rsidRPr="007C57D2">
        <w:rPr>
          <w:rFonts w:ascii="Times New Roman" w:hAnsi="Times New Roman"/>
        </w:rPr>
        <w:t>“El Responsable del Tratamiento deberá adoptar procedimientos para solicitar, a más tardar en el momento de la recolección de sus datos, l</w:t>
      </w:r>
      <w:r w:rsidRPr="007C57D2">
        <w:rPr>
          <w:rFonts w:ascii="Times New Roman" w:hAnsi="Times New Roman"/>
        </w:rPr>
        <w:t>a autorización del Titular para el Tratamiento de los mismos e informarle los datos personales que serán recolectados así como todas las finalidades específicas del Tratamiento para las cuales se obtiene el consentimiento”</w:t>
      </w:r>
      <w:r w:rsidRPr="007C57D2">
        <w:rPr>
          <w:rFonts w:ascii="Times New Roman" w:hAnsi="Times New Roman"/>
          <w:vertAlign w:val="superscript"/>
        </w:rPr>
        <w:footnoteReference w:id="404"/>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rPr>
      </w:pPr>
      <w:r w:rsidRPr="007C57D2">
        <w:rPr>
          <w:rFonts w:ascii="Times New Roman" w:hAnsi="Times New Roman"/>
        </w:rPr>
        <w:t>“Los Responsables deberán cons</w:t>
      </w:r>
      <w:r w:rsidRPr="007C57D2">
        <w:rPr>
          <w:rFonts w:ascii="Times New Roman" w:hAnsi="Times New Roman"/>
        </w:rPr>
        <w:t>ervar prueba de la autorización otorgada por los Titulares de datos</w:t>
      </w:r>
      <w:r w:rsidRPr="007C57D2">
        <w:rPr>
          <w:rFonts w:ascii="Times New Roman" w:eastAsia="Arial" w:hAnsi="Times New Roman"/>
        </w:rPr>
        <w:t xml:space="preserve"> </w:t>
      </w:r>
      <w:r w:rsidRPr="007C57D2">
        <w:rPr>
          <w:rFonts w:ascii="Times New Roman" w:hAnsi="Times New Roman"/>
        </w:rPr>
        <w:t>personales para el Tratamiento de los mismos”</w:t>
      </w:r>
      <w:r w:rsidRPr="007C57D2">
        <w:rPr>
          <w:rFonts w:ascii="Times New Roman" w:hAnsi="Times New Roman"/>
          <w:vertAlign w:val="superscript"/>
        </w:rPr>
        <w:t xml:space="preserve"> </w:t>
      </w:r>
      <w:r w:rsidRPr="007C57D2">
        <w:rPr>
          <w:rFonts w:ascii="Times New Roman" w:hAnsi="Times New Roman"/>
          <w:vertAlign w:val="superscript"/>
        </w:rPr>
        <w:footnoteReference w:id="405"/>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rPr>
      </w:pPr>
      <w:r w:rsidRPr="007C57D2">
        <w:rPr>
          <w:rFonts w:ascii="Times New Roman" w:hAnsi="Times New Roman"/>
        </w:rPr>
        <w:t>Es derecho de cualquier persona (Titular del Dato): “Solicitar prueba de la autorización otorgada al Responsable del Tratamiento”</w:t>
      </w:r>
      <w:r w:rsidRPr="007C57D2">
        <w:rPr>
          <w:rFonts w:ascii="Times New Roman" w:hAnsi="Times New Roman"/>
          <w:vertAlign w:val="superscript"/>
        </w:rPr>
        <w:footnoteReference w:id="406"/>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8"/>
        </w:numPr>
        <w:ind w:left="0" w:firstLine="0"/>
        <w:jc w:val="both"/>
        <w:rPr>
          <w:rFonts w:ascii="Times New Roman" w:hAnsi="Times New Roman"/>
          <w:bCs/>
        </w:rPr>
      </w:pPr>
      <w:r w:rsidRPr="007C57D2">
        <w:rPr>
          <w:rFonts w:ascii="Times New Roman" w:hAnsi="Times New Roman"/>
        </w:rPr>
        <w:t xml:space="preserve">Está </w:t>
      </w:r>
      <w:r w:rsidRPr="007C57D2">
        <w:rPr>
          <w:rFonts w:ascii="Times New Roman" w:hAnsi="Times New Roman"/>
        </w:rPr>
        <w:t>prohibido “utilizar medios engañosos o fraudulentos para recolectar y realizar Tratamiento de datos [sic] personales”</w:t>
      </w:r>
      <w:r w:rsidRPr="007C57D2">
        <w:rPr>
          <w:rFonts w:ascii="Times New Roman" w:hAnsi="Times New Roman"/>
          <w:vertAlign w:val="superscript"/>
        </w:rPr>
        <w:footnoteReference w:id="407"/>
      </w:r>
      <w:r w:rsidRPr="007C57D2">
        <w:rPr>
          <w:rFonts w:ascii="Times New Roman" w:hAnsi="Times New Roman"/>
        </w:rPr>
        <w:t>, como las fotos. Adicionalmente, si una foto es de acceso público (por ejemplo, está disponible en internet o redes sociales digitales) e</w:t>
      </w:r>
      <w:r w:rsidRPr="007C57D2">
        <w:rPr>
          <w:rFonts w:ascii="Times New Roman" w:hAnsi="Times New Roman"/>
        </w:rPr>
        <w:t>llo no significa que esa foto sea un dato personal de naturaleza pública</w:t>
      </w:r>
      <w:r w:rsidRPr="007C57D2">
        <w:rPr>
          <w:rStyle w:val="Refdenotaalpie"/>
          <w:rFonts w:ascii="Times New Roman" w:hAnsi="Times New Roman"/>
        </w:rPr>
        <w:footnoteReference w:id="408"/>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spacing w:after="0" w:line="240" w:lineRule="auto"/>
        <w:jc w:val="both"/>
        <w:rPr>
          <w:rFonts w:ascii="Times New Roman" w:hAnsi="Times New Roman"/>
          <w:b/>
          <w:bCs/>
          <w:sz w:val="28"/>
          <w:szCs w:val="28"/>
        </w:rPr>
      </w:pPr>
      <w:bookmarkStart w:id="39" w:name="_Toc209178791"/>
      <w:r w:rsidRPr="007C57D2">
        <w:rPr>
          <w:rFonts w:ascii="Times New Roman" w:hAnsi="Times New Roman"/>
          <w:b/>
          <w:bCs/>
          <w:sz w:val="28"/>
          <w:szCs w:val="28"/>
        </w:rPr>
        <w:t>5.2.</w:t>
      </w:r>
      <w:r w:rsidRPr="007C57D2">
        <w:rPr>
          <w:rFonts w:ascii="Times New Roman" w:hAnsi="Times New Roman"/>
          <w:b/>
          <w:bCs/>
          <w:sz w:val="28"/>
          <w:szCs w:val="28"/>
        </w:rPr>
        <w:t>3</w:t>
      </w:r>
      <w:r w:rsidRPr="007C57D2">
        <w:rPr>
          <w:rFonts w:ascii="Times New Roman" w:hAnsi="Times New Roman"/>
          <w:b/>
          <w:bCs/>
          <w:sz w:val="28"/>
          <w:szCs w:val="28"/>
        </w:rPr>
        <w:t xml:space="preserve"> De la necesidad del consentimiento del titular del dato para tratar sus datos personales sensibles</w:t>
      </w:r>
      <w:bookmarkEnd w:id="39"/>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tabs>
          <w:tab w:val="left" w:pos="709"/>
        </w:tabs>
        <w:ind w:left="0" w:firstLine="0"/>
        <w:jc w:val="both"/>
        <w:rPr>
          <w:rFonts w:ascii="Times New Roman" w:hAnsi="Times New Roman"/>
        </w:rPr>
      </w:pPr>
      <w:r w:rsidRPr="007C57D2">
        <w:rPr>
          <w:rFonts w:ascii="Times New Roman" w:hAnsi="Times New Roman"/>
        </w:rPr>
        <w:t>La Corte Constitucional ha considerado que la libertad y la autodeterminac</w:t>
      </w:r>
      <w:r w:rsidRPr="007C57D2">
        <w:rPr>
          <w:rFonts w:ascii="Times New Roman" w:hAnsi="Times New Roman"/>
        </w:rPr>
        <w:t xml:space="preserve">ión informática son partes que integran el núcleo esencial del derecho constitucional del </w:t>
      </w:r>
      <w:r w:rsidRPr="007C57D2">
        <w:rPr>
          <w:rFonts w:ascii="Times New Roman" w:hAnsi="Times New Roman"/>
          <w:i/>
          <w:iCs/>
        </w:rPr>
        <w:t>habeas data</w:t>
      </w:r>
      <w:r w:rsidRPr="007C57D2">
        <w:rPr>
          <w:rStyle w:val="Refdenotaalpie"/>
          <w:rFonts w:ascii="Times New Roman" w:hAnsi="Times New Roman"/>
        </w:rPr>
        <w:footnoteReference w:id="409"/>
      </w:r>
      <w:r w:rsidRPr="007C57D2">
        <w:rPr>
          <w:rFonts w:ascii="Times New Roman" w:hAnsi="Times New Roman"/>
        </w:rPr>
        <w:t>. Expresa la Corte que “toda persona en uso de su derecho de libre autodeterminación puede consentir en que se recopile, circule y use información referen</w:t>
      </w:r>
      <w:r w:rsidRPr="007C57D2">
        <w:rPr>
          <w:rFonts w:ascii="Times New Roman" w:hAnsi="Times New Roman"/>
        </w:rPr>
        <w:t>te a ella de conformidad con las regulaciones legales”</w:t>
      </w:r>
      <w:r w:rsidRPr="007C57D2">
        <w:rPr>
          <w:rStyle w:val="Refdenotaalpie"/>
          <w:rFonts w:ascii="Times New Roman" w:hAnsi="Times New Roman"/>
        </w:rPr>
        <w:t xml:space="preserve"> </w:t>
      </w:r>
      <w:r w:rsidRPr="007C57D2">
        <w:rPr>
          <w:rStyle w:val="Refdenotaalpie"/>
          <w:rFonts w:ascii="Times New Roman" w:hAnsi="Times New Roman"/>
        </w:rPr>
        <w:footnoteReference w:id="410"/>
      </w:r>
      <w:r w:rsidRPr="007C57D2">
        <w:rPr>
          <w:rFonts w:ascii="Times New Roman" w:hAnsi="Times New Roman"/>
        </w:rPr>
        <w:t xml:space="preserve"> Jurisprudencialmente, se ha establecido que dentro del núcleo esencial se encuentra la recolección</w:t>
      </w:r>
      <w:r w:rsidRPr="007C57D2">
        <w:rPr>
          <w:rStyle w:val="Refdenotaalpie"/>
          <w:rFonts w:ascii="Times New Roman" w:hAnsi="Times New Roman"/>
        </w:rPr>
        <w:footnoteReference w:id="411"/>
      </w:r>
      <w:r w:rsidRPr="007C57D2">
        <w:rPr>
          <w:rFonts w:ascii="Times New Roman" w:hAnsi="Times New Roman"/>
        </w:rPr>
        <w:t xml:space="preserve"> la cual, por regla general, debe contar con la autorización</w:t>
      </w:r>
      <w:r w:rsidRPr="007C57D2">
        <w:rPr>
          <w:rStyle w:val="Refdenotaalpie"/>
          <w:rFonts w:ascii="Times New Roman" w:hAnsi="Times New Roman"/>
        </w:rPr>
        <w:footnoteReference w:id="412"/>
      </w:r>
      <w:r w:rsidRPr="007C57D2">
        <w:rPr>
          <w:rFonts w:ascii="Times New Roman" w:hAnsi="Times New Roman"/>
        </w:rPr>
        <w:t xml:space="preserve"> del titular del dato personal ya que a</w:t>
      </w:r>
      <w:r w:rsidRPr="007C57D2">
        <w:rPr>
          <w:rFonts w:ascii="Times New Roman" w:hAnsi="Times New Roman"/>
        </w:rPr>
        <w:t xml:space="preserve">quella es un aspecto estructural del derecho al </w:t>
      </w:r>
      <w:r w:rsidRPr="007C57D2">
        <w:rPr>
          <w:rFonts w:ascii="Times New Roman" w:hAnsi="Times New Roman"/>
          <w:i/>
          <w:iCs/>
        </w:rPr>
        <w:t>habeas data</w:t>
      </w:r>
      <w:r w:rsidRPr="007C57D2">
        <w:rPr>
          <w:rStyle w:val="Refdenotaalpie"/>
          <w:rFonts w:ascii="Times New Roman" w:hAnsi="Times New Roman"/>
        </w:rPr>
        <w:footnoteReference w:id="413"/>
      </w:r>
      <w:r w:rsidRPr="007C57D2">
        <w:rPr>
          <w:rFonts w:ascii="Times New Roman" w:hAnsi="Times New Roman"/>
        </w:rPr>
        <w:t>. Así las cosas, para la Corte, la recolección indebida del dato personal vulnera tal derecho fundamental. En efecto, se vulnera el derecho al</w:t>
      </w:r>
      <w:r w:rsidRPr="007C57D2">
        <w:rPr>
          <w:rFonts w:ascii="Times New Roman" w:hAnsi="Times New Roman"/>
          <w:i/>
          <w:iCs/>
        </w:rPr>
        <w:t xml:space="preserve"> habeas data</w:t>
      </w:r>
      <w:r w:rsidRPr="007C57D2">
        <w:rPr>
          <w:rFonts w:ascii="Times New Roman" w:hAnsi="Times New Roman"/>
        </w:rPr>
        <w:t xml:space="preserve"> cuando, entre otras, “(…) la información </w:t>
      </w:r>
      <w:r w:rsidRPr="007C57D2">
        <w:rPr>
          <w:rFonts w:ascii="Times New Roman" w:hAnsi="Times New Roman"/>
        </w:rPr>
        <w:t>contenida en el archivo de datos sea recogida “de manera ilegal, sin el consentimiento del titular del dato”-.”</w:t>
      </w:r>
      <w:r w:rsidRPr="007C57D2">
        <w:rPr>
          <w:rStyle w:val="Refdenotaalpie"/>
          <w:rFonts w:ascii="Times New Roman" w:hAnsi="Times New Roman"/>
        </w:rPr>
        <w:footnoteReference w:id="414"/>
      </w:r>
      <w:r w:rsidRPr="007C57D2">
        <w:rPr>
          <w:rFonts w:ascii="Times New Roman" w:hAnsi="Times New Roman"/>
        </w:rPr>
        <w:t>.</w:t>
      </w:r>
    </w:p>
    <w:p w:rsidR="001E19D5" w:rsidRPr="007C57D2" w:rsidRDefault="007C57D2" w:rsidP="008F3DAB">
      <w:pPr>
        <w:pStyle w:val="Sinespaciado"/>
        <w:jc w:val="both"/>
        <w:rPr>
          <w:rFonts w:ascii="Times New Roman" w:hAnsi="Times New Roman"/>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El literal a) del artículo 6 de citada ley permite que los datos sensibles sean recolectados, almacenados, usados o tratados cuando “el Titul</w:t>
      </w:r>
      <w:r w:rsidRPr="007C57D2">
        <w:rPr>
          <w:rFonts w:ascii="Times New Roman" w:hAnsi="Times New Roman"/>
          <w:lang w:val="es-ES"/>
        </w:rPr>
        <w:t xml:space="preserve">ar haya dado su autorización explícita a dicho Tratamiento, salvo en los casos que por ley no sea requerido el otorgamiento de dicha autorización”. </w:t>
      </w:r>
    </w:p>
    <w:p w:rsidR="001E19D5" w:rsidRPr="007C57D2" w:rsidRDefault="007C57D2" w:rsidP="008F3DAB">
      <w:pPr>
        <w:pStyle w:val="Sinespaciado"/>
        <w:jc w:val="both"/>
        <w:rPr>
          <w:rFonts w:ascii="Times New Roman" w:hAnsi="Times New Roman"/>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 xml:space="preserve">Como se observa, la autorización previa, expresa e informada del titular es uno de los factores de </w:t>
      </w:r>
      <w:r w:rsidRPr="007C57D2">
        <w:rPr>
          <w:rFonts w:ascii="Times New Roman" w:hAnsi="Times New Roman"/>
          <w:lang w:val="es-ES"/>
        </w:rPr>
        <w:t>legitimación para tratar datos sensibles para finalidades relevantes constitucionalmente</w:t>
      </w:r>
      <w:r w:rsidRPr="007C57D2">
        <w:rPr>
          <w:rStyle w:val="Refdenotaalpie"/>
          <w:rFonts w:ascii="Times New Roman" w:hAnsi="Times New Roman"/>
          <w:lang w:val="es-ES"/>
        </w:rPr>
        <w:footnoteReference w:id="415"/>
      </w:r>
      <w:r w:rsidRPr="007C57D2">
        <w:rPr>
          <w:rFonts w:ascii="Times New Roman" w:hAnsi="Times New Roman"/>
          <w:lang w:val="es-ES"/>
        </w:rPr>
        <w:t>. La autorización expresa para el tratamiento de datos sensibles fue reglamentada en el artículo 6 del decreto 1377 de 2013, el cual, en adición a lo que ordena el art</w:t>
      </w:r>
      <w:r w:rsidRPr="007C57D2">
        <w:rPr>
          <w:rFonts w:ascii="Times New Roman" w:hAnsi="Times New Roman"/>
          <w:lang w:val="es-ES"/>
        </w:rPr>
        <w:t xml:space="preserve">ículo 12 de la Ley Estatutaria 1581 de 2012, obliga al responsable del tratamiento informar al Titular de manera explícita y previa lo siguiente: (i) Que no está obligado a autorizar el tratamiento de los datos sensibles; (ii) Que es facultativo responder </w:t>
      </w:r>
      <w:r w:rsidRPr="007C57D2">
        <w:rPr>
          <w:rFonts w:ascii="Times New Roman" w:hAnsi="Times New Roman"/>
          <w:lang w:val="es-ES"/>
        </w:rPr>
        <w:t>preguntas que versen sobre esta clase de datos</w:t>
      </w:r>
      <w:r w:rsidRPr="007C57D2">
        <w:rPr>
          <w:rStyle w:val="Refdenotaalpie"/>
          <w:rFonts w:ascii="Times New Roman" w:hAnsi="Times New Roman"/>
          <w:lang w:val="es-ES"/>
        </w:rPr>
        <w:footnoteReference w:id="416"/>
      </w:r>
      <w:r w:rsidRPr="007C57D2">
        <w:rPr>
          <w:rFonts w:ascii="Times New Roman" w:hAnsi="Times New Roman"/>
          <w:lang w:val="es-ES"/>
        </w:rPr>
        <w:t>; (iii) Cuáles son los datos sensibles que serán objeto de Tratamiento, y (iv) La finalidad del Tratamiento.</w:t>
      </w:r>
    </w:p>
    <w:p w:rsidR="001E19D5" w:rsidRPr="007C57D2" w:rsidRDefault="007C57D2" w:rsidP="008F3DAB">
      <w:pPr>
        <w:pStyle w:val="Sinespaciado"/>
        <w:jc w:val="both"/>
        <w:rPr>
          <w:rFonts w:ascii="Times New Roman" w:hAnsi="Times New Roman"/>
        </w:rPr>
      </w:pPr>
      <w:bookmarkStart w:id="40" w:name="_Toc183466675"/>
    </w:p>
    <w:p w:rsidR="001E19D5" w:rsidRPr="007C57D2" w:rsidRDefault="007C57D2" w:rsidP="008F3DAB">
      <w:pPr>
        <w:spacing w:after="0" w:line="240" w:lineRule="auto"/>
        <w:jc w:val="both"/>
        <w:rPr>
          <w:rFonts w:ascii="Times New Roman" w:hAnsi="Times New Roman"/>
          <w:b/>
          <w:bCs/>
          <w:sz w:val="28"/>
          <w:szCs w:val="28"/>
          <w:lang w:val="es-ES"/>
        </w:rPr>
      </w:pPr>
      <w:bookmarkStart w:id="41" w:name="_Toc209178792"/>
      <w:r w:rsidRPr="007C57D2">
        <w:rPr>
          <w:rFonts w:ascii="Times New Roman" w:hAnsi="Times New Roman"/>
          <w:b/>
          <w:bCs/>
          <w:sz w:val="28"/>
          <w:szCs w:val="28"/>
          <w:lang w:val="es-ES"/>
        </w:rPr>
        <w:t>5.2.</w:t>
      </w:r>
      <w:r w:rsidRPr="007C57D2">
        <w:rPr>
          <w:rFonts w:ascii="Times New Roman" w:hAnsi="Times New Roman"/>
          <w:b/>
          <w:bCs/>
          <w:sz w:val="28"/>
          <w:szCs w:val="28"/>
          <w:lang w:val="es-ES"/>
        </w:rPr>
        <w:t>4</w:t>
      </w:r>
      <w:r w:rsidRPr="007C57D2">
        <w:rPr>
          <w:rFonts w:ascii="Times New Roman" w:hAnsi="Times New Roman"/>
          <w:b/>
          <w:bCs/>
          <w:sz w:val="28"/>
          <w:szCs w:val="28"/>
          <w:lang w:val="es-ES"/>
        </w:rPr>
        <w:t xml:space="preserve"> Tratamiento de los datos personales de los niños, niñas y adolescentes </w:t>
      </w:r>
      <w:bookmarkEnd w:id="41"/>
    </w:p>
    <w:p w:rsidR="001E19D5" w:rsidRPr="007C57D2" w:rsidRDefault="007C57D2" w:rsidP="008F3DAB">
      <w:pPr>
        <w:pStyle w:val="Sinespaciado"/>
        <w:jc w:val="both"/>
        <w:rPr>
          <w:rFonts w:ascii="Times New Roman" w:hAnsi="Times New Roman"/>
          <w:lang w:val="es-ES"/>
        </w:rPr>
      </w:pPr>
    </w:p>
    <w:p w:rsidR="001E19D5" w:rsidRPr="007C57D2" w:rsidRDefault="007C57D2" w:rsidP="008F3DAB">
      <w:pPr>
        <w:pStyle w:val="Sinespaciado"/>
        <w:numPr>
          <w:ilvl w:val="0"/>
          <w:numId w:val="3"/>
        </w:numPr>
        <w:ind w:left="0" w:firstLine="0"/>
        <w:jc w:val="both"/>
        <w:rPr>
          <w:rFonts w:ascii="Times New Roman" w:hAnsi="Times New Roman"/>
          <w:lang w:val="es-ES_tradnl"/>
        </w:rPr>
      </w:pPr>
      <w:r w:rsidRPr="007C57D2">
        <w:rPr>
          <w:rFonts w:ascii="Times New Roman" w:hAnsi="Times New Roman"/>
          <w:lang w:val="es-ES_tradnl"/>
        </w:rPr>
        <w:t>El tratamiento de lo</w:t>
      </w:r>
      <w:r w:rsidRPr="007C57D2">
        <w:rPr>
          <w:rFonts w:ascii="Times New Roman" w:hAnsi="Times New Roman"/>
          <w:lang w:val="es-ES_tradnl"/>
        </w:rPr>
        <w:t xml:space="preserve">s datos personales de menores de edad ha sido objeto de reflexiones y recomendaciones por parte de entidades internacionales. La ONU, por ejemplo, recomendó lo siguiente en el informe A/HRC/46/37 del 25 de enero de 2021: </w:t>
      </w:r>
    </w:p>
    <w:p w:rsidR="001E19D5" w:rsidRPr="007C57D2" w:rsidRDefault="007C57D2" w:rsidP="008F3DAB">
      <w:pPr>
        <w:pStyle w:val="Sinespaciado"/>
        <w:jc w:val="both"/>
        <w:rPr>
          <w:rFonts w:ascii="Times New Roman" w:hAnsi="Times New Roman"/>
          <w:lang w:val="es-ES_tradnl"/>
        </w:rPr>
      </w:pPr>
    </w:p>
    <w:p w:rsidR="001E19D5" w:rsidRPr="007C57D2" w:rsidRDefault="007C57D2" w:rsidP="008F3DAB">
      <w:pPr>
        <w:pStyle w:val="Sinespaciado"/>
        <w:numPr>
          <w:ilvl w:val="0"/>
          <w:numId w:val="9"/>
        </w:numPr>
        <w:ind w:left="360" w:firstLine="0"/>
        <w:jc w:val="both"/>
        <w:rPr>
          <w:rFonts w:ascii="Times New Roman" w:hAnsi="Times New Roman"/>
          <w:lang w:val="es-ES"/>
        </w:rPr>
      </w:pPr>
      <w:r w:rsidRPr="007C57D2">
        <w:rPr>
          <w:rFonts w:ascii="Times New Roman" w:hAnsi="Times New Roman"/>
          <w:lang w:val="es-ES"/>
        </w:rPr>
        <w:t>“Velar por que no se recopilen da</w:t>
      </w:r>
      <w:r w:rsidRPr="007C57D2">
        <w:rPr>
          <w:rFonts w:ascii="Times New Roman" w:hAnsi="Times New Roman"/>
          <w:lang w:val="es-ES"/>
        </w:rPr>
        <w:t xml:space="preserve">tos biométricos de los niños, salvo como medida excepcional, y únicamente cuando sea legal, necesario, proporcionado, y respetando plenamente los derechos del niño; </w:t>
      </w:r>
    </w:p>
    <w:p w:rsidR="001E19D5" w:rsidRPr="007C57D2" w:rsidRDefault="007C57D2" w:rsidP="008F3DAB">
      <w:pPr>
        <w:pStyle w:val="Sinespaciado"/>
        <w:ind w:left="360"/>
        <w:jc w:val="both"/>
        <w:rPr>
          <w:rFonts w:ascii="Times New Roman" w:hAnsi="Times New Roman"/>
          <w:lang w:val="es-ES"/>
        </w:rPr>
      </w:pPr>
    </w:p>
    <w:p w:rsidR="001E19D5" w:rsidRPr="007C57D2" w:rsidRDefault="007C57D2" w:rsidP="008F3DAB">
      <w:pPr>
        <w:pStyle w:val="Sinespaciado"/>
        <w:numPr>
          <w:ilvl w:val="0"/>
          <w:numId w:val="9"/>
        </w:numPr>
        <w:ind w:left="360" w:firstLine="0"/>
        <w:jc w:val="both"/>
        <w:rPr>
          <w:rFonts w:ascii="Times New Roman" w:hAnsi="Times New Roman"/>
          <w:lang w:val="es-ES"/>
        </w:rPr>
      </w:pPr>
      <w:r w:rsidRPr="007C57D2">
        <w:rPr>
          <w:rFonts w:ascii="Times New Roman" w:hAnsi="Times New Roman"/>
          <w:lang w:val="es-ES"/>
        </w:rPr>
        <w:t>Velar por que los datos personales de los niños se traten de forma justa, precisa y segur</w:t>
      </w:r>
      <w:r w:rsidRPr="007C57D2">
        <w:rPr>
          <w:rFonts w:ascii="Times New Roman" w:hAnsi="Times New Roman"/>
          <w:lang w:val="es-ES"/>
        </w:rPr>
        <w:t xml:space="preserve">a, con una finalidad específica y de acuerdo con una base jurídica legítima, utilizando marcos de protección de datos que representen las mejores prácticas, como el Reglamento General de Protección de Datos y el Convenio 108; </w:t>
      </w:r>
    </w:p>
    <w:p w:rsidR="001E19D5" w:rsidRPr="007C57D2" w:rsidRDefault="007C57D2" w:rsidP="008F3DAB">
      <w:pPr>
        <w:pStyle w:val="Sinespaciado"/>
        <w:ind w:left="360"/>
        <w:jc w:val="both"/>
        <w:rPr>
          <w:rFonts w:ascii="Times New Roman" w:hAnsi="Times New Roman"/>
          <w:lang w:val="es-ES"/>
        </w:rPr>
      </w:pPr>
    </w:p>
    <w:p w:rsidR="001E19D5" w:rsidRPr="007C57D2" w:rsidRDefault="007C57D2" w:rsidP="008F3DAB">
      <w:pPr>
        <w:pStyle w:val="Sinespaciado"/>
        <w:numPr>
          <w:ilvl w:val="0"/>
          <w:numId w:val="9"/>
        </w:numPr>
        <w:ind w:left="360" w:firstLine="0"/>
        <w:jc w:val="both"/>
        <w:rPr>
          <w:rFonts w:ascii="Times New Roman" w:hAnsi="Times New Roman"/>
          <w:lang w:val="es-ES"/>
        </w:rPr>
      </w:pPr>
      <w:r w:rsidRPr="007C57D2">
        <w:rPr>
          <w:rFonts w:ascii="Times New Roman" w:hAnsi="Times New Roman"/>
          <w:lang w:val="es-ES"/>
        </w:rPr>
        <w:t>Velar por que quienes tratan</w:t>
      </w:r>
      <w:r w:rsidRPr="007C57D2">
        <w:rPr>
          <w:rFonts w:ascii="Times New Roman" w:hAnsi="Times New Roman"/>
          <w:lang w:val="es-ES"/>
        </w:rPr>
        <w:t xml:space="preserve"> los datos personales, incluidos los padres o cuidadores y los educadores, sean conscientes del derecho de los niños a la privacidad y a la protección de los datos; </w:t>
      </w:r>
    </w:p>
    <w:p w:rsidR="001E19D5" w:rsidRPr="007C57D2" w:rsidRDefault="007C57D2" w:rsidP="008F3DAB">
      <w:pPr>
        <w:pStyle w:val="Sinespaciado"/>
        <w:ind w:left="360"/>
        <w:jc w:val="both"/>
        <w:rPr>
          <w:rFonts w:ascii="Times New Roman" w:hAnsi="Times New Roman"/>
          <w:lang w:val="es-ES"/>
        </w:rPr>
      </w:pPr>
    </w:p>
    <w:p w:rsidR="001E19D5" w:rsidRPr="007C57D2" w:rsidRDefault="007C57D2" w:rsidP="008F3DAB">
      <w:pPr>
        <w:pStyle w:val="Sinespaciado"/>
        <w:numPr>
          <w:ilvl w:val="0"/>
          <w:numId w:val="9"/>
        </w:numPr>
        <w:ind w:left="360" w:firstLine="0"/>
        <w:jc w:val="both"/>
        <w:rPr>
          <w:rFonts w:ascii="Times New Roman" w:hAnsi="Times New Roman"/>
          <w:lang w:val="es-ES"/>
        </w:rPr>
      </w:pPr>
      <w:r w:rsidRPr="007C57D2">
        <w:rPr>
          <w:rFonts w:ascii="Times New Roman" w:hAnsi="Times New Roman"/>
          <w:lang w:val="es-ES"/>
        </w:rPr>
        <w:t>Velar por que los niños tengan acceso a información sobre el ejercicio de sus derechos, p</w:t>
      </w:r>
      <w:r w:rsidRPr="007C57D2">
        <w:rPr>
          <w:rFonts w:ascii="Times New Roman" w:hAnsi="Times New Roman"/>
          <w:lang w:val="es-ES"/>
        </w:rPr>
        <w:t>or ejemplo, en los sitios web de las autoridades encargadas de la protección de datos, y que haya a su disposición asesoramiento, mecanismos de reclamación y medidas de reparación que sean específicos para los niños, también en caso de ciberacoso;</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9"/>
        </w:numPr>
        <w:ind w:left="360" w:firstLine="0"/>
        <w:jc w:val="both"/>
        <w:rPr>
          <w:rStyle w:val="Refdenotaalpie"/>
          <w:rFonts w:ascii="Times New Roman" w:hAnsi="Times New Roman"/>
          <w:vertAlign w:val="baseline"/>
          <w:lang w:val="es-ES"/>
        </w:rPr>
      </w:pPr>
      <w:r w:rsidRPr="007C57D2">
        <w:rPr>
          <w:rFonts w:ascii="Times New Roman" w:hAnsi="Times New Roman"/>
          <w:lang w:val="es-ES"/>
        </w:rPr>
        <w:t>“Prohib</w:t>
      </w:r>
      <w:r w:rsidRPr="007C57D2">
        <w:rPr>
          <w:rFonts w:ascii="Times New Roman" w:hAnsi="Times New Roman"/>
          <w:lang w:val="es-ES"/>
        </w:rPr>
        <w:t>ir el tratamiento automatizado de los datos personales que elaboran perfiles de niños para la toma de decisiones que les conciernen o para analizar o predecir las preferencias personales, el comportamiento y las actitudes, salvo en circunstancias excepcion</w:t>
      </w:r>
      <w:r w:rsidRPr="007C57D2">
        <w:rPr>
          <w:rFonts w:ascii="Times New Roman" w:hAnsi="Times New Roman"/>
          <w:lang w:val="es-ES"/>
        </w:rPr>
        <w:t>ales debido al interés superior del niño o de un interés público superior y con las garantías legales adecuada”</w:t>
      </w:r>
      <w:r w:rsidRPr="007C57D2">
        <w:rPr>
          <w:rStyle w:val="Refdenotaalpie"/>
          <w:rFonts w:ascii="Times New Roman" w:eastAsia="Calibri" w:hAnsi="Times New Roman"/>
          <w:lang w:val="es-ES"/>
        </w:rPr>
        <w:t xml:space="preserve"> </w:t>
      </w:r>
      <w:r w:rsidRPr="007C57D2">
        <w:rPr>
          <w:rStyle w:val="Refdenotaalpie"/>
          <w:rFonts w:ascii="Times New Roman" w:eastAsia="Calibri" w:hAnsi="Times New Roman"/>
          <w:lang w:val="es-ES"/>
        </w:rPr>
        <w:footnoteReference w:id="417"/>
      </w:r>
      <w:r w:rsidRPr="007C57D2">
        <w:rPr>
          <w:rStyle w:val="Refdenotaalpie"/>
          <w:rFonts w:ascii="Times New Roman" w:eastAsia="Calibri" w:hAnsi="Times New Roman"/>
          <w:lang w:val="es-ES"/>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De otra parte, en la Carta Iberoamericana de Principios y Derechos en Entornos Digitales (CIPDED)</w:t>
      </w:r>
      <w:r w:rsidRPr="007C57D2">
        <w:rPr>
          <w:rStyle w:val="Refdenotaalpie"/>
          <w:rFonts w:ascii="Times New Roman" w:hAnsi="Times New Roman"/>
        </w:rPr>
        <w:footnoteReference w:id="418"/>
      </w:r>
      <w:r w:rsidRPr="007C57D2">
        <w:rPr>
          <w:rFonts w:ascii="Times New Roman" w:hAnsi="Times New Roman"/>
        </w:rPr>
        <w:t xml:space="preserve"> del 25 de marzo de 2023 se incorporaron, entre otros, los principios de (i) Especial atención a niñas, niños y adolescentes y (ii) Privacidad, confianza, seguridad de datos y ciberseguridad. El principio 5 (Especial atención a niñas, niños y adolescentes)</w:t>
      </w:r>
      <w:r w:rsidRPr="007C57D2">
        <w:rPr>
          <w:rFonts w:ascii="Times New Roman" w:hAnsi="Times New Roman"/>
        </w:rPr>
        <w:t xml:space="preserve"> resalta que “las niñas, niños y adolescentes están sujetos a una especial exposición y vulnerabilidad en los entornos digitales”</w:t>
      </w:r>
      <w:r w:rsidRPr="007C57D2">
        <w:rPr>
          <w:rStyle w:val="Refdenotaalpie"/>
          <w:rFonts w:ascii="Times New Roman" w:hAnsi="Times New Roman"/>
        </w:rPr>
        <w:t xml:space="preserve"> </w:t>
      </w:r>
      <w:r w:rsidRPr="007C57D2">
        <w:rPr>
          <w:rStyle w:val="Refdenotaalpie"/>
          <w:rFonts w:ascii="Times New Roman" w:hAnsi="Times New Roman"/>
        </w:rPr>
        <w:footnoteReference w:id="419"/>
      </w:r>
      <w:r w:rsidRPr="007C57D2">
        <w:rPr>
          <w:rFonts w:ascii="Times New Roman" w:hAnsi="Times New Roman"/>
        </w:rPr>
        <w:t>, razón por la cual se afirmó que “los derechos fundamentales y en especial el interés superior de niñas, niños y adolescente</w:t>
      </w:r>
      <w:r w:rsidRPr="007C57D2">
        <w:rPr>
          <w:rFonts w:ascii="Times New Roman" w:hAnsi="Times New Roman"/>
        </w:rPr>
        <w:t>s deben ser garantizados en los entornos digitales”</w:t>
      </w:r>
      <w:r w:rsidRPr="007C57D2">
        <w:rPr>
          <w:rStyle w:val="Refdenotaalpie"/>
          <w:rFonts w:ascii="Times New Roman" w:hAnsi="Times New Roman"/>
        </w:rPr>
        <w:footnoteReference w:id="420"/>
      </w:r>
      <w:r w:rsidRPr="007C57D2">
        <w:rPr>
          <w:rFonts w:ascii="Times New Roman"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En virtud de lo anterior, y relacionado con el tratamiento de datos, se acordó que “es necesario adoptar políticas públicas que tengan por objeto resguardar (…) la privacidad de niñas, niños y adolesce</w:t>
      </w:r>
      <w:r w:rsidRPr="007C57D2">
        <w:rPr>
          <w:rFonts w:ascii="Times New Roman" w:hAnsi="Times New Roman"/>
        </w:rPr>
        <w:t>ntes en los entornos digitales”. Específicamente, en la CIPDED se acordó, entre otras, lo siguiente: (i) “Promover políticas activas que tengan por objeto asegurar el respeto a la (…) intimidad y privacidad de niñas, niños y adolescentes en los entornos di</w:t>
      </w:r>
      <w:r w:rsidRPr="007C57D2">
        <w:rPr>
          <w:rFonts w:ascii="Times New Roman" w:hAnsi="Times New Roman"/>
        </w:rPr>
        <w:t>gitales”</w:t>
      </w:r>
      <w:r w:rsidRPr="007C57D2">
        <w:rPr>
          <w:rStyle w:val="Refdenotaalpie"/>
          <w:rFonts w:ascii="Times New Roman" w:eastAsia="Calibri" w:hAnsi="Times New Roman"/>
        </w:rPr>
        <w:t xml:space="preserve"> </w:t>
      </w:r>
      <w:r w:rsidRPr="007C57D2">
        <w:rPr>
          <w:rStyle w:val="Refdenotaalpie"/>
          <w:rFonts w:ascii="Times New Roman" w:eastAsia="Calibri" w:hAnsi="Times New Roman"/>
        </w:rPr>
        <w:footnoteReference w:id="421"/>
      </w:r>
      <w:r w:rsidRPr="007C57D2">
        <w:rPr>
          <w:rFonts w:ascii="Times New Roman" w:eastAsia="Calibri" w:hAnsi="Times New Roman"/>
        </w:rPr>
        <w:t xml:space="preserve">, y (ii) </w:t>
      </w:r>
      <w:r w:rsidRPr="007C57D2">
        <w:rPr>
          <w:rFonts w:ascii="Times New Roman" w:hAnsi="Times New Roman"/>
        </w:rPr>
        <w:t>“Promover que el tratamiento de datos personales de niñas, niños y adolescentes sea el mínimo indispensable para que puedan satisfacer sus necesidades y acceder a los servicios públicos que les correspondan, restringiendo de modo efectiv</w:t>
      </w:r>
      <w:r w:rsidRPr="007C57D2">
        <w:rPr>
          <w:rFonts w:ascii="Times New Roman" w:hAnsi="Times New Roman"/>
        </w:rPr>
        <w:t>o el uso y procesamiento de datos, sistemas de perfilado y prácticas comerciales destinados a manipular la voluntad de niñas, niños y adolescentes”.</w:t>
      </w:r>
      <w:r w:rsidRPr="007C57D2">
        <w:rPr>
          <w:rStyle w:val="Refdenotaalpie"/>
          <w:rFonts w:ascii="Times New Roman" w:eastAsia="Calibri" w:hAnsi="Times New Roman"/>
        </w:rPr>
        <w:t xml:space="preserve"> </w:t>
      </w:r>
      <w:r w:rsidRPr="007C57D2">
        <w:rPr>
          <w:rStyle w:val="Refdenotaalpie"/>
          <w:rFonts w:ascii="Times New Roman" w:eastAsia="Calibri" w:hAnsi="Times New Roman"/>
        </w:rPr>
        <w:footnoteReference w:id="422"/>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eastAsia="Calibri" w:hAnsi="Times New Roman"/>
        </w:rPr>
        <w:t>Principio 3 (Privacidad, confianza, seguridad de datos y ciberseguridad</w:t>
      </w:r>
      <w:r w:rsidRPr="007C57D2">
        <w:rPr>
          <w:rFonts w:ascii="Times New Roman" w:hAnsi="Times New Roman"/>
        </w:rPr>
        <w:t xml:space="preserve">), por su parte, señala que “deben hacerse esfuerzos relevantes para garantizar que la privacidad de las personas y el procesamiento de sus datos personales estén protegidos en entornos digitales, respetando las legislaciones nacionales en la materia” </w:t>
      </w:r>
      <w:r w:rsidRPr="007C57D2">
        <w:rPr>
          <w:rFonts w:ascii="Times New Roman" w:hAnsi="Times New Roman"/>
        </w:rPr>
        <w:footnoteReference w:id="423"/>
      </w:r>
      <w:r w:rsidRPr="007C57D2">
        <w:rPr>
          <w:rFonts w:ascii="Times New Roman" w:hAnsi="Times New Roman"/>
        </w:rPr>
        <w:t>. A</w:t>
      </w:r>
      <w:r w:rsidRPr="007C57D2">
        <w:rPr>
          <w:rFonts w:ascii="Times New Roman" w:hAnsi="Times New Roman"/>
        </w:rPr>
        <w:t>dicionalmente, pone de presente que “es necesario establecer y actualizar marcos legales que garanticen la privacidad y seguridad en el tratamiento de datos personales para que la transformación digital fortalezca las capacidades de las personas y se convi</w:t>
      </w:r>
      <w:r w:rsidRPr="007C57D2">
        <w:rPr>
          <w:rFonts w:ascii="Times New Roman" w:hAnsi="Times New Roman"/>
        </w:rPr>
        <w:t>erta en un motor del desarrollo inclusivo a nivel económico, social y cultural al servicio de toda la sociedad”</w:t>
      </w:r>
      <w:r w:rsidRPr="007C57D2">
        <w:rPr>
          <w:rStyle w:val="Refdenotaalpie"/>
          <w:rFonts w:ascii="Times New Roman" w:hAnsi="Times New Roman"/>
        </w:rPr>
        <w:t xml:space="preserve"> </w:t>
      </w:r>
      <w:r w:rsidRPr="007C57D2">
        <w:rPr>
          <w:rStyle w:val="Refdenotaalpie"/>
          <w:rFonts w:ascii="Times New Roman" w:hAnsi="Times New Roman"/>
        </w:rPr>
        <w:footnoteReference w:id="424"/>
      </w:r>
      <w:r w:rsidRPr="007C57D2">
        <w:rPr>
          <w:rFonts w:ascii="Times New Roman" w:hAnsi="Times New Roman"/>
        </w:rPr>
        <w:t xml:space="preserve"> Dado lo anterior, en la CIPDED se acordó lo que sigue a continuación: (i) “Fomentar entornos digitales seguros y confiables, estableciendo med</w:t>
      </w:r>
      <w:r w:rsidRPr="007C57D2">
        <w:rPr>
          <w:rFonts w:ascii="Times New Roman" w:hAnsi="Times New Roman"/>
        </w:rPr>
        <w:t>idas para garantizar la protección de la privacidad de las personas y de los datos personales.”</w:t>
      </w:r>
      <w:r w:rsidRPr="007C57D2">
        <w:rPr>
          <w:rStyle w:val="Refdenotaalpie"/>
          <w:rFonts w:ascii="Times New Roman" w:eastAsia="Calibri" w:hAnsi="Times New Roman"/>
        </w:rPr>
        <w:t xml:space="preserve"> </w:t>
      </w:r>
      <w:r w:rsidRPr="007C57D2">
        <w:rPr>
          <w:rStyle w:val="Refdenotaalpie"/>
          <w:rFonts w:ascii="Times New Roman" w:eastAsia="Calibri" w:hAnsi="Times New Roman"/>
        </w:rPr>
        <w:footnoteReference w:id="425"/>
      </w:r>
      <w:r w:rsidRPr="007C57D2">
        <w:rPr>
          <w:rFonts w:ascii="Times New Roman" w:hAnsi="Times New Roman"/>
        </w:rPr>
        <w:t xml:space="preserve"> y (ii) “Continuar y reforzar la cooperación efectiva entre los países del espacio iberoamericano relacionada con la protección de datos personales y privacida</w:t>
      </w:r>
      <w:r w:rsidRPr="007C57D2">
        <w:rPr>
          <w:rFonts w:ascii="Times New Roman" w:hAnsi="Times New Roman"/>
        </w:rPr>
        <w:t>d”</w:t>
      </w:r>
      <w:r w:rsidRPr="007C57D2">
        <w:rPr>
          <w:rStyle w:val="Refdenotaalpie"/>
          <w:rFonts w:ascii="Times New Roman" w:eastAsia="Calibri" w:hAnsi="Times New Roman"/>
        </w:rPr>
        <w:t xml:space="preserve"> </w:t>
      </w:r>
      <w:r w:rsidRPr="007C57D2">
        <w:rPr>
          <w:rStyle w:val="Refdenotaalpie"/>
          <w:rFonts w:ascii="Times New Roman" w:eastAsia="Calibri" w:hAnsi="Times New Roman"/>
        </w:rPr>
        <w:footnoteReference w:id="426"/>
      </w:r>
      <w:r w:rsidRPr="007C57D2">
        <w:rPr>
          <w:rFonts w:ascii="Times New Roman" w:eastAsia="Calibri" w:hAnsi="Times New Roman"/>
        </w:rPr>
        <w:t>.</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La Global Privacy Assembly (GPA) en el marco de la 30.ª Conferencia Internacional de Comisionados de Protección de Datos y Privacidad realizada en Estrasburgo el 17 de octubre de 2008 expidió la “Resolution on Children’s Online Privacy”</w:t>
      </w:r>
      <w:r w:rsidRPr="007C57D2">
        <w:rPr>
          <w:rStyle w:val="Refdenotaalpie"/>
          <w:rFonts w:ascii="Times New Roman" w:hAnsi="Times New Roman"/>
        </w:rPr>
        <w:t xml:space="preserve"> </w:t>
      </w:r>
      <w:r w:rsidRPr="007C57D2">
        <w:rPr>
          <w:rStyle w:val="Refdenotaalpie"/>
          <w:rFonts w:ascii="Times New Roman" w:hAnsi="Times New Roman"/>
        </w:rPr>
        <w:footnoteReference w:id="427"/>
      </w:r>
      <w:r w:rsidRPr="007C57D2">
        <w:rPr>
          <w:rFonts w:ascii="Times New Roman" w:hAnsi="Times New Roman"/>
        </w:rPr>
        <w:t xml:space="preserve">. En la </w:t>
      </w:r>
      <w:r w:rsidRPr="007C57D2">
        <w:rPr>
          <w:rFonts w:ascii="Times New Roman" w:hAnsi="Times New Roman"/>
        </w:rPr>
        <w:t>misma, las autoridades de protección de datos recomendaron la “aprobación de legislación en sus respectivas jurisdicciones que limite la recopilación, el uso y la divulgación de información personal infantil, incluyendo disposiciones adecuadas para el incu</w:t>
      </w:r>
      <w:r w:rsidRPr="007C57D2">
        <w:rPr>
          <w:rFonts w:ascii="Times New Roman" w:hAnsi="Times New Roman"/>
        </w:rPr>
        <w:t>mplimiento de dichos requisitos”</w:t>
      </w:r>
      <w:r w:rsidRPr="007C57D2">
        <w:rPr>
          <w:rStyle w:val="Refdenotaalpie"/>
          <w:rFonts w:ascii="Times New Roman" w:hAnsi="Times New Roman"/>
        </w:rPr>
        <w:footnoteReference w:id="428"/>
      </w:r>
      <w:r w:rsidRPr="007C57D2">
        <w:rPr>
          <w:rStyle w:val="Refdenotaalpie"/>
          <w:rFonts w:ascii="Times New Roman" w:hAnsi="Times New Roman"/>
        </w:rPr>
        <w:t>.</w:t>
      </w:r>
      <w:r w:rsidRPr="007C57D2">
        <w:rPr>
          <w:rFonts w:ascii="Times New Roman" w:hAnsi="Times New Roman"/>
        </w:rPr>
        <w:t xml:space="preserve"> Posteriormente, en octubre de 2021 la GPA emitió la “Resolution on children's digital rights”</w:t>
      </w:r>
      <w:r w:rsidRPr="007C57D2">
        <w:rPr>
          <w:rStyle w:val="Refdenotaalpie"/>
          <w:rFonts w:ascii="Times New Roman" w:hAnsi="Times New Roman"/>
        </w:rPr>
        <w:t xml:space="preserve"> </w:t>
      </w:r>
      <w:r w:rsidRPr="007C57D2">
        <w:rPr>
          <w:rStyle w:val="Refdenotaalpie"/>
          <w:rFonts w:ascii="Times New Roman" w:hAnsi="Times New Roman"/>
        </w:rPr>
        <w:footnoteReference w:id="429"/>
      </w:r>
      <w:r w:rsidRPr="007C57D2">
        <w:rPr>
          <w:rFonts w:ascii="Times New Roman" w:hAnsi="Times New Roman"/>
        </w:rPr>
        <w:t>.</w:t>
      </w:r>
      <w:r w:rsidRPr="007C57D2">
        <w:rPr>
          <w:rFonts w:ascii="Times New Roman" w:hAnsi="Times New Roman"/>
        </w:rPr>
        <w:t xml:space="preserve"> en donde recomendó que “los Responsables y Encargados del Tratamiento implementen medidas de responsabilidad demostrada refo</w:t>
      </w:r>
      <w:r w:rsidRPr="007C57D2">
        <w:rPr>
          <w:rFonts w:ascii="Times New Roman" w:hAnsi="Times New Roman"/>
        </w:rPr>
        <w:t>rzada que impliquen, entre otras, mayores medidas de seguridad y aquellas que impidan la consulta, el uso o el acceso no autorizados”</w:t>
      </w:r>
      <w:r w:rsidRPr="007C57D2">
        <w:rPr>
          <w:rStyle w:val="Refdenotaalpie"/>
          <w:rFonts w:ascii="Times New Roman" w:hAnsi="Times New Roman"/>
        </w:rPr>
        <w:footnoteReference w:id="430"/>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En los Estándares Iberoamericanos de Protección de Datos Personales</w:t>
      </w:r>
      <w:r w:rsidRPr="007C57D2">
        <w:rPr>
          <w:rStyle w:val="Refdenotaalpie"/>
          <w:rFonts w:ascii="Times New Roman" w:hAnsi="Times New Roman"/>
        </w:rPr>
        <w:footnoteReference w:id="431"/>
      </w:r>
      <w:r w:rsidRPr="007C57D2">
        <w:rPr>
          <w:rFonts w:ascii="Times New Roman" w:hAnsi="Times New Roman"/>
        </w:rPr>
        <w:t xml:space="preserve">. </w:t>
      </w:r>
      <w:r w:rsidRPr="007C57D2">
        <w:rPr>
          <w:rFonts w:ascii="Times New Roman" w:hAnsi="Times New Roman"/>
        </w:rPr>
        <w:t xml:space="preserve"> de la Red iberoamericana de Protección de Datos (</w:t>
      </w:r>
      <w:r w:rsidRPr="007C57D2">
        <w:rPr>
          <w:rFonts w:ascii="Times New Roman" w:hAnsi="Times New Roman"/>
        </w:rPr>
        <w:t xml:space="preserve">RIPD) se incluyó en 2017 la siguiente disposición sobre tratamiento de datos de menores de edad: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ind w:left="567"/>
        <w:jc w:val="both"/>
        <w:rPr>
          <w:rFonts w:ascii="Times New Roman" w:hAnsi="Times New Roman"/>
          <w:szCs w:val="26"/>
        </w:rPr>
      </w:pPr>
      <w:r w:rsidRPr="007C57D2">
        <w:rPr>
          <w:rFonts w:ascii="Times New Roman" w:hAnsi="Times New Roman"/>
          <w:szCs w:val="26"/>
        </w:rPr>
        <w:t>“8. Tratamiento de datos personales de niñas, niños y adolescentes</w:t>
      </w:r>
    </w:p>
    <w:p w:rsidR="001E19D5" w:rsidRPr="007C57D2" w:rsidRDefault="007C57D2" w:rsidP="008F3DAB">
      <w:pPr>
        <w:pStyle w:val="Sinespaciado"/>
        <w:ind w:left="567"/>
        <w:jc w:val="both"/>
        <w:rPr>
          <w:rFonts w:ascii="Times New Roman" w:hAnsi="Times New Roman"/>
          <w:szCs w:val="26"/>
        </w:rPr>
      </w:pPr>
    </w:p>
    <w:p w:rsidR="001E19D5" w:rsidRPr="007C57D2" w:rsidRDefault="007C57D2" w:rsidP="008F3DAB">
      <w:pPr>
        <w:pStyle w:val="Sinespaciado"/>
        <w:ind w:left="567"/>
        <w:jc w:val="both"/>
        <w:rPr>
          <w:rFonts w:ascii="Times New Roman" w:hAnsi="Times New Roman"/>
          <w:szCs w:val="26"/>
        </w:rPr>
      </w:pPr>
      <w:r w:rsidRPr="007C57D2">
        <w:rPr>
          <w:rFonts w:ascii="Times New Roman" w:hAnsi="Times New Roman"/>
          <w:szCs w:val="26"/>
        </w:rPr>
        <w:t>8.1. En el tratamiento de datos personales concernientes a niñas, niños y adolescentes, l</w:t>
      </w:r>
      <w:r w:rsidRPr="007C57D2">
        <w:rPr>
          <w:rFonts w:ascii="Times New Roman" w:hAnsi="Times New Roman"/>
          <w:szCs w:val="26"/>
        </w:rPr>
        <w:t>os Estados Iberoamericanos privilegiarán la protección del interés superior de éstos, conforme a la Convención sobre los Derechos del Niño y demás instrumentos internacionales que busquen su bienestar y protección integral.</w:t>
      </w:r>
    </w:p>
    <w:p w:rsidR="001E19D5" w:rsidRPr="007C57D2" w:rsidRDefault="007C57D2" w:rsidP="008F3DAB">
      <w:pPr>
        <w:pStyle w:val="Sinespaciado"/>
        <w:ind w:left="567"/>
        <w:jc w:val="both"/>
        <w:rPr>
          <w:rFonts w:ascii="Times New Roman" w:hAnsi="Times New Roman"/>
          <w:szCs w:val="26"/>
        </w:rPr>
      </w:pPr>
    </w:p>
    <w:p w:rsidR="001E19D5" w:rsidRPr="007C57D2" w:rsidRDefault="007C57D2" w:rsidP="008F3DAB">
      <w:pPr>
        <w:pStyle w:val="Sinespaciado"/>
        <w:ind w:left="567"/>
        <w:jc w:val="both"/>
        <w:rPr>
          <w:rFonts w:ascii="Times New Roman" w:hAnsi="Times New Roman"/>
          <w:szCs w:val="26"/>
        </w:rPr>
      </w:pPr>
      <w:r w:rsidRPr="007C57D2">
        <w:rPr>
          <w:rFonts w:ascii="Times New Roman" w:hAnsi="Times New Roman"/>
          <w:szCs w:val="26"/>
        </w:rPr>
        <w:t>8.2. Los Estados Iberoamericano</w:t>
      </w:r>
      <w:r w:rsidRPr="007C57D2">
        <w:rPr>
          <w:rFonts w:ascii="Times New Roman" w:hAnsi="Times New Roman"/>
          <w:szCs w:val="26"/>
        </w:rPr>
        <w:t>s promoverán en la formación académica de las niñas, niños y adolescentes, el uso responsable, adecuado y seguro de las tecnologías de la información y comunicación y los eventuales riesgos a los que se enfrentan en ambientes digitales respecto del tratami</w:t>
      </w:r>
      <w:r w:rsidRPr="007C57D2">
        <w:rPr>
          <w:rFonts w:ascii="Times New Roman" w:hAnsi="Times New Roman"/>
          <w:szCs w:val="26"/>
        </w:rPr>
        <w:t>ento indebido de sus datos personales, así como el respeto de sus derechos y libertades”</w:t>
      </w:r>
      <w:r w:rsidRPr="007C57D2">
        <w:rPr>
          <w:rStyle w:val="Refdenotaalpie"/>
          <w:rFonts w:ascii="Times New Roman" w:hAnsi="Times New Roman"/>
          <w:szCs w:val="26"/>
        </w:rPr>
        <w:footnoteReference w:id="432"/>
      </w:r>
      <w:r w:rsidRPr="007C57D2">
        <w:rPr>
          <w:rFonts w:ascii="Times New Roman" w:hAnsi="Times New Roman"/>
          <w:szCs w:val="26"/>
        </w:rPr>
        <w:t>.</w:t>
      </w:r>
    </w:p>
    <w:p w:rsidR="001E19D5" w:rsidRPr="007C57D2" w:rsidRDefault="007C57D2" w:rsidP="008F3DAB">
      <w:pPr>
        <w:pStyle w:val="Sinespaciado"/>
        <w:jc w:val="both"/>
        <w:rPr>
          <w:rFonts w:ascii="Times New Roman" w:hAnsi="Times New Roman"/>
          <w:bCs/>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Por su parte, el Título III de la Ley 1581 de 2012 incluye dentro de la Categoría Especial de datos: los datos de los niños, niña y adolescentes, señalando expresam</w:t>
      </w:r>
      <w:r w:rsidRPr="007C57D2">
        <w:rPr>
          <w:rFonts w:ascii="Times New Roman" w:hAnsi="Times New Roman"/>
          <w:lang w:val="es-ES"/>
        </w:rPr>
        <w:t xml:space="preserve">ente lo siguiente: </w:t>
      </w:r>
    </w:p>
    <w:p w:rsidR="001E19D5" w:rsidRPr="007C57D2" w:rsidRDefault="007C57D2" w:rsidP="008F3DAB">
      <w:pPr>
        <w:pStyle w:val="Sinespaciado"/>
        <w:jc w:val="both"/>
        <w:rPr>
          <w:rFonts w:ascii="Times New Roman" w:hAnsi="Times New Roman"/>
          <w:bCs/>
          <w:i/>
        </w:rPr>
      </w:pPr>
    </w:p>
    <w:p w:rsidR="001E19D5" w:rsidRPr="007C57D2" w:rsidRDefault="007C57D2" w:rsidP="008F3DAB">
      <w:pPr>
        <w:pStyle w:val="Sinespaciado"/>
        <w:ind w:left="567"/>
        <w:jc w:val="both"/>
        <w:rPr>
          <w:rFonts w:ascii="Times New Roman" w:hAnsi="Times New Roman"/>
          <w:bCs/>
          <w:iCs/>
          <w:szCs w:val="26"/>
        </w:rPr>
      </w:pPr>
      <w:r w:rsidRPr="007C57D2">
        <w:rPr>
          <w:rFonts w:ascii="Times New Roman" w:hAnsi="Times New Roman"/>
          <w:bCs/>
          <w:iCs/>
          <w:szCs w:val="26"/>
        </w:rPr>
        <w:t>ARTÍCULO 7o. DERECHOS DE LOS NIÑOS, NIÑAS Y ADOLESCENTES. En el Tratamiento se asegurará el respeto a los derechos prevalentes de los niños, niñas y adolescentes.</w:t>
      </w:r>
    </w:p>
    <w:p w:rsidR="001E19D5" w:rsidRPr="007C57D2" w:rsidRDefault="007C57D2" w:rsidP="008F3DAB">
      <w:pPr>
        <w:pStyle w:val="Sinespaciado"/>
        <w:ind w:left="567"/>
        <w:jc w:val="both"/>
        <w:rPr>
          <w:rFonts w:ascii="Times New Roman" w:hAnsi="Times New Roman"/>
          <w:bCs/>
          <w:iCs/>
          <w:szCs w:val="26"/>
        </w:rPr>
      </w:pPr>
    </w:p>
    <w:p w:rsidR="001E19D5" w:rsidRPr="007C57D2" w:rsidRDefault="007C57D2" w:rsidP="008F3DAB">
      <w:pPr>
        <w:pStyle w:val="Sinespaciado"/>
        <w:ind w:left="567"/>
        <w:jc w:val="both"/>
        <w:rPr>
          <w:rFonts w:ascii="Times New Roman" w:hAnsi="Times New Roman"/>
          <w:bCs/>
          <w:iCs/>
          <w:szCs w:val="26"/>
        </w:rPr>
      </w:pPr>
      <w:r w:rsidRPr="007C57D2">
        <w:rPr>
          <w:rFonts w:ascii="Times New Roman" w:hAnsi="Times New Roman"/>
          <w:bCs/>
          <w:iCs/>
          <w:szCs w:val="26"/>
        </w:rPr>
        <w:t xml:space="preserve">Queda proscrito el Tratamiento de datos personales de niños, niñas y </w:t>
      </w:r>
      <w:r w:rsidRPr="007C57D2">
        <w:rPr>
          <w:rFonts w:ascii="Times New Roman" w:hAnsi="Times New Roman"/>
          <w:bCs/>
          <w:iCs/>
          <w:szCs w:val="26"/>
        </w:rPr>
        <w:t>adolescentes, salvo aquellos datos que sean de naturaleza pública.</w:t>
      </w:r>
    </w:p>
    <w:p w:rsidR="001E19D5" w:rsidRPr="007C57D2" w:rsidRDefault="007C57D2" w:rsidP="008F3DAB">
      <w:pPr>
        <w:pStyle w:val="Sinespaciado"/>
        <w:ind w:left="567"/>
        <w:jc w:val="both"/>
        <w:rPr>
          <w:rFonts w:ascii="Times New Roman" w:hAnsi="Times New Roman"/>
          <w:bCs/>
          <w:iCs/>
          <w:szCs w:val="26"/>
        </w:rPr>
      </w:pPr>
    </w:p>
    <w:p w:rsidR="001E19D5" w:rsidRPr="007C57D2" w:rsidRDefault="007C57D2" w:rsidP="008F3DAB">
      <w:pPr>
        <w:pStyle w:val="Sinespaciado"/>
        <w:ind w:left="567"/>
        <w:jc w:val="both"/>
        <w:rPr>
          <w:rFonts w:ascii="Times New Roman" w:hAnsi="Times New Roman"/>
          <w:bCs/>
          <w:iCs/>
          <w:szCs w:val="26"/>
        </w:rPr>
      </w:pPr>
      <w:r w:rsidRPr="007C57D2">
        <w:rPr>
          <w:rFonts w:ascii="Times New Roman" w:hAnsi="Times New Roman"/>
          <w:bCs/>
          <w:iCs/>
          <w:szCs w:val="26"/>
        </w:rPr>
        <w:t>Es tarea del Estado y las entidades educativas de todo tipo proveer información y capacitar a los representantes legales y tutores sobre los eventuales riesgos a los que se enfrentan los n</w:t>
      </w:r>
      <w:r w:rsidRPr="007C57D2">
        <w:rPr>
          <w:rFonts w:ascii="Times New Roman" w:hAnsi="Times New Roman"/>
          <w:bCs/>
          <w:iCs/>
          <w:szCs w:val="26"/>
        </w:rPr>
        <w:t>iños, niñas y adolescentes respecto del Tratamiento indebido de sus datos personales, y proveer de conocimiento acerca del uso responsable y seguro por parte de niños, niñas y adolescentes de sus datos personales, su derecho a la privacidad y protección de</w:t>
      </w:r>
      <w:r w:rsidRPr="007C57D2">
        <w:rPr>
          <w:rFonts w:ascii="Times New Roman" w:hAnsi="Times New Roman"/>
          <w:bCs/>
          <w:iCs/>
          <w:szCs w:val="26"/>
        </w:rPr>
        <w:t xml:space="preserve"> su información personal y la de los demás. </w:t>
      </w:r>
    </w:p>
    <w:p w:rsidR="001E19D5" w:rsidRPr="007C57D2" w:rsidRDefault="007C57D2" w:rsidP="008F3DAB">
      <w:pPr>
        <w:pStyle w:val="Sinespaciado"/>
        <w:ind w:left="567"/>
        <w:jc w:val="both"/>
        <w:rPr>
          <w:rFonts w:ascii="Times New Roman" w:hAnsi="Times New Roman"/>
          <w:bCs/>
          <w:iCs/>
          <w:szCs w:val="26"/>
        </w:rPr>
      </w:pPr>
    </w:p>
    <w:p w:rsidR="001E19D5" w:rsidRPr="007C57D2" w:rsidRDefault="007C57D2" w:rsidP="008F3DAB">
      <w:pPr>
        <w:pStyle w:val="Sinespaciado"/>
        <w:ind w:left="567"/>
        <w:jc w:val="both"/>
        <w:rPr>
          <w:rFonts w:ascii="Times New Roman" w:hAnsi="Times New Roman"/>
          <w:bCs/>
          <w:iCs/>
          <w:szCs w:val="26"/>
        </w:rPr>
      </w:pPr>
      <w:r w:rsidRPr="007C57D2">
        <w:rPr>
          <w:rFonts w:ascii="Times New Roman" w:hAnsi="Times New Roman"/>
          <w:bCs/>
          <w:iCs/>
          <w:szCs w:val="26"/>
        </w:rPr>
        <w:t>El Gobierno Nacional reglamentará la materia, dentro de los seis (6) meses siguientes a la promulgación de esta ley.</w:t>
      </w:r>
    </w:p>
    <w:p w:rsidR="001E19D5" w:rsidRPr="007C57D2" w:rsidRDefault="007C57D2" w:rsidP="008F3DAB">
      <w:pPr>
        <w:pStyle w:val="Sinespaciado"/>
        <w:jc w:val="both"/>
        <w:rPr>
          <w:rFonts w:ascii="Times New Roman" w:hAnsi="Times New Roman"/>
          <w:bCs/>
          <w:i/>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En este punto resulta necesario a traer a colación las principales consideraciones del numer</w:t>
      </w:r>
      <w:r w:rsidRPr="007C57D2">
        <w:rPr>
          <w:rFonts w:ascii="Times New Roman" w:hAnsi="Times New Roman"/>
          <w:lang w:val="es-ES"/>
        </w:rPr>
        <w:t xml:space="preserve">al 2.9.3.4. de la </w:t>
      </w:r>
      <w:r w:rsidRPr="007C57D2">
        <w:rPr>
          <w:rFonts w:ascii="Times New Roman" w:hAnsi="Times New Roman"/>
          <w:lang w:val="es-ES"/>
        </w:rPr>
        <w:t>S</w:t>
      </w:r>
      <w:r w:rsidRPr="007C57D2">
        <w:rPr>
          <w:rFonts w:ascii="Times New Roman" w:hAnsi="Times New Roman"/>
          <w:lang w:val="es-ES"/>
        </w:rPr>
        <w:t>entencia C-748 de 2011 de la Corte Constitucional al examinar la constitucionalidad del artículo 7, en los siguientes términos:</w:t>
      </w:r>
    </w:p>
    <w:p w:rsidR="001E19D5" w:rsidRPr="007C57D2" w:rsidRDefault="007C57D2" w:rsidP="008F3DAB">
      <w:pPr>
        <w:pStyle w:val="Sinespaciado"/>
        <w:jc w:val="both"/>
        <w:rPr>
          <w:rFonts w:ascii="Times New Roman" w:hAnsi="Times New Roman"/>
          <w:bCs/>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En primer lugar, la Corte consideró que “el principio del interés superior de los niños, las niñas y adolesc</w:t>
      </w:r>
      <w:r w:rsidRPr="007C57D2">
        <w:rPr>
          <w:rFonts w:ascii="Times New Roman" w:hAnsi="Times New Roman"/>
        </w:rPr>
        <w:t>entes se concreta, en el caso particular, en el establecimiento de condiciones que permitan garantizar los derechos de los menores de 18 años en la sociedad de la Información y el Conocimiento, dentro de la cual se encuentran las herramientas de Internet y</w:t>
      </w:r>
      <w:r w:rsidRPr="007C57D2">
        <w:rPr>
          <w:rFonts w:ascii="Times New Roman" w:hAnsi="Times New Roman"/>
        </w:rPr>
        <w:t xml:space="preserve"> redes sociales”. </w:t>
      </w:r>
    </w:p>
    <w:p w:rsidR="001E19D5" w:rsidRPr="007C57D2" w:rsidRDefault="007C57D2" w:rsidP="008F3DAB">
      <w:pPr>
        <w:pStyle w:val="Sinespaciado"/>
        <w:jc w:val="both"/>
        <w:rPr>
          <w:rFonts w:ascii="Times New Roman" w:hAnsi="Times New Roman"/>
          <w:bCs/>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 xml:space="preserve">En segundo lugar, precisa la Corte “que la interpretación del inciso segundo no debe entenderse en el sentido de que existe una prohibición casi absoluta del tratamiento de los datos de los menores de 18 años, exceptuando los de </w:t>
      </w:r>
      <w:r w:rsidRPr="007C57D2">
        <w:rPr>
          <w:rFonts w:ascii="Times New Roman" w:hAnsi="Times New Roman"/>
        </w:rPr>
        <w:t>naturaleza pública, pues ello, daría lugar a la negación de otros derechos superiores de esta población como el de la seguridad social en salud, interpretación ésta que no se encuentra conforme con la Constitución. De lo que se trata entonces, es de recono</w:t>
      </w:r>
      <w:r w:rsidRPr="007C57D2">
        <w:rPr>
          <w:rFonts w:ascii="Times New Roman" w:hAnsi="Times New Roman"/>
        </w:rPr>
        <w:t>cer y asegurar la plena vigencia de todos los derechos fundamentales de esta población, incluido el habeas data”.</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En otras palabras, “el tratamiento de los datos personales de los menores de 18 años, al margen de su naturaleza, pueden ser objeto de tratam</w:t>
      </w:r>
      <w:r w:rsidRPr="007C57D2">
        <w:rPr>
          <w:rFonts w:ascii="Times New Roman" w:hAnsi="Times New Roman"/>
        </w:rPr>
        <w:t>iento siempre y cuando el fin que se persiga con dicho tratamiento responda al interés superior de los niños, las niñas y adolescentes y se asegure sin excepción alguna el respeto de sus derechos prevalentes”.</w:t>
      </w:r>
      <w:r w:rsidRPr="007C57D2">
        <w:rPr>
          <w:rStyle w:val="Refdenotaalpie"/>
          <w:rFonts w:ascii="Times New Roman" w:hAnsi="Times New Roman"/>
        </w:rPr>
        <w:footnoteReference w:id="433"/>
      </w:r>
      <w:r w:rsidRPr="007C57D2">
        <w:rPr>
          <w:rFonts w:ascii="Times New Roman" w:hAnsi="Times New Roman"/>
        </w:rPr>
        <w:t xml:space="preserve"> (…) “En definitiva, el inciso segundo del art</w:t>
      </w:r>
      <w:r w:rsidRPr="007C57D2">
        <w:rPr>
          <w:rFonts w:ascii="Times New Roman" w:hAnsi="Times New Roman"/>
        </w:rPr>
        <w:t>ículo objeto de estudio es exequible, si se interpreta que los datos de los niños, las niñas y adolescentes pueden ser objeto de tratamiento siempre y cuando no se ponga en riesgo la prevalencia de sus derechos fundamentales e inequívocamente responda a la</w:t>
      </w:r>
      <w:r w:rsidRPr="007C57D2">
        <w:rPr>
          <w:rFonts w:ascii="Times New Roman" w:hAnsi="Times New Roman"/>
        </w:rPr>
        <w:t xml:space="preserve"> realización del principio de su interés superior, cuya aplicación específica devendrá del análisis de cada caso en particular”.</w:t>
      </w:r>
    </w:p>
    <w:p w:rsidR="001E19D5" w:rsidRPr="007C57D2" w:rsidRDefault="007C57D2" w:rsidP="008F3DAB">
      <w:pPr>
        <w:pStyle w:val="Sinespaciado"/>
        <w:jc w:val="both"/>
        <w:rPr>
          <w:rFonts w:ascii="Times New Roman" w:hAnsi="Times New Roman"/>
          <w:bCs/>
        </w:rPr>
      </w:pPr>
    </w:p>
    <w:p w:rsidR="001E19D5" w:rsidRPr="007C57D2" w:rsidRDefault="007C57D2" w:rsidP="008F3DAB">
      <w:pPr>
        <w:pStyle w:val="Sinespaciado"/>
        <w:numPr>
          <w:ilvl w:val="0"/>
          <w:numId w:val="3"/>
        </w:numPr>
        <w:ind w:left="0" w:firstLine="0"/>
        <w:jc w:val="both"/>
        <w:rPr>
          <w:rFonts w:ascii="Times New Roman" w:hAnsi="Times New Roman"/>
          <w:bCs/>
        </w:rPr>
      </w:pPr>
      <w:r w:rsidRPr="007C57D2">
        <w:rPr>
          <w:rFonts w:ascii="Times New Roman" w:hAnsi="Times New Roman"/>
          <w:bCs/>
        </w:rPr>
        <w:t>En cuanto al inciso 3 del artículo 7° la Corte concluyó que “</w:t>
      </w:r>
      <w:r w:rsidRPr="007C57D2">
        <w:rPr>
          <w:rFonts w:ascii="Times New Roman" w:hAnsi="Times New Roman"/>
        </w:rPr>
        <w:t>existe una corresponsabilidad de todos los actores</w:t>
      </w:r>
      <w:r w:rsidRPr="007C57D2">
        <w:rPr>
          <w:rFonts w:ascii="Times New Roman" w:hAnsi="Times New Roman"/>
          <w:i/>
        </w:rPr>
        <w:t> </w:t>
      </w:r>
      <w:r w:rsidRPr="007C57D2">
        <w:rPr>
          <w:rFonts w:ascii="Times New Roman" w:hAnsi="Times New Roman"/>
        </w:rPr>
        <w:t xml:space="preserve">frente al manejo y tratamiento de la información de los NNA”. Resaltó esta </w:t>
      </w:r>
      <w:r w:rsidRPr="007C57D2">
        <w:rPr>
          <w:rFonts w:ascii="Times New Roman" w:hAnsi="Times New Roman"/>
        </w:rPr>
        <w:t>Corporación</w:t>
      </w:r>
      <w:r w:rsidRPr="007C57D2">
        <w:rPr>
          <w:rFonts w:ascii="Times New Roman" w:hAnsi="Times New Roman"/>
        </w:rPr>
        <w:t xml:space="preserve"> que “no sólo el Estado y las entidades educativas deben desarrollar acciones para evitar el uso inadecuado de los datos personales de los menores de 18 años sino que tam</w:t>
      </w:r>
      <w:r w:rsidRPr="007C57D2">
        <w:rPr>
          <w:rFonts w:ascii="Times New Roman" w:hAnsi="Times New Roman"/>
        </w:rPr>
        <w:t>bién son responsables en el aseguramiento de dicha garantía (i) los progenitores u otras personas que se encuentren a cargo de su cuidado y los educadores; (ii) el legislador,</w:t>
      </w:r>
      <w:r w:rsidRPr="007C57D2">
        <w:rPr>
          <w:rFonts w:ascii="Times New Roman" w:hAnsi="Times New Roman"/>
          <w:bCs/>
        </w:rPr>
        <w:t xml:space="preserve"> quien debe asegurarse que en cumplimiento de sus funciones legislativas, específ</w:t>
      </w:r>
      <w:r w:rsidRPr="007C57D2">
        <w:rPr>
          <w:rFonts w:ascii="Times New Roman" w:hAnsi="Times New Roman"/>
          <w:bCs/>
        </w:rPr>
        <w:t>icamente, en lo referente al tratamiento de los datos personales de los menores de</w:t>
      </w:r>
      <w:r w:rsidRPr="007C57D2">
        <w:rPr>
          <w:rFonts w:ascii="Times New Roman" w:hAnsi="Times New Roman"/>
          <w:bCs/>
        </w:rPr>
        <w:t xml:space="preserve"> edad</w:t>
      </w:r>
      <w:r w:rsidRPr="007C57D2">
        <w:rPr>
          <w:rFonts w:ascii="Times New Roman" w:hAnsi="Times New Roman"/>
          <w:bCs/>
        </w:rPr>
        <w:t>, dicha normativa no deje de contener las medidas adecuadas de protección para garantizar su desarrollo armónico e integral, y la efectividad de sus derechos fundamental</w:t>
      </w:r>
      <w:r w:rsidRPr="007C57D2">
        <w:rPr>
          <w:rFonts w:ascii="Times New Roman" w:hAnsi="Times New Roman"/>
          <w:bCs/>
        </w:rPr>
        <w:t xml:space="preserve">es contenidos en la Constitución Política y en los estándares internacionales que existen sobre la materia; </w:t>
      </w:r>
      <w:r w:rsidRPr="007C57D2">
        <w:rPr>
          <w:rFonts w:ascii="Times New Roman" w:hAnsi="Times New Roman"/>
        </w:rPr>
        <w:t>(iii) el sistema judicial; específicamente los servidores públicos deben proteger los derechos derivados del uso de los datos personales de los meno</w:t>
      </w:r>
      <w:r w:rsidRPr="007C57D2">
        <w:rPr>
          <w:rFonts w:ascii="Times New Roman" w:hAnsi="Times New Roman"/>
        </w:rPr>
        <w:t>res de 18 años observando los estándares internacionales o documentos especializados sobre la materia; (iv) los medios de comunicación; (v) las empresas que proveen los servicios de acceso a la Internet, desarrollan las aplicaciones o las redes sociales di</w:t>
      </w:r>
      <w:r w:rsidRPr="007C57D2">
        <w:rPr>
          <w:rFonts w:ascii="Times New Roman" w:hAnsi="Times New Roman"/>
        </w:rPr>
        <w:t>gitales, a quienes se advierte que deben comprometerse en la defensa</w:t>
      </w:r>
      <w:r w:rsidRPr="007C57D2">
        <w:rPr>
          <w:rFonts w:ascii="Times New Roman" w:hAnsi="Times New Roman"/>
          <w:bCs/>
        </w:rPr>
        <w:t xml:space="preserve"> de los derechos fundamentales de los niños, niñas y adolescentes.”</w:t>
      </w:r>
    </w:p>
    <w:p w:rsidR="001E19D5" w:rsidRPr="007C57D2" w:rsidRDefault="007C57D2" w:rsidP="008F3DAB">
      <w:pPr>
        <w:pStyle w:val="Sinespaciado"/>
        <w:jc w:val="both"/>
        <w:rPr>
          <w:rFonts w:ascii="Times New Roman" w:hAnsi="Times New Roman"/>
          <w:bC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 xml:space="preserve">Los requisitos para el tratamiento de datos personales de menores de edad </w:t>
      </w:r>
      <w:r w:rsidRPr="007C57D2">
        <w:rPr>
          <w:rFonts w:ascii="Times New Roman" w:hAnsi="Times New Roman"/>
          <w:lang w:val="es-ES"/>
        </w:rPr>
        <w:t xml:space="preserve">exigidos por la Corte Constitucional en la </w:t>
      </w:r>
      <w:r w:rsidRPr="007C57D2">
        <w:rPr>
          <w:rFonts w:ascii="Times New Roman" w:hAnsi="Times New Roman"/>
          <w:lang w:val="es-ES"/>
        </w:rPr>
        <w:t>S</w:t>
      </w:r>
      <w:r w:rsidRPr="007C57D2">
        <w:rPr>
          <w:rFonts w:ascii="Times New Roman" w:hAnsi="Times New Roman"/>
          <w:lang w:val="es-ES"/>
        </w:rPr>
        <w:t>e</w:t>
      </w:r>
      <w:r w:rsidRPr="007C57D2">
        <w:rPr>
          <w:rFonts w:ascii="Times New Roman" w:hAnsi="Times New Roman"/>
          <w:lang w:val="es-ES"/>
        </w:rPr>
        <w:t xml:space="preserve">ntencia C-748 de 2011 </w:t>
      </w:r>
      <w:r w:rsidRPr="007C57D2">
        <w:rPr>
          <w:rFonts w:ascii="Times New Roman" w:hAnsi="Times New Roman"/>
          <w:lang w:val="es-ES"/>
        </w:rPr>
        <w:t xml:space="preserve">fueron incorporados en los siguientes términos </w:t>
      </w:r>
      <w:r w:rsidRPr="007C57D2">
        <w:rPr>
          <w:rFonts w:ascii="Times New Roman" w:hAnsi="Times New Roman"/>
          <w:lang w:val="es-ES"/>
        </w:rPr>
        <w:t xml:space="preserve">en el </w:t>
      </w:r>
      <w:r w:rsidRPr="007C57D2">
        <w:rPr>
          <w:rFonts w:ascii="Times New Roman" w:hAnsi="Times New Roman"/>
          <w:lang w:val="es-ES"/>
        </w:rPr>
        <w:t>artículo 12</w:t>
      </w:r>
      <w:r w:rsidRPr="007C57D2">
        <w:rPr>
          <w:rStyle w:val="Refdenotaalpie"/>
          <w:rFonts w:ascii="Times New Roman" w:hAnsi="Times New Roman"/>
          <w:lang w:val="es-ES"/>
        </w:rPr>
        <w:footnoteReference w:id="434"/>
      </w:r>
      <w:r w:rsidRPr="007C57D2">
        <w:rPr>
          <w:rFonts w:ascii="Times New Roman" w:hAnsi="Times New Roman"/>
          <w:lang w:val="es-ES"/>
        </w:rPr>
        <w:t xml:space="preserve"> del Decreto 1377 de 2013:</w:t>
      </w:r>
    </w:p>
    <w:p w:rsidR="001E19D5" w:rsidRPr="007C57D2" w:rsidRDefault="007C57D2" w:rsidP="008F3DAB">
      <w:pPr>
        <w:pStyle w:val="Sinespaciado"/>
        <w:jc w:val="both"/>
        <w:rPr>
          <w:rFonts w:ascii="Times New Roman" w:hAnsi="Times New Roman"/>
          <w:bCs/>
          <w:iCs/>
          <w:lang w:val="es-ES"/>
        </w:rPr>
      </w:pPr>
    </w:p>
    <w:p w:rsidR="001E19D5" w:rsidRPr="007C57D2" w:rsidRDefault="007C57D2" w:rsidP="008F3DAB">
      <w:pPr>
        <w:pStyle w:val="Sinespaciado"/>
        <w:ind w:left="567"/>
        <w:jc w:val="both"/>
        <w:rPr>
          <w:rFonts w:ascii="Times New Roman" w:hAnsi="Times New Roman"/>
          <w:szCs w:val="26"/>
          <w:lang w:val="es-ES"/>
        </w:rPr>
      </w:pPr>
      <w:r w:rsidRPr="007C57D2">
        <w:rPr>
          <w:rFonts w:ascii="Times New Roman" w:hAnsi="Times New Roman"/>
          <w:szCs w:val="26"/>
          <w:lang w:val="es-ES"/>
        </w:rPr>
        <w:t xml:space="preserve">“Requisitos especiales para el tratamiento de datos personales de niños, niñas y adolescentes. El Tratamiento de datos personales de niños, </w:t>
      </w:r>
      <w:r w:rsidRPr="007C57D2">
        <w:rPr>
          <w:rFonts w:ascii="Times New Roman" w:hAnsi="Times New Roman"/>
          <w:szCs w:val="26"/>
          <w:lang w:val="es-ES"/>
        </w:rPr>
        <w:t>niñas y adolescentes está prohibido, excepto cuando se trate de datos de naturaleza pública, de conformidad con lo establecido en el artículo 7 de la Ley 1581 de 2012 y cuando dicho Tratamiento cumpla con los siguientes parámetros y requisitos:</w:t>
      </w:r>
    </w:p>
    <w:p w:rsidR="001E19D5" w:rsidRPr="007C57D2" w:rsidRDefault="007C57D2" w:rsidP="008F3DAB">
      <w:pPr>
        <w:pStyle w:val="Sinespaciado"/>
        <w:ind w:left="567"/>
        <w:jc w:val="both"/>
        <w:rPr>
          <w:rFonts w:ascii="Times New Roman" w:hAnsi="Times New Roman"/>
          <w:szCs w:val="26"/>
          <w:lang w:val="es-ES"/>
        </w:rPr>
      </w:pPr>
    </w:p>
    <w:p w:rsidR="001E19D5" w:rsidRPr="007C57D2" w:rsidRDefault="007C57D2" w:rsidP="008F3DAB">
      <w:pPr>
        <w:pStyle w:val="Sinespaciado"/>
        <w:numPr>
          <w:ilvl w:val="0"/>
          <w:numId w:val="10"/>
        </w:numPr>
        <w:ind w:left="567" w:firstLine="0"/>
        <w:jc w:val="both"/>
        <w:rPr>
          <w:rFonts w:ascii="Times New Roman" w:hAnsi="Times New Roman"/>
          <w:szCs w:val="26"/>
          <w:lang w:val="es-ES"/>
        </w:rPr>
      </w:pPr>
      <w:r w:rsidRPr="007C57D2">
        <w:rPr>
          <w:rFonts w:ascii="Times New Roman" w:hAnsi="Times New Roman"/>
          <w:szCs w:val="26"/>
          <w:lang w:val="es-ES"/>
        </w:rPr>
        <w:t>Que respon</w:t>
      </w:r>
      <w:r w:rsidRPr="007C57D2">
        <w:rPr>
          <w:rFonts w:ascii="Times New Roman" w:hAnsi="Times New Roman"/>
          <w:szCs w:val="26"/>
          <w:lang w:val="es-ES"/>
        </w:rPr>
        <w:t>da y respete el interés superior de los niños, niñas y adolescentes.</w:t>
      </w:r>
    </w:p>
    <w:p w:rsidR="001E19D5" w:rsidRPr="007C57D2" w:rsidRDefault="007C57D2" w:rsidP="008F3DAB">
      <w:pPr>
        <w:pStyle w:val="Sinespaciado"/>
        <w:ind w:left="567"/>
        <w:jc w:val="both"/>
        <w:rPr>
          <w:rFonts w:ascii="Times New Roman" w:hAnsi="Times New Roman"/>
          <w:szCs w:val="26"/>
          <w:lang w:val="es-ES"/>
        </w:rPr>
      </w:pPr>
    </w:p>
    <w:p w:rsidR="001E19D5" w:rsidRPr="007C57D2" w:rsidRDefault="007C57D2" w:rsidP="008F3DAB">
      <w:pPr>
        <w:pStyle w:val="Sinespaciado"/>
        <w:numPr>
          <w:ilvl w:val="0"/>
          <w:numId w:val="10"/>
        </w:numPr>
        <w:ind w:left="567" w:firstLine="0"/>
        <w:jc w:val="both"/>
        <w:rPr>
          <w:rFonts w:ascii="Times New Roman" w:hAnsi="Times New Roman"/>
          <w:szCs w:val="26"/>
          <w:lang w:val="es-ES"/>
        </w:rPr>
      </w:pPr>
      <w:r w:rsidRPr="007C57D2">
        <w:rPr>
          <w:rFonts w:ascii="Times New Roman" w:hAnsi="Times New Roman"/>
          <w:szCs w:val="26"/>
          <w:lang w:val="es-ES"/>
        </w:rPr>
        <w:t>Que se asegure el respeto de sus derechos fundamentales.</w:t>
      </w:r>
    </w:p>
    <w:p w:rsidR="001E19D5" w:rsidRPr="007C57D2" w:rsidRDefault="007C57D2" w:rsidP="008F3DAB">
      <w:pPr>
        <w:pStyle w:val="Sinespaciado"/>
        <w:ind w:left="567"/>
        <w:jc w:val="both"/>
        <w:rPr>
          <w:rFonts w:ascii="Times New Roman" w:hAnsi="Times New Roman"/>
          <w:szCs w:val="26"/>
          <w:lang w:val="es-ES"/>
        </w:rPr>
      </w:pPr>
    </w:p>
    <w:p w:rsidR="001E19D5" w:rsidRPr="007C57D2" w:rsidRDefault="007C57D2" w:rsidP="008F3DAB">
      <w:pPr>
        <w:pStyle w:val="Sinespaciado"/>
        <w:ind w:left="567"/>
        <w:jc w:val="both"/>
        <w:rPr>
          <w:rFonts w:ascii="Times New Roman" w:hAnsi="Times New Roman"/>
          <w:szCs w:val="26"/>
          <w:lang w:val="es-ES"/>
        </w:rPr>
      </w:pPr>
      <w:r w:rsidRPr="007C57D2">
        <w:rPr>
          <w:rFonts w:ascii="Times New Roman" w:hAnsi="Times New Roman"/>
          <w:szCs w:val="26"/>
          <w:lang w:val="es-ES"/>
        </w:rPr>
        <w:t>Cumplidos los anteriores requisitos, el representante legal del niño, niña o adolescente otorgará la autorización previo ejercic</w:t>
      </w:r>
      <w:r w:rsidRPr="007C57D2">
        <w:rPr>
          <w:rFonts w:ascii="Times New Roman" w:hAnsi="Times New Roman"/>
          <w:szCs w:val="26"/>
          <w:lang w:val="es-ES"/>
        </w:rPr>
        <w:t xml:space="preserve">io del menor </w:t>
      </w:r>
      <w:r w:rsidRPr="007C57D2">
        <w:rPr>
          <w:rFonts w:ascii="Times New Roman" w:hAnsi="Times New Roman"/>
          <w:szCs w:val="26"/>
          <w:lang w:val="es-ES"/>
        </w:rPr>
        <w:t xml:space="preserve">de edad </w:t>
      </w:r>
      <w:r w:rsidRPr="007C57D2">
        <w:rPr>
          <w:rFonts w:ascii="Times New Roman" w:hAnsi="Times New Roman"/>
          <w:szCs w:val="26"/>
          <w:lang w:val="es-ES"/>
        </w:rPr>
        <w:t>de su derecho a ser escuchado, opinión que será valorada teniendo en cuenta la madurez, autonomía y capacidad para entender el asunto.</w:t>
      </w:r>
    </w:p>
    <w:p w:rsidR="001E19D5" w:rsidRPr="007C57D2" w:rsidRDefault="007C57D2" w:rsidP="008F3DAB">
      <w:pPr>
        <w:pStyle w:val="Sinespaciado"/>
        <w:ind w:left="567"/>
        <w:jc w:val="both"/>
        <w:rPr>
          <w:rFonts w:ascii="Times New Roman" w:hAnsi="Times New Roman"/>
          <w:szCs w:val="26"/>
          <w:lang w:val="es-ES"/>
        </w:rPr>
      </w:pPr>
    </w:p>
    <w:p w:rsidR="001E19D5" w:rsidRPr="007C57D2" w:rsidRDefault="007C57D2" w:rsidP="008F3DAB">
      <w:pPr>
        <w:pStyle w:val="Sinespaciado"/>
        <w:ind w:left="567"/>
        <w:jc w:val="both"/>
        <w:rPr>
          <w:rFonts w:ascii="Times New Roman" w:hAnsi="Times New Roman"/>
          <w:szCs w:val="26"/>
          <w:lang w:val="es-ES"/>
        </w:rPr>
      </w:pPr>
      <w:r w:rsidRPr="007C57D2">
        <w:rPr>
          <w:rFonts w:ascii="Times New Roman" w:hAnsi="Times New Roman"/>
          <w:szCs w:val="26"/>
          <w:lang w:val="es-ES"/>
        </w:rPr>
        <w:t xml:space="preserve">Todo responsable y encargado involucrado en el tratamiento de los datos personales de niños, niñas </w:t>
      </w:r>
      <w:r w:rsidRPr="007C57D2">
        <w:rPr>
          <w:rFonts w:ascii="Times New Roman" w:hAnsi="Times New Roman"/>
          <w:szCs w:val="26"/>
          <w:lang w:val="es-ES"/>
        </w:rPr>
        <w:t>y adolescentes, deberá velar por el uso adecuado de los mismos. Para este fin deberán aplicarse los principios y obligaciones establecidos en la Ley 1581 de 2012 y el presente capítulo.</w:t>
      </w:r>
    </w:p>
    <w:p w:rsidR="001E19D5" w:rsidRPr="007C57D2" w:rsidRDefault="007C57D2" w:rsidP="008F3DAB">
      <w:pPr>
        <w:pStyle w:val="Sinespaciado"/>
        <w:ind w:left="567"/>
        <w:jc w:val="both"/>
        <w:rPr>
          <w:rFonts w:ascii="Times New Roman" w:hAnsi="Times New Roman"/>
          <w:szCs w:val="26"/>
          <w:lang w:val="es-ES"/>
        </w:rPr>
      </w:pPr>
    </w:p>
    <w:p w:rsidR="001E19D5" w:rsidRPr="007C57D2" w:rsidRDefault="007C57D2" w:rsidP="008F3DAB">
      <w:pPr>
        <w:pStyle w:val="Sinespaciado"/>
        <w:ind w:left="567"/>
        <w:jc w:val="both"/>
        <w:rPr>
          <w:rFonts w:ascii="Times New Roman" w:hAnsi="Times New Roman"/>
          <w:szCs w:val="26"/>
          <w:lang w:val="es-ES"/>
        </w:rPr>
      </w:pPr>
      <w:r w:rsidRPr="007C57D2">
        <w:rPr>
          <w:rFonts w:ascii="Times New Roman" w:hAnsi="Times New Roman"/>
          <w:szCs w:val="26"/>
          <w:lang w:val="es-ES"/>
        </w:rPr>
        <w:t>La familia y la sociedad deben velar porque los responsables y encarg</w:t>
      </w:r>
      <w:r w:rsidRPr="007C57D2">
        <w:rPr>
          <w:rFonts w:ascii="Times New Roman" w:hAnsi="Times New Roman"/>
          <w:szCs w:val="26"/>
          <w:lang w:val="es-ES"/>
        </w:rPr>
        <w:t>ados del tratamiento de los datos personales de los menores de edad cumplan las obligaciones establecidas en la Ley 1581 de 2012 y el presente capítulo”.</w:t>
      </w:r>
    </w:p>
    <w:p w:rsidR="001E19D5" w:rsidRPr="007C57D2" w:rsidRDefault="007C57D2" w:rsidP="008F3DAB">
      <w:pPr>
        <w:pStyle w:val="Sinespaciado"/>
        <w:jc w:val="both"/>
        <w:rPr>
          <w:rFonts w:ascii="Times New Roman" w:hAnsi="Times New Roman"/>
          <w:lang w:val="es-ES"/>
        </w:rPr>
      </w:pPr>
    </w:p>
    <w:p w:rsidR="001E19D5" w:rsidRPr="007C57D2" w:rsidRDefault="007C57D2" w:rsidP="008F3DAB">
      <w:pPr>
        <w:pStyle w:val="Ttulo3"/>
        <w:spacing w:before="0" w:after="0" w:line="240" w:lineRule="auto"/>
        <w:rPr>
          <w:rFonts w:ascii="Times New Roman" w:hAnsi="Times New Roman"/>
          <w:b/>
          <w:bCs/>
          <w:color w:val="000000"/>
          <w:lang w:val="es-ES"/>
        </w:rPr>
      </w:pPr>
      <w:bookmarkStart w:id="42" w:name="_Toc222728031"/>
      <w:bookmarkStart w:id="43" w:name="_Toc209178804"/>
      <w:bookmarkEnd w:id="40"/>
      <w:r w:rsidRPr="007C57D2">
        <w:rPr>
          <w:rFonts w:ascii="Times New Roman" w:hAnsi="Times New Roman"/>
          <w:b/>
          <w:bCs/>
          <w:color w:val="000000"/>
          <w:lang w:val="es-ES"/>
        </w:rPr>
        <w:t>5.3. Límites a la libertad económica</w:t>
      </w:r>
      <w:bookmarkEnd w:id="42"/>
      <w:r w:rsidRPr="007C57D2">
        <w:rPr>
          <w:rFonts w:ascii="Times New Roman" w:hAnsi="Times New Roman"/>
          <w:b/>
          <w:bCs/>
          <w:color w:val="000000"/>
          <w:lang w:val="es-ES"/>
        </w:rPr>
        <w:t xml:space="preserve"> </w:t>
      </w:r>
      <w:bookmarkEnd w:id="43"/>
    </w:p>
    <w:p w:rsidR="001E19D5" w:rsidRPr="007C57D2" w:rsidRDefault="007C57D2" w:rsidP="008F3DAB">
      <w:pPr>
        <w:spacing w:after="0" w:line="240" w:lineRule="auto"/>
        <w:rPr>
          <w:rFonts w:ascii="Times New Roman" w:hAnsi="Times New Roman"/>
          <w:bCs/>
          <w:iCs/>
          <w:sz w:val="28"/>
          <w:lang w:val="es-ES"/>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bCs/>
          <w:iCs/>
        </w:rPr>
        <w:t xml:space="preserve">El artículo 333 de la Constitución Política de Colombia </w:t>
      </w:r>
      <w:r w:rsidRPr="007C57D2">
        <w:rPr>
          <w:rFonts w:ascii="Times New Roman" w:hAnsi="Times New Roman"/>
          <w:bCs/>
          <w:iCs/>
        </w:rPr>
        <w:t>consagra el principio de libertad económica y de empresa, estableciendo que todas las personas tienen derecho a desarrollar actividades económicas, sin más limitaciones que las que establezcan la ley y la Constitución. Este principio es un pilar fundamenta</w:t>
      </w:r>
      <w:r w:rsidRPr="007C57D2">
        <w:rPr>
          <w:rFonts w:ascii="Times New Roman" w:hAnsi="Times New Roman"/>
          <w:bCs/>
          <w:iCs/>
        </w:rPr>
        <w:t>l del orden económico en nuestro país, garantizando que las empresas puedan operar y competir en igualdad de condiciones, siempre que respeten las normativas vigentes.</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La norma es enfática en señalar que la “actividad económica y la iniciativa privada son</w:t>
      </w:r>
      <w:r w:rsidRPr="007C57D2">
        <w:rPr>
          <w:rFonts w:ascii="Times New Roman" w:hAnsi="Times New Roman"/>
          <w:lang w:val="es-ES"/>
        </w:rPr>
        <w:t xml:space="preserve"> libres, dentro de los límites del bien común” y que “la empresa, como base del desarrollo, tiene una función social que implica obligaciones.”. Por ende, la Constitución permite que se limite el alcance de la libertad económica “cuando así lo exijan el in</w:t>
      </w:r>
      <w:r w:rsidRPr="007C57D2">
        <w:rPr>
          <w:rFonts w:ascii="Times New Roman" w:hAnsi="Times New Roman"/>
          <w:lang w:val="es-ES"/>
        </w:rPr>
        <w:t>terés social, el ambiente y el patrimonio cultural de la Nación.”. En línea con lo anterior, la jurisprudencia constitucional ha determinado que, si bien la iniciativa privada es la base del desarrollo y el motor de la economía, las libertades económicas p</w:t>
      </w:r>
      <w:r w:rsidRPr="007C57D2">
        <w:rPr>
          <w:rFonts w:ascii="Times New Roman" w:hAnsi="Times New Roman"/>
          <w:lang w:val="es-ES"/>
        </w:rPr>
        <w:t>ueden ser limitadas de manera razonable y proporcional, para asegurar el goce efectivo de otras garantías, corregir desigualdades y cumplir otros principios y fines constitucionales valiosos.</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Sin embargo, como lo ha señalado la Corte Constitucional, es im</w:t>
      </w:r>
      <w:r w:rsidRPr="007C57D2">
        <w:rPr>
          <w:rFonts w:ascii="Times New Roman" w:hAnsi="Times New Roman"/>
          <w:lang w:val="es-ES"/>
        </w:rPr>
        <w:t xml:space="preserve">portante tener en cuenta que la potestad del Estado para restringir las libertades económicas también está sujeta a límites. Particularmente, en relación con la libertad de empresa, esta </w:t>
      </w:r>
      <w:r w:rsidRPr="007C57D2">
        <w:rPr>
          <w:rFonts w:ascii="Times New Roman" w:hAnsi="Times New Roman"/>
          <w:lang w:val="es-ES"/>
        </w:rPr>
        <w:t>Corporación</w:t>
      </w:r>
      <w:r w:rsidRPr="007C57D2">
        <w:rPr>
          <w:rFonts w:ascii="Times New Roman" w:hAnsi="Times New Roman"/>
          <w:lang w:val="es-ES"/>
        </w:rPr>
        <w:t xml:space="preserve"> ha señalado las restricciones deben: “i) respetar su núcleo esencial; ii) obedecer al principio de solidaridad o a alguna de las finalidades expresamente señaladas en la Constitución; y iii) responder a criterios de razonabilidad y proporcionalidad.”</w:t>
      </w:r>
      <w:r w:rsidRPr="007C57D2">
        <w:rPr>
          <w:rStyle w:val="Refdenotaalpie"/>
          <w:rFonts w:ascii="Times New Roman" w:hAnsi="Times New Roman"/>
        </w:rPr>
        <w:footnoteReference w:id="435"/>
      </w:r>
      <w:r w:rsidRPr="007C57D2">
        <w:rPr>
          <w:rFonts w:ascii="Times New Roman" w:hAnsi="Times New Roman"/>
        </w:rPr>
        <w:t> </w:t>
      </w:r>
      <w:r w:rsidRPr="007C57D2">
        <w:rPr>
          <w:rFonts w:ascii="Times New Roman" w:hAnsi="Times New Roman"/>
          <w:lang w:val="es-ES"/>
        </w:rPr>
        <w:t xml:space="preserve">  </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Respecto del núcleo o contenido esencial de la libertad de empresa, la jurisprudencia constitucional ha indicado que comprende los derechos “(i) a un tratamiento igual y no discriminatorio entre empresarios o competidores que se hallan en la misma posició</w:t>
      </w:r>
      <w:r w:rsidRPr="007C57D2">
        <w:rPr>
          <w:rFonts w:ascii="Times New Roman" w:hAnsi="Times New Roman"/>
          <w:lang w:val="es-ES"/>
        </w:rPr>
        <w:t>n; (ii) a concurrir al mercado o retirarse; (iii) a la no interferencia del Estado en los asuntos internos de la empresa como la organización y los métodos de gestión; (iv) a la libre iniciativa privada; (v) a la creación de establecimientos de comercio co</w:t>
      </w:r>
      <w:r w:rsidRPr="007C57D2">
        <w:rPr>
          <w:rFonts w:ascii="Times New Roman" w:hAnsi="Times New Roman"/>
          <w:lang w:val="es-ES"/>
        </w:rPr>
        <w:t>n el cumplimiento de los requisitos que exija la ley, y (vi) a recibir un lucro razonable por su actividad económica.”</w:t>
      </w:r>
      <w:r w:rsidRPr="007C57D2">
        <w:rPr>
          <w:rFonts w:ascii="Times New Roman" w:hAnsi="Times New Roman"/>
        </w:rPr>
        <w:t xml:space="preserve"> </w:t>
      </w:r>
      <w:r w:rsidRPr="007C57D2">
        <w:rPr>
          <w:rStyle w:val="Refdenotaalpie"/>
          <w:rFonts w:ascii="Times New Roman" w:hAnsi="Times New Roman"/>
        </w:rPr>
        <w:footnoteReference w:id="436"/>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En síntesis, la libertad de empresa goza de una amplia protección en el ordenamiento constitucional y legal. Sin embargo, pueden ser o</w:t>
      </w:r>
      <w:r w:rsidRPr="007C57D2">
        <w:rPr>
          <w:rFonts w:ascii="Times New Roman" w:hAnsi="Times New Roman"/>
          <w:lang w:val="es-ES"/>
        </w:rPr>
        <w:t xml:space="preserve">bjeto de restricciones para conseguir finalidades constitucionalmente legítimas, para proteger el bien común, el bienestar público o los derechos fundamentales. En todo caso, los límites que el Estado imponga no pueden afectar el contenido esencial de los </w:t>
      </w:r>
      <w:r w:rsidRPr="007C57D2">
        <w:rPr>
          <w:rFonts w:ascii="Times New Roman" w:hAnsi="Times New Roman"/>
          <w:lang w:val="es-ES"/>
        </w:rPr>
        <w:t>derechos económicos, ni desatender los criterios de finalidad legítima, razonabilidad y proporcionalidad en la imposición de medidas restrictivas.</w:t>
      </w:r>
      <w:r w:rsidRPr="007C57D2">
        <w:rPr>
          <w:rFonts w:ascii="Times New Roman" w:hAnsi="Times New Roman"/>
        </w:rPr>
        <w:t xml:space="preserve"> </w:t>
      </w:r>
      <w:r w:rsidRPr="007C57D2">
        <w:rPr>
          <w:rStyle w:val="Refdenotaalpie"/>
          <w:rFonts w:ascii="Times New Roman" w:hAnsi="Times New Roman"/>
        </w:rPr>
        <w:footnoteReference w:id="437"/>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Por ende, la libertad de empresa puede encontrar límites constitucionales en la protección de los derechos</w:t>
      </w:r>
      <w:r w:rsidRPr="007C57D2">
        <w:rPr>
          <w:rFonts w:ascii="Times New Roman" w:hAnsi="Times New Roman"/>
          <w:lang w:val="es-ES"/>
        </w:rPr>
        <w:t xml:space="preserve"> fundamentales de los niños, niñas y adolescentes y el principio del interés superior del menor de edad. Así lo ha establecido la Corte Constitucional en diversas oportunidades, por ejemplo, en materia tributaria o frente a restricciones legales en la publ</w:t>
      </w:r>
      <w:r w:rsidRPr="007C57D2">
        <w:rPr>
          <w:rFonts w:ascii="Times New Roman" w:hAnsi="Times New Roman"/>
          <w:lang w:val="es-ES"/>
        </w:rPr>
        <w:t>icidad de algunos productos.  En estos casos, la Corte ha aplicado un juicio leve de proporcionalidad, por tratarse de una medida estatal de intervención en la economía.</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 xml:space="preserve">En la Sentencia C-830 de 2010 esta </w:t>
      </w:r>
      <w:r w:rsidRPr="007C57D2">
        <w:rPr>
          <w:rFonts w:ascii="Times New Roman" w:hAnsi="Times New Roman"/>
          <w:lang w:val="es-ES"/>
        </w:rPr>
        <w:t>Corporación</w:t>
      </w:r>
      <w:r w:rsidRPr="007C57D2">
        <w:rPr>
          <w:rFonts w:ascii="Times New Roman" w:hAnsi="Times New Roman"/>
          <w:lang w:val="es-ES"/>
        </w:rPr>
        <w:t xml:space="preserve"> declaró la constitucionalidad de dispo</w:t>
      </w:r>
      <w:r w:rsidRPr="007C57D2">
        <w:rPr>
          <w:rFonts w:ascii="Times New Roman" w:hAnsi="Times New Roman"/>
          <w:lang w:val="es-ES"/>
        </w:rPr>
        <w:t>siciones legales relativas a la prohibición total de publicidad y promoción del consumo de tabaco, así como la restricción del patrocinio en eventos culturales y deportivos sobre la publicidad del consumo del tabaco y derivados.  La Sala Plena concluyó que</w:t>
      </w:r>
      <w:r w:rsidRPr="007C57D2">
        <w:rPr>
          <w:rFonts w:ascii="Times New Roman" w:hAnsi="Times New Roman"/>
          <w:lang w:val="es-ES"/>
        </w:rPr>
        <w:t xml:space="preserve"> el legislador se encuentra habilitado para imponer dichas restricciones, teniendo en cuenta que existe un consenso global sobre el carácter intrínsecamente nocivo del tabaco para la salud de las personas y para el medio ambiente, y para la protección de l</w:t>
      </w:r>
      <w:r w:rsidRPr="007C57D2">
        <w:rPr>
          <w:rFonts w:ascii="Times New Roman" w:hAnsi="Times New Roman"/>
          <w:lang w:val="es-ES"/>
        </w:rPr>
        <w:t>os derechos de la niñez y la juventud.</w:t>
      </w:r>
      <w:r w:rsidRPr="007C57D2">
        <w:rPr>
          <w:rFonts w:ascii="Times New Roman" w:hAnsi="Times New Roman"/>
        </w:rPr>
        <w:t xml:space="preserve"> </w:t>
      </w:r>
      <w:r w:rsidRPr="007C57D2">
        <w:rPr>
          <w:rStyle w:val="Refdenotaalpie"/>
          <w:rFonts w:ascii="Times New Roman" w:hAnsi="Times New Roman"/>
        </w:rPr>
        <w:footnoteReference w:id="438"/>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 xml:space="preserve">Adicionalmente, en Sentencia C-435 de 2023, la Corte declaró la exequibilidad del impuesto a las bebidas azucaradas ultraprocesadas. La Sala Plena concluyó que, si bien la medida analizada podía generar un impacto </w:t>
      </w:r>
      <w:r w:rsidRPr="007C57D2">
        <w:rPr>
          <w:rFonts w:ascii="Times New Roman" w:hAnsi="Times New Roman"/>
          <w:lang w:val="es-ES"/>
        </w:rPr>
        <w:t>desde la perspectiva del libre mercado al elevar el precio de estos productos y desestimular la compra por parte del consumidor, la limitación busca la realización del interés público de la Nación, representado en el mejoramiento de la salud de la població</w:t>
      </w:r>
      <w:r w:rsidRPr="007C57D2">
        <w:rPr>
          <w:rFonts w:ascii="Times New Roman" w:hAnsi="Times New Roman"/>
          <w:lang w:val="es-ES"/>
        </w:rPr>
        <w:t>n con el fin de promover una alimentación balanceada especialmente en NNA.</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En materia de tutela, la Corte también se ha pronunciado frente al riesgo grave de afectación de la salud de las personas y particularmente de los NNA, por el uso de productos quím</w:t>
      </w:r>
      <w:r w:rsidRPr="007C57D2">
        <w:rPr>
          <w:rFonts w:ascii="Times New Roman" w:hAnsi="Times New Roman"/>
          <w:lang w:val="es-ES"/>
        </w:rPr>
        <w:t xml:space="preserve">icos agropecuarios en más de 20 productos agrícolas. </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 xml:space="preserve">En </w:t>
      </w:r>
      <w:r w:rsidRPr="007C57D2">
        <w:rPr>
          <w:rFonts w:ascii="Times New Roman" w:hAnsi="Times New Roman"/>
          <w:lang w:val="es-ES"/>
        </w:rPr>
        <w:t>S</w:t>
      </w:r>
      <w:r w:rsidRPr="007C57D2">
        <w:rPr>
          <w:rFonts w:ascii="Times New Roman" w:hAnsi="Times New Roman"/>
          <w:lang w:val="es-ES"/>
        </w:rPr>
        <w:t>entencia T-343 de 2022, la Sala Octava de Revisión dio aplicación al principio de precaución en salud y luego de agotar los pasos establecidos en la jurisprudencia constitucional, determinó que exi</w:t>
      </w:r>
      <w:r w:rsidRPr="007C57D2">
        <w:rPr>
          <w:rFonts w:ascii="Times New Roman" w:hAnsi="Times New Roman"/>
          <w:lang w:val="es-ES"/>
        </w:rPr>
        <w:t xml:space="preserve">stía un riesgo cierto y de gran magnitud de afectaciones neurológicas en los NNA y en los adultos por la exposición crónica a este pesticida, así como por los residuos tóxicos que permanecen en el ambiente. En atención al deber de protección reforzada que </w:t>
      </w:r>
      <w:r w:rsidRPr="007C57D2">
        <w:rPr>
          <w:rFonts w:ascii="Times New Roman" w:hAnsi="Times New Roman"/>
          <w:lang w:val="es-ES"/>
        </w:rPr>
        <w:t>existe sobre el derecho a la salud de los NNA, y el principio de interés superior del menor</w:t>
      </w:r>
      <w:r w:rsidRPr="007C57D2">
        <w:rPr>
          <w:rFonts w:ascii="Times New Roman" w:hAnsi="Times New Roman"/>
          <w:lang w:val="es-ES"/>
        </w:rPr>
        <w:t xml:space="preserve"> de 18 años</w:t>
      </w:r>
      <w:r w:rsidRPr="007C57D2">
        <w:rPr>
          <w:rFonts w:ascii="Times New Roman" w:hAnsi="Times New Roman"/>
          <w:lang w:val="es-ES"/>
        </w:rPr>
        <w:t>, ordenó al ICA adoptar las medidas necesarias para suspender de manera inmediata la comercialización de productos agrícolas que contengan el componente a</w:t>
      </w:r>
      <w:r w:rsidRPr="007C57D2">
        <w:rPr>
          <w:rFonts w:ascii="Times New Roman" w:hAnsi="Times New Roman"/>
          <w:lang w:val="es-ES"/>
        </w:rPr>
        <w:t xml:space="preserve">ctivo tóxico, con el fin de prevenir un daño irreparable en la salud y vida de las personas y los NNA. </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Según el artículo 1 de la Constitución, Colombia es un Estado social de derecho, fundado en el respeto de la dignidad humana, en el trabajo y la solida</w:t>
      </w:r>
      <w:r w:rsidRPr="007C57D2">
        <w:rPr>
          <w:rFonts w:ascii="Times New Roman" w:hAnsi="Times New Roman"/>
          <w:lang w:val="es-ES"/>
        </w:rPr>
        <w:t>ridad de las personas que la integran y en la prevalencia del interés general. Adicionalmente, el artículo 95 no solo establece que ejercicio de los derechos y libertades implica responsabilidades, sino que son deberes de la persona y del ciudadano: “2. Ob</w:t>
      </w:r>
      <w:r w:rsidRPr="007C57D2">
        <w:rPr>
          <w:rFonts w:ascii="Times New Roman" w:hAnsi="Times New Roman"/>
          <w:lang w:val="es-ES"/>
        </w:rPr>
        <w:t>rar conforme al principio de solidaridad social, respondiendo con acciones humanitarias ante situaciones que pongan en peligro la vida o la salud de las personas;”</w:t>
      </w:r>
    </w:p>
    <w:p w:rsidR="001E19D5" w:rsidRPr="007C57D2" w:rsidRDefault="007C57D2" w:rsidP="008F3DAB">
      <w:pPr>
        <w:pStyle w:val="Prrafodelista"/>
        <w:rPr>
          <w:rFonts w:ascii="Times New Roman" w:hAnsi="Times New Roman"/>
          <w:sz w:val="28"/>
          <w:lang w:val="es-ES"/>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Como se mencionó la empresa no sólo tiene una función social que implica obligaciones, sino</w:t>
      </w:r>
      <w:r w:rsidRPr="007C57D2">
        <w:rPr>
          <w:rFonts w:ascii="Times New Roman" w:hAnsi="Times New Roman"/>
          <w:lang w:val="es-ES"/>
        </w:rPr>
        <w:t xml:space="preserve"> que la libertad económica puede ser regulada y limitada cuando sea necesario para conciliar los intereses empresariales con el bien común, el interés social, el medio ambiente, el patrimonio cultural de la Nación, la dignidad humana, la solidaridad, la pr</w:t>
      </w:r>
      <w:r w:rsidRPr="007C57D2">
        <w:rPr>
          <w:rFonts w:ascii="Times New Roman" w:hAnsi="Times New Roman"/>
          <w:lang w:val="es-ES"/>
        </w:rPr>
        <w:t>evalencia del interés general y la prevalencia de los derechos prevalentes de los niños, las niñas y adolescentes.</w:t>
      </w:r>
    </w:p>
    <w:p w:rsidR="001E19D5" w:rsidRPr="007C57D2" w:rsidRDefault="007C57D2" w:rsidP="008F3DAB">
      <w:pPr>
        <w:pStyle w:val="Ttulo2"/>
        <w:spacing w:before="0" w:line="240" w:lineRule="auto"/>
        <w:jc w:val="both"/>
        <w:rPr>
          <w:rFonts w:ascii="Times New Roman" w:hAnsi="Times New Roman"/>
          <w:b/>
          <w:bCs/>
          <w:color w:val="auto"/>
          <w:sz w:val="28"/>
          <w:szCs w:val="28"/>
          <w:lang w:val="es-ES_tradnl"/>
        </w:rPr>
      </w:pPr>
    </w:p>
    <w:p w:rsidR="001E19D5" w:rsidRPr="007C57D2" w:rsidRDefault="007C57D2" w:rsidP="008F3DAB">
      <w:pPr>
        <w:pStyle w:val="Ttulo3"/>
        <w:spacing w:before="0" w:after="0" w:line="240" w:lineRule="auto"/>
        <w:jc w:val="both"/>
        <w:rPr>
          <w:rFonts w:ascii="Times New Roman" w:hAnsi="Times New Roman"/>
          <w:b/>
          <w:bCs/>
          <w:color w:val="000000"/>
        </w:rPr>
      </w:pPr>
      <w:bookmarkStart w:id="44" w:name="_Toc222728032"/>
      <w:r w:rsidRPr="007C57D2">
        <w:rPr>
          <w:rFonts w:ascii="Times New Roman" w:hAnsi="Times New Roman"/>
          <w:b/>
          <w:bCs/>
          <w:color w:val="000000"/>
        </w:rPr>
        <w:t>5.4. Herramientas existentes para localizar personas desaparecidas y sistema de alertas tempranas sobre la niñez colombiana</w:t>
      </w:r>
      <w:bookmarkEnd w:id="44"/>
      <w:r w:rsidRPr="007C57D2">
        <w:rPr>
          <w:rFonts w:ascii="Times New Roman" w:hAnsi="Times New Roman"/>
          <w:b/>
          <w:bCs/>
          <w:color w:val="000000"/>
        </w:rPr>
        <w:t xml:space="preserve">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lang w:val="es-ES"/>
        </w:rPr>
        <w:t xml:space="preserve">El PLE se suma a iniciativas preexistentes sobre mecanismos legales y operativos para la búsqueda de personas desaparecidas como las siguientes: (i) </w:t>
      </w:r>
      <w:r w:rsidRPr="007C57D2">
        <w:rPr>
          <w:rFonts w:ascii="Times New Roman" w:hAnsi="Times New Roman"/>
          <w:sz w:val="28"/>
          <w:szCs w:val="28"/>
        </w:rPr>
        <w:t>La Ley 971 del 14 de julio de 2005 mediante la cual se estableció que el “mecanismo de búsqueda urgente” (M</w:t>
      </w:r>
      <w:r w:rsidRPr="007C57D2">
        <w:rPr>
          <w:rFonts w:ascii="Times New Roman" w:hAnsi="Times New Roman"/>
          <w:sz w:val="28"/>
          <w:szCs w:val="28"/>
        </w:rPr>
        <w:t>BU), como un instrumento para tutelar de la libertad, la integridad personal y los demás derechos y garantías de las personas que se presume han sido desaparecidas. Dicha ley “tiene por objeto que las autoridades judiciales realicen, en forma inmediata, to</w:t>
      </w:r>
      <w:r w:rsidRPr="007C57D2">
        <w:rPr>
          <w:rFonts w:ascii="Times New Roman" w:hAnsi="Times New Roman"/>
          <w:sz w:val="28"/>
          <w:szCs w:val="28"/>
        </w:rPr>
        <w:t>das las diligencias necesarias tendientes a su localización, como mecanismo efectivo para prevenir la comisión del delito de desaparición forzada”</w:t>
      </w:r>
      <w:r w:rsidRPr="007C57D2">
        <w:rPr>
          <w:rFonts w:ascii="Times New Roman" w:hAnsi="Times New Roman"/>
          <w:sz w:val="28"/>
          <w:vertAlign w:val="superscript"/>
        </w:rPr>
        <w:footnoteReference w:id="439"/>
      </w:r>
      <w:r w:rsidRPr="007C57D2">
        <w:rPr>
          <w:rFonts w:ascii="Times New Roman" w:hAnsi="Times New Roman"/>
          <w:sz w:val="28"/>
          <w:szCs w:val="28"/>
        </w:rPr>
        <w:t xml:space="preserve">; (ii) </w:t>
      </w:r>
      <w:r w:rsidRPr="007C57D2">
        <w:rPr>
          <w:rFonts w:ascii="Times New Roman" w:hAnsi="Times New Roman"/>
          <w:sz w:val="28"/>
          <w:szCs w:val="28"/>
          <w:lang w:val="es-ES"/>
        </w:rPr>
        <w:t>La Ley 2326</w:t>
      </w:r>
      <w:r w:rsidRPr="007C57D2">
        <w:rPr>
          <w:rStyle w:val="Refdenotaalpie"/>
          <w:rFonts w:ascii="Times New Roman" w:hAnsi="Times New Roman"/>
          <w:sz w:val="28"/>
          <w:szCs w:val="28"/>
          <w:lang w:val="es-ES"/>
        </w:rPr>
        <w:footnoteReference w:id="440"/>
      </w:r>
      <w:r w:rsidRPr="007C57D2">
        <w:rPr>
          <w:rFonts w:ascii="Times New Roman" w:hAnsi="Times New Roman"/>
          <w:sz w:val="28"/>
          <w:szCs w:val="28"/>
          <w:lang w:val="es-ES"/>
        </w:rPr>
        <w:t xml:space="preserve"> del 13 de septiembre de 2023 creó y reguló “</w:t>
      </w:r>
      <w:r w:rsidRPr="007C57D2">
        <w:rPr>
          <w:rFonts w:ascii="Times New Roman" w:hAnsi="Times New Roman"/>
          <w:sz w:val="28"/>
          <w:szCs w:val="28"/>
        </w:rPr>
        <w:t>el funcionamiento de un mecanismo de búsqueda</w:t>
      </w:r>
      <w:r w:rsidRPr="007C57D2">
        <w:rPr>
          <w:rFonts w:ascii="Times New Roman" w:hAnsi="Times New Roman"/>
          <w:sz w:val="28"/>
          <w:szCs w:val="28"/>
        </w:rPr>
        <w:t xml:space="preserve"> inmediata nacional, estandarizado, multicanal y de difusión masiva y pública, de niñas, niños, adolescentes, jóvenes y mujeres desaparecidos, denominado "Alerta Rosa"</w:t>
      </w:r>
      <w:r w:rsidRPr="007C57D2">
        <w:rPr>
          <w:rStyle w:val="Refdenotaalpie"/>
          <w:rFonts w:ascii="Times New Roman" w:hAnsi="Times New Roman"/>
          <w:sz w:val="28"/>
          <w:szCs w:val="28"/>
        </w:rPr>
        <w:footnoteReference w:id="441"/>
      </w:r>
      <w:r w:rsidRPr="007C57D2">
        <w:rPr>
          <w:rFonts w:ascii="Times New Roman" w:hAnsi="Times New Roman"/>
          <w:sz w:val="28"/>
          <w:szCs w:val="28"/>
        </w:rPr>
        <w:t xml:space="preserve"> con miras a “garantizar su vida, libertad, seguridad, integridad y dignidad, así como c</w:t>
      </w:r>
      <w:r w:rsidRPr="007C57D2">
        <w:rPr>
          <w:rFonts w:ascii="Times New Roman" w:hAnsi="Times New Roman"/>
          <w:sz w:val="28"/>
          <w:szCs w:val="28"/>
        </w:rPr>
        <w:t>ontar con un mecanismo que permita su pronta localización y protección para evitar que tras su desaparición puedan ser objeto de otro tipo de violencias basadas en género”</w:t>
      </w:r>
      <w:r w:rsidRPr="007C57D2">
        <w:rPr>
          <w:rStyle w:val="Refdenotaalpie"/>
          <w:rFonts w:ascii="Times New Roman" w:hAnsi="Times New Roman"/>
          <w:sz w:val="28"/>
          <w:szCs w:val="28"/>
        </w:rPr>
        <w:footnoteReference w:id="442"/>
      </w:r>
      <w:r w:rsidRPr="007C57D2">
        <w:rPr>
          <w:rFonts w:ascii="Times New Roman" w:hAnsi="Times New Roman"/>
          <w:sz w:val="28"/>
          <w:szCs w:val="28"/>
        </w:rPr>
        <w:t>.</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Adicionalmente, mediante la Resolución 6141 de 2021 la Comisión de Regulación de </w:t>
      </w:r>
      <w:r w:rsidRPr="007C57D2">
        <w:rPr>
          <w:rFonts w:ascii="Times New Roman" w:hAnsi="Times New Roman"/>
          <w:sz w:val="28"/>
          <w:szCs w:val="28"/>
          <w:lang w:val="es-ES"/>
        </w:rPr>
        <w:t>Comunicaciones, reguló los aspectos centrales para la implementación de una alerta nacional para apoyar la búsqueda y localización de NNA desaparecidos, que se difunde a través de medios de comunicación masivos y genera una serie de obligaciones a los prov</w:t>
      </w:r>
      <w:r w:rsidRPr="007C57D2">
        <w:rPr>
          <w:rFonts w:ascii="Times New Roman" w:hAnsi="Times New Roman"/>
          <w:sz w:val="28"/>
          <w:szCs w:val="28"/>
          <w:lang w:val="es-ES"/>
        </w:rPr>
        <w:t>eedores de redes y servicios de telecomunicaciones móviles.</w:t>
      </w:r>
    </w:p>
    <w:p w:rsidR="001E19D5" w:rsidRPr="007C57D2" w:rsidRDefault="007C57D2" w:rsidP="008F3DAB">
      <w:pPr>
        <w:pStyle w:val="Prrafodelista"/>
        <w:ind w:left="0"/>
        <w:rPr>
          <w:rFonts w:ascii="Times New Roman" w:hAnsi="Times New Roman"/>
          <w:sz w:val="28"/>
          <w:szCs w:val="28"/>
          <w:lang w:val="es-ES_tradnl"/>
        </w:rPr>
      </w:pPr>
    </w:p>
    <w:p w:rsidR="001E19D5" w:rsidRPr="007C57D2" w:rsidRDefault="007C57D2" w:rsidP="004C64A7">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Las dos alertas existentes y la que se propone en el PLE tienen varias características comunes:</w:t>
      </w:r>
    </w:p>
    <w:p w:rsidR="001E19D5" w:rsidRPr="007C57D2" w:rsidRDefault="007C57D2" w:rsidP="008F3DAB">
      <w:pPr>
        <w:pStyle w:val="Prrafodelista"/>
        <w:ind w:left="0"/>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551"/>
        <w:gridCol w:w="2410"/>
        <w:gridCol w:w="2451"/>
      </w:tblGrid>
      <w:tr w:rsidR="007C57D2" w:rsidRPr="007C57D2" w:rsidTr="007C57D2">
        <w:tc>
          <w:tcPr>
            <w:tcW w:w="1418" w:type="dxa"/>
            <w:tcBorders>
              <w:top w:val="nil"/>
              <w:left w:val="nil"/>
              <w:bottom w:val="single" w:sz="4" w:space="0" w:color="auto"/>
              <w:right w:val="single" w:sz="4" w:space="0" w:color="auto"/>
            </w:tcBorders>
            <w:shd w:val="clear" w:color="auto" w:fill="auto"/>
            <w:vAlign w:val="center"/>
          </w:tcPr>
          <w:p w:rsidR="001E19D5" w:rsidRPr="007C57D2" w:rsidRDefault="007C57D2" w:rsidP="007C57D2">
            <w:pPr>
              <w:pStyle w:val="Prrafodelista"/>
              <w:ind w:left="0"/>
              <w:jc w:val="both"/>
              <w:rPr>
                <w:rFonts w:ascii="Times New Roman" w:hAnsi="Times New Roman"/>
                <w:sz w:val="28"/>
              </w:rPr>
            </w:pPr>
          </w:p>
        </w:tc>
        <w:tc>
          <w:tcPr>
            <w:tcW w:w="2551" w:type="dxa"/>
            <w:tcBorders>
              <w:left w:val="single" w:sz="4" w:space="0" w:color="auto"/>
            </w:tcBorders>
            <w:shd w:val="clear" w:color="auto" w:fill="auto"/>
            <w:vAlign w:val="center"/>
          </w:tcPr>
          <w:p w:rsidR="001E19D5" w:rsidRPr="007C57D2" w:rsidRDefault="007C57D2" w:rsidP="007C57D2">
            <w:pPr>
              <w:pStyle w:val="Prrafodelista"/>
              <w:ind w:left="0"/>
              <w:jc w:val="both"/>
              <w:rPr>
                <w:rFonts w:ascii="Times New Roman" w:hAnsi="Times New Roman"/>
                <w:b/>
                <w:sz w:val="28"/>
              </w:rPr>
            </w:pPr>
            <w:r w:rsidRPr="007C57D2">
              <w:rPr>
                <w:rFonts w:ascii="Times New Roman" w:hAnsi="Times New Roman"/>
                <w:b/>
                <w:sz w:val="28"/>
              </w:rPr>
              <w:t>Alerta Nacional</w:t>
            </w:r>
          </w:p>
        </w:tc>
        <w:tc>
          <w:tcPr>
            <w:tcW w:w="2410" w:type="dxa"/>
            <w:shd w:val="clear" w:color="auto" w:fill="auto"/>
            <w:vAlign w:val="center"/>
          </w:tcPr>
          <w:p w:rsidR="001E19D5" w:rsidRPr="007C57D2" w:rsidRDefault="007C57D2" w:rsidP="007C57D2">
            <w:pPr>
              <w:pStyle w:val="Prrafodelista"/>
              <w:ind w:left="0"/>
              <w:jc w:val="both"/>
              <w:rPr>
                <w:rFonts w:ascii="Times New Roman" w:hAnsi="Times New Roman"/>
                <w:b/>
                <w:sz w:val="28"/>
              </w:rPr>
            </w:pPr>
            <w:r w:rsidRPr="007C57D2">
              <w:rPr>
                <w:rFonts w:ascii="Times New Roman" w:hAnsi="Times New Roman"/>
                <w:b/>
                <w:sz w:val="28"/>
              </w:rPr>
              <w:t>Alerta Rosa</w:t>
            </w:r>
          </w:p>
        </w:tc>
        <w:tc>
          <w:tcPr>
            <w:tcW w:w="2451" w:type="dxa"/>
            <w:shd w:val="clear" w:color="auto" w:fill="auto"/>
            <w:vAlign w:val="center"/>
          </w:tcPr>
          <w:p w:rsidR="001E19D5" w:rsidRPr="007C57D2" w:rsidRDefault="007C57D2" w:rsidP="007C57D2">
            <w:pPr>
              <w:pStyle w:val="Prrafodelista"/>
              <w:ind w:left="0"/>
              <w:jc w:val="both"/>
              <w:rPr>
                <w:rFonts w:ascii="Times New Roman" w:hAnsi="Times New Roman"/>
                <w:b/>
                <w:sz w:val="28"/>
              </w:rPr>
            </w:pPr>
            <w:r w:rsidRPr="007C57D2">
              <w:rPr>
                <w:rFonts w:ascii="Times New Roman" w:hAnsi="Times New Roman"/>
                <w:b/>
                <w:sz w:val="28"/>
              </w:rPr>
              <w:t>Alerta Colombia</w:t>
            </w:r>
          </w:p>
        </w:tc>
      </w:tr>
      <w:tr w:rsidR="007C57D2" w:rsidRPr="007C57D2" w:rsidTr="007C57D2">
        <w:tc>
          <w:tcPr>
            <w:tcW w:w="1418" w:type="dxa"/>
            <w:tcBorders>
              <w:top w:val="single" w:sz="4" w:space="0" w:color="auto"/>
            </w:tcBorders>
            <w:shd w:val="clear" w:color="auto" w:fill="auto"/>
            <w:vAlign w:val="center"/>
          </w:tcPr>
          <w:p w:rsidR="001E19D5" w:rsidRPr="007C57D2" w:rsidRDefault="007C57D2" w:rsidP="007C57D2">
            <w:pPr>
              <w:spacing w:after="0" w:line="240" w:lineRule="auto"/>
              <w:jc w:val="both"/>
              <w:rPr>
                <w:rFonts w:ascii="Times New Roman" w:hAnsi="Times New Roman"/>
                <w:b/>
                <w:bCs/>
                <w:sz w:val="28"/>
              </w:rPr>
            </w:pPr>
            <w:r w:rsidRPr="007C57D2">
              <w:rPr>
                <w:rFonts w:ascii="Times New Roman" w:hAnsi="Times New Roman"/>
                <w:b/>
                <w:bCs/>
                <w:sz w:val="28"/>
              </w:rPr>
              <w:t>Finalidad</w:t>
            </w:r>
          </w:p>
        </w:tc>
        <w:tc>
          <w:tcPr>
            <w:tcW w:w="2551"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 xml:space="preserve">Apoyar la búsqueda y localización de los </w:t>
            </w:r>
            <w:r w:rsidRPr="007C57D2">
              <w:rPr>
                <w:rFonts w:ascii="Times New Roman" w:hAnsi="Times New Roman"/>
                <w:sz w:val="28"/>
              </w:rPr>
              <w:t>NNA desaparecidos</w:t>
            </w:r>
            <w:r w:rsidRPr="007C57D2">
              <w:rPr>
                <w:rFonts w:ascii="Times New Roman" w:hAnsi="Times New Roman"/>
                <w:sz w:val="28"/>
                <w:vertAlign w:val="superscript"/>
              </w:rPr>
              <w:footnoteReference w:id="443"/>
            </w:r>
          </w:p>
        </w:tc>
        <w:tc>
          <w:tcPr>
            <w:tcW w:w="2410"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Búsqueda inmediata de niñas, niños, adolescentes, jóvenes y mujeres desaparecidos</w:t>
            </w:r>
            <w:r w:rsidRPr="007C57D2">
              <w:rPr>
                <w:rFonts w:ascii="Times New Roman" w:hAnsi="Times New Roman"/>
                <w:sz w:val="28"/>
                <w:vertAlign w:val="superscript"/>
              </w:rPr>
              <w:footnoteReference w:id="444"/>
            </w:r>
          </w:p>
          <w:p w:rsidR="001E19D5" w:rsidRPr="007C57D2" w:rsidRDefault="007C57D2" w:rsidP="007C57D2">
            <w:pPr>
              <w:spacing w:after="0" w:line="240" w:lineRule="auto"/>
              <w:jc w:val="both"/>
              <w:rPr>
                <w:rFonts w:ascii="Times New Roman" w:hAnsi="Times New Roman"/>
                <w:sz w:val="28"/>
              </w:rPr>
            </w:pPr>
          </w:p>
        </w:tc>
        <w:tc>
          <w:tcPr>
            <w:tcW w:w="2451"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Difusión de información de los datos de niños y niñas extraviados</w:t>
            </w:r>
            <w:r w:rsidRPr="007C57D2">
              <w:rPr>
                <w:rFonts w:ascii="Times New Roman" w:hAnsi="Times New Roman"/>
                <w:sz w:val="28"/>
                <w:vertAlign w:val="superscript"/>
              </w:rPr>
              <w:footnoteReference w:id="445"/>
            </w:r>
          </w:p>
        </w:tc>
      </w:tr>
      <w:tr w:rsidR="007C57D2" w:rsidRPr="007C57D2" w:rsidTr="007C57D2">
        <w:tc>
          <w:tcPr>
            <w:tcW w:w="1418" w:type="dxa"/>
            <w:shd w:val="clear" w:color="auto" w:fill="auto"/>
            <w:vAlign w:val="center"/>
          </w:tcPr>
          <w:p w:rsidR="001E19D5" w:rsidRPr="007C57D2" w:rsidRDefault="007C57D2" w:rsidP="007C57D2">
            <w:pPr>
              <w:spacing w:after="0" w:line="240" w:lineRule="auto"/>
              <w:jc w:val="both"/>
              <w:rPr>
                <w:rFonts w:ascii="Times New Roman" w:hAnsi="Times New Roman"/>
                <w:b/>
                <w:sz w:val="28"/>
              </w:rPr>
            </w:pPr>
            <w:r w:rsidRPr="007C57D2">
              <w:rPr>
                <w:rFonts w:ascii="Times New Roman" w:hAnsi="Times New Roman"/>
                <w:b/>
                <w:sz w:val="28"/>
              </w:rPr>
              <w:t>Difusión</w:t>
            </w:r>
          </w:p>
        </w:tc>
        <w:tc>
          <w:tcPr>
            <w:tcW w:w="2551"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A través de medios masivos de comunicación: proveedores de redes y servicios</w:t>
            </w:r>
            <w:r w:rsidRPr="007C57D2">
              <w:rPr>
                <w:rFonts w:ascii="Times New Roman" w:hAnsi="Times New Roman"/>
                <w:sz w:val="28"/>
              </w:rPr>
              <w:t xml:space="preserve"> de telecomunicaciones, operadores del servicio de radiodifusión sonora, operadores de plataformas de distribución de contenidos audiovisuales desde Internet y operadores de plataformas de redes sociales, entre otros</w:t>
            </w:r>
            <w:r w:rsidRPr="007C57D2">
              <w:rPr>
                <w:rFonts w:ascii="Times New Roman" w:hAnsi="Times New Roman"/>
                <w:sz w:val="28"/>
                <w:vertAlign w:val="superscript"/>
              </w:rPr>
              <w:footnoteReference w:id="446"/>
            </w:r>
            <w:r w:rsidRPr="007C57D2">
              <w:rPr>
                <w:rFonts w:ascii="Times New Roman" w:hAnsi="Times New Roman"/>
                <w:sz w:val="28"/>
              </w:rPr>
              <w:t xml:space="preserve">. </w:t>
            </w:r>
          </w:p>
        </w:tc>
        <w:tc>
          <w:tcPr>
            <w:tcW w:w="2410"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 xml:space="preserve">Nacional, estandarizada, multicanal </w:t>
            </w:r>
            <w:r w:rsidRPr="007C57D2">
              <w:rPr>
                <w:rFonts w:ascii="Times New Roman" w:hAnsi="Times New Roman"/>
                <w:sz w:val="28"/>
              </w:rPr>
              <w:t xml:space="preserve">y de difusión masiva y pública. A través de mensajes masivos a dispositivos móviles. De acuerdo con las condiciones tecnológicas del país, evolucionará a una notificación simultánea a todos los dispositivos que usen datos, la televisión, a radio satelital </w:t>
            </w:r>
            <w:r w:rsidRPr="007C57D2">
              <w:rPr>
                <w:rFonts w:ascii="Times New Roman" w:hAnsi="Times New Roman"/>
                <w:sz w:val="28"/>
              </w:rPr>
              <w:t>y medios digitales</w:t>
            </w:r>
            <w:r w:rsidRPr="007C57D2">
              <w:rPr>
                <w:rFonts w:ascii="Times New Roman" w:hAnsi="Times New Roman"/>
                <w:sz w:val="28"/>
                <w:vertAlign w:val="superscript"/>
              </w:rPr>
              <w:footnoteReference w:id="447"/>
            </w:r>
            <w:r w:rsidRPr="007C57D2">
              <w:rPr>
                <w:rFonts w:ascii="Times New Roman" w:hAnsi="Times New Roman"/>
                <w:sz w:val="28"/>
              </w:rPr>
              <w:t>.</w:t>
            </w:r>
          </w:p>
        </w:tc>
        <w:tc>
          <w:tcPr>
            <w:tcW w:w="2451"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A través de los proveedores de redes y servicios de telecomunicaciones móviles de forma gratuita y cualquier canal o medio tecnológico que sirva para la difusión masiva a las autoridades y a la ciudadanía. Envío de alerta a todos los d</w:t>
            </w:r>
            <w:r w:rsidRPr="007C57D2">
              <w:rPr>
                <w:rFonts w:ascii="Times New Roman" w:hAnsi="Times New Roman"/>
                <w:sz w:val="28"/>
              </w:rPr>
              <w:t>ispositivos móviles de la zona de la desaparición</w:t>
            </w:r>
            <w:r w:rsidRPr="007C57D2">
              <w:rPr>
                <w:rFonts w:ascii="Times New Roman" w:hAnsi="Times New Roman"/>
                <w:sz w:val="28"/>
                <w:vertAlign w:val="superscript"/>
              </w:rPr>
              <w:footnoteReference w:id="448"/>
            </w:r>
            <w:r w:rsidRPr="007C57D2">
              <w:rPr>
                <w:rFonts w:ascii="Times New Roman" w:hAnsi="Times New Roman"/>
                <w:sz w:val="28"/>
              </w:rPr>
              <w:t>.</w:t>
            </w:r>
          </w:p>
          <w:p w:rsidR="001E19D5" w:rsidRPr="007C57D2" w:rsidRDefault="007C57D2" w:rsidP="007C57D2">
            <w:pPr>
              <w:spacing w:after="0" w:line="240" w:lineRule="auto"/>
              <w:jc w:val="both"/>
              <w:rPr>
                <w:rFonts w:ascii="Times New Roman" w:hAnsi="Times New Roman"/>
                <w:sz w:val="28"/>
              </w:rPr>
            </w:pPr>
          </w:p>
        </w:tc>
      </w:tr>
      <w:tr w:rsidR="007C57D2" w:rsidRPr="007C57D2" w:rsidTr="007C57D2">
        <w:tc>
          <w:tcPr>
            <w:tcW w:w="1418" w:type="dxa"/>
            <w:shd w:val="clear" w:color="auto" w:fill="auto"/>
            <w:vAlign w:val="center"/>
          </w:tcPr>
          <w:p w:rsidR="001E19D5" w:rsidRPr="007C57D2" w:rsidRDefault="007C57D2" w:rsidP="007C57D2">
            <w:pPr>
              <w:spacing w:after="0" w:line="240" w:lineRule="auto"/>
              <w:jc w:val="both"/>
              <w:rPr>
                <w:rFonts w:ascii="Times New Roman" w:hAnsi="Times New Roman"/>
                <w:b/>
                <w:sz w:val="28"/>
              </w:rPr>
            </w:pPr>
            <w:r w:rsidRPr="007C57D2">
              <w:rPr>
                <w:rFonts w:ascii="Times New Roman" w:hAnsi="Times New Roman"/>
                <w:b/>
                <w:sz w:val="28"/>
              </w:rPr>
              <w:t>Entidades a cargo</w:t>
            </w:r>
          </w:p>
        </w:tc>
        <w:tc>
          <w:tcPr>
            <w:tcW w:w="2551"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Agregador de alertas, autoridad de activación, medios masivos de comunicación, proveedores de redes y servicios de telecomunicaciones</w:t>
            </w:r>
            <w:r w:rsidRPr="007C57D2">
              <w:rPr>
                <w:rFonts w:ascii="Times New Roman" w:hAnsi="Times New Roman"/>
                <w:sz w:val="28"/>
                <w:vertAlign w:val="superscript"/>
              </w:rPr>
              <w:footnoteReference w:id="449"/>
            </w:r>
          </w:p>
        </w:tc>
        <w:tc>
          <w:tcPr>
            <w:tcW w:w="2410"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Comité de Coordinación Nacional de la Alerta Rosa</w:t>
            </w:r>
            <w:r w:rsidRPr="007C57D2">
              <w:rPr>
                <w:rFonts w:ascii="Times New Roman" w:hAnsi="Times New Roman"/>
                <w:sz w:val="28"/>
              </w:rPr>
              <w:t xml:space="preserve"> (integrado por 17 instituciones</w:t>
            </w:r>
            <w:r w:rsidRPr="007C57D2">
              <w:rPr>
                <w:rFonts w:ascii="Times New Roman" w:hAnsi="Times New Roman"/>
                <w:sz w:val="28"/>
                <w:vertAlign w:val="superscript"/>
              </w:rPr>
              <w:footnoteReference w:id="450"/>
            </w:r>
            <w:r w:rsidRPr="007C57D2">
              <w:rPr>
                <w:rFonts w:ascii="Times New Roman" w:hAnsi="Times New Roman"/>
                <w:sz w:val="28"/>
              </w:rPr>
              <w:t>), prestadores de redes y servicios de comunicaciones, otros medios de comunicación</w:t>
            </w:r>
            <w:r w:rsidRPr="007C57D2">
              <w:rPr>
                <w:rFonts w:ascii="Times New Roman" w:hAnsi="Times New Roman"/>
                <w:sz w:val="28"/>
                <w:vertAlign w:val="superscript"/>
              </w:rPr>
              <w:footnoteReference w:id="451"/>
            </w:r>
          </w:p>
        </w:tc>
        <w:tc>
          <w:tcPr>
            <w:tcW w:w="2451" w:type="dxa"/>
            <w:shd w:val="clear" w:color="auto" w:fill="auto"/>
            <w:vAlign w:val="center"/>
          </w:tcPr>
          <w:p w:rsidR="001E19D5" w:rsidRPr="007C57D2" w:rsidRDefault="007C57D2" w:rsidP="007C57D2">
            <w:pPr>
              <w:spacing w:after="0" w:line="240" w:lineRule="auto"/>
              <w:jc w:val="both"/>
              <w:rPr>
                <w:rFonts w:ascii="Times New Roman" w:hAnsi="Times New Roman"/>
                <w:sz w:val="28"/>
              </w:rPr>
            </w:pPr>
            <w:r w:rsidRPr="007C57D2">
              <w:rPr>
                <w:rFonts w:ascii="Times New Roman" w:hAnsi="Times New Roman"/>
                <w:sz w:val="28"/>
              </w:rPr>
              <w:t>ICBF, Policía Nacional, Fiscalía General de la Nación, prestadores de redes y servicios de telecomunicaciones, otros medios de comunicació</w:t>
            </w:r>
            <w:r w:rsidRPr="007C57D2">
              <w:rPr>
                <w:rFonts w:ascii="Times New Roman" w:hAnsi="Times New Roman"/>
                <w:sz w:val="28"/>
              </w:rPr>
              <w:t>n</w:t>
            </w:r>
            <w:r w:rsidRPr="007C57D2">
              <w:rPr>
                <w:rFonts w:ascii="Times New Roman" w:hAnsi="Times New Roman"/>
                <w:sz w:val="28"/>
                <w:vertAlign w:val="superscript"/>
              </w:rPr>
              <w:footnoteReference w:id="452"/>
            </w:r>
          </w:p>
        </w:tc>
      </w:tr>
    </w:tbl>
    <w:p w:rsidR="001E19D5" w:rsidRPr="007C57D2" w:rsidRDefault="007C57D2" w:rsidP="008F3DAB">
      <w:pPr>
        <w:spacing w:after="0" w:line="240" w:lineRule="auto"/>
        <w:jc w:val="center"/>
        <w:rPr>
          <w:rFonts w:ascii="Times New Roman" w:hAnsi="Times New Roman"/>
          <w:i/>
          <w:iCs/>
          <w:kern w:val="2"/>
          <w:sz w:val="28"/>
        </w:rPr>
      </w:pPr>
      <w:r w:rsidRPr="007C57D2">
        <w:rPr>
          <w:rFonts w:ascii="Times New Roman" w:hAnsi="Times New Roman"/>
          <w:kern w:val="2"/>
          <w:sz w:val="28"/>
        </w:rPr>
        <w:t xml:space="preserve">Tabla </w:t>
      </w:r>
      <w:r w:rsidRPr="007C57D2">
        <w:rPr>
          <w:rFonts w:ascii="Times New Roman" w:hAnsi="Times New Roman"/>
          <w:kern w:val="2"/>
          <w:sz w:val="28"/>
        </w:rPr>
        <w:t>21</w:t>
      </w:r>
      <w:r w:rsidRPr="007C57D2">
        <w:rPr>
          <w:rFonts w:ascii="Times New Roman" w:hAnsi="Times New Roman"/>
          <w:kern w:val="2"/>
          <w:sz w:val="28"/>
        </w:rPr>
        <w:t>.</w:t>
      </w:r>
      <w:r w:rsidRPr="007C57D2">
        <w:rPr>
          <w:rFonts w:ascii="Times New Roman" w:hAnsi="Times New Roman"/>
          <w:i/>
          <w:iCs/>
          <w:kern w:val="2"/>
          <w:sz w:val="28"/>
        </w:rPr>
        <w:t xml:space="preserve"> Características de las Alertas existentes.</w:t>
      </w:r>
    </w:p>
    <w:p w:rsidR="001E19D5" w:rsidRPr="007C57D2" w:rsidRDefault="007C57D2" w:rsidP="008F3DAB">
      <w:pPr>
        <w:spacing w:after="0" w:line="240" w:lineRule="auto"/>
        <w:jc w:val="both"/>
        <w:rPr>
          <w:rFonts w:ascii="Times New Roman" w:hAnsi="Times New Roman"/>
          <w:kern w:val="2"/>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En adición a lo anterior, resulta relevante señalar que el parágrafo del artículo 10 del PLE establece que la Alerta Colombia formará parte del “sistema de alertas temprana sobre la niñez </w:t>
      </w:r>
      <w:r w:rsidRPr="007C57D2">
        <w:rPr>
          <w:rFonts w:ascii="Times New Roman" w:hAnsi="Times New Roman"/>
          <w:sz w:val="28"/>
          <w:szCs w:val="28"/>
        </w:rPr>
        <w:t>colombiana”</w:t>
      </w:r>
      <w:r w:rsidRPr="007C57D2">
        <w:rPr>
          <w:rFonts w:ascii="Times New Roman" w:hAnsi="Times New Roman"/>
          <w:sz w:val="28"/>
          <w:vertAlign w:val="superscript"/>
        </w:rPr>
        <w:footnoteReference w:id="453"/>
      </w:r>
      <w:r w:rsidRPr="007C57D2">
        <w:rPr>
          <w:rFonts w:ascii="Times New Roman" w:hAnsi="Times New Roman"/>
          <w:sz w:val="28"/>
          <w:szCs w:val="28"/>
          <w:vertAlign w:val="superscript"/>
        </w:rPr>
        <w:t xml:space="preserve"> </w:t>
      </w:r>
      <w:r w:rsidRPr="007C57D2">
        <w:rPr>
          <w:rFonts w:ascii="Times New Roman" w:hAnsi="Times New Roman"/>
          <w:sz w:val="28"/>
          <w:szCs w:val="28"/>
        </w:rPr>
        <w:t>que tiene como finalidad contar con sistemas de información adecuados para que el Estado intervenga oportunamente con el objetivo de proteger los derechos de los NNA frente a diversos riesgos, como, entre otros, los siguientes: (i ) abuso; (ii</w:t>
      </w:r>
      <w:r w:rsidRPr="007C57D2">
        <w:rPr>
          <w:rFonts w:ascii="Times New Roman" w:hAnsi="Times New Roman"/>
          <w:sz w:val="28"/>
          <w:szCs w:val="28"/>
        </w:rPr>
        <w:t>) distintas formas de violencia; (iii) amenaza de reclutamiento forzado para NNA o su núcleo familiar.</w:t>
      </w:r>
      <w:r w:rsidRPr="007C57D2">
        <w:rPr>
          <w:rFonts w:ascii="Times New Roman" w:hAnsi="Times New Roman"/>
          <w:sz w:val="28"/>
          <w:szCs w:val="28"/>
          <w:vertAlign w:val="superscript"/>
        </w:rPr>
        <w:t xml:space="preserve"> </w:t>
      </w:r>
      <w:r w:rsidRPr="007C57D2">
        <w:rPr>
          <w:rFonts w:ascii="Times New Roman" w:hAnsi="Times New Roman"/>
          <w:sz w:val="28"/>
          <w:vertAlign w:val="superscript"/>
        </w:rPr>
        <w:footnoteReference w:id="454"/>
      </w:r>
      <w:r w:rsidRPr="007C57D2">
        <w:rPr>
          <w:rFonts w:ascii="Times New Roman" w:hAnsi="Times New Roman"/>
          <w:sz w:val="28"/>
          <w:szCs w:val="28"/>
        </w:rPr>
        <w:t xml:space="preserv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La regulación pretende que varios sistemas de información se integren y complementen “para garantizar la emisión de alertas tempranas que permitan la</w:t>
      </w:r>
      <w:r w:rsidRPr="007C57D2">
        <w:rPr>
          <w:rFonts w:ascii="Times New Roman" w:hAnsi="Times New Roman"/>
          <w:sz w:val="28"/>
          <w:szCs w:val="28"/>
        </w:rPr>
        <w:t xml:space="preserve"> oportuna intervención de las entidades estatales para prevenir afectaciones de los derechos de los niños, niñas y adolescentes.”</w:t>
      </w:r>
      <w:r w:rsidRPr="007C57D2">
        <w:rPr>
          <w:rFonts w:ascii="Times New Roman" w:hAnsi="Times New Roman"/>
          <w:sz w:val="28"/>
          <w:vertAlign w:val="superscript"/>
        </w:rPr>
        <w:footnoteReference w:id="455"/>
      </w:r>
      <w:r w:rsidRPr="007C57D2">
        <w:rPr>
          <w:rFonts w:ascii="Times New Roman" w:hAnsi="Times New Roman"/>
          <w:sz w:val="28"/>
          <w:szCs w:val="28"/>
        </w:rPr>
        <w:t xml:space="preserve"> El Ministerio de las Tecnologías de la Información y las Comunicaciones tiene el deber legal de liderar “la articulación de l</w:t>
      </w:r>
      <w:r w:rsidRPr="007C57D2">
        <w:rPr>
          <w:rFonts w:ascii="Times New Roman" w:hAnsi="Times New Roman"/>
          <w:sz w:val="28"/>
          <w:szCs w:val="28"/>
        </w:rPr>
        <w:t>os sistemas de información existentes, en un gran sistema de alertas tempranas sobre la niñez colombiana”</w:t>
      </w:r>
      <w:r w:rsidRPr="007C57D2">
        <w:rPr>
          <w:rFonts w:ascii="Times New Roman" w:hAnsi="Times New Roman"/>
          <w:sz w:val="28"/>
          <w:vertAlign w:val="superscript"/>
        </w:rPr>
        <w:footnoteReference w:id="456"/>
      </w:r>
      <w:r w:rsidRPr="007C57D2">
        <w:rPr>
          <w:rFonts w:ascii="Times New Roman" w:hAnsi="Times New Roman"/>
          <w:sz w:val="28"/>
          <w:szCs w:val="28"/>
        </w:rPr>
        <w:t xml:space="preserve">. Actualmente forman parte de este: (a) El Sistema de Seguimiento al Desarrollo Integral de la Primera Infancia - SSD IPL; (b) el Sistema Nacional de </w:t>
      </w:r>
      <w:r w:rsidRPr="007C57D2">
        <w:rPr>
          <w:rFonts w:ascii="Times New Roman" w:hAnsi="Times New Roman"/>
          <w:sz w:val="28"/>
          <w:szCs w:val="28"/>
        </w:rPr>
        <w:t>Alertas Tempranas para la Prevención de la Violencia Sexual contra Niños, Niñas y Adolescentes y (c) el Sistema de Información Misional (SIM), entre otros.</w:t>
      </w:r>
    </w:p>
    <w:p w:rsidR="001E19D5" w:rsidRPr="007C57D2" w:rsidRDefault="007C57D2" w:rsidP="008F3DAB">
      <w:pPr>
        <w:pStyle w:val="Ttulo1"/>
        <w:spacing w:before="0" w:line="240" w:lineRule="auto"/>
        <w:rPr>
          <w:rFonts w:ascii="Times New Roman" w:hAnsi="Times New Roman"/>
          <w:b/>
          <w:bCs/>
          <w:color w:val="auto"/>
          <w:sz w:val="28"/>
          <w:szCs w:val="28"/>
          <w:lang w:val="es-ES_tradnl"/>
        </w:rPr>
      </w:pPr>
    </w:p>
    <w:p w:rsidR="001E19D5" w:rsidRPr="007C57D2" w:rsidRDefault="007C57D2" w:rsidP="008F3DAB">
      <w:pPr>
        <w:pStyle w:val="Ttulo3"/>
        <w:spacing w:before="0" w:after="0" w:line="240" w:lineRule="auto"/>
        <w:rPr>
          <w:rFonts w:ascii="Times New Roman" w:hAnsi="Times New Roman"/>
          <w:b/>
          <w:bCs/>
          <w:color w:val="000000"/>
        </w:rPr>
      </w:pPr>
      <w:bookmarkStart w:id="45" w:name="_Toc222728033"/>
      <w:r w:rsidRPr="007C57D2">
        <w:rPr>
          <w:rFonts w:ascii="Times New Roman" w:hAnsi="Times New Roman"/>
          <w:b/>
          <w:bCs/>
          <w:color w:val="000000"/>
          <w:lang w:val="es-ES"/>
        </w:rPr>
        <w:t>5.5. Análisis temático del PLE</w:t>
      </w:r>
      <w:bookmarkEnd w:id="45"/>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lang w:val="es-ES"/>
        </w:rPr>
        <w:t xml:space="preserve">En este apartado se realizará el análisis constitucional del </w:t>
      </w:r>
      <w:r w:rsidRPr="007C57D2">
        <w:rPr>
          <w:rFonts w:ascii="Times New Roman" w:hAnsi="Times New Roman"/>
          <w:lang w:val="es-ES"/>
        </w:rPr>
        <w:t>contenido material de las disposiciones que conforman el PLE</w:t>
      </w:r>
      <w:r w:rsidRPr="007C57D2">
        <w:rPr>
          <w:rStyle w:val="Refdenotaalpie"/>
          <w:rFonts w:ascii="Times New Roman" w:hAnsi="Times New Roman"/>
        </w:rPr>
        <w:footnoteReference w:id="457"/>
      </w:r>
      <w:r w:rsidRPr="007C57D2">
        <w:rPr>
          <w:rFonts w:ascii="Times New Roman" w:hAnsi="Times New Roman"/>
        </w:rPr>
        <w:t xml:space="preserve">. </w:t>
      </w:r>
      <w:r w:rsidRPr="007C57D2">
        <w:rPr>
          <w:rFonts w:ascii="Times New Roman" w:hAnsi="Times New Roman"/>
          <w:lang w:val="es-ES"/>
        </w:rPr>
        <w:t>Para ello, se transcribirá el precepto respectivo, se definirán los problemas jurídicos que debe resolver esta Corte, se incorporarán las consideraciones pertinentes sobre la norma a valorar co</w:t>
      </w:r>
      <w:r w:rsidRPr="007C57D2">
        <w:rPr>
          <w:rFonts w:ascii="Times New Roman" w:hAnsi="Times New Roman"/>
          <w:lang w:val="es-ES"/>
        </w:rPr>
        <w:t>n miras a establecer su constitucionalidad o inconstitucionalidad. En el anexo de esta sentencia, se resumen las intervenciones presentadas en este proceso, con especial énfasis en el articulado respecto del cual se reprocha su constitucionalidad.</w:t>
      </w:r>
      <w:r w:rsidRPr="007C57D2">
        <w:rPr>
          <w:rFonts w:ascii="Times New Roman" w:hAnsi="Times New Roman"/>
          <w:lang w:val="es-ES"/>
        </w:rPr>
        <w:t xml:space="preserve"> L</w:t>
      </w:r>
      <w:r w:rsidRPr="007C57D2">
        <w:rPr>
          <w:rFonts w:ascii="Times New Roman" w:hAnsi="Times New Roman"/>
        </w:rPr>
        <w:t>a Corte</w:t>
      </w:r>
      <w:r w:rsidRPr="007C57D2">
        <w:rPr>
          <w:rFonts w:ascii="Times New Roman" w:hAnsi="Times New Roman"/>
        </w:rPr>
        <w:t xml:space="preserve"> Constitucional hará un juicio de constitucionalidad integral, absoluto y abstracto, luego su examen no </w:t>
      </w:r>
      <w:r w:rsidRPr="007C57D2">
        <w:rPr>
          <w:rFonts w:ascii="Times New Roman" w:hAnsi="Times New Roman"/>
        </w:rPr>
        <w:t xml:space="preserve">se </w:t>
      </w:r>
      <w:r w:rsidRPr="007C57D2">
        <w:rPr>
          <w:rFonts w:ascii="Times New Roman" w:hAnsi="Times New Roman"/>
        </w:rPr>
        <w:t xml:space="preserve">restringirá a los alegatos de los intervinientes. </w:t>
      </w:r>
    </w:p>
    <w:p w:rsidR="000A6C71" w:rsidRPr="007C57D2" w:rsidRDefault="007C57D2" w:rsidP="008F3DAB">
      <w:pPr>
        <w:pStyle w:val="Sinespaciado"/>
        <w:jc w:val="both"/>
        <w:rPr>
          <w:rFonts w:ascii="Times New Roman" w:hAnsi="Times New Roman"/>
        </w:rPr>
      </w:pPr>
    </w:p>
    <w:p w:rsidR="00F73F4D" w:rsidRPr="007C57D2" w:rsidRDefault="007C57D2" w:rsidP="008F3DAB">
      <w:pPr>
        <w:pStyle w:val="Sinespaciado"/>
        <w:numPr>
          <w:ilvl w:val="0"/>
          <w:numId w:val="3"/>
        </w:numPr>
        <w:ind w:left="0" w:firstLine="0"/>
        <w:jc w:val="both"/>
        <w:rPr>
          <w:rFonts w:ascii="Times New Roman" w:hAnsi="Times New Roman"/>
          <w:lang w:val="es-ES_tradnl"/>
        </w:rPr>
      </w:pPr>
      <w:r w:rsidRPr="007C57D2">
        <w:rPr>
          <w:rFonts w:ascii="Times New Roman" w:hAnsi="Times New Roman"/>
          <w:lang w:val="es-ES_tradnl"/>
        </w:rPr>
        <w:t>Metodológicamente, el análisis de constitucionalidad del proyecto de ley se realizará por temas: (i) cuando corresponda, se evaluará la constitucionalidad de cada artículo de manera individual; y (ii) en otros supuestos se examinarán conjuntos de disposici</w:t>
      </w:r>
      <w:r w:rsidRPr="007C57D2">
        <w:rPr>
          <w:rFonts w:ascii="Times New Roman" w:hAnsi="Times New Roman"/>
          <w:lang w:val="es-ES_tradnl"/>
        </w:rPr>
        <w:t xml:space="preserve">ones que son conexas entre sí. Agrupar artículos relacionados permitirá un análisis holístico por bloques temáticos, </w:t>
      </w:r>
      <w:r w:rsidRPr="007C57D2">
        <w:rPr>
          <w:rFonts w:ascii="Times New Roman" w:hAnsi="Times New Roman"/>
        </w:rPr>
        <w:t>útil para identificar asuntos recurrentes y comprender las interdependencias temáticas del articulado, ofreciendo una visión completa, cohe</w:t>
      </w:r>
      <w:r w:rsidRPr="007C57D2">
        <w:rPr>
          <w:rFonts w:ascii="Times New Roman" w:hAnsi="Times New Roman"/>
        </w:rPr>
        <w:t>rente, contextual e integral del PLE.</w:t>
      </w:r>
    </w:p>
    <w:p w:rsidR="006A078E" w:rsidRPr="007C57D2" w:rsidRDefault="007C57D2" w:rsidP="008F3DAB">
      <w:pPr>
        <w:pStyle w:val="Sinespaciado"/>
        <w:jc w:val="both"/>
        <w:rPr>
          <w:rFonts w:ascii="Times New Roman" w:hAnsi="Times New Roman"/>
          <w:lang w:val="es-ES_tradnl"/>
        </w:rPr>
      </w:pPr>
    </w:p>
    <w:p w:rsidR="00F91267" w:rsidRPr="007C57D2" w:rsidRDefault="007C57D2" w:rsidP="008F3DAB">
      <w:pPr>
        <w:pStyle w:val="Sinespaciado"/>
        <w:numPr>
          <w:ilvl w:val="0"/>
          <w:numId w:val="3"/>
        </w:numPr>
        <w:ind w:left="0" w:firstLine="0"/>
        <w:jc w:val="both"/>
        <w:rPr>
          <w:rFonts w:ascii="Times New Roman" w:hAnsi="Times New Roman"/>
          <w:lang w:val="es-ES_tradnl"/>
        </w:rPr>
      </w:pPr>
      <w:r w:rsidRPr="007C57D2">
        <w:rPr>
          <w:rFonts w:ascii="Times New Roman" w:hAnsi="Times New Roman"/>
          <w:lang w:val="es-ES_tradnl"/>
        </w:rPr>
        <w:t>Con base en este enfoque, se procederá a estudiar el proyecto atendiendo los siguientes temas o cuestiones: a) Objetivo del proyecto de ley (Examen de constitucionalidad del artículo 1° del PLE); b)  Definiciones (Exa</w:t>
      </w:r>
      <w:r w:rsidRPr="007C57D2">
        <w:rPr>
          <w:rFonts w:ascii="Times New Roman" w:hAnsi="Times New Roman"/>
          <w:lang w:val="es-ES_tradnl"/>
        </w:rPr>
        <w:t>men de constitucionalidad del artículo 2 del PLE);  c) Tratamiento de datos personales: legitimación, limitación temporal y necesidad (Examen de constitucionalidad de los artículos 3, 4, 7 y 8 del PLE); d) Requisitos para activar la “Alerta Colombia” (Exam</w:t>
      </w:r>
      <w:r w:rsidRPr="007C57D2">
        <w:rPr>
          <w:rFonts w:ascii="Times New Roman" w:hAnsi="Times New Roman"/>
          <w:lang w:val="es-ES_tradnl"/>
        </w:rPr>
        <w:t>en de constitucionalidad del artículo 9 del PLE); e) Sistema nacional de reporte virtual (Examen de constitucionalidad del artículo 5 del PLE); f) Divulgación de la “Alerta Colombia” (Examen de constitucionalidad de los artículos 6, 10 y 11 del PLE); g) Me</w:t>
      </w:r>
      <w:r w:rsidRPr="007C57D2">
        <w:rPr>
          <w:rFonts w:ascii="Times New Roman" w:hAnsi="Times New Roman"/>
          <w:lang w:val="es-ES_tradnl"/>
        </w:rPr>
        <w:t xml:space="preserve">canismos de búsqueda, localización y recuperación de niños (as) (Examen de constitucionalidad del artículo 12 del PLE ); h) Informe de gestión sobre niños (as) extraviados (as) (Examen de constitucionalidad del artículo 13 del PLE ), y h) Reglamentación y </w:t>
      </w:r>
      <w:r w:rsidRPr="007C57D2">
        <w:rPr>
          <w:rFonts w:ascii="Times New Roman" w:hAnsi="Times New Roman"/>
          <w:lang w:val="es-ES_tradnl"/>
        </w:rPr>
        <w:t>vigencia (Examen de constitucionalidad de los artículos 14 y 15 del PLE)</w:t>
      </w:r>
    </w:p>
    <w:p w:rsidR="001E19D5" w:rsidRPr="007C57D2" w:rsidRDefault="007C57D2" w:rsidP="008F3DAB">
      <w:pPr>
        <w:pStyle w:val="Ttulo3"/>
        <w:spacing w:before="0" w:after="0" w:line="240" w:lineRule="auto"/>
        <w:rPr>
          <w:rFonts w:ascii="Times New Roman" w:hAnsi="Times New Roman"/>
          <w:b/>
          <w:bCs/>
          <w:color w:val="000000"/>
        </w:rPr>
      </w:pPr>
    </w:p>
    <w:p w:rsidR="001E19D5" w:rsidRPr="007C57D2" w:rsidRDefault="007C57D2" w:rsidP="008F3DAB">
      <w:pPr>
        <w:pStyle w:val="Ttulo3"/>
        <w:spacing w:before="0" w:after="0" w:line="240" w:lineRule="auto"/>
        <w:rPr>
          <w:rFonts w:ascii="Times New Roman" w:hAnsi="Times New Roman"/>
          <w:b/>
          <w:bCs/>
          <w:color w:val="000000"/>
          <w:lang w:val="es-ES_tradnl"/>
        </w:rPr>
      </w:pPr>
      <w:bookmarkStart w:id="46" w:name="_Toc222728034"/>
      <w:r w:rsidRPr="007C57D2">
        <w:rPr>
          <w:rFonts w:ascii="Times New Roman" w:hAnsi="Times New Roman"/>
          <w:b/>
          <w:bCs/>
          <w:color w:val="000000"/>
          <w:lang w:val="es-ES_tradnl"/>
        </w:rPr>
        <w:t>5.5.1. Objetivo del proyecto de ley (Examen de constitucionalidad del artículo 1° del PLE)</w:t>
      </w:r>
      <w:bookmarkEnd w:id="46"/>
    </w:p>
    <w:p w:rsidR="001E19D5" w:rsidRPr="007C57D2" w:rsidRDefault="007C57D2" w:rsidP="008F3DAB">
      <w:pPr>
        <w:spacing w:after="0" w:line="240" w:lineRule="auto"/>
        <w:rPr>
          <w:rFonts w:ascii="Times New Roman" w:hAnsi="Times New Roman"/>
          <w:sz w:val="28"/>
          <w:lang w:val="es-ES"/>
        </w:rPr>
      </w:pPr>
    </w:p>
    <w:p w:rsidR="001E19D5" w:rsidRPr="007C57D2" w:rsidRDefault="007C57D2" w:rsidP="008F3DAB">
      <w:pPr>
        <w:pStyle w:val="Prrafodelista"/>
        <w:numPr>
          <w:ilvl w:val="1"/>
          <w:numId w:val="3"/>
        </w:numPr>
        <w:tabs>
          <w:tab w:val="left" w:pos="993"/>
        </w:tabs>
        <w:ind w:left="567" w:firstLine="0"/>
        <w:rPr>
          <w:rFonts w:ascii="Times New Roman" w:hAnsi="Times New Roman"/>
          <w:sz w:val="28"/>
          <w:lang w:val="es-ES"/>
        </w:rPr>
      </w:pPr>
      <w:r w:rsidRPr="007C57D2">
        <w:rPr>
          <w:rFonts w:ascii="Times New Roman" w:hAnsi="Times New Roman"/>
          <w:b/>
          <w:bCs/>
          <w:sz w:val="28"/>
          <w:szCs w:val="28"/>
          <w:lang w:val="es-ES"/>
        </w:rPr>
        <w:t>Transcripción de la norma objeto de control.</w:t>
      </w:r>
      <w:r w:rsidRPr="007C57D2">
        <w:rPr>
          <w:rFonts w:ascii="Times New Roman" w:hAnsi="Times New Roman"/>
          <w:sz w:val="28"/>
          <w:szCs w:val="28"/>
          <w:lang w:val="es-ES"/>
        </w:rPr>
        <w:t xml:space="preserve"> </w:t>
      </w:r>
    </w:p>
    <w:p w:rsidR="001E19D5" w:rsidRPr="007C57D2" w:rsidRDefault="007C57D2" w:rsidP="008F3DAB">
      <w:pPr>
        <w:tabs>
          <w:tab w:val="left" w:pos="993"/>
        </w:tabs>
        <w:spacing w:after="0" w:line="240" w:lineRule="auto"/>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 w:val="left" w:pos="993"/>
        </w:tabs>
        <w:ind w:left="0" w:firstLine="0"/>
        <w:rPr>
          <w:rFonts w:ascii="Times New Roman" w:hAnsi="Times New Roman"/>
          <w:sz w:val="28"/>
          <w:lang w:val="es-ES"/>
        </w:rPr>
      </w:pPr>
      <w:r w:rsidRPr="007C57D2">
        <w:rPr>
          <w:rFonts w:ascii="Times New Roman" w:hAnsi="Times New Roman"/>
          <w:sz w:val="28"/>
          <w:szCs w:val="28"/>
          <w:lang w:val="es-ES"/>
        </w:rPr>
        <w:t xml:space="preserve">A continuación, se transcribe la norma </w:t>
      </w:r>
      <w:r w:rsidRPr="007C57D2">
        <w:rPr>
          <w:rFonts w:ascii="Times New Roman" w:hAnsi="Times New Roman"/>
          <w:sz w:val="28"/>
          <w:szCs w:val="28"/>
          <w:lang w:val="es-ES"/>
        </w:rPr>
        <w:t>contenida en el artículo 1° del PLE: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w:t>
      </w:r>
      <w:r w:rsidRPr="007C57D2">
        <w:rPr>
          <w:rFonts w:ascii="Times New Roman" w:hAnsi="Times New Roman"/>
          <w:b/>
          <w:bCs/>
          <w:sz w:val="28"/>
          <w:szCs w:val="26"/>
        </w:rPr>
        <w:t>Artículo 1. Objeto.</w:t>
      </w:r>
      <w:r w:rsidRPr="007C57D2">
        <w:rPr>
          <w:rFonts w:ascii="Times New Roman" w:hAnsi="Times New Roman"/>
          <w:sz w:val="28"/>
          <w:szCs w:val="26"/>
        </w:rPr>
        <w:t xml:space="preserve"> La presente ley tiene como objeto crear y reglamentar la Alerta Colombia como un sistema que incorpora una herramienta ágil de difusión de información de niños y niñas que se encuentren extraviados</w:t>
      </w:r>
      <w:r w:rsidRPr="007C57D2">
        <w:rPr>
          <w:rFonts w:ascii="Times New Roman" w:hAnsi="Times New Roman"/>
          <w:sz w:val="28"/>
          <w:szCs w:val="26"/>
        </w:rPr>
        <w:t xml:space="preserve"> en el territorio colombiano, con el objetivo de lograr la búsqueda, localización y recuperación inmediata de estos”. </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11"/>
        </w:numPr>
        <w:tabs>
          <w:tab w:val="left" w:pos="993"/>
        </w:tabs>
        <w:ind w:left="567" w:firstLine="0"/>
        <w:jc w:val="both"/>
        <w:rPr>
          <w:rFonts w:ascii="Times New Roman" w:hAnsi="Times New Roman"/>
          <w:sz w:val="28"/>
          <w:szCs w:val="28"/>
        </w:rPr>
      </w:pPr>
      <w:r w:rsidRPr="007C57D2">
        <w:rPr>
          <w:rFonts w:ascii="Times New Roman" w:hAnsi="Times New Roman"/>
          <w:b/>
          <w:bCs/>
          <w:sz w:val="28"/>
          <w:szCs w:val="28"/>
          <w:lang w:val="es-ES"/>
        </w:rPr>
        <w:t>Problema jurídico e intervenciones.</w:t>
      </w:r>
      <w:r w:rsidRPr="007C57D2">
        <w:rPr>
          <w:rFonts w:ascii="Times New Roman" w:hAnsi="Times New Roman"/>
          <w:sz w:val="28"/>
          <w:szCs w:val="28"/>
          <w:lang w:val="es-ES"/>
        </w:rPr>
        <w:t xml:space="preserve"> </w:t>
      </w:r>
    </w:p>
    <w:p w:rsidR="001E19D5" w:rsidRPr="007C57D2" w:rsidRDefault="007C57D2" w:rsidP="008F3DAB">
      <w:pPr>
        <w:tabs>
          <w:tab w:val="left" w:pos="993"/>
        </w:tabs>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 xml:space="preserve">Para decidir definitivamente sobre la constitucionalidad del PLE, respecto del contenido material </w:t>
      </w:r>
      <w:r w:rsidRPr="007C57D2">
        <w:rPr>
          <w:rFonts w:ascii="Times New Roman" w:hAnsi="Times New Roman"/>
          <w:sz w:val="28"/>
          <w:szCs w:val="28"/>
          <w:lang w:val="es-ES"/>
        </w:rPr>
        <w:t>del artículo 1°, le corresponde a la Corte resolver lo siguiente: ¿Se ajusta el artículo 1° del PLE a lo dispuesto en los preceptos constitucionales?</w:t>
      </w:r>
    </w:p>
    <w:p w:rsidR="001E19D5" w:rsidRPr="007C57D2" w:rsidRDefault="007C57D2" w:rsidP="008F3DAB">
      <w:pPr>
        <w:pStyle w:val="Prrafodelista"/>
        <w:tabs>
          <w:tab w:val="left" w:pos="993"/>
        </w:tabs>
        <w:ind w:left="567"/>
        <w:jc w:val="both"/>
        <w:rPr>
          <w:rFonts w:ascii="Times New Roman" w:hAnsi="Times New Roman"/>
          <w:sz w:val="28"/>
          <w:szCs w:val="28"/>
        </w:rPr>
      </w:pPr>
    </w:p>
    <w:p w:rsidR="001E19D5" w:rsidRPr="007C57D2" w:rsidRDefault="007C57D2" w:rsidP="008F3DAB">
      <w:pPr>
        <w:pStyle w:val="Prrafodelista"/>
        <w:numPr>
          <w:ilvl w:val="0"/>
          <w:numId w:val="11"/>
        </w:numPr>
        <w:tabs>
          <w:tab w:val="left" w:pos="993"/>
        </w:tabs>
        <w:ind w:left="567" w:firstLine="0"/>
        <w:jc w:val="both"/>
        <w:rPr>
          <w:rFonts w:ascii="Times New Roman" w:hAnsi="Times New Roman"/>
          <w:sz w:val="28"/>
          <w:szCs w:val="28"/>
        </w:rPr>
      </w:pPr>
      <w:r w:rsidRPr="007C57D2">
        <w:rPr>
          <w:rFonts w:ascii="Times New Roman" w:hAnsi="Times New Roman"/>
          <w:b/>
          <w:bCs/>
          <w:sz w:val="28"/>
          <w:szCs w:val="28"/>
          <w:lang w:val="es-ES"/>
        </w:rPr>
        <w:t>Consideraciones de la Corte.</w:t>
      </w:r>
      <w:r w:rsidRPr="007C57D2">
        <w:rPr>
          <w:rFonts w:ascii="Times New Roman" w:hAnsi="Times New Roman"/>
          <w:i/>
          <w:iCs/>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El artículo 1° del PLE establece que su finalidad es crear una herramienta</w:t>
      </w:r>
      <w:r w:rsidRPr="007C57D2">
        <w:rPr>
          <w:rFonts w:ascii="Times New Roman" w:hAnsi="Times New Roman"/>
          <w:sz w:val="28"/>
          <w:szCs w:val="28"/>
          <w:lang w:val="es-ES"/>
        </w:rPr>
        <w:t xml:space="preserve"> para buscar, localizar y recuperar niños y niñas que se encuentren extraviados (as). Para el efecto, consagra y reglamenta la “Alerta Colombia” para que sea difundida masivamente con miras a activar mecanismos para encontrar personas desaparecidas o extra</w:t>
      </w:r>
      <w:r w:rsidRPr="007C57D2">
        <w:rPr>
          <w:rFonts w:ascii="Times New Roman" w:hAnsi="Times New Roman"/>
          <w:sz w:val="28"/>
          <w:szCs w:val="28"/>
          <w:lang w:val="es-ES"/>
        </w:rPr>
        <w:t>viadas. En otros artículos define la precitada alerta junto con los requisitos para activarla y divulgarla.</w:t>
      </w:r>
    </w:p>
    <w:p w:rsidR="001E19D5" w:rsidRPr="007C57D2" w:rsidRDefault="007C57D2" w:rsidP="008F3DAB">
      <w:pPr>
        <w:pStyle w:val="Prrafodelista"/>
        <w:tabs>
          <w:tab w:val="left" w:pos="709"/>
        </w:tabs>
        <w:ind w:left="0"/>
        <w:jc w:val="both"/>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Son diversos los motivos por los cuales una persona puede extraviarse. Van desde una decisión propia, libre y voluntaria hasta la desaparición forz</w:t>
      </w:r>
      <w:r w:rsidRPr="007C57D2">
        <w:rPr>
          <w:rFonts w:ascii="Times New Roman" w:hAnsi="Times New Roman"/>
          <w:sz w:val="28"/>
          <w:szCs w:val="28"/>
          <w:lang w:val="es-ES"/>
        </w:rPr>
        <w:t xml:space="preserve">ada, el secuestro, la trata de personas </w:t>
      </w:r>
      <w:r w:rsidRPr="007C57D2">
        <w:rPr>
          <w:rFonts w:ascii="Times New Roman" w:hAnsi="Times New Roman"/>
          <w:sz w:val="28"/>
          <w:szCs w:val="28"/>
        </w:rPr>
        <w:t>para fines de explotación sexual o extorsivos</w:t>
      </w:r>
      <w:r w:rsidRPr="007C57D2">
        <w:rPr>
          <w:rFonts w:ascii="Times New Roman" w:hAnsi="Times New Roman"/>
          <w:sz w:val="28"/>
          <w:szCs w:val="28"/>
          <w:lang w:val="es-ES"/>
        </w:rPr>
        <w:t>, desastres naturales, el reclutamiento ilícito,</w:t>
      </w:r>
      <w:r w:rsidRPr="007C57D2">
        <w:rPr>
          <w:rFonts w:ascii="Times New Roman" w:hAnsi="Times New Roman"/>
          <w:sz w:val="28"/>
          <w:szCs w:val="28"/>
        </w:rPr>
        <w:t xml:space="preserve"> problemas familiares o de salud mental; violencia intrafamiliar y el conflicto armado, </w:t>
      </w:r>
      <w:r w:rsidRPr="007C57D2">
        <w:rPr>
          <w:rFonts w:ascii="Times New Roman" w:hAnsi="Times New Roman"/>
          <w:sz w:val="28"/>
          <w:szCs w:val="28"/>
          <w:lang w:val="es-ES"/>
        </w:rPr>
        <w:t xml:space="preserve">entre otros.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 xml:space="preserve">En la exposición de </w:t>
      </w:r>
      <w:r w:rsidRPr="007C57D2">
        <w:rPr>
          <w:rFonts w:ascii="Times New Roman" w:hAnsi="Times New Roman"/>
          <w:sz w:val="28"/>
          <w:szCs w:val="28"/>
          <w:lang w:val="es-ES"/>
        </w:rPr>
        <w:t xml:space="preserve">motivos del PLE, publicado en la Gaceta del Congreso del 10 de octubre de 2023, se presentaron cifras sobre menores de edad desaparecidos en Colombia. Se menciona, por ejemplo, que, según datos del Instituto Nacional de Medicina Legal y Ciencias Forenses, </w:t>
      </w:r>
      <w:r w:rsidRPr="007C57D2">
        <w:rPr>
          <w:rFonts w:ascii="Times New Roman" w:hAnsi="Times New Roman"/>
          <w:sz w:val="28"/>
          <w:szCs w:val="28"/>
          <w:lang w:val="es-ES"/>
        </w:rPr>
        <w:t>41.714 menores de edad han sido reportados como desaparecidos en los últimos 20 años</w:t>
      </w:r>
      <w:r w:rsidRPr="007C57D2">
        <w:rPr>
          <w:rStyle w:val="Refdenotaalpie"/>
          <w:rFonts w:ascii="Times New Roman" w:hAnsi="Times New Roman"/>
          <w:sz w:val="28"/>
          <w:szCs w:val="28"/>
          <w:lang w:val="es-ES"/>
        </w:rPr>
        <w:footnoteReference w:id="458"/>
      </w:r>
      <w:r w:rsidRPr="007C57D2">
        <w:rPr>
          <w:rFonts w:ascii="Times New Roman" w:hAnsi="Times New Roman"/>
          <w:sz w:val="28"/>
          <w:szCs w:val="28"/>
          <w:lang w:val="es-ES"/>
        </w:rPr>
        <w:t xml:space="preserve"> (2003-2022). Esto significa que, en promedio, son reportados aproximadamente 2.085 casos anuales de menores de edad desaparecidos. De esos 41,714 menores y adolescentes, </w:t>
      </w:r>
      <w:r w:rsidRPr="007C57D2">
        <w:rPr>
          <w:rFonts w:ascii="Times New Roman" w:hAnsi="Times New Roman"/>
          <w:sz w:val="28"/>
          <w:szCs w:val="28"/>
          <w:lang w:val="es-ES"/>
        </w:rPr>
        <w:t>21,101 (50,58%) aparecen vivos, 19.960 (47,84%) continúan desaparecidos y 653 (1,56%) fueron encontrados sin vida</w:t>
      </w:r>
      <w:r w:rsidRPr="007C57D2">
        <w:rPr>
          <w:rStyle w:val="Refdenotaalpie"/>
          <w:rFonts w:ascii="Times New Roman" w:hAnsi="Times New Roman"/>
          <w:sz w:val="28"/>
          <w:szCs w:val="28"/>
          <w:lang w:val="es-ES"/>
        </w:rPr>
        <w:footnoteReference w:id="459"/>
      </w:r>
      <w:r w:rsidRPr="007C57D2">
        <w:rPr>
          <w:rFonts w:ascii="Times New Roman" w:hAnsi="Times New Roman"/>
          <w:sz w:val="28"/>
          <w:szCs w:val="28"/>
          <w:lang w:val="es-ES"/>
        </w:rPr>
        <w:t>.</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 xml:space="preserve">De acuerdo con el Comité Internacional de la Cruz Roja, desde la entrada en vigencia del Acuerdo de Paz hasta el 31 de julio de 2024, esta </w:t>
      </w:r>
      <w:r w:rsidRPr="007C57D2">
        <w:rPr>
          <w:rFonts w:ascii="Times New Roman" w:hAnsi="Times New Roman"/>
          <w:sz w:val="28"/>
          <w:szCs w:val="28"/>
          <w:lang w:val="es-ES"/>
        </w:rPr>
        <w:t>organización documentó 1.730 casos de desaparición. De dichos casos, el 76% corresponde a civiles, en los que se encuentran 304 NNA</w:t>
      </w:r>
      <w:r w:rsidRPr="007C57D2">
        <w:rPr>
          <w:rStyle w:val="Refdenotaalpie"/>
          <w:rFonts w:ascii="Times New Roman" w:hAnsi="Times New Roman"/>
          <w:sz w:val="28"/>
          <w:szCs w:val="28"/>
          <w:lang w:val="es-ES"/>
        </w:rPr>
        <w:footnoteReference w:id="460"/>
      </w:r>
      <w:r w:rsidRPr="007C57D2">
        <w:rPr>
          <w:rFonts w:ascii="Times New Roman" w:hAnsi="Times New Roman"/>
          <w:sz w:val="28"/>
          <w:szCs w:val="28"/>
          <w:lang w:val="es-ES"/>
        </w:rPr>
        <w:t>. En esta misma línea, la Unidad de Búsqueda de Personas dadas por desaparecidas, con corte al 29 de enero del 2025, registr</w:t>
      </w:r>
      <w:r w:rsidRPr="007C57D2">
        <w:rPr>
          <w:rFonts w:ascii="Times New Roman" w:hAnsi="Times New Roman"/>
          <w:sz w:val="28"/>
          <w:szCs w:val="28"/>
          <w:lang w:val="es-ES"/>
        </w:rPr>
        <w:t>ó 3.201 solicitudes de búsqueda de NNA dados por desaparecidos en hechos relacionados con el conflicto armado. De estos casos, 88 son niñas, 182 son niños y 2.914 son adolescentes</w:t>
      </w:r>
      <w:r w:rsidRPr="007C57D2">
        <w:rPr>
          <w:rStyle w:val="Refdenotaalpie"/>
          <w:rFonts w:ascii="Times New Roman" w:hAnsi="Times New Roman"/>
          <w:sz w:val="28"/>
          <w:szCs w:val="28"/>
          <w:lang w:val="es-ES"/>
        </w:rPr>
        <w:footnoteReference w:id="461"/>
      </w:r>
      <w:r w:rsidRPr="007C57D2">
        <w:rPr>
          <w:rFonts w:ascii="Times New Roman" w:hAnsi="Times New Roman"/>
          <w:sz w:val="28"/>
          <w:szCs w:val="28"/>
          <w:lang w:val="es-ES"/>
        </w:rPr>
        <w:t xml:space="preserve">. </w:t>
      </w:r>
    </w:p>
    <w:p w:rsidR="001E19D5" w:rsidRPr="007C57D2" w:rsidRDefault="007C57D2" w:rsidP="008F3DAB">
      <w:pPr>
        <w:spacing w:after="0" w:line="240" w:lineRule="auto"/>
        <w:rPr>
          <w:rFonts w:ascii="Times New Roman" w:hAnsi="Times New Roman"/>
          <w:sz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 xml:space="preserve">Para la Corte, el objeto del PLE es coherente con los mandatos </w:t>
      </w:r>
      <w:r w:rsidRPr="007C57D2">
        <w:rPr>
          <w:rFonts w:ascii="Times New Roman" w:hAnsi="Times New Roman"/>
          <w:sz w:val="28"/>
          <w:szCs w:val="28"/>
          <w:lang w:val="es-ES"/>
        </w:rPr>
        <w:t>constitucionales y no desconoce ningún artículo de la Constitución porque crea una herramienta especial para buscar y encontrar niños o niñas que se encuentran perdidos y no han sido ubicados por su familia u otras personas cercanas. Con la “Alerta Colombi</w:t>
      </w:r>
      <w:r w:rsidRPr="007C57D2">
        <w:rPr>
          <w:rFonts w:ascii="Times New Roman" w:hAnsi="Times New Roman"/>
          <w:sz w:val="28"/>
          <w:szCs w:val="28"/>
          <w:lang w:val="es-ES"/>
        </w:rPr>
        <w:t>a”, y dependiendo del motivo por el cual se encuentran extraviados, se quiere implementar un mecanismo adicional para, entre otros, proteger la vida, integridad física, la libertad de circular libremente y el derecho de los niños y las niñas a no ser separ</w:t>
      </w:r>
      <w:r w:rsidRPr="007C57D2">
        <w:rPr>
          <w:rFonts w:ascii="Times New Roman" w:hAnsi="Times New Roman"/>
          <w:sz w:val="28"/>
          <w:szCs w:val="28"/>
          <w:lang w:val="es-ES"/>
        </w:rPr>
        <w:t>ado de su familia.</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También, y según la causa del extravío, la “Alerta Colombia” contribuye a proteger a los niños y las niñas contra el abandono, la violencia física o moral, el secuestro, la venta, abuso sexual, explotación y trabajos riesgosos. Adiciona</w:t>
      </w:r>
      <w:r w:rsidRPr="007C57D2">
        <w:rPr>
          <w:rFonts w:ascii="Times New Roman" w:hAnsi="Times New Roman"/>
          <w:sz w:val="28"/>
          <w:szCs w:val="28"/>
          <w:lang w:val="es-ES"/>
        </w:rPr>
        <w:t xml:space="preserve">lmente, la citada alerta es coherente con el artículo 44 de la Constitución que impone a la familia, la sociedad y el Estado la obligación de asistir y proteger al niño para garantizar el ejercicio pleno de sus derechos. </w:t>
      </w:r>
    </w:p>
    <w:p w:rsidR="001E19D5" w:rsidRPr="007C57D2" w:rsidRDefault="007C57D2" w:rsidP="008F3DAB">
      <w:pPr>
        <w:pStyle w:val="Prrafodelista"/>
        <w:rPr>
          <w:rFonts w:ascii="Times New Roman" w:hAnsi="Times New Roman"/>
          <w:i/>
          <w:iCs/>
          <w:sz w:val="28"/>
          <w:szCs w:val="28"/>
          <w:lang w:val="es-ES"/>
        </w:rPr>
      </w:pPr>
    </w:p>
    <w:p w:rsidR="009628D3"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i/>
          <w:iCs/>
          <w:sz w:val="28"/>
          <w:szCs w:val="28"/>
          <w:lang w:val="es-ES"/>
        </w:rPr>
        <w:t>De los eventuales riesgos que gen</w:t>
      </w:r>
      <w:r w:rsidRPr="007C57D2">
        <w:rPr>
          <w:rFonts w:ascii="Times New Roman" w:hAnsi="Times New Roman"/>
          <w:i/>
          <w:iCs/>
          <w:sz w:val="28"/>
          <w:szCs w:val="28"/>
          <w:lang w:val="es-ES"/>
        </w:rPr>
        <w:t xml:space="preserve">era el PLE a los niños y las niñas. </w:t>
      </w:r>
      <w:r w:rsidRPr="007C57D2">
        <w:rPr>
          <w:rFonts w:ascii="Times New Roman" w:hAnsi="Times New Roman"/>
          <w:sz w:val="28"/>
          <w:szCs w:val="28"/>
          <w:lang w:val="es-ES"/>
        </w:rPr>
        <w:t xml:space="preserve">La Corte no desconoce que es probable que el diseño y puesta en marcha de la “Alerta Colombia” </w:t>
      </w:r>
      <w:r w:rsidRPr="007C57D2">
        <w:rPr>
          <w:rFonts w:ascii="Times New Roman" w:hAnsi="Times New Roman"/>
          <w:sz w:val="28"/>
          <w:szCs w:val="28"/>
        </w:rPr>
        <w:t xml:space="preserve">podría entrar en conflicto con algunos de los derechos de los niños y las niñas. </w:t>
      </w:r>
      <w:r w:rsidRPr="007C57D2">
        <w:rPr>
          <w:rFonts w:ascii="Times New Roman" w:hAnsi="Times New Roman"/>
          <w:sz w:val="28"/>
          <w:szCs w:val="28"/>
        </w:rPr>
        <w:t xml:space="preserve">En efecto, la creación de una alerta </w:t>
      </w:r>
      <w:r w:rsidRPr="007C57D2">
        <w:rPr>
          <w:rFonts w:ascii="Times New Roman" w:hAnsi="Times New Roman"/>
          <w:sz w:val="28"/>
          <w:szCs w:val="28"/>
        </w:rPr>
        <w:t>de difu</w:t>
      </w:r>
      <w:r w:rsidRPr="007C57D2">
        <w:rPr>
          <w:rFonts w:ascii="Times New Roman" w:hAnsi="Times New Roman"/>
          <w:sz w:val="28"/>
          <w:szCs w:val="28"/>
        </w:rPr>
        <w:t xml:space="preserve">sión </w:t>
      </w:r>
      <w:r w:rsidRPr="007C57D2">
        <w:rPr>
          <w:rFonts w:ascii="Times New Roman" w:hAnsi="Times New Roman"/>
          <w:sz w:val="28"/>
          <w:szCs w:val="28"/>
        </w:rPr>
        <w:t xml:space="preserve">masiva sobre menores </w:t>
      </w:r>
      <w:r w:rsidRPr="007C57D2">
        <w:rPr>
          <w:rFonts w:ascii="Times New Roman" w:hAnsi="Times New Roman"/>
          <w:sz w:val="28"/>
          <w:szCs w:val="28"/>
        </w:rPr>
        <w:t xml:space="preserve">de 18 años </w:t>
      </w:r>
      <w:r w:rsidRPr="007C57D2">
        <w:rPr>
          <w:rFonts w:ascii="Times New Roman" w:hAnsi="Times New Roman"/>
          <w:sz w:val="28"/>
          <w:szCs w:val="28"/>
        </w:rPr>
        <w:t xml:space="preserve">extraviados, con amplia difusión de datos como los señalados en el artículo 6 del PLE </w:t>
      </w:r>
      <w:r w:rsidRPr="007C57D2">
        <w:rPr>
          <w:rFonts w:ascii="Times New Roman" w:hAnsi="Times New Roman"/>
          <w:i/>
          <w:iCs/>
          <w:sz w:val="28"/>
          <w:szCs w:val="28"/>
        </w:rPr>
        <w:t>-nombre, fotografía (dato sensible), vestimenta, zona exacta del extravío, teléfonos de familiares-</w:t>
      </w:r>
      <w:r w:rsidRPr="007C57D2">
        <w:rPr>
          <w:rFonts w:ascii="Times New Roman" w:hAnsi="Times New Roman"/>
          <w:sz w:val="28"/>
          <w:szCs w:val="28"/>
        </w:rPr>
        <w:t xml:space="preserve">  puede implicar riesgos relevantes para los niños, niñas y adolescentes como, entre otros, la exposición excesiva de su imagen, vulneración de su privacidad, estigmatización en su entorno, utilización indebida de sus datos por terceros (incluidos potencia</w:t>
      </w:r>
      <w:r w:rsidRPr="007C57D2">
        <w:rPr>
          <w:rFonts w:ascii="Times New Roman" w:hAnsi="Times New Roman"/>
          <w:sz w:val="28"/>
          <w:szCs w:val="28"/>
        </w:rPr>
        <w:t>les agresores, extorsionistas o redes criminales), revictimización mediática y digital, así como riesgos de errores o informaciones falsas que afecten su seguridad y la de sus familias.</w:t>
      </w:r>
    </w:p>
    <w:p w:rsidR="009628D3"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La existencia de tales riesgos</w:t>
      </w:r>
      <w:r w:rsidRPr="007C57D2">
        <w:rPr>
          <w:rFonts w:ascii="Times New Roman" w:hAnsi="Times New Roman"/>
          <w:sz w:val="28"/>
          <w:szCs w:val="28"/>
        </w:rPr>
        <w:t>, por sí solo y en abstracto, no es suf</w:t>
      </w:r>
      <w:r w:rsidRPr="007C57D2">
        <w:rPr>
          <w:rFonts w:ascii="Times New Roman" w:hAnsi="Times New Roman"/>
          <w:sz w:val="28"/>
          <w:szCs w:val="28"/>
        </w:rPr>
        <w:t xml:space="preserve">iciente motivo para declarar inconstitucional el PLE. En efecto, en cuanto </w:t>
      </w:r>
      <w:r w:rsidRPr="007C57D2">
        <w:rPr>
          <w:rFonts w:ascii="Times New Roman" w:hAnsi="Times New Roman"/>
          <w:i/>
          <w:iCs/>
          <w:sz w:val="28"/>
          <w:szCs w:val="28"/>
        </w:rPr>
        <w:t>al diseño</w:t>
      </w:r>
      <w:r w:rsidRPr="007C57D2">
        <w:rPr>
          <w:rFonts w:ascii="Times New Roman" w:hAnsi="Times New Roman"/>
          <w:sz w:val="28"/>
          <w:szCs w:val="28"/>
        </w:rPr>
        <w:t xml:space="preserve"> </w:t>
      </w:r>
      <w:r w:rsidRPr="007C57D2">
        <w:rPr>
          <w:rFonts w:ascii="Times New Roman" w:hAnsi="Times New Roman"/>
          <w:i/>
          <w:iCs/>
          <w:sz w:val="28"/>
          <w:szCs w:val="28"/>
        </w:rPr>
        <w:t>del sistema de alertas públicas</w:t>
      </w:r>
      <w:r w:rsidRPr="007C57D2">
        <w:rPr>
          <w:rFonts w:ascii="Times New Roman" w:hAnsi="Times New Roman"/>
          <w:sz w:val="28"/>
          <w:szCs w:val="28"/>
        </w:rPr>
        <w:t xml:space="preserve"> debe analizarse integralmente el contenido del PLE con miras a establecer los eventuales riesgos concretos que se podrían generar y, al mis</w:t>
      </w:r>
      <w:r w:rsidRPr="007C57D2">
        <w:rPr>
          <w:rFonts w:ascii="Times New Roman" w:hAnsi="Times New Roman"/>
          <w:sz w:val="28"/>
          <w:szCs w:val="28"/>
        </w:rPr>
        <w:t xml:space="preserve">mo tiempo, verificar si en el mismo se prevén mecanismos razonables para mitigarlos. </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Particularmente, debe estudiarse si alguna disposición del PLE es contraria a los mandatos constitucionales porque, por ejemplo, no garantiza la efectividad de los derec</w:t>
      </w:r>
      <w:r w:rsidRPr="007C57D2">
        <w:rPr>
          <w:rFonts w:ascii="Times New Roman" w:hAnsi="Times New Roman"/>
          <w:sz w:val="28"/>
          <w:szCs w:val="28"/>
        </w:rPr>
        <w:t>hos. Esto es, precisamente, parte de la función de la Corte al confrontar el texto del PLE con la Constitución. Pero, se repite, de entrada, no es procedente la declaratoria de inconstitucionalidad del artículo 1 del PLE por la sola afirmación de la existe</w:t>
      </w:r>
      <w:r w:rsidRPr="007C57D2">
        <w:rPr>
          <w:rFonts w:ascii="Times New Roman" w:hAnsi="Times New Roman"/>
          <w:sz w:val="28"/>
          <w:szCs w:val="28"/>
        </w:rPr>
        <w:t xml:space="preserve">ncia abstracta de riesgos para los niños y las niñas.  </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 xml:space="preserve">Es necesario tener presente lo siguiente respecto de la </w:t>
      </w:r>
      <w:r w:rsidRPr="007C57D2">
        <w:rPr>
          <w:rFonts w:ascii="Times New Roman" w:hAnsi="Times New Roman"/>
          <w:i/>
          <w:iCs/>
          <w:sz w:val="28"/>
          <w:szCs w:val="28"/>
        </w:rPr>
        <w:t>puesta en marcha de lo que establece el PLE</w:t>
      </w:r>
      <w:r w:rsidRPr="007C57D2">
        <w:rPr>
          <w:rFonts w:ascii="Times New Roman" w:hAnsi="Times New Roman"/>
          <w:sz w:val="28"/>
          <w:szCs w:val="28"/>
        </w:rPr>
        <w:t>: En primer lugar, escapa al control de la Corte la implementación real de las disposiciones legales</w:t>
      </w:r>
      <w:r w:rsidRPr="007C57D2">
        <w:rPr>
          <w:rFonts w:ascii="Times New Roman" w:hAnsi="Times New Roman"/>
          <w:sz w:val="28"/>
          <w:szCs w:val="28"/>
        </w:rPr>
        <w:t xml:space="preserve"> porque ello depende de la labor que adelanten las entidades involucradas para cumplir un mandato legal y de la conducta humana de las personas frente al mismo. Este último aspecto no hace parte de la labor de esta Corte en el proceso de revisión de proyec</w:t>
      </w:r>
      <w:r w:rsidRPr="007C57D2">
        <w:rPr>
          <w:rFonts w:ascii="Times New Roman" w:hAnsi="Times New Roman"/>
          <w:sz w:val="28"/>
          <w:szCs w:val="28"/>
        </w:rPr>
        <w:t xml:space="preserve">tos de ley estatutaria. </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En segundo lugar, la responsabilidad por la implementación de la ley debe ser analizada por las autoridades competentes en los procesos por incumplimiento de la Constitución y la ley, dentro del marco establecido por el artículo 6</w:t>
      </w:r>
      <w:r w:rsidRPr="007C57D2">
        <w:rPr>
          <w:rFonts w:ascii="Times New Roman" w:hAnsi="Times New Roman"/>
          <w:sz w:val="28"/>
          <w:szCs w:val="28"/>
        </w:rPr>
        <w:t xml:space="preserve"> de las Constitución, según el cual “los particulares sólo son responsables ante las autoridades por infringir la Constitución y las leyes. Los servidores públicos lo son por la misma causa y por omisión o extralimitación en el ejercicio de sus funciones”.</w:t>
      </w:r>
      <w:r w:rsidRPr="007C57D2">
        <w:rPr>
          <w:rFonts w:ascii="Times New Roman" w:hAnsi="Times New Roman"/>
          <w:sz w:val="28"/>
          <w:szCs w:val="28"/>
        </w:rPr>
        <w:t xml:space="preserve"> Adicionalmente, para el caso de los funcionarios públicos, se debe tener presente que el artículo 123 de la Constitución es enfática en señalar que los servidores públicos deben ejercer “sus funciones en la forma prevista por la Constitución, la ley y el </w:t>
      </w:r>
      <w:r w:rsidRPr="007C57D2">
        <w:rPr>
          <w:rFonts w:ascii="Times New Roman" w:hAnsi="Times New Roman"/>
          <w:sz w:val="28"/>
          <w:szCs w:val="28"/>
        </w:rPr>
        <w:t xml:space="preserve">reglamento.”. Así las cosas, la implementación de la “Alerta Colombia” no puede hacerse de cualquier forma sino de la manera que lo señale la regulación pertinente. </w:t>
      </w:r>
    </w:p>
    <w:p w:rsidR="001E19D5" w:rsidRPr="007C57D2" w:rsidRDefault="007C57D2" w:rsidP="008F3DAB">
      <w:pPr>
        <w:pStyle w:val="Prrafodelista"/>
        <w:rPr>
          <w:rFonts w:ascii="Times New Roman" w:hAnsi="Times New Roman"/>
          <w:i/>
          <w:iCs/>
          <w:sz w:val="28"/>
          <w:szCs w:val="28"/>
          <w:lang w:val="es-ES_tradnl"/>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i/>
          <w:iCs/>
          <w:sz w:val="28"/>
          <w:szCs w:val="28"/>
          <w:lang w:val="es-ES_tradnl"/>
        </w:rPr>
        <w:t xml:space="preserve">De </w:t>
      </w:r>
      <w:r w:rsidRPr="007C57D2">
        <w:rPr>
          <w:rFonts w:ascii="Times New Roman" w:hAnsi="Times New Roman"/>
          <w:i/>
          <w:iCs/>
          <w:sz w:val="28"/>
          <w:szCs w:val="28"/>
        </w:rPr>
        <w:t>la presunta inconveniencia por la duplicidad de regulación sobre el tema del PLE</w:t>
      </w:r>
      <w:r w:rsidRPr="007C57D2">
        <w:rPr>
          <w:rFonts w:ascii="Times New Roman" w:hAnsi="Times New Roman"/>
          <w:sz w:val="28"/>
          <w:szCs w:val="28"/>
        </w:rPr>
        <w:t xml:space="preserve">. </w:t>
      </w:r>
      <w:r w:rsidRPr="007C57D2">
        <w:rPr>
          <w:rFonts w:ascii="Times New Roman" w:hAnsi="Times New Roman"/>
          <w:sz w:val="28"/>
          <w:szCs w:val="28"/>
          <w:lang w:val="es-ES"/>
        </w:rPr>
        <w:t>Es r</w:t>
      </w:r>
      <w:r w:rsidRPr="007C57D2">
        <w:rPr>
          <w:rFonts w:ascii="Times New Roman" w:hAnsi="Times New Roman"/>
          <w:sz w:val="28"/>
          <w:szCs w:val="28"/>
          <w:lang w:val="es-ES"/>
        </w:rPr>
        <w:t>elevante señalar lo siguiente sobre las inquietudes respecto de este aspecto</w:t>
      </w:r>
      <w:r w:rsidRPr="007C57D2">
        <w:rPr>
          <w:rFonts w:ascii="Times New Roman" w:hAnsi="Times New Roman"/>
          <w:sz w:val="28"/>
          <w:szCs w:val="28"/>
          <w:lang w:val="es-ES"/>
        </w:rPr>
        <w:t xml:space="preserve"> planteadas por el </w:t>
      </w:r>
      <w:r w:rsidRPr="007C57D2">
        <w:rPr>
          <w:rFonts w:ascii="Times New Roman" w:hAnsi="Times New Roman"/>
          <w:sz w:val="28"/>
          <w:szCs w:val="28"/>
        </w:rPr>
        <w:t>Ministerio de Justicia y del Derecho, la Comisión de Regulación de Comunicaciones y la Asociación de la Industria Móvil de Colombia</w:t>
      </w:r>
      <w:r w:rsidRPr="007C57D2">
        <w:rPr>
          <w:rFonts w:ascii="Times New Roman" w:hAnsi="Times New Roman"/>
          <w:sz w:val="28"/>
          <w:szCs w:val="28"/>
          <w:lang w:val="es-ES"/>
        </w:rPr>
        <w:t>. E</w:t>
      </w:r>
      <w:r w:rsidRPr="007C57D2">
        <w:rPr>
          <w:rFonts w:ascii="Times New Roman" w:hAnsi="Times New Roman"/>
          <w:sz w:val="28"/>
          <w:szCs w:val="28"/>
          <w:lang w:val="es-ES_tradnl"/>
        </w:rPr>
        <w:t xml:space="preserve">n primer lugar, el control constitucional de los proyectos de leyes estatutarias es jurisdiccional porque es efectuado por la Corte para establecer </w:t>
      </w:r>
      <w:r w:rsidRPr="007C57D2">
        <w:rPr>
          <w:rFonts w:ascii="Times New Roman" w:hAnsi="Times New Roman"/>
          <w:sz w:val="28"/>
          <w:szCs w:val="28"/>
        </w:rPr>
        <w:t>si el PLE cumple los requisitos formales y materiales de validez</w:t>
      </w:r>
      <w:r w:rsidRPr="007C57D2">
        <w:rPr>
          <w:rFonts w:ascii="Times New Roman" w:hAnsi="Times New Roman"/>
          <w:sz w:val="28"/>
          <w:szCs w:val="28"/>
          <w:lang w:val="es-ES_tradnl"/>
        </w:rPr>
        <w:t>, de modo que no implica una valoración de a</w:t>
      </w:r>
      <w:r w:rsidRPr="007C57D2">
        <w:rPr>
          <w:rFonts w:ascii="Times New Roman" w:hAnsi="Times New Roman"/>
          <w:sz w:val="28"/>
          <w:szCs w:val="28"/>
          <w:lang w:val="es-ES_tradnl"/>
        </w:rPr>
        <w:t xml:space="preserve">spectos relacionados con la conveniencia u oportunidad del proyecto de ley.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 xml:space="preserve">Según el artículo 153 de la Constitución, la revisión previa del proyecto de ley estatutaria tiene como objetivo que esta Corte se pronuncie sobre la exequibilidad del proyecto. </w:t>
      </w:r>
      <w:r w:rsidRPr="007C57D2">
        <w:rPr>
          <w:rFonts w:ascii="Times New Roman" w:hAnsi="Times New Roman"/>
          <w:sz w:val="28"/>
          <w:szCs w:val="28"/>
          <w:lang w:val="es-ES"/>
        </w:rPr>
        <w:t>Es decir, debe confrontar el PLE con la Constitución para establecer si, tanto el procedimiento de aprobación como el contenido del PLE, se ajustan o no a los mandatos constitucionales dentro del marco de la “guarda de la integridad y supremacía de la Cons</w:t>
      </w:r>
      <w:r w:rsidRPr="007C57D2">
        <w:rPr>
          <w:rFonts w:ascii="Times New Roman" w:hAnsi="Times New Roman"/>
          <w:sz w:val="28"/>
          <w:szCs w:val="28"/>
          <w:lang w:val="es-ES"/>
        </w:rPr>
        <w:t>titución”</w:t>
      </w:r>
      <w:r w:rsidRPr="007C57D2">
        <w:rPr>
          <w:rStyle w:val="Refdenotaalpie"/>
          <w:rFonts w:ascii="Times New Roman" w:hAnsi="Times New Roman"/>
          <w:sz w:val="28"/>
          <w:szCs w:val="28"/>
          <w:lang w:val="es-ES"/>
        </w:rPr>
        <w:footnoteReference w:id="462"/>
      </w:r>
      <w:r w:rsidRPr="007C57D2">
        <w:rPr>
          <w:rFonts w:ascii="Times New Roman" w:hAnsi="Times New Roman"/>
          <w:sz w:val="28"/>
          <w:szCs w:val="28"/>
          <w:lang w:val="es-ES"/>
        </w:rPr>
        <w:t xml:space="preserve">. Ese es, precisamente, el cometido de esta Corte cuando le corresponde </w:t>
      </w:r>
      <w:r w:rsidRPr="007C57D2">
        <w:rPr>
          <w:rFonts w:ascii="Times New Roman" w:hAnsi="Times New Roman"/>
          <w:sz w:val="28"/>
          <w:szCs w:val="28"/>
        </w:rPr>
        <w:t>decidir sobre la constitucionalidad de los proyectos de leyes estatutarias, tanto por su contenido material como por vicios de procedimiento en su formación</w:t>
      </w:r>
      <w:r w:rsidRPr="007C57D2">
        <w:rPr>
          <w:rStyle w:val="Refdenotaalpie"/>
          <w:rFonts w:ascii="Times New Roman" w:hAnsi="Times New Roman"/>
          <w:sz w:val="28"/>
          <w:szCs w:val="28"/>
        </w:rPr>
        <w:footnoteReference w:id="463"/>
      </w:r>
      <w:r w:rsidRPr="007C57D2">
        <w:rPr>
          <w:rFonts w:ascii="Times New Roman" w:hAnsi="Times New Roman"/>
          <w:sz w:val="28"/>
          <w:szCs w:val="28"/>
        </w:rPr>
        <w:t>.</w:t>
      </w:r>
      <w:r w:rsidRPr="007C57D2">
        <w:rPr>
          <w:rFonts w:ascii="Times New Roman" w:hAnsi="Times New Roman"/>
          <w:sz w:val="28"/>
          <w:szCs w:val="28"/>
          <w:lang w:val="es-ES"/>
        </w:rPr>
        <w:t xml:space="preserve"> No debe, por ta</w:t>
      </w:r>
      <w:r w:rsidRPr="007C57D2">
        <w:rPr>
          <w:rFonts w:ascii="Times New Roman" w:hAnsi="Times New Roman"/>
          <w:sz w:val="28"/>
          <w:szCs w:val="28"/>
          <w:lang w:val="es-ES"/>
        </w:rPr>
        <w:t xml:space="preserve">nto, establecer su conveniencia, ni pronunciarse sobre la duplicidad regulatoria sobre un tema.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lang w:val="es-ES"/>
        </w:rPr>
        <w:t xml:space="preserve">En segundo lugar, el </w:t>
      </w:r>
      <w:r w:rsidRPr="007C57D2">
        <w:rPr>
          <w:rFonts w:ascii="Times New Roman" w:hAnsi="Times New Roman"/>
          <w:sz w:val="28"/>
          <w:szCs w:val="28"/>
        </w:rPr>
        <w:t>PLE incorpora aspectos complementarios a la regulación preexistente sobre mecanismos de búsqueda, localización y recuperación niños y niñ</w:t>
      </w:r>
      <w:r w:rsidRPr="007C57D2">
        <w:rPr>
          <w:rFonts w:ascii="Times New Roman" w:hAnsi="Times New Roman"/>
          <w:sz w:val="28"/>
          <w:szCs w:val="28"/>
        </w:rPr>
        <w:t>as extraviados. Para su correcta y eficiente aplicación debe acudirse, entre otros, a lo previsto en los artículos 113 y 209 de la Constitución. El primero demanda la colaboración armónica entre los diferentes órganos del Estado para cumplir las finalidade</w:t>
      </w:r>
      <w:r w:rsidRPr="007C57D2">
        <w:rPr>
          <w:rFonts w:ascii="Times New Roman" w:hAnsi="Times New Roman"/>
          <w:sz w:val="28"/>
          <w:szCs w:val="28"/>
        </w:rPr>
        <w:t>s del mismo. El segundo, por su parte, enfatiza que “las autoridades administrativas deben coordinar sus actuaciones para el adecuado cumplimiento de los fines del Estado”. Adicionalmente, puntualiza que “la función administrativa está al servicio de los i</w:t>
      </w:r>
      <w:r w:rsidRPr="007C57D2">
        <w:rPr>
          <w:rFonts w:ascii="Times New Roman" w:hAnsi="Times New Roman"/>
          <w:sz w:val="28"/>
          <w:szCs w:val="28"/>
        </w:rPr>
        <w:t xml:space="preserve">ntereses generales y se desarrolla con fundamento en los principios de igualdad, moralidad, eficacia, economía, celeridad, imparcialidad y publicidad”. </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 xml:space="preserve">Como se señaló en líneas anteriores, la “Alerta Colombia” hará parte del “sistema de alertas temprana </w:t>
      </w:r>
      <w:r w:rsidRPr="007C57D2">
        <w:rPr>
          <w:rFonts w:ascii="Times New Roman" w:hAnsi="Times New Roman"/>
          <w:sz w:val="28"/>
          <w:szCs w:val="28"/>
        </w:rPr>
        <w:t>sobre la niñez colombiana”, cuya articulación corresponde liderar al Ministerio de las Tecnologías de la Información y las Comunicaciones</w:t>
      </w:r>
      <w:r w:rsidRPr="007C57D2">
        <w:rPr>
          <w:rFonts w:ascii="Times New Roman" w:hAnsi="Times New Roman"/>
          <w:sz w:val="28"/>
          <w:vertAlign w:val="superscript"/>
        </w:rPr>
        <w:footnoteReference w:id="464"/>
      </w:r>
      <w:r w:rsidRPr="007C57D2">
        <w:rPr>
          <w:rFonts w:ascii="Times New Roman" w:hAnsi="Times New Roman"/>
          <w:sz w:val="28"/>
          <w:szCs w:val="28"/>
        </w:rPr>
        <w:t>, quien en ejercicio de sus deberes legales deberá observar los precitados artículos 113 y 209, bajo un escenario de c</w:t>
      </w:r>
      <w:r w:rsidRPr="007C57D2">
        <w:rPr>
          <w:rFonts w:ascii="Times New Roman" w:hAnsi="Times New Roman"/>
          <w:sz w:val="28"/>
          <w:szCs w:val="28"/>
        </w:rPr>
        <w:t>oordinación y colaboración armónica entre las entidades y sujetos involucrados por el PLE para el cumplimiento de su objetivo.</w:t>
      </w:r>
    </w:p>
    <w:p w:rsidR="009B0DB4" w:rsidRPr="007C57D2" w:rsidRDefault="007C57D2" w:rsidP="008F3DAB">
      <w:pPr>
        <w:pStyle w:val="Prrafodelista"/>
        <w:rPr>
          <w:rFonts w:ascii="Times New Roman" w:hAnsi="Times New Roman"/>
          <w:sz w:val="28"/>
          <w:szCs w:val="28"/>
        </w:rPr>
      </w:pPr>
    </w:p>
    <w:p w:rsidR="009B0DB4"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Es necesario recalcar que el artículo 209 de la Constitución exige que las autoridades administrativas coordinen sus actuaciones</w:t>
      </w:r>
      <w:r w:rsidRPr="007C57D2">
        <w:rPr>
          <w:rFonts w:ascii="Times New Roman" w:hAnsi="Times New Roman"/>
          <w:sz w:val="28"/>
          <w:szCs w:val="28"/>
        </w:rPr>
        <w:t xml:space="preserve"> y orienten la función pública por los principios de eficacia, economía y celeridad. A la luz de ese mandato, la coexistencia de sistemas paralelos para enfrentar el mismo fenómeno resulta preocupante porque la duplicación de mecanismos crea riesgos reales</w:t>
      </w:r>
      <w:r w:rsidRPr="007C57D2">
        <w:rPr>
          <w:rFonts w:ascii="Times New Roman" w:hAnsi="Times New Roman"/>
          <w:sz w:val="28"/>
          <w:szCs w:val="28"/>
        </w:rPr>
        <w:t xml:space="preserve"> de descoordinación institucional y retrasos en la respuesta estatal</w:t>
      </w:r>
      <w:r w:rsidRPr="007C57D2">
        <w:rPr>
          <w:rFonts w:ascii="Times New Roman" w:hAnsi="Times New Roman"/>
          <w:sz w:val="28"/>
          <w:szCs w:val="28"/>
        </w:rPr>
        <w:t xml:space="preserve">. </w:t>
      </w:r>
      <w:r w:rsidRPr="007C57D2">
        <w:rPr>
          <w:rFonts w:ascii="Times New Roman" w:hAnsi="Times New Roman"/>
          <w:sz w:val="28"/>
          <w:szCs w:val="28"/>
        </w:rPr>
        <w:t xml:space="preserve">Por ello, </w:t>
      </w:r>
      <w:r w:rsidRPr="007C57D2">
        <w:rPr>
          <w:rFonts w:ascii="Times New Roman" w:hAnsi="Times New Roman"/>
          <w:sz w:val="28"/>
          <w:szCs w:val="28"/>
        </w:rPr>
        <w:t>resulta indispensable resaltar la necesidad de una colaboración armónica entre entidades</w:t>
      </w:r>
      <w:r w:rsidRPr="007C57D2">
        <w:rPr>
          <w:rFonts w:ascii="Times New Roman" w:hAnsi="Times New Roman"/>
          <w:sz w:val="28"/>
          <w:szCs w:val="28"/>
        </w:rPr>
        <w:t xml:space="preserve"> y la articulación de sus actuaciones, de modo que se superen las deficiencias identificadas en el proyecto</w:t>
      </w:r>
      <w:r w:rsidRPr="007C57D2">
        <w:rPr>
          <w:rFonts w:ascii="Times New Roman" w:hAnsi="Times New Roman"/>
          <w:sz w:val="28"/>
          <w:szCs w:val="28"/>
        </w:rPr>
        <w:t xml:space="preserve"> -en particular la duplicación de sistemas para atender </w:t>
      </w:r>
      <w:r w:rsidRPr="007C57D2">
        <w:rPr>
          <w:rFonts w:ascii="Times New Roman" w:hAnsi="Times New Roman"/>
          <w:sz w:val="28"/>
          <w:szCs w:val="28"/>
        </w:rPr>
        <w:t>la misma situación</w:t>
      </w:r>
      <w:r w:rsidRPr="007C57D2">
        <w:rPr>
          <w:rFonts w:ascii="Times New Roman" w:hAnsi="Times New Roman"/>
          <w:sz w:val="28"/>
          <w:szCs w:val="28"/>
        </w:rPr>
        <w:t>-</w:t>
      </w:r>
      <w:r w:rsidRPr="007C57D2">
        <w:rPr>
          <w:rFonts w:ascii="Times New Roman" w:hAnsi="Times New Roman"/>
          <w:sz w:val="28"/>
          <w:szCs w:val="28"/>
        </w:rPr>
        <w:t xml:space="preserve"> y se garantice una actuación coherente, oportuna y racional </w:t>
      </w:r>
      <w:r w:rsidRPr="007C57D2">
        <w:rPr>
          <w:rFonts w:ascii="Times New Roman" w:hAnsi="Times New Roman"/>
          <w:sz w:val="28"/>
          <w:szCs w:val="28"/>
        </w:rPr>
        <w:t>para lograr l</w:t>
      </w:r>
      <w:r w:rsidRPr="007C57D2">
        <w:rPr>
          <w:rFonts w:ascii="Times New Roman" w:hAnsi="Times New Roman"/>
          <w:sz w:val="28"/>
          <w:szCs w:val="28"/>
        </w:rPr>
        <w:t xml:space="preserve">os objetivos del PLE. </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sz w:val="28"/>
          <w:szCs w:val="28"/>
        </w:rPr>
      </w:pPr>
      <w:r w:rsidRPr="007C57D2">
        <w:rPr>
          <w:rFonts w:ascii="Times New Roman" w:hAnsi="Times New Roman"/>
          <w:sz w:val="28"/>
          <w:szCs w:val="28"/>
        </w:rPr>
        <w:t xml:space="preserve">Finalmente, y en línea con lo anterior, el parágrafo del artículo 11 del PLE establece que el “Ministerio de las Tecnologías de la Información y las Comunicaciones en coordinación con el Institución Colombiano de Bienestar Familiar </w:t>
      </w:r>
      <w:r w:rsidRPr="007C57D2">
        <w:rPr>
          <w:rFonts w:ascii="Times New Roman" w:hAnsi="Times New Roman"/>
          <w:sz w:val="28"/>
          <w:szCs w:val="28"/>
        </w:rPr>
        <w:t>(ICBF) y la Policía Nacional deberá articular con los sujetos descritos en el artículo 6 de esta ley el protocolo de difusión de la Alerta Colombia en el país”, es decir que la divulgación de la alerta debe ser liderada y coordinada por el citado ministeri</w:t>
      </w:r>
      <w:r w:rsidRPr="007C57D2">
        <w:rPr>
          <w:rFonts w:ascii="Times New Roman" w:hAnsi="Times New Roman"/>
          <w:sz w:val="28"/>
          <w:szCs w:val="28"/>
        </w:rPr>
        <w:t xml:space="preserve">o con los proveedores de redes y servicios de telecomunicaciones móviles.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11"/>
        </w:numPr>
        <w:tabs>
          <w:tab w:val="left" w:pos="993"/>
        </w:tabs>
        <w:ind w:left="567" w:firstLine="0"/>
        <w:jc w:val="both"/>
        <w:rPr>
          <w:rFonts w:ascii="Times New Roman" w:hAnsi="Times New Roman"/>
          <w:b/>
          <w:bCs/>
          <w:sz w:val="28"/>
          <w:szCs w:val="28"/>
          <w:lang w:val="es-ES_tradnl"/>
        </w:rPr>
      </w:pPr>
      <w:r w:rsidRPr="007C57D2">
        <w:rPr>
          <w:rFonts w:ascii="Times New Roman" w:hAnsi="Times New Roman"/>
          <w:b/>
          <w:bCs/>
          <w:sz w:val="28"/>
          <w:szCs w:val="28"/>
          <w:lang w:val="es-ES_tradnl"/>
        </w:rPr>
        <w:t xml:space="preserve">Decisión sobre la constitucionalidad del artículo 1° del PLE. </w:t>
      </w:r>
    </w:p>
    <w:p w:rsidR="001E19D5" w:rsidRPr="007C57D2" w:rsidRDefault="007C57D2" w:rsidP="008F3DAB">
      <w:pPr>
        <w:pStyle w:val="Prrafodelista"/>
        <w:ind w:left="0"/>
        <w:jc w:val="both"/>
        <w:rPr>
          <w:rFonts w:ascii="Times New Roman" w:hAnsi="Times New Roman"/>
          <w:i/>
          <w:iCs/>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 xml:space="preserve">Por las razones expuestas en los párrafos precedentes, la Corte procederá a declarar la constitucionalidad del </w:t>
      </w:r>
      <w:r w:rsidRPr="007C57D2">
        <w:rPr>
          <w:rFonts w:ascii="Times New Roman" w:hAnsi="Times New Roman"/>
          <w:sz w:val="28"/>
          <w:szCs w:val="28"/>
          <w:lang w:val="es-ES_tradnl"/>
        </w:rPr>
        <w:t>artículo 1°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Ttulo3"/>
        <w:spacing w:before="0" w:after="0" w:line="240" w:lineRule="auto"/>
        <w:rPr>
          <w:rFonts w:ascii="Times New Roman" w:hAnsi="Times New Roman"/>
          <w:b/>
          <w:bCs/>
          <w:color w:val="000000"/>
          <w:lang w:val="es-ES_tradnl"/>
        </w:rPr>
      </w:pPr>
      <w:bookmarkStart w:id="47" w:name="_Toc222728035"/>
      <w:r w:rsidRPr="007C57D2">
        <w:rPr>
          <w:rFonts w:ascii="Times New Roman" w:hAnsi="Times New Roman"/>
          <w:b/>
          <w:bCs/>
          <w:color w:val="000000"/>
          <w:lang w:val="es-ES_tradnl"/>
        </w:rPr>
        <w:t>5.5.2. Definiciones (Examen de constitucionalidad del artículo 2 del PLE)</w:t>
      </w:r>
      <w:bookmarkEnd w:id="47"/>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1"/>
          <w:numId w:val="3"/>
        </w:numPr>
        <w:tabs>
          <w:tab w:val="left" w:pos="993"/>
        </w:tabs>
        <w:ind w:left="567" w:firstLine="0"/>
        <w:jc w:val="both"/>
        <w:rPr>
          <w:rFonts w:ascii="Times New Roman" w:hAnsi="Times New Roman"/>
          <w:sz w:val="28"/>
          <w:szCs w:val="28"/>
          <w:lang w:val="es-ES"/>
        </w:rPr>
      </w:pPr>
      <w:r w:rsidRPr="007C57D2">
        <w:rPr>
          <w:rFonts w:ascii="Times New Roman" w:hAnsi="Times New Roman"/>
          <w:b/>
          <w:bCs/>
          <w:sz w:val="28"/>
          <w:szCs w:val="28"/>
          <w:lang w:val="es-ES"/>
        </w:rPr>
        <w:t>Transcripción de la norma objeto de control.</w:t>
      </w:r>
      <w:r w:rsidRPr="007C57D2">
        <w:rPr>
          <w:rFonts w:ascii="Times New Roman" w:hAnsi="Times New Roman"/>
          <w:sz w:val="28"/>
          <w:szCs w:val="28"/>
          <w:lang w:val="es-ES"/>
        </w:rPr>
        <w:t xml:space="preserve"> </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 continuación, se transcribe la norma contenida en el artículo 2 del PLE: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w:t>
      </w:r>
      <w:r w:rsidRPr="007C57D2">
        <w:rPr>
          <w:rFonts w:ascii="Times New Roman" w:hAnsi="Times New Roman"/>
          <w:b/>
          <w:bCs/>
          <w:sz w:val="28"/>
          <w:szCs w:val="26"/>
        </w:rPr>
        <w:t>Artículo 2. Definiciones.</w:t>
      </w:r>
      <w:r w:rsidRPr="007C57D2">
        <w:rPr>
          <w:rFonts w:ascii="Times New Roman" w:hAnsi="Times New Roman"/>
          <w:sz w:val="28"/>
          <w:szCs w:val="26"/>
        </w:rPr>
        <w:t xml:space="preserve"> Para los efectos de la presente ley, entiéndase por: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a. Niños y niñas extraviadas:</w:t>
      </w:r>
      <w:r w:rsidRPr="007C57D2">
        <w:rPr>
          <w:rFonts w:ascii="Times New Roman" w:hAnsi="Times New Roman"/>
          <w:sz w:val="28"/>
          <w:szCs w:val="26"/>
        </w:rPr>
        <w:t xml:space="preserve"> Son todas las personas entre los 0 y 12 años que salen o son extraídas de su domicilio, residencia, establecimiento educativo u otro lugar y no pueden retornar al mismo o</w:t>
      </w:r>
      <w:r w:rsidRPr="007C57D2">
        <w:rPr>
          <w:rFonts w:ascii="Times New Roman" w:hAnsi="Times New Roman"/>
          <w:sz w:val="28"/>
          <w:szCs w:val="26"/>
        </w:rPr>
        <w:t xml:space="preserve"> a su hogar, y su familia o núcleo cercano no puede ubicarlas.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b. Personas llamadas a reportar:</w:t>
      </w:r>
      <w:r w:rsidRPr="007C57D2">
        <w:rPr>
          <w:rFonts w:ascii="Times New Roman" w:hAnsi="Times New Roman"/>
          <w:sz w:val="28"/>
          <w:szCs w:val="26"/>
        </w:rPr>
        <w:t xml:space="preserve"> Los padres, representantes legales, quien ostente la custodia o cuidadores, familiares del niño o niña representantes legales o el Instituto Colombiano de Bienestar Familiar deberán realizar el debido reporte de forma inmediata a través de cualquiera de l</w:t>
      </w:r>
      <w:r w:rsidRPr="007C57D2">
        <w:rPr>
          <w:rFonts w:ascii="Times New Roman" w:hAnsi="Times New Roman"/>
          <w:sz w:val="28"/>
          <w:szCs w:val="26"/>
        </w:rPr>
        <w:t xml:space="preserve">os medios digitales disponibles, o de manera presencial cuando no se tenga acceso a servicios tecnológicos.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c. Alerta Colombia:</w:t>
      </w:r>
      <w:r w:rsidRPr="007C57D2">
        <w:rPr>
          <w:rFonts w:ascii="Times New Roman" w:hAnsi="Times New Roman"/>
          <w:sz w:val="28"/>
          <w:szCs w:val="26"/>
        </w:rPr>
        <w:t xml:space="preserve"> Herramienta de difusión de información de los datos de niños y niñas extraviados para alertar, a través de los proveedores de </w:t>
      </w:r>
      <w:r w:rsidRPr="007C57D2">
        <w:rPr>
          <w:rFonts w:ascii="Times New Roman" w:hAnsi="Times New Roman"/>
          <w:sz w:val="28"/>
          <w:szCs w:val="26"/>
        </w:rPr>
        <w:t>redes y servicios de telecomunicaciones móviles de forma gratuita y cualquier canal o medio tecnológico que sirva para la difusión masiva a las autoridades y a la ciudadanía sobre los niños y niñas extraviados, con el fin de activar mecanismos de búsqueda,</w:t>
      </w:r>
      <w:r w:rsidRPr="007C57D2">
        <w:rPr>
          <w:rFonts w:ascii="Times New Roman" w:hAnsi="Times New Roman"/>
          <w:sz w:val="28"/>
          <w:szCs w:val="26"/>
        </w:rPr>
        <w:t xml:space="preserve"> localización y recuperación de éstos de forma inmediata.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d. Datos biométricos:</w:t>
      </w:r>
      <w:r w:rsidRPr="007C57D2">
        <w:rPr>
          <w:rFonts w:ascii="Times New Roman" w:hAnsi="Times New Roman"/>
          <w:sz w:val="28"/>
          <w:szCs w:val="26"/>
        </w:rPr>
        <w:t xml:space="preserve"> Son aquellos datos sensibles que permiten individualizar a una persona natural a través del reconocimiento de una característica física intransferible que la distingue de otr</w:t>
      </w:r>
      <w:r w:rsidRPr="007C57D2">
        <w:rPr>
          <w:rFonts w:ascii="Times New Roman" w:hAnsi="Times New Roman"/>
          <w:sz w:val="28"/>
          <w:szCs w:val="26"/>
        </w:rPr>
        <w:t xml:space="preserve">a persona como lo son el reconocimiento facial a través de fotografías, entre otros.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e. Datos personales:</w:t>
      </w:r>
      <w:r w:rsidRPr="007C57D2">
        <w:rPr>
          <w:rFonts w:ascii="Times New Roman" w:hAnsi="Times New Roman"/>
          <w:sz w:val="28"/>
          <w:szCs w:val="26"/>
        </w:rPr>
        <w:t xml:space="preserve"> Cualquier información vinculada o que pueda asociarse a una o varias personas naturales determinadas o determinables.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f. Autorización y divulgació</w:t>
      </w:r>
      <w:r w:rsidRPr="007C57D2">
        <w:rPr>
          <w:rFonts w:ascii="Times New Roman" w:hAnsi="Times New Roman"/>
          <w:b/>
          <w:bCs/>
          <w:sz w:val="28"/>
          <w:szCs w:val="26"/>
        </w:rPr>
        <w:t>n del tratamiento de datos biométricos y personales de niños y niñas:</w:t>
      </w:r>
      <w:r w:rsidRPr="007C57D2">
        <w:rPr>
          <w:rFonts w:ascii="Times New Roman" w:hAnsi="Times New Roman"/>
          <w:sz w:val="28"/>
          <w:szCs w:val="26"/>
        </w:rPr>
        <w:t xml:space="preserve"> Es aquel documento escrito que debe ser radicado en físico o cargado a la plataforma virtual dispuesta por el Instituto Colombiano de Bienestar Familiar y de manera física a la Policía N</w:t>
      </w:r>
      <w:r w:rsidRPr="007C57D2">
        <w:rPr>
          <w:rFonts w:ascii="Times New Roman" w:hAnsi="Times New Roman"/>
          <w:sz w:val="28"/>
          <w:szCs w:val="26"/>
        </w:rPr>
        <w:t>acional, donde cualquiera de los padres, representantes legales, quien ostente la custodia o cuidadores autoricen y consientan la divulgación y el tratamiento de los datos biométricos y personales de los niños y niñas, en aras de activar la Alerta Colombia</w:t>
      </w:r>
      <w:r w:rsidRPr="007C57D2">
        <w:rPr>
          <w:rFonts w:ascii="Times New Roman" w:hAnsi="Times New Roman"/>
          <w:sz w:val="28"/>
          <w:szCs w:val="26"/>
        </w:rPr>
        <w:t xml:space="preserve">.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g. Consentimiento informado:</w:t>
      </w:r>
      <w:r w:rsidRPr="007C57D2">
        <w:rPr>
          <w:rFonts w:ascii="Times New Roman" w:hAnsi="Times New Roman"/>
          <w:sz w:val="28"/>
          <w:szCs w:val="26"/>
        </w:rPr>
        <w:t xml:space="preserve"> Documento por el cual se establece el consentimiento informado de los padres, tutores o representantes legales, Instituto Colombiano de Bienestar Familiar, para el tratamiento de los datos biométricos y personales de los ni</w:t>
      </w:r>
      <w:r w:rsidRPr="007C57D2">
        <w:rPr>
          <w:rFonts w:ascii="Times New Roman" w:hAnsi="Times New Roman"/>
          <w:sz w:val="28"/>
          <w:szCs w:val="26"/>
        </w:rPr>
        <w:t>ños y niñas, garantizando así su protección y el respeto a sus derechos fundamentales”.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12"/>
        </w:numPr>
        <w:tabs>
          <w:tab w:val="left" w:pos="993"/>
        </w:tabs>
        <w:ind w:left="567" w:firstLine="0"/>
        <w:jc w:val="both"/>
        <w:rPr>
          <w:rFonts w:ascii="Times New Roman" w:hAnsi="Times New Roman"/>
          <w:b/>
          <w:bCs/>
          <w:sz w:val="28"/>
          <w:szCs w:val="28"/>
          <w:lang w:val="es-ES"/>
        </w:rPr>
      </w:pPr>
      <w:r w:rsidRPr="007C57D2">
        <w:rPr>
          <w:rFonts w:ascii="Times New Roman" w:hAnsi="Times New Roman"/>
          <w:b/>
          <w:bCs/>
          <w:sz w:val="28"/>
          <w:szCs w:val="28"/>
          <w:lang w:val="es-ES"/>
        </w:rPr>
        <w:t>Problema jurídico e intervenciones.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Para decidir definitivamente sobre la constitucionalidad del PLE, respecto del contenido material del artículo 2, le corresponde a la Corte resolver lo siguiente: ¿Se ajusta el artículo 2 del PLE a lo dispuesto en los preceptos constitucionales? En particu</w:t>
      </w:r>
      <w:r w:rsidRPr="007C57D2">
        <w:rPr>
          <w:rFonts w:ascii="Times New Roman" w:hAnsi="Times New Roman"/>
          <w:sz w:val="28"/>
          <w:szCs w:val="28"/>
          <w:lang w:val="es-ES"/>
        </w:rPr>
        <w:t xml:space="preserve">lar, se analizará lo siguiente: ¿La definición de “niño o niña extraviada” del literal a) del artículo 2 del PLE se ajusta al principio de igualdad?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Las intervenciones se centraron en cuestionar la constitucionalidad del literal a) del artículo 2° en con</w:t>
      </w:r>
      <w:r w:rsidRPr="007C57D2">
        <w:rPr>
          <w:rFonts w:ascii="Times New Roman" w:hAnsi="Times New Roman"/>
          <w:sz w:val="28"/>
          <w:szCs w:val="28"/>
          <w:lang w:val="es-ES"/>
        </w:rPr>
        <w:t xml:space="preserve">cordancia con el literal a) del artículo 9 del PLE. El primero </w:t>
      </w:r>
      <w:r w:rsidRPr="007C57D2">
        <w:rPr>
          <w:rFonts w:ascii="Times New Roman" w:hAnsi="Times New Roman"/>
          <w:sz w:val="28"/>
          <w:szCs w:val="28"/>
          <w:lang w:val="es-ES"/>
        </w:rPr>
        <w:t>establece que</w:t>
      </w:r>
      <w:r w:rsidRPr="007C57D2">
        <w:rPr>
          <w:rFonts w:ascii="Times New Roman" w:hAnsi="Times New Roman"/>
          <w:sz w:val="28"/>
          <w:szCs w:val="28"/>
          <w:lang w:val="es-ES"/>
        </w:rPr>
        <w:t xml:space="preserve"> son niños y niñas extraviadas únicamente las personas entre los “0 y 12 años” y el segundo, por su parte, dispone que para activar la alerta Colombia el niño o niña deberá tener e</w:t>
      </w:r>
      <w:r w:rsidRPr="007C57D2">
        <w:rPr>
          <w:rFonts w:ascii="Times New Roman" w:hAnsi="Times New Roman"/>
          <w:sz w:val="28"/>
          <w:szCs w:val="28"/>
          <w:lang w:val="es-ES"/>
        </w:rPr>
        <w:t>ntre 0 y 12 años.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lang w:val="es-ES"/>
        </w:rPr>
        <w:t xml:space="preserve">El Ministerio Público y otros intervinientes solicitan </w:t>
      </w:r>
      <w:r w:rsidRPr="007C57D2">
        <w:rPr>
          <w:rFonts w:ascii="Times New Roman" w:hAnsi="Times New Roman"/>
          <w:sz w:val="28"/>
          <w:szCs w:val="28"/>
          <w:bdr w:val="none" w:sz="0" w:space="0" w:color="auto" w:frame="1"/>
          <w:lang w:eastAsia="es-MX"/>
        </w:rPr>
        <w:t xml:space="preserve">la exequibilidad condicionada de las expresiones </w:t>
      </w:r>
      <w:r w:rsidRPr="007C57D2">
        <w:rPr>
          <w:rFonts w:ascii="Times New Roman" w:hAnsi="Times New Roman"/>
          <w:sz w:val="28"/>
          <w:szCs w:val="28"/>
        </w:rPr>
        <w:t xml:space="preserve">“0 y 12 años”, contenida en el literal a) del artículo 2, y “ser menor de 12 años”, dispuesta en el literal a) del artículo 9, en el </w:t>
      </w:r>
      <w:r w:rsidRPr="007C57D2">
        <w:rPr>
          <w:rFonts w:ascii="Times New Roman" w:hAnsi="Times New Roman"/>
          <w:sz w:val="28"/>
          <w:szCs w:val="28"/>
        </w:rPr>
        <w:t>entendido de que “los niños y niñas son todas las personas menores de 18 años y que para la activación del mecanismo de búsqueda, el niño, niña o adolescente deberá ser menor de 18 años”</w:t>
      </w:r>
      <w:r w:rsidRPr="007C57D2">
        <w:rPr>
          <w:rStyle w:val="Refdenotaalpie"/>
          <w:rFonts w:ascii="Times New Roman" w:hAnsi="Times New Roman"/>
          <w:sz w:val="28"/>
          <w:szCs w:val="28"/>
        </w:rPr>
        <w:footnoteReference w:id="465"/>
      </w:r>
      <w:r w:rsidRPr="007C57D2">
        <w:rPr>
          <w:rFonts w:ascii="Times New Roman" w:hAnsi="Times New Roman"/>
          <w:sz w:val="28"/>
          <w:szCs w:val="28"/>
        </w:rPr>
        <w:t>. Advirtió que el literal a) del artículo 2 vulnera el derecho a la i</w:t>
      </w:r>
      <w:r w:rsidRPr="007C57D2">
        <w:rPr>
          <w:rFonts w:ascii="Times New Roman" w:hAnsi="Times New Roman"/>
          <w:sz w:val="28"/>
          <w:szCs w:val="28"/>
        </w:rPr>
        <w:t>gualdad y el carácter prevalente de los derechos de los NNA, toda vez que excluye de la activación de la Alerta Colombia a la población con edades entre los 13 y 17 años.</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lang w:val="es-ES"/>
        </w:rPr>
        <w:t xml:space="preserve">Señala la Procuraduría General de la Nación que no existe justificación para el </w:t>
      </w:r>
      <w:r w:rsidRPr="007C57D2">
        <w:rPr>
          <w:rFonts w:ascii="Times New Roman" w:hAnsi="Times New Roman"/>
          <w:sz w:val="28"/>
          <w:szCs w:val="28"/>
          <w:lang w:val="es-ES"/>
        </w:rPr>
        <w:t>trato diferenciador que introduce el artículo 2 del PLE. Menciona que las personas entre 0 y 12 años y entre 13 y 17 años son menores de edad de conformidad con el artículo 98 de la Constitución Política y el artículo 3 de la Ley 1098 de 2006. Tal exclusió</w:t>
      </w:r>
      <w:r w:rsidRPr="007C57D2">
        <w:rPr>
          <w:rFonts w:ascii="Times New Roman" w:hAnsi="Times New Roman"/>
          <w:sz w:val="28"/>
          <w:szCs w:val="28"/>
          <w:lang w:val="es-ES"/>
        </w:rPr>
        <w:t>n contradice la finalidad del proyecto, dado que dicha población también puede extraviarse. Destaca un reporte de la Unidad de Búsqueda de Personas dadas por Desaparecidas, con corte al 29 de enero de 2025, según el cual los adolescentes superaron en cifra</w:t>
      </w:r>
      <w:r w:rsidRPr="007C57D2">
        <w:rPr>
          <w:rFonts w:ascii="Times New Roman" w:hAnsi="Times New Roman"/>
          <w:sz w:val="28"/>
          <w:szCs w:val="28"/>
          <w:lang w:val="es-ES"/>
        </w:rPr>
        <w:t>s a los niños y niñas extraviados</w:t>
      </w:r>
      <w:r w:rsidRPr="007C57D2">
        <w:rPr>
          <w:rStyle w:val="Refdenotaalpie"/>
          <w:rFonts w:ascii="Times New Roman" w:hAnsi="Times New Roman"/>
          <w:sz w:val="28"/>
          <w:szCs w:val="28"/>
          <w:lang w:val="es-ES"/>
        </w:rPr>
        <w:footnoteReference w:id="466"/>
      </w:r>
      <w:r w:rsidRPr="007C57D2">
        <w:rPr>
          <w:rFonts w:ascii="Times New Roman" w:hAnsi="Times New Roman"/>
          <w:sz w:val="28"/>
          <w:szCs w:val="28"/>
          <w:lang w:val="es-ES"/>
        </w:rPr>
        <w:t xml:space="preserv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línea con lo anterior, las siguientes organizaciones y personas también controvirtieron la constitucionalidad de los literal a) de los artículos 2 y 9 del PLE: (i) Defensoría del Pueblo; (ii) Instituto Colombiano de</w:t>
      </w:r>
      <w:r w:rsidRPr="007C57D2">
        <w:rPr>
          <w:rFonts w:ascii="Times New Roman" w:hAnsi="Times New Roman"/>
          <w:sz w:val="28"/>
          <w:szCs w:val="28"/>
        </w:rPr>
        <w:t xml:space="preserve"> Bienestar Familiar; (iii) Harold Sua Montaña; (iv) Clínica jurídica de la Escuela de Derecho y Ciencias Políticas de la Universidad Pontificia Bolivariana; (v) Semillero de Derechos Humanos y Derecho Internacional Humanitario Antônio Cançado Trinda de la </w:t>
      </w:r>
      <w:r w:rsidRPr="007C57D2">
        <w:rPr>
          <w:rFonts w:ascii="Times New Roman" w:hAnsi="Times New Roman"/>
          <w:sz w:val="28"/>
          <w:szCs w:val="28"/>
        </w:rPr>
        <w:t>Universidad Católica de Colombia; y (vi) Observatorio de Intervención Ciudadana Constitucional de la Facultad de Derecho de la Universidad Libre.</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Destacó la Defensoría del Pueblo que la expresión “12 años” es regresiva debido a que la Ley 2326 de 2023 ya </w:t>
      </w:r>
      <w:r w:rsidRPr="007C57D2">
        <w:rPr>
          <w:rFonts w:ascii="Times New Roman" w:hAnsi="Times New Roman"/>
          <w:sz w:val="28"/>
          <w:szCs w:val="28"/>
        </w:rPr>
        <w:t>había considerado de manera amplia la categoría de niño y niña para que estos sean buscados. Además, desconoce el marco internacional que reconoce como niños y niñas a todas las personas menores de 18 años, y reduce sin justificación el alcance de la prote</w:t>
      </w:r>
      <w:r w:rsidRPr="007C57D2">
        <w:rPr>
          <w:rFonts w:ascii="Times New Roman" w:hAnsi="Times New Roman"/>
          <w:sz w:val="28"/>
          <w:szCs w:val="28"/>
        </w:rPr>
        <w:t>cción.</w:t>
      </w:r>
    </w:p>
    <w:p w:rsidR="001E19D5" w:rsidRPr="007C57D2" w:rsidRDefault="007C57D2" w:rsidP="008F3DAB">
      <w:pPr>
        <w:spacing w:after="0" w:line="240" w:lineRule="auto"/>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rPr>
        <w:t>Los citados intervinientes fueron enfáticos en advertir que restringir la “Alerta Colombia” a menores de 12 años vulnera el derecho a la igualdad y la protección constitucional especial prevista en el artículo 44 de la Constitución a todos (as) los</w:t>
      </w:r>
      <w:r w:rsidRPr="007C57D2">
        <w:rPr>
          <w:rFonts w:ascii="Times New Roman" w:hAnsi="Times New Roman"/>
          <w:sz w:val="28"/>
          <w:szCs w:val="28"/>
        </w:rPr>
        <w:t xml:space="preserve"> (as) niños (as). Por ende, solicitan que se declare la </w:t>
      </w:r>
      <w:r w:rsidRPr="007C57D2">
        <w:rPr>
          <w:rFonts w:ascii="Times New Roman" w:hAnsi="Times New Roman"/>
          <w:sz w:val="28"/>
          <w:szCs w:val="28"/>
          <w:lang w:val="es-ES_tradnl"/>
        </w:rPr>
        <w:t>inconstitucionalidad de la expresión “entre 0 y 12 años” en los literales a) de los artículos 2 y 9 o que se declare la constitucionalidad condicionada de dichos literales bajo el entendido que la “Al</w:t>
      </w:r>
      <w:r w:rsidRPr="007C57D2">
        <w:rPr>
          <w:rFonts w:ascii="Times New Roman" w:hAnsi="Times New Roman"/>
          <w:sz w:val="28"/>
          <w:szCs w:val="28"/>
          <w:lang w:val="es-ES_tradnl"/>
        </w:rPr>
        <w:t>erta Colombia” cobija a todos los menores de 18 años.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12"/>
        </w:numPr>
        <w:tabs>
          <w:tab w:val="left" w:pos="993"/>
        </w:tabs>
        <w:ind w:left="567" w:firstLine="0"/>
        <w:jc w:val="both"/>
        <w:rPr>
          <w:rFonts w:ascii="Times New Roman" w:hAnsi="Times New Roman"/>
          <w:sz w:val="28"/>
          <w:szCs w:val="28"/>
          <w:lang w:val="es-ES_tradnl"/>
        </w:rPr>
      </w:pPr>
      <w:r w:rsidRPr="007C57D2">
        <w:rPr>
          <w:rFonts w:ascii="Times New Roman" w:hAnsi="Times New Roman"/>
          <w:b/>
          <w:bCs/>
          <w:sz w:val="28"/>
          <w:szCs w:val="28"/>
          <w:lang w:val="es-ES"/>
        </w:rPr>
        <w:t>Consideraciones de la Corte en relación con el literal a) del artículo 2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La Constitución faculta al legislador para, entre otras, establecer el contenido y alcance de los conceptos jurídicos y</w:t>
      </w:r>
      <w:r w:rsidRPr="007C57D2">
        <w:rPr>
          <w:rFonts w:ascii="Times New Roman" w:hAnsi="Times New Roman"/>
          <w:sz w:val="28"/>
          <w:szCs w:val="28"/>
          <w:lang w:val="es-ES"/>
        </w:rPr>
        <w:t xml:space="preserve"> emplear el lenguaje, los “términos” o vocabulario que considere adecuado. En este sentido, el Congreso de la República goza de un margen de discreción para establecer la definición de los términos o “palabras técnicas” dentro del marco de la libre configu</w:t>
      </w:r>
      <w:r w:rsidRPr="007C57D2">
        <w:rPr>
          <w:rFonts w:ascii="Times New Roman" w:hAnsi="Times New Roman"/>
          <w:sz w:val="28"/>
          <w:szCs w:val="28"/>
          <w:lang w:val="es-ES"/>
        </w:rPr>
        <w:t xml:space="preserve">ración del legislador a que se ha referido esta </w:t>
      </w:r>
      <w:r w:rsidRPr="007C57D2">
        <w:rPr>
          <w:rFonts w:ascii="Times New Roman" w:hAnsi="Times New Roman"/>
          <w:sz w:val="28"/>
          <w:szCs w:val="28"/>
          <w:lang w:val="es-ES"/>
        </w:rPr>
        <w:t>Corporación</w:t>
      </w:r>
      <w:r w:rsidRPr="007C57D2">
        <w:rPr>
          <w:rFonts w:ascii="Times New Roman" w:hAnsi="Times New Roman"/>
          <w:sz w:val="28"/>
          <w:szCs w:val="28"/>
          <w:lang w:val="es-ES"/>
        </w:rPr>
        <w:t xml:space="preserve"> en la revisión previa de proyectos de leyes estatutarias sobre tratamiento de datos personales</w:t>
      </w:r>
      <w:r w:rsidRPr="007C57D2">
        <w:rPr>
          <w:rFonts w:ascii="Times New Roman" w:hAnsi="Times New Roman"/>
          <w:sz w:val="28"/>
          <w:lang w:val="es-ES"/>
        </w:rPr>
        <w:footnoteReference w:id="467"/>
      </w:r>
      <w:r w:rsidRPr="007C57D2">
        <w:rPr>
          <w:rFonts w:ascii="Times New Roman" w:hAnsi="Times New Roman"/>
          <w:sz w:val="28"/>
          <w:szCs w:val="28"/>
          <w:lang w:val="es-ES"/>
        </w:rPr>
        <w:t>. Dicha labor es importante en la medida que las definiciones de los términos “técnicos” son útiles p</w:t>
      </w:r>
      <w:r w:rsidRPr="007C57D2">
        <w:rPr>
          <w:rFonts w:ascii="Times New Roman" w:hAnsi="Times New Roman"/>
          <w:sz w:val="28"/>
          <w:szCs w:val="28"/>
          <w:lang w:val="es-ES"/>
        </w:rPr>
        <w:t>ara precisar aspectos centrales de la norma con miras a implementarla adecuadamente e interpretarla correctamente. Pero, al mismo tiempo, el margen de discrecionalidad del legislador no es ilimitado porque debe ser respetuoso de los mandatos constitucional</w:t>
      </w:r>
      <w:r w:rsidRPr="007C57D2">
        <w:rPr>
          <w:rFonts w:ascii="Times New Roman" w:hAnsi="Times New Roman"/>
          <w:sz w:val="28"/>
          <w:szCs w:val="28"/>
          <w:lang w:val="es-ES"/>
        </w:rPr>
        <w:t>es.</w:t>
      </w:r>
    </w:p>
    <w:p w:rsidR="001E19D5"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El artículo 13 de la Constitución ordena que todas las personas “recibirán la misma protección y trato de las autoridades y gozarán de los mismos derechos, libertades y oportunidades sin ninguna discriminación”. De igual forma, exige al Estado promove</w:t>
      </w:r>
      <w:r w:rsidRPr="007C57D2">
        <w:rPr>
          <w:rFonts w:ascii="Times New Roman" w:hAnsi="Times New Roman"/>
          <w:sz w:val="28"/>
          <w:szCs w:val="28"/>
          <w:lang w:val="es-ES"/>
        </w:rPr>
        <w:t xml:space="preserve">r “las condiciones para que la igualdad sea real y efectiva”. </w:t>
      </w:r>
      <w:r w:rsidRPr="007C57D2">
        <w:rPr>
          <w:rFonts w:ascii="Times New Roman" w:hAnsi="Times New Roman"/>
          <w:sz w:val="28"/>
          <w:szCs w:val="28"/>
          <w:lang w:val="es-ES_tradnl"/>
        </w:rPr>
        <w:t>Con todo, de acuerdo con la jurisprudencia constitucional, este principio no supone un mandato de simetría absoluta en el trato y en la protección que deben recibir las personas y las situacione</w:t>
      </w:r>
      <w:r w:rsidRPr="007C57D2">
        <w:rPr>
          <w:rFonts w:ascii="Times New Roman" w:hAnsi="Times New Roman"/>
          <w:sz w:val="28"/>
          <w:szCs w:val="28"/>
          <w:lang w:val="es-ES_tradnl"/>
        </w:rPr>
        <w:t>s. Por tanto, la Corte ha entendido que el principio de igualdad ordena tratar igual a los iguales y desigual a los desiguales.</w:t>
      </w:r>
    </w:p>
    <w:p w:rsidR="001E19D5"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_tradnl"/>
        </w:rPr>
        <w:t xml:space="preserve">En ese sentido, el mandato de igualdad permite el establecimiento de algunos tratos distintos. Para analizar si el tratamiento </w:t>
      </w:r>
      <w:r w:rsidRPr="007C57D2">
        <w:rPr>
          <w:rFonts w:ascii="Times New Roman" w:hAnsi="Times New Roman"/>
          <w:sz w:val="28"/>
          <w:szCs w:val="28"/>
          <w:lang w:val="es-ES_tradnl"/>
        </w:rPr>
        <w:t>diferenciado contemplado en una norma es admisible constitucionalmente, la Corte Constitucional ha usado varios métodos</w:t>
      </w:r>
      <w:r w:rsidRPr="007C57D2">
        <w:rPr>
          <w:rStyle w:val="Refdenotaalpie"/>
          <w:rFonts w:ascii="Times New Roman" w:hAnsi="Times New Roman"/>
          <w:sz w:val="28"/>
          <w:szCs w:val="28"/>
          <w:lang w:val="es-ES_tradnl"/>
        </w:rPr>
        <w:footnoteReference w:id="468"/>
      </w:r>
      <w:r w:rsidRPr="007C57D2">
        <w:rPr>
          <w:rFonts w:ascii="Times New Roman" w:hAnsi="Times New Roman"/>
          <w:sz w:val="28"/>
          <w:szCs w:val="28"/>
          <w:lang w:val="es-ES_tradnl"/>
        </w:rPr>
        <w:t xml:space="preserve">. Uno de ellos es el denominado juicio integrado de igualdad, el cual ha sido usado como la metodología idónea para decidir demandas de </w:t>
      </w:r>
      <w:r w:rsidRPr="007C57D2">
        <w:rPr>
          <w:rFonts w:ascii="Times New Roman" w:hAnsi="Times New Roman"/>
          <w:sz w:val="28"/>
          <w:szCs w:val="28"/>
          <w:lang w:val="es-ES_tradnl"/>
        </w:rPr>
        <w:t>constitucionalidad o casos que plantean una aparente violación al principio de igualdad</w:t>
      </w:r>
      <w:r w:rsidRPr="007C57D2">
        <w:rPr>
          <w:rStyle w:val="Refdenotaalpie"/>
          <w:rFonts w:ascii="Times New Roman" w:hAnsi="Times New Roman"/>
          <w:sz w:val="28"/>
          <w:szCs w:val="28"/>
          <w:lang w:val="es-ES_tradnl"/>
        </w:rPr>
        <w:footnoteReference w:id="469"/>
      </w:r>
      <w:r w:rsidRPr="007C57D2">
        <w:rPr>
          <w:rFonts w:ascii="Times New Roman" w:hAnsi="Times New Roman"/>
          <w:sz w:val="28"/>
          <w:szCs w:val="28"/>
          <w:lang w:val="es-ES_tradnl"/>
        </w:rPr>
        <w:t xml:space="preserve">. </w:t>
      </w:r>
      <w:r w:rsidRPr="007C57D2">
        <w:rPr>
          <w:rFonts w:ascii="Times New Roman" w:hAnsi="Times New Roman"/>
          <w:sz w:val="28"/>
          <w:szCs w:val="28"/>
          <w:lang w:val="es-ES"/>
        </w:rPr>
        <w:t xml:space="preserve">En las siguientes líneas destacaremos los elementos relevantes de dicho juicio para realizar el análisis de constitucionalidad de la definición de “niños y niñas </w:t>
      </w:r>
      <w:r w:rsidRPr="007C57D2">
        <w:rPr>
          <w:rFonts w:ascii="Times New Roman" w:hAnsi="Times New Roman"/>
          <w:sz w:val="28"/>
          <w:szCs w:val="28"/>
          <w:lang w:val="es-ES"/>
        </w:rPr>
        <w:t>extraviadas” a que se refiere el PLE.</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El juicio integrado de igualdad</w:t>
      </w:r>
      <w:r w:rsidRPr="007C57D2">
        <w:rPr>
          <w:rFonts w:ascii="Times New Roman" w:hAnsi="Times New Roman"/>
          <w:sz w:val="28"/>
          <w:szCs w:val="28"/>
          <w:lang w:val="es-ES_tradnl"/>
        </w:rPr>
        <w:t xml:space="preserve"> está compuesto por tres etapas que tienen por objetivo (</w:t>
      </w:r>
      <w:r w:rsidRPr="007C57D2">
        <w:rPr>
          <w:rFonts w:ascii="Times New Roman" w:hAnsi="Times New Roman"/>
          <w:sz w:val="28"/>
          <w:szCs w:val="28"/>
          <w:shd w:val="clear" w:color="auto" w:fill="FFFFFF"/>
        </w:rPr>
        <w:t>i) identificar el </w:t>
      </w:r>
      <w:r w:rsidRPr="007C57D2">
        <w:rPr>
          <w:rFonts w:ascii="Times New Roman" w:hAnsi="Times New Roman"/>
          <w:i/>
          <w:iCs/>
          <w:sz w:val="28"/>
          <w:szCs w:val="28"/>
          <w:shd w:val="clear" w:color="auto" w:fill="FFFFFF"/>
        </w:rPr>
        <w:t>tertium comparationis</w:t>
      </w:r>
      <w:r w:rsidRPr="007C57D2">
        <w:rPr>
          <w:rFonts w:ascii="Times New Roman" w:hAnsi="Times New Roman"/>
          <w:sz w:val="28"/>
          <w:szCs w:val="28"/>
          <w:shd w:val="clear" w:color="auto" w:fill="FFFFFF"/>
        </w:rPr>
        <w:t> o criterio de comparación; (ii) definir si desde la perspectiva fáctica y jurídica existe</w:t>
      </w:r>
      <w:r w:rsidRPr="007C57D2">
        <w:rPr>
          <w:rFonts w:ascii="Times New Roman" w:hAnsi="Times New Roman"/>
          <w:sz w:val="28"/>
          <w:szCs w:val="28"/>
          <w:shd w:val="clear" w:color="auto" w:fill="FFFFFF"/>
        </w:rPr>
        <w:t xml:space="preserve"> tratamiento desigual entre iguales o igual entre desiguales, y (iii) establecer si el tratamiento distinto está constitucionalmente justificado, es decir, si las situaciones objeto de comparación ameritan, a la luz de la Constitución, un trato diferente o</w:t>
      </w:r>
      <w:r w:rsidRPr="007C57D2">
        <w:rPr>
          <w:rFonts w:ascii="Times New Roman" w:hAnsi="Times New Roman"/>
          <w:sz w:val="28"/>
          <w:szCs w:val="28"/>
          <w:shd w:val="clear" w:color="auto" w:fill="FFFFFF"/>
        </w:rPr>
        <w:t xml:space="preserve"> deben ser tratadas de un modo similar</w:t>
      </w:r>
      <w:r w:rsidRPr="007C57D2">
        <w:rPr>
          <w:rStyle w:val="Refdenotaalpie"/>
          <w:rFonts w:ascii="Times New Roman" w:hAnsi="Times New Roman"/>
          <w:sz w:val="28"/>
          <w:szCs w:val="28"/>
          <w:shd w:val="clear" w:color="auto" w:fill="FFFFFF"/>
        </w:rPr>
        <w:footnoteReference w:id="470"/>
      </w:r>
      <w:r w:rsidRPr="007C57D2">
        <w:rPr>
          <w:rFonts w:ascii="Times New Roman" w:hAnsi="Times New Roman"/>
          <w:sz w:val="28"/>
          <w:szCs w:val="28"/>
          <w:shd w:val="clear" w:color="auto" w:fill="FFFFFF"/>
        </w:rPr>
        <w:t xml:space="preserve">. </w:t>
      </w:r>
    </w:p>
    <w:p w:rsidR="001E19D5" w:rsidRPr="007C57D2" w:rsidRDefault="007C57D2" w:rsidP="008F3DAB">
      <w:pPr>
        <w:pStyle w:val="Prrafodelista"/>
        <w:rPr>
          <w:rFonts w:ascii="Times New Roman" w:hAnsi="Times New Roman"/>
          <w:sz w:val="28"/>
          <w:szCs w:val="28"/>
          <w:shd w:val="clear" w:color="auto" w:fill="FFFFFF"/>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shd w:val="clear" w:color="auto" w:fill="FFFFFF"/>
        </w:rPr>
        <w:t>Las dos primeras etapas buscan precisar si la medida examinada trata de manera igual situaciones que han de ser tratadas de modo distinto o trata de manera diferente a situaciones que han de ser tratadas de modo i</w:t>
      </w:r>
      <w:r w:rsidRPr="007C57D2">
        <w:rPr>
          <w:rFonts w:ascii="Times New Roman" w:hAnsi="Times New Roman"/>
          <w:sz w:val="28"/>
          <w:szCs w:val="28"/>
          <w:shd w:val="clear" w:color="auto" w:fill="FFFFFF"/>
        </w:rPr>
        <w:t>gual</w:t>
      </w:r>
      <w:r w:rsidRPr="007C57D2">
        <w:rPr>
          <w:rStyle w:val="Refdenotaalpie"/>
          <w:rFonts w:ascii="Times New Roman" w:hAnsi="Times New Roman"/>
          <w:sz w:val="28"/>
          <w:szCs w:val="28"/>
          <w:shd w:val="clear" w:color="auto" w:fill="FFFFFF"/>
        </w:rPr>
        <w:footnoteReference w:id="471"/>
      </w:r>
      <w:r w:rsidRPr="007C57D2">
        <w:rPr>
          <w:rFonts w:ascii="Times New Roman" w:hAnsi="Times New Roman"/>
          <w:sz w:val="28"/>
          <w:szCs w:val="28"/>
          <w:shd w:val="clear" w:color="auto" w:fill="FFFFFF"/>
        </w:rPr>
        <w:t>. La tercera etapa interroga acerca de si el trato diferenciado está constitucionalmente justificado, esto es “si los supuestos objeto de análisis ameritan un trato diferente a partir de los mandatos consagrados en la Constitución Política”</w:t>
      </w:r>
      <w:r w:rsidRPr="007C57D2">
        <w:rPr>
          <w:rStyle w:val="Refdenotaalpie"/>
          <w:rFonts w:ascii="Times New Roman" w:hAnsi="Times New Roman"/>
          <w:sz w:val="28"/>
          <w:szCs w:val="28"/>
          <w:shd w:val="clear" w:color="auto" w:fill="FFFFFF"/>
        </w:rPr>
        <w:footnoteReference w:id="472"/>
      </w:r>
      <w:r w:rsidRPr="007C57D2">
        <w:rPr>
          <w:rFonts w:ascii="Times New Roman" w:hAnsi="Times New Roman"/>
          <w:sz w:val="28"/>
          <w:szCs w:val="28"/>
          <w:shd w:val="clear" w:color="auto" w:fill="FFFFFF"/>
        </w:rPr>
        <w:t>. Es decir</w:t>
      </w:r>
      <w:r w:rsidRPr="007C57D2">
        <w:rPr>
          <w:rFonts w:ascii="Times New Roman" w:hAnsi="Times New Roman"/>
          <w:sz w:val="28"/>
          <w:szCs w:val="28"/>
          <w:shd w:val="clear" w:color="auto" w:fill="FFFFFF"/>
        </w:rPr>
        <w:t>, tras establecerse que el trato es objetivamente desigual, debe buscarse si existe una razón que desde el punto de vista constitucional lo justifique, por ejemplo, la protección de otros derechos fundamentales o bienes jurídicos concurrentes con el princi</w:t>
      </w:r>
      <w:r w:rsidRPr="007C57D2">
        <w:rPr>
          <w:rFonts w:ascii="Times New Roman" w:hAnsi="Times New Roman"/>
          <w:sz w:val="28"/>
          <w:szCs w:val="28"/>
          <w:shd w:val="clear" w:color="auto" w:fill="FFFFFF"/>
        </w:rPr>
        <w:t>pio de igualdad. De cualquier manera, romper con la igualdad hace indispensable que el trato diferenciado se legitime en la protección de bienes especialmente amparados, pues, de lo contrario, tendría que calificarse de arbitrario</w:t>
      </w:r>
      <w:r w:rsidRPr="007C57D2">
        <w:rPr>
          <w:rStyle w:val="Refdenotaalpie"/>
          <w:rFonts w:ascii="Times New Roman" w:hAnsi="Times New Roman"/>
          <w:sz w:val="28"/>
          <w:szCs w:val="28"/>
          <w:shd w:val="clear" w:color="auto" w:fill="FFFFFF"/>
        </w:rPr>
        <w:footnoteReference w:id="473"/>
      </w:r>
      <w:r w:rsidRPr="007C57D2">
        <w:rPr>
          <w:rFonts w:ascii="Times New Roman" w:hAnsi="Times New Roman"/>
          <w:sz w:val="28"/>
          <w:szCs w:val="28"/>
          <w:shd w:val="clear" w:color="auto" w:fill="FFFFFF"/>
        </w:rPr>
        <w:t xml:space="preserve">. </w:t>
      </w:r>
    </w:p>
    <w:p w:rsidR="001E19D5" w:rsidRPr="007C57D2" w:rsidRDefault="007C57D2" w:rsidP="008F3DAB">
      <w:pPr>
        <w:pStyle w:val="Prrafodelista"/>
        <w:rPr>
          <w:rFonts w:ascii="Times New Roman" w:hAnsi="Times New Roman"/>
          <w:sz w:val="28"/>
          <w:szCs w:val="28"/>
          <w:shd w:val="clear" w:color="auto" w:fill="FFFFFF"/>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shd w:val="clear" w:color="auto" w:fill="FFFFFF"/>
        </w:rPr>
        <w:t xml:space="preserve">Según el grado de </w:t>
      </w:r>
      <w:r w:rsidRPr="007C57D2">
        <w:rPr>
          <w:rFonts w:ascii="Times New Roman" w:hAnsi="Times New Roman"/>
          <w:sz w:val="28"/>
          <w:szCs w:val="28"/>
          <w:shd w:val="clear" w:color="auto" w:fill="FFFFFF"/>
        </w:rPr>
        <w:t>intensidad, el juicio puede realizarse en tres niveles: leve, medio y estricto</w:t>
      </w:r>
      <w:r w:rsidRPr="007C57D2">
        <w:rPr>
          <w:rStyle w:val="Refdenotaalpie"/>
          <w:rFonts w:ascii="Times New Roman" w:hAnsi="Times New Roman"/>
          <w:sz w:val="28"/>
          <w:szCs w:val="28"/>
          <w:shd w:val="clear" w:color="auto" w:fill="FFFFFF"/>
        </w:rPr>
        <w:footnoteReference w:id="474"/>
      </w:r>
      <w:r w:rsidRPr="007C57D2">
        <w:rPr>
          <w:rFonts w:ascii="Times New Roman" w:hAnsi="Times New Roman"/>
          <w:sz w:val="28"/>
          <w:szCs w:val="28"/>
          <w:shd w:val="clear" w:color="auto" w:fill="FFFFFF"/>
        </w:rPr>
        <w:t>. El escrutinio leve o débil se usa como regla general debido a la presunción de constitucionalidad de las normas expedidas por el legislador</w:t>
      </w:r>
      <w:r w:rsidRPr="007C57D2">
        <w:rPr>
          <w:rStyle w:val="Refdenotaalpie"/>
          <w:rFonts w:ascii="Times New Roman" w:hAnsi="Times New Roman"/>
          <w:sz w:val="28"/>
          <w:szCs w:val="28"/>
          <w:shd w:val="clear" w:color="auto" w:fill="FFFFFF"/>
        </w:rPr>
        <w:footnoteReference w:id="475"/>
      </w:r>
      <w:r w:rsidRPr="007C57D2">
        <w:rPr>
          <w:rFonts w:ascii="Times New Roman" w:hAnsi="Times New Roman"/>
          <w:sz w:val="28"/>
          <w:szCs w:val="28"/>
          <w:shd w:val="clear" w:color="auto" w:fill="FFFFFF"/>
        </w:rPr>
        <w:t>. Esta intensidad del juicio se usa</w:t>
      </w:r>
      <w:r w:rsidRPr="007C57D2">
        <w:rPr>
          <w:rFonts w:ascii="Times New Roman" w:hAnsi="Times New Roman"/>
          <w:sz w:val="28"/>
          <w:szCs w:val="28"/>
          <w:shd w:val="clear" w:color="auto" w:fill="FFFFFF"/>
        </w:rPr>
        <w:t xml:space="preserve"> en relación con (a) materias económicas y tributarias; (b) de política internacional; (c) cuando está de por medio una competencia específica definida por la Carta en cabeza de un órgano constitucional; (e) cuando se examina una norma preconstitucional de</w:t>
      </w:r>
      <w:r w:rsidRPr="007C57D2">
        <w:rPr>
          <w:rFonts w:ascii="Times New Roman" w:hAnsi="Times New Roman"/>
          <w:sz w:val="28"/>
          <w:szCs w:val="28"/>
          <w:shd w:val="clear" w:color="auto" w:fill="FFFFFF"/>
        </w:rPr>
        <w:t>rogada que aún produce efectos; y (f) cuando no se aprecia, en principio, una amenaza para el derecho en cuestión</w:t>
      </w:r>
      <w:r w:rsidRPr="007C57D2">
        <w:rPr>
          <w:rStyle w:val="Refdenotaalpie"/>
          <w:rFonts w:ascii="Times New Roman" w:hAnsi="Times New Roman"/>
          <w:sz w:val="28"/>
          <w:szCs w:val="28"/>
          <w:shd w:val="clear" w:color="auto" w:fill="FFFFFF"/>
        </w:rPr>
        <w:footnoteReference w:id="476"/>
      </w:r>
      <w:r w:rsidRPr="007C57D2">
        <w:rPr>
          <w:rFonts w:ascii="Times New Roman" w:hAnsi="Times New Roman"/>
          <w:sz w:val="28"/>
          <w:szCs w:val="28"/>
          <w:shd w:val="clear" w:color="auto" w:fill="FFFFFF"/>
        </w:rPr>
        <w:t>.</w:t>
      </w:r>
    </w:p>
    <w:p w:rsidR="001E19D5" w:rsidRPr="007C57D2" w:rsidRDefault="007C57D2" w:rsidP="008F3DAB">
      <w:pPr>
        <w:pStyle w:val="Prrafodelista"/>
        <w:rPr>
          <w:rFonts w:ascii="Times New Roman" w:hAnsi="Times New Roman"/>
          <w:sz w:val="28"/>
          <w:szCs w:val="28"/>
          <w:shd w:val="clear" w:color="auto" w:fill="FFFFFF"/>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shd w:val="clear" w:color="auto" w:fill="FFFFFF"/>
        </w:rPr>
        <w:t>Por su parte, el escrutinio intermedio está dirigido a verificar que (i) el fin sea constitucionalmente importante y que el medio para logr</w:t>
      </w:r>
      <w:r w:rsidRPr="007C57D2">
        <w:rPr>
          <w:rFonts w:ascii="Times New Roman" w:hAnsi="Times New Roman"/>
          <w:sz w:val="28"/>
          <w:szCs w:val="28"/>
          <w:shd w:val="clear" w:color="auto" w:fill="FFFFFF"/>
        </w:rPr>
        <w:t>arlo sea efectivamente conducente, y (ii) que la medida no sea evidentemente desproporcionada. Este se usa cuando la medida puede afectar el goce de un derecho constitucional no fundamental o existe un indicio de arbitrariedad que se refleja en la afectaci</w:t>
      </w:r>
      <w:r w:rsidRPr="007C57D2">
        <w:rPr>
          <w:rFonts w:ascii="Times New Roman" w:hAnsi="Times New Roman"/>
          <w:sz w:val="28"/>
          <w:szCs w:val="28"/>
          <w:shd w:val="clear" w:color="auto" w:fill="FFFFFF"/>
        </w:rPr>
        <w:t>ón grave de la libre competencia. Así, mismo, se utiliza en los casos en que existen normas basadas en criterios sospechosos pero con el fin de favorecer a grupos históricamente discriminados. Se trata de casos en los que se establecen acciones afirmativas</w:t>
      </w:r>
      <w:r w:rsidRPr="007C57D2">
        <w:rPr>
          <w:rFonts w:ascii="Times New Roman" w:hAnsi="Times New Roman"/>
          <w:sz w:val="28"/>
          <w:szCs w:val="28"/>
          <w:shd w:val="clear" w:color="auto" w:fill="FFFFFF"/>
        </w:rPr>
        <w:t>, tales como las normas que emplean un criterio de género o raza para promover el acceso de la mujer a la política o de las minorías étnicas a la educación superior</w:t>
      </w:r>
      <w:r w:rsidRPr="007C57D2">
        <w:rPr>
          <w:rStyle w:val="Refdenotaalpie"/>
          <w:rFonts w:ascii="Times New Roman" w:hAnsi="Times New Roman"/>
          <w:sz w:val="28"/>
          <w:szCs w:val="28"/>
          <w:shd w:val="clear" w:color="auto" w:fill="FFFFFF"/>
        </w:rPr>
        <w:footnoteReference w:id="477"/>
      </w:r>
      <w:r w:rsidRPr="007C57D2">
        <w:rPr>
          <w:rFonts w:ascii="Times New Roman" w:hAnsi="Times New Roman"/>
          <w:sz w:val="28"/>
          <w:szCs w:val="28"/>
          <w:shd w:val="clear" w:color="auto" w:fill="FFFFFF"/>
        </w:rPr>
        <w:t>.</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rPr>
        <w:t>Finalmente, el escrutinio estricto o fuerte está dirigido a establecer si (i) el fin per</w:t>
      </w:r>
      <w:r w:rsidRPr="007C57D2">
        <w:rPr>
          <w:rFonts w:ascii="Times New Roman" w:hAnsi="Times New Roman"/>
          <w:sz w:val="28"/>
          <w:szCs w:val="28"/>
        </w:rPr>
        <w:t>seguido por la norma no solo es legítimo sino </w:t>
      </w:r>
      <w:r w:rsidRPr="007C57D2">
        <w:rPr>
          <w:rFonts w:ascii="Times New Roman" w:hAnsi="Times New Roman"/>
          <w:i/>
          <w:sz w:val="28"/>
          <w:szCs w:val="28"/>
        </w:rPr>
        <w:t>imperioso</w:t>
      </w:r>
      <w:r w:rsidRPr="007C57D2">
        <w:rPr>
          <w:rFonts w:ascii="Times New Roman" w:hAnsi="Times New Roman"/>
          <w:sz w:val="28"/>
          <w:szCs w:val="28"/>
        </w:rPr>
        <w:t>; (ii) el medio escogido, además de ser efectivamente conducente, es necesario, esto es, si no puede ser reemplazado por otros menos lesivos para el derecho a la igualdad de los destinatarios de la nor</w:t>
      </w:r>
      <w:r w:rsidRPr="007C57D2">
        <w:rPr>
          <w:rFonts w:ascii="Times New Roman" w:hAnsi="Times New Roman"/>
          <w:sz w:val="28"/>
          <w:szCs w:val="28"/>
        </w:rPr>
        <w:t>ma; y, por último, (iii) los beneficios de adoptar la medida exceden o no las restricciones impuestas sobre el derecho a la igualdad; es decir, si la medida es proporcional en sentido estricto –se destaca–</w:t>
      </w:r>
      <w:r w:rsidRPr="007C57D2">
        <w:rPr>
          <w:rStyle w:val="Refdenotaalpie"/>
          <w:rFonts w:ascii="Times New Roman" w:hAnsi="Times New Roman"/>
          <w:sz w:val="28"/>
          <w:szCs w:val="28"/>
          <w:shd w:val="clear" w:color="auto" w:fill="FFFFFF"/>
        </w:rPr>
        <w:footnoteReference w:id="478"/>
      </w:r>
      <w:r w:rsidRPr="007C57D2">
        <w:rPr>
          <w:rFonts w:ascii="Times New Roman" w:hAnsi="Times New Roman"/>
          <w:sz w:val="28"/>
          <w:szCs w:val="28"/>
        </w:rPr>
        <w:t>.</w:t>
      </w:r>
    </w:p>
    <w:p w:rsidR="001E19D5" w:rsidRPr="007C57D2" w:rsidRDefault="007C57D2" w:rsidP="008F3DAB">
      <w:pPr>
        <w:pStyle w:val="Prrafodelista"/>
        <w:rPr>
          <w:rFonts w:ascii="Times New Roman" w:hAnsi="Times New Roman"/>
          <w:sz w:val="28"/>
          <w:szCs w:val="28"/>
          <w:shd w:val="clear" w:color="auto" w:fill="FFFFFF"/>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shd w:val="clear" w:color="auto" w:fill="FFFFFF"/>
        </w:rPr>
        <w:t>Este se usa cuando la medida: (i) está de por m</w:t>
      </w:r>
      <w:r w:rsidRPr="007C57D2">
        <w:rPr>
          <w:rFonts w:ascii="Times New Roman" w:hAnsi="Times New Roman"/>
          <w:sz w:val="28"/>
          <w:szCs w:val="28"/>
          <w:shd w:val="clear" w:color="auto" w:fill="FFFFFF"/>
        </w:rPr>
        <w:t>edio de por medio una clasificación sospechosa como las enunciadas en forma no taxativa a manera de prohibiciones de discriminación en el inciso 1º del artículo 13 de la Constitución (el sexo, la raza, el origen nacional o familiar, la lengua, la religión,</w:t>
      </w:r>
      <w:r w:rsidRPr="007C57D2">
        <w:rPr>
          <w:rFonts w:ascii="Times New Roman" w:hAnsi="Times New Roman"/>
          <w:sz w:val="28"/>
          <w:szCs w:val="28"/>
          <w:shd w:val="clear" w:color="auto" w:fill="FFFFFF"/>
        </w:rPr>
        <w:t xml:space="preserve"> la opinión política o filosófica); (ii)  recae principalmente en personas en condiciones de debilidad manifiesta, grupos marginados o discriminados</w:t>
      </w:r>
      <w:r w:rsidRPr="007C57D2">
        <w:rPr>
          <w:rStyle w:val="Refdenotaalpie"/>
          <w:rFonts w:ascii="Times New Roman" w:hAnsi="Times New Roman"/>
          <w:sz w:val="28"/>
          <w:szCs w:val="28"/>
          <w:shd w:val="clear" w:color="auto" w:fill="FFFFFF"/>
        </w:rPr>
        <w:footnoteReference w:id="479"/>
      </w:r>
      <w:r w:rsidRPr="007C57D2">
        <w:rPr>
          <w:rFonts w:ascii="Times New Roman" w:hAnsi="Times New Roman"/>
          <w:sz w:val="28"/>
          <w:szCs w:val="28"/>
          <w:shd w:val="clear" w:color="auto" w:fill="FFFFFF"/>
        </w:rPr>
        <w:t>; (</w:t>
      </w:r>
      <w:r w:rsidRPr="007C57D2">
        <w:rPr>
          <w:rFonts w:ascii="Times New Roman" w:hAnsi="Times New Roman"/>
          <w:sz w:val="28"/>
          <w:szCs w:val="28"/>
        </w:rPr>
        <w:t>iii) en principio, impacta gravemente un derecho fundamental; o (iv) crea un privilegio”</w:t>
      </w:r>
      <w:r w:rsidRPr="007C57D2">
        <w:rPr>
          <w:rStyle w:val="Refdenotaalpie"/>
          <w:rFonts w:ascii="Times New Roman" w:hAnsi="Times New Roman"/>
          <w:sz w:val="28"/>
          <w:szCs w:val="28"/>
        </w:rPr>
        <w:footnoteReference w:id="480"/>
      </w:r>
      <w:r w:rsidRPr="007C57D2">
        <w:rPr>
          <w:rFonts w:ascii="Times New Roman" w:hAnsi="Times New Roman"/>
          <w:sz w:val="28"/>
          <w:szCs w:val="28"/>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Ahora bien, </w:t>
      </w:r>
      <w:r w:rsidRPr="007C57D2">
        <w:rPr>
          <w:rFonts w:ascii="Times New Roman" w:hAnsi="Times New Roman"/>
          <w:sz w:val="28"/>
          <w:szCs w:val="28"/>
          <w:lang w:val="es-ES"/>
        </w:rPr>
        <w:t>como quedó expuesto, los intervinientes en el presente proceso consideran que el literal a) del artículo 2 del PLE limita la definición de niños y niñas extraviados a aquellos entre los “0 y 12 años”. Para ellos, esta limitación genera un trato injustifica</w:t>
      </w:r>
      <w:r w:rsidRPr="007C57D2">
        <w:rPr>
          <w:rFonts w:ascii="Times New Roman" w:hAnsi="Times New Roman"/>
          <w:sz w:val="28"/>
          <w:szCs w:val="28"/>
          <w:lang w:val="es-ES"/>
        </w:rPr>
        <w:t>do e irrazonable con los adolescentes entre 13 y 17 años, pues quedan por fuera del ámbito de aplicación del mecanismo y, por ende, no accederían a las herramientas previstas para la búsqueda y localización de niños o niñas extraviados, pese a que, de igua</w:t>
      </w:r>
      <w:r w:rsidRPr="007C57D2">
        <w:rPr>
          <w:rFonts w:ascii="Times New Roman" w:hAnsi="Times New Roman"/>
          <w:sz w:val="28"/>
          <w:szCs w:val="28"/>
          <w:lang w:val="es-ES"/>
        </w:rPr>
        <w:t>l forma, son menores de edad.</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En otras palabras, el rango entre 13 y 17 años, que también hace parte de la categoría de menores de edad, queda excluido de la activación de la Alerta Colombia en caso de extravío de su domicilio, residencia, establecimiento</w:t>
      </w:r>
      <w:r w:rsidRPr="007C57D2">
        <w:rPr>
          <w:rFonts w:ascii="Times New Roman" w:hAnsi="Times New Roman"/>
          <w:sz w:val="28"/>
          <w:szCs w:val="28"/>
          <w:lang w:val="es-ES"/>
        </w:rPr>
        <w:t xml:space="preserve"> educativo u otro lugar y no pueden retornar al mismo o a su hogar, y su familia o núcleo cercano no puede ubicarlas.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En ese sentido, para la Sala es necesario realizar un juicio integrado de igualdad con miras a establecer si esta diferencia de trato ent</w:t>
      </w:r>
      <w:r w:rsidRPr="007C57D2">
        <w:rPr>
          <w:rFonts w:ascii="Times New Roman" w:hAnsi="Times New Roman"/>
          <w:sz w:val="28"/>
          <w:szCs w:val="28"/>
          <w:lang w:val="es-ES"/>
        </w:rPr>
        <w:t xml:space="preserve">re sujetos en situaciones comparables persigue un fin constitucional legítimo o, por el contrario, constituye una discriminación o exclusión prohibida.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En aplicación del juicio integrado de igualdad, lo primero que debe indagar la Sala es el criterio o </w:t>
      </w:r>
      <w:r w:rsidRPr="007C57D2">
        <w:rPr>
          <w:rFonts w:ascii="Times New Roman" w:hAnsi="Times New Roman"/>
          <w:i/>
          <w:iCs/>
          <w:sz w:val="28"/>
          <w:szCs w:val="28"/>
          <w:lang w:val="es-ES"/>
        </w:rPr>
        <w:t>t</w:t>
      </w:r>
      <w:r w:rsidRPr="007C57D2">
        <w:rPr>
          <w:rFonts w:ascii="Times New Roman" w:hAnsi="Times New Roman"/>
          <w:i/>
          <w:iCs/>
          <w:sz w:val="28"/>
          <w:szCs w:val="28"/>
          <w:lang w:val="es-ES"/>
        </w:rPr>
        <w:t>ertium comparationis</w:t>
      </w:r>
      <w:r w:rsidRPr="007C57D2">
        <w:rPr>
          <w:rFonts w:ascii="Times New Roman" w:hAnsi="Times New Roman"/>
          <w:sz w:val="28"/>
          <w:szCs w:val="28"/>
          <w:lang w:val="es-ES"/>
        </w:rPr>
        <w:t xml:space="preserve">. Los grupos de comparación que son objeto de examen son, de un lado, las personas entre los 0 y 12 años de edad extraviadas y, de otro, las personas entre 13 y 17 años extraviadas. Estos son comparables porque hacen parte del grupo de </w:t>
      </w:r>
      <w:r w:rsidRPr="007C57D2">
        <w:rPr>
          <w:rFonts w:ascii="Times New Roman" w:hAnsi="Times New Roman"/>
          <w:sz w:val="28"/>
          <w:szCs w:val="28"/>
          <w:lang w:val="es-ES"/>
        </w:rPr>
        <w:t>NNA que, según el artículo 44 de la Constitución, tienen protección constitucional especial y prevalente.</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La Constitución colombiana menciona los términos “niño” y “adolescente” en los artículos 44 y 45 respectivamente. El Código de la Infancia y la Adole</w:t>
      </w:r>
      <w:r w:rsidRPr="007C57D2">
        <w:rPr>
          <w:rFonts w:ascii="Times New Roman" w:hAnsi="Times New Roman"/>
          <w:sz w:val="28"/>
          <w:szCs w:val="28"/>
          <w:lang w:val="es-ES"/>
        </w:rPr>
        <w:t>scencia (Ley 1098 de 2006), por su parte, “entiende por niño o niña las personas entre los 0 y los 12 años, y por adolescente las personas entre 12 y 18 años de edad</w:t>
      </w:r>
      <w:r w:rsidRPr="007C57D2">
        <w:rPr>
          <w:rFonts w:ascii="Times New Roman" w:hAnsi="Times New Roman"/>
          <w:sz w:val="28"/>
          <w:szCs w:val="28"/>
          <w:lang w:val="es-ES"/>
        </w:rPr>
        <w:t>”.</w:t>
      </w:r>
      <w:r w:rsidRPr="007C57D2">
        <w:rPr>
          <w:rFonts w:ascii="Times New Roman" w:hAnsi="Times New Roman"/>
          <w:sz w:val="28"/>
          <w:szCs w:val="28"/>
          <w:lang w:val="es-ES"/>
        </w:rPr>
        <w:t xml:space="preserve"> La jurisprudencia de esta Corte ha establecido que el término “niño” que se cita en el a</w:t>
      </w:r>
      <w:r w:rsidRPr="007C57D2">
        <w:rPr>
          <w:rFonts w:ascii="Times New Roman" w:hAnsi="Times New Roman"/>
          <w:sz w:val="28"/>
          <w:szCs w:val="28"/>
          <w:lang w:val="es-ES"/>
        </w:rPr>
        <w:t xml:space="preserve">rtículo 44 de la Constitución se refiere a todo ser humano menor de 18 años, siguiendo los parámetros de la Convención sobre los Derechos del </w:t>
      </w:r>
      <w:r w:rsidRPr="007C57D2">
        <w:rPr>
          <w:rFonts w:ascii="Times New Roman" w:hAnsi="Times New Roman"/>
          <w:iCs/>
          <w:sz w:val="28"/>
          <w:szCs w:val="28"/>
        </w:rPr>
        <w:t>Niño</w:t>
      </w:r>
      <w:r w:rsidRPr="007C57D2">
        <w:rPr>
          <w:rFonts w:ascii="Times New Roman" w:hAnsi="Times New Roman"/>
          <w:sz w:val="28"/>
          <w:vertAlign w:val="superscript"/>
        </w:rPr>
        <w:footnoteReference w:id="481"/>
      </w:r>
      <w:r w:rsidRPr="007C57D2">
        <w:rPr>
          <w:rFonts w:ascii="Times New Roman" w:hAnsi="Times New Roman"/>
          <w:iCs/>
          <w:sz w:val="28"/>
          <w:szCs w:val="28"/>
        </w:rPr>
        <w:t>.</w:t>
      </w:r>
      <w:r w:rsidRPr="007C57D2">
        <w:rPr>
          <w:rFonts w:ascii="Times New Roman" w:hAnsi="Times New Roman"/>
          <w:sz w:val="28"/>
          <w:szCs w:val="28"/>
          <w:lang w:val="es-ES"/>
        </w:rPr>
        <w:t xml:space="preserve"> Puntualmente, ha concluido lo siguiente: “en Colombia, los adolescentes poseen garantías propias de su edad</w:t>
      </w:r>
      <w:r w:rsidRPr="007C57D2">
        <w:rPr>
          <w:rFonts w:ascii="Times New Roman" w:hAnsi="Times New Roman"/>
          <w:sz w:val="28"/>
          <w:szCs w:val="28"/>
          <w:lang w:val="es-ES"/>
        </w:rPr>
        <w:t xml:space="preserve"> y nivel de madurez, pero gozan de los mismos privilegios y derechos fundamentales que los niños, y son, por lo tanto, ‘menores’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(siempre y cuando no hayan cumplido los 18 años)”. En consecuencia, la protección constitucional estatuida en el artícu</w:t>
      </w:r>
      <w:r w:rsidRPr="007C57D2">
        <w:rPr>
          <w:rFonts w:ascii="Times New Roman" w:hAnsi="Times New Roman"/>
          <w:sz w:val="28"/>
          <w:szCs w:val="28"/>
          <w:lang w:val="es-ES"/>
        </w:rPr>
        <w:t>lo 44 C.P. en favor de los “niños” ha de entenderse referida a todo menor de dieciocho años”</w:t>
      </w:r>
      <w:r w:rsidRPr="007C57D2">
        <w:rPr>
          <w:rStyle w:val="Refdecomentario"/>
          <w:rFonts w:ascii="Times New Roman" w:hAnsi="Times New Roman"/>
          <w:i/>
          <w:sz w:val="28"/>
          <w:szCs w:val="28"/>
        </w:rPr>
        <w:t xml:space="preserve"> </w:t>
      </w:r>
      <w:r w:rsidRPr="007C57D2">
        <w:rPr>
          <w:rStyle w:val="Refdenotaalpie"/>
          <w:rFonts w:ascii="Times New Roman" w:hAnsi="Times New Roman"/>
          <w:sz w:val="28"/>
          <w:szCs w:val="28"/>
        </w:rPr>
        <w:footnoteReference w:id="482"/>
      </w:r>
      <w:r w:rsidRPr="007C57D2">
        <w:rPr>
          <w:rStyle w:val="Refdecomentario"/>
          <w:rFonts w:ascii="Times New Roman" w:hAnsi="Times New Roman"/>
          <w:sz w:val="28"/>
          <w:szCs w:val="28"/>
        </w:rPr>
        <w:t>.</w:t>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En cuanto a los adolescentes se precisó lo siguiente en la </w:t>
      </w:r>
      <w:r w:rsidRPr="007C57D2">
        <w:rPr>
          <w:rFonts w:ascii="Times New Roman" w:hAnsi="Times New Roman"/>
          <w:sz w:val="28"/>
          <w:szCs w:val="28"/>
          <w:lang w:val="es-ES"/>
        </w:rPr>
        <w:t>S</w:t>
      </w:r>
      <w:r w:rsidRPr="007C57D2">
        <w:rPr>
          <w:rFonts w:ascii="Times New Roman" w:hAnsi="Times New Roman"/>
          <w:sz w:val="28"/>
          <w:szCs w:val="28"/>
          <w:lang w:val="es-ES"/>
        </w:rPr>
        <w:t>entencia C-740 de 2008 mediante la cual la Corte se pronunció con ocasión de una demanda contra el</w:t>
      </w:r>
      <w:r w:rsidRPr="007C57D2">
        <w:rPr>
          <w:rFonts w:ascii="Times New Roman" w:hAnsi="Times New Roman"/>
          <w:sz w:val="28"/>
          <w:szCs w:val="28"/>
          <w:lang w:val="es-ES"/>
        </w:rPr>
        <w:t xml:space="preserve"> artículo 3° (parcial) de la Ley 1098 de 2006, por la cual se expidió el Código de la Infancia y la Adolescencia: “En relación con la protección constitucional a los adolescentes, la Corte Constitucional ha considerado que ellos están comprendidos en el co</w:t>
      </w:r>
      <w:r w:rsidRPr="007C57D2">
        <w:rPr>
          <w:rFonts w:ascii="Times New Roman" w:hAnsi="Times New Roman"/>
          <w:sz w:val="28"/>
          <w:szCs w:val="28"/>
          <w:lang w:val="es-ES"/>
        </w:rPr>
        <w:t>ncepto amplio de “niños” de que trata el Art. 44 de la Constitución y por tanto gozan de protección especial por parte de la familia, la sociedad y el Estado y son titulares de los derechos fundamentales en él consagrados, que prevalecen sobre los derechos</w:t>
      </w:r>
      <w:r w:rsidRPr="007C57D2">
        <w:rPr>
          <w:rFonts w:ascii="Times New Roman" w:hAnsi="Times New Roman"/>
          <w:sz w:val="28"/>
          <w:szCs w:val="28"/>
          <w:lang w:val="es-ES"/>
        </w:rPr>
        <w:t xml:space="preserve"> de los demás. En este sentido, ha señalado que la distinción constitucional entre niños y adolescentes no tiene como finalidad otorgar a estos últimos distinta protección, sino otorgarles participación en los organismos públicos y privados que adopten dec</w:t>
      </w:r>
      <w:r w:rsidRPr="007C57D2">
        <w:rPr>
          <w:rFonts w:ascii="Times New Roman" w:hAnsi="Times New Roman"/>
          <w:sz w:val="28"/>
          <w:szCs w:val="28"/>
          <w:lang w:val="es-ES"/>
        </w:rPr>
        <w:t>isiones que les conciernen, teniendo en cuenta su mayor grado de desarrollo respecto de los primeros”</w:t>
      </w:r>
      <w:r w:rsidRPr="007C57D2">
        <w:rPr>
          <w:rFonts w:ascii="Times New Roman" w:hAnsi="Times New Roman"/>
          <w:sz w:val="28"/>
          <w:szCs w:val="28"/>
          <w:vertAlign w:val="superscript"/>
        </w:rPr>
        <w:t xml:space="preserve"> </w:t>
      </w:r>
      <w:r w:rsidRPr="007C57D2">
        <w:rPr>
          <w:rFonts w:ascii="Times New Roman" w:hAnsi="Times New Roman"/>
          <w:sz w:val="28"/>
          <w:vertAlign w:val="superscript"/>
        </w:rPr>
        <w:footnoteReference w:id="483"/>
      </w:r>
      <w:r w:rsidRPr="007C57D2">
        <w:rPr>
          <w:rFonts w:ascii="Times New Roman" w:hAnsi="Times New Roman"/>
          <w:sz w:val="28"/>
          <w:szCs w:val="28"/>
        </w:rPr>
        <w:t>. </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rPr>
        <w:t xml:space="preserve">Conforme a lo expuesto, la Sala considera que los grupos etarios comprendidos entre los </w:t>
      </w:r>
      <w:r w:rsidRPr="007C57D2">
        <w:rPr>
          <w:rStyle w:val="Textoennegrita"/>
          <w:rFonts w:ascii="Times New Roman" w:hAnsi="Times New Roman"/>
          <w:b w:val="0"/>
          <w:bCs w:val="0"/>
          <w:sz w:val="28"/>
          <w:szCs w:val="28"/>
        </w:rPr>
        <w:t>0 y 12 años</w:t>
      </w:r>
      <w:r w:rsidRPr="007C57D2">
        <w:rPr>
          <w:rFonts w:ascii="Times New Roman" w:hAnsi="Times New Roman"/>
          <w:sz w:val="28"/>
          <w:szCs w:val="28"/>
        </w:rPr>
        <w:t xml:space="preserve"> y entre los </w:t>
      </w:r>
      <w:r w:rsidRPr="007C57D2">
        <w:rPr>
          <w:rStyle w:val="Textoennegrita"/>
          <w:rFonts w:ascii="Times New Roman" w:hAnsi="Times New Roman"/>
          <w:b w:val="0"/>
          <w:bCs w:val="0"/>
          <w:sz w:val="28"/>
          <w:szCs w:val="28"/>
        </w:rPr>
        <w:t>13 y 17 años</w:t>
      </w:r>
      <w:r w:rsidRPr="007C57D2">
        <w:rPr>
          <w:rFonts w:ascii="Times New Roman" w:hAnsi="Times New Roman"/>
          <w:b/>
          <w:sz w:val="28"/>
          <w:szCs w:val="28"/>
        </w:rPr>
        <w:t xml:space="preserve"> </w:t>
      </w:r>
      <w:r w:rsidRPr="007C57D2">
        <w:rPr>
          <w:rFonts w:ascii="Times New Roman" w:hAnsi="Times New Roman"/>
          <w:sz w:val="28"/>
          <w:szCs w:val="28"/>
        </w:rPr>
        <w:t xml:space="preserve">son </w:t>
      </w:r>
      <w:r w:rsidRPr="007C57D2">
        <w:rPr>
          <w:rStyle w:val="Textoennegrita"/>
          <w:rFonts w:ascii="Times New Roman" w:hAnsi="Times New Roman"/>
          <w:b w:val="0"/>
          <w:bCs w:val="0"/>
          <w:sz w:val="28"/>
          <w:szCs w:val="28"/>
        </w:rPr>
        <w:t>comparables</w:t>
      </w:r>
      <w:r w:rsidRPr="007C57D2">
        <w:rPr>
          <w:rFonts w:ascii="Times New Roman" w:hAnsi="Times New Roman"/>
          <w:b/>
          <w:bCs/>
          <w:sz w:val="28"/>
          <w:szCs w:val="28"/>
        </w:rPr>
        <w:t>,</w:t>
      </w:r>
      <w:r w:rsidRPr="007C57D2">
        <w:rPr>
          <w:rFonts w:ascii="Times New Roman" w:hAnsi="Times New Roman"/>
          <w:sz w:val="28"/>
          <w:szCs w:val="28"/>
        </w:rPr>
        <w:t xml:space="preserve"> pues ambos integran el conjunto de personas </w:t>
      </w:r>
      <w:r w:rsidRPr="007C57D2">
        <w:rPr>
          <w:rStyle w:val="Textoennegrita"/>
          <w:rFonts w:ascii="Times New Roman" w:hAnsi="Times New Roman"/>
          <w:b w:val="0"/>
          <w:bCs w:val="0"/>
          <w:sz w:val="28"/>
          <w:szCs w:val="28"/>
        </w:rPr>
        <w:t>menores de dieciocho años</w:t>
      </w:r>
      <w:r w:rsidRPr="007C57D2">
        <w:rPr>
          <w:rFonts w:ascii="Times New Roman" w:hAnsi="Times New Roman"/>
          <w:sz w:val="28"/>
          <w:szCs w:val="28"/>
        </w:rPr>
        <w:t xml:space="preserve"> que, conforme al </w:t>
      </w:r>
      <w:r w:rsidRPr="007C57D2">
        <w:rPr>
          <w:rStyle w:val="Textoennegrita"/>
          <w:rFonts w:ascii="Times New Roman" w:hAnsi="Times New Roman"/>
          <w:b w:val="0"/>
          <w:bCs w:val="0"/>
          <w:sz w:val="28"/>
          <w:szCs w:val="28"/>
        </w:rPr>
        <w:t>artículo 44 de la Constitución Política</w:t>
      </w:r>
      <w:r w:rsidRPr="007C57D2">
        <w:rPr>
          <w:rFonts w:ascii="Times New Roman" w:hAnsi="Times New Roman"/>
          <w:b/>
          <w:bCs/>
          <w:sz w:val="28"/>
          <w:szCs w:val="28"/>
        </w:rPr>
        <w:t xml:space="preserve"> </w:t>
      </w:r>
      <w:r w:rsidRPr="007C57D2">
        <w:rPr>
          <w:rFonts w:ascii="Times New Roman" w:hAnsi="Times New Roman"/>
          <w:sz w:val="28"/>
          <w:szCs w:val="28"/>
        </w:rPr>
        <w:t>y a la</w:t>
      </w:r>
      <w:r w:rsidRPr="007C57D2">
        <w:rPr>
          <w:rFonts w:ascii="Times New Roman" w:hAnsi="Times New Roman"/>
          <w:b/>
          <w:sz w:val="28"/>
          <w:szCs w:val="28"/>
        </w:rPr>
        <w:t xml:space="preserve"> </w:t>
      </w:r>
      <w:r w:rsidRPr="007C57D2">
        <w:rPr>
          <w:rStyle w:val="Textoennegrita"/>
          <w:rFonts w:ascii="Times New Roman" w:hAnsi="Times New Roman"/>
          <w:b w:val="0"/>
          <w:bCs w:val="0"/>
          <w:sz w:val="28"/>
          <w:szCs w:val="28"/>
        </w:rPr>
        <w:t>Convención sobre los Derechos del Niño</w:t>
      </w:r>
      <w:r w:rsidRPr="007C57D2">
        <w:rPr>
          <w:rFonts w:ascii="Times New Roman" w:hAnsi="Times New Roman"/>
          <w:sz w:val="28"/>
          <w:szCs w:val="28"/>
        </w:rPr>
        <w:t xml:space="preserve">, son titulares de una </w:t>
      </w:r>
      <w:r w:rsidRPr="007C57D2">
        <w:rPr>
          <w:rStyle w:val="Textoennegrita"/>
          <w:rFonts w:ascii="Times New Roman" w:hAnsi="Times New Roman"/>
          <w:b w:val="0"/>
          <w:bCs w:val="0"/>
          <w:sz w:val="28"/>
          <w:szCs w:val="28"/>
        </w:rPr>
        <w:t>protección constitucional especial y prevalente</w:t>
      </w:r>
      <w:r w:rsidRPr="007C57D2">
        <w:rPr>
          <w:rFonts w:ascii="Times New Roman" w:hAnsi="Times New Roman"/>
          <w:sz w:val="28"/>
          <w:szCs w:val="28"/>
        </w:rPr>
        <w:t>. Aunque la l</w:t>
      </w:r>
      <w:r w:rsidRPr="007C57D2">
        <w:rPr>
          <w:rFonts w:ascii="Times New Roman" w:hAnsi="Times New Roman"/>
          <w:sz w:val="28"/>
          <w:szCs w:val="28"/>
        </w:rPr>
        <w:t xml:space="preserve">egislación ordinaria –en particular, el </w:t>
      </w:r>
      <w:r w:rsidRPr="007C57D2">
        <w:rPr>
          <w:rStyle w:val="Textoennegrita"/>
          <w:rFonts w:ascii="Times New Roman" w:hAnsi="Times New Roman"/>
          <w:b w:val="0"/>
          <w:bCs w:val="0"/>
          <w:sz w:val="28"/>
          <w:szCs w:val="28"/>
        </w:rPr>
        <w:t>Código de la Infancia y la Adolescencia (Ley 1098 de 2006)</w:t>
      </w:r>
      <w:r w:rsidRPr="007C57D2">
        <w:rPr>
          <w:rFonts w:ascii="Times New Roman" w:hAnsi="Times New Roman"/>
          <w:sz w:val="28"/>
          <w:szCs w:val="28"/>
        </w:rPr>
        <w:t xml:space="preserve">– distingue entre “niños” y “adolescentes” atendiendo a su desarrollo y madurez, esta diferenciación no implica una jerarquía en el nivel de protección, sino </w:t>
      </w:r>
      <w:r w:rsidRPr="007C57D2">
        <w:rPr>
          <w:rFonts w:ascii="Times New Roman" w:hAnsi="Times New Roman"/>
          <w:sz w:val="28"/>
          <w:szCs w:val="28"/>
        </w:rPr>
        <w:t>que responde únicamente a criterios de gradualidad en el ejercicio de derechos.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La distinción entre ambas categorías no busca excluir a los adolescentes de las garantías propias de la niñez, sino reconocer su participación progresiva en los asuntos que le</w:t>
      </w:r>
      <w:r w:rsidRPr="007C57D2">
        <w:rPr>
          <w:rFonts w:ascii="Times New Roman" w:hAnsi="Times New Roman"/>
          <w:sz w:val="28"/>
          <w:szCs w:val="28"/>
          <w:lang w:val="es-ES"/>
        </w:rPr>
        <w:t>s conciernen. En consecuencia, tanto los niños como los adolescentes comparten una misma condición jurídica esencial –la minoría de edad– y, por ende, se encuentran en una situación equiparable a efectos del análisis de igualdad y de la protección reforzad</w:t>
      </w:r>
      <w:r w:rsidRPr="007C57D2">
        <w:rPr>
          <w:rFonts w:ascii="Times New Roman" w:hAnsi="Times New Roman"/>
          <w:sz w:val="28"/>
          <w:szCs w:val="28"/>
          <w:lang w:val="es-ES"/>
        </w:rPr>
        <w:t>a que el orden constitucional les confiere.</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i/>
          <w:iCs/>
          <w:sz w:val="28"/>
          <w:szCs w:val="28"/>
          <w:lang w:val="es-ES"/>
        </w:rPr>
        <w:t>La distinción de trato</w:t>
      </w:r>
      <w:r w:rsidRPr="007C57D2">
        <w:rPr>
          <w:rFonts w:ascii="Times New Roman" w:hAnsi="Times New Roman"/>
          <w:sz w:val="28"/>
          <w:szCs w:val="28"/>
          <w:lang w:val="es-ES"/>
        </w:rPr>
        <w:t>. El PLE regula una medida que únicamente beneficia a las personas entre 0 y 12 años de edad y excluye a las de 13 y 17 años. Por ende, el literal a) del artículo 2 del PLE introduce un tra</w:t>
      </w:r>
      <w:r w:rsidRPr="007C57D2">
        <w:rPr>
          <w:rFonts w:ascii="Times New Roman" w:hAnsi="Times New Roman"/>
          <w:sz w:val="28"/>
          <w:szCs w:val="28"/>
          <w:lang w:val="es-ES"/>
        </w:rPr>
        <w:t>to diferenciado entre sujetos que comparten la misma situación jurídica, es decir, personas menores de edad que están extraviadas. En concreto genera una diferenciación sobre el tipo de medidas para buscarlas, ubicarlas y recuperarlas.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Esta exclusión crea una situación de desigualdad material entre dos grupos que se encuentran en condiciones jurídicas equiparables, pues ambos comparten la misma vulnerabilidad derivada de su edad y de la condición de debilidad manifiesta en la que se encu</w:t>
      </w:r>
      <w:r w:rsidRPr="007C57D2">
        <w:rPr>
          <w:rFonts w:ascii="Times New Roman" w:hAnsi="Times New Roman"/>
          <w:sz w:val="28"/>
          <w:szCs w:val="28"/>
          <w:lang w:val="es-ES"/>
        </w:rPr>
        <w:t xml:space="preserve">entran en el momento del extravío. Esta distinción implica que los adolescentes no puedan acceder a las herramientas institucionales de búsqueda y localización previstas para los menores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extraviados. Formulados entonces los términos de la compar</w:t>
      </w:r>
      <w:r w:rsidRPr="007C57D2">
        <w:rPr>
          <w:rFonts w:ascii="Times New Roman" w:hAnsi="Times New Roman"/>
          <w:sz w:val="28"/>
          <w:szCs w:val="28"/>
          <w:lang w:val="es-ES"/>
        </w:rPr>
        <w:t>ación y la situación que produce la asimetría identificada, la Sala determinará si esta desigualdad es o no constitucional.</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i/>
          <w:iCs/>
          <w:sz w:val="28"/>
          <w:szCs w:val="28"/>
          <w:lang w:val="es-ES"/>
        </w:rPr>
        <w:t>Intensidad del juicio integrado de igualdad</w:t>
      </w:r>
      <w:r w:rsidRPr="007C57D2">
        <w:rPr>
          <w:rFonts w:ascii="Times New Roman" w:hAnsi="Times New Roman"/>
          <w:sz w:val="28"/>
          <w:szCs w:val="28"/>
          <w:lang w:val="es-ES"/>
        </w:rPr>
        <w:t xml:space="preserve">. La Corte considera que en el presente caso es procedente realizar un test estricto </w:t>
      </w:r>
      <w:r w:rsidRPr="007C57D2">
        <w:rPr>
          <w:rFonts w:ascii="Times New Roman" w:hAnsi="Times New Roman"/>
          <w:sz w:val="28"/>
          <w:szCs w:val="28"/>
          <w:lang w:val="es-ES"/>
        </w:rPr>
        <w:t>porque el criterio de edad es excluyente frente a las personas de 13 a 17 años. Veamos</w:t>
      </w:r>
      <w:r w:rsidRPr="007C57D2">
        <w:rPr>
          <w:rFonts w:ascii="Times New Roman" w:hAnsi="Times New Roman"/>
          <w:i/>
          <w:iCs/>
          <w:sz w:val="28"/>
          <w:szCs w:val="28"/>
          <w:lang w:val="es-ES"/>
        </w:rPr>
        <w:t>.</w:t>
      </w:r>
    </w:p>
    <w:p w:rsidR="001E19D5" w:rsidRPr="007C57D2" w:rsidRDefault="007C57D2" w:rsidP="008F3DAB">
      <w:pPr>
        <w:spacing w:after="0" w:line="240" w:lineRule="auto"/>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La edad es el criterio utilizado en el PLE para establecer un trato diferente a menores de edad extraviados. Dado lo anterior, resulta preciso determinar si en el orde</w:t>
      </w:r>
      <w:r w:rsidRPr="007C57D2">
        <w:rPr>
          <w:rFonts w:ascii="Times New Roman" w:hAnsi="Times New Roman"/>
          <w:sz w:val="28"/>
          <w:szCs w:val="28"/>
          <w:lang w:val="es-ES"/>
        </w:rPr>
        <w:t>namiento constitucional existe un bien jurídicamente protegido que justifique ese trato diferenciado, porque quebrantar la igualdad exige una motivación constitucionalmente relevante y, en este caso, imperiosa.</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Esta Corte ha precisado que existen criterio</w:t>
      </w:r>
      <w:r w:rsidRPr="007C57D2">
        <w:rPr>
          <w:rFonts w:ascii="Times New Roman" w:hAnsi="Times New Roman"/>
          <w:sz w:val="28"/>
          <w:szCs w:val="28"/>
          <w:lang w:val="es-ES"/>
        </w:rPr>
        <w:t xml:space="preserve">s constitucionalmente neutros que pueden ser utilizados por las autoridades para distribuir derechos y cargas, pero también ha puesto de presente que existen categorías catalogadas </w:t>
      </w:r>
      <w:r w:rsidRPr="007C57D2">
        <w:rPr>
          <w:rFonts w:ascii="Times New Roman" w:hAnsi="Times New Roman"/>
          <w:sz w:val="28"/>
          <w:szCs w:val="28"/>
          <w:lang w:val="es-ES"/>
        </w:rPr>
        <w:t>como “</w:t>
      </w:r>
      <w:r w:rsidRPr="007C57D2">
        <w:rPr>
          <w:rFonts w:ascii="Times New Roman" w:hAnsi="Times New Roman"/>
          <w:sz w:val="28"/>
          <w:szCs w:val="28"/>
          <w:lang w:val="es-ES"/>
        </w:rPr>
        <w:t>sospechosas” que por regla general están prohibidas porque son potenc</w:t>
      </w:r>
      <w:r w:rsidRPr="007C57D2">
        <w:rPr>
          <w:rFonts w:ascii="Times New Roman" w:hAnsi="Times New Roman"/>
          <w:sz w:val="28"/>
          <w:szCs w:val="28"/>
          <w:lang w:val="es-ES"/>
        </w:rPr>
        <w:t>ialmente discriminatorias</w:t>
      </w:r>
      <w:r w:rsidRPr="007C57D2">
        <w:rPr>
          <w:rStyle w:val="Refdenotaalpie"/>
          <w:rFonts w:ascii="Times New Roman" w:hAnsi="Times New Roman"/>
          <w:sz w:val="28"/>
          <w:szCs w:val="28"/>
          <w:lang w:val="es-ES"/>
        </w:rPr>
        <w:footnoteReference w:id="484"/>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Según la jurisprudencia de esta </w:t>
      </w:r>
      <w:r w:rsidRPr="007C57D2">
        <w:rPr>
          <w:rFonts w:ascii="Times New Roman" w:hAnsi="Times New Roman"/>
          <w:sz w:val="28"/>
          <w:szCs w:val="28"/>
          <w:lang w:val="es-ES"/>
        </w:rPr>
        <w:t>Corporación</w:t>
      </w:r>
      <w:r w:rsidRPr="007C57D2">
        <w:rPr>
          <w:rFonts w:ascii="Times New Roman" w:hAnsi="Times New Roman"/>
          <w:sz w:val="28"/>
          <w:szCs w:val="28"/>
          <w:lang w:val="es-ES"/>
        </w:rPr>
        <w:t>, pueden ser consideradas sospechosas y potencialmente prohibidas aquellas diferenciaciones (i) que se fundan en rasgos permanentes de las personas, de las cuales éstas no pueden pres</w:t>
      </w:r>
      <w:r w:rsidRPr="007C57D2">
        <w:rPr>
          <w:rFonts w:ascii="Times New Roman" w:hAnsi="Times New Roman"/>
          <w:sz w:val="28"/>
          <w:szCs w:val="28"/>
          <w:lang w:val="es-ES"/>
        </w:rPr>
        <w:t>cindir por voluntad propia, a riesgo de perder su identidad; además (ii) esas características han estado sometidas, históricamente, a patrones de valoración cultural que tienden a menospreciarlas; en tercer término, esos puntos de vista (iii) no constituye</w:t>
      </w:r>
      <w:r w:rsidRPr="007C57D2">
        <w:rPr>
          <w:rFonts w:ascii="Times New Roman" w:hAnsi="Times New Roman"/>
          <w:sz w:val="28"/>
          <w:szCs w:val="28"/>
          <w:lang w:val="es-ES"/>
        </w:rPr>
        <w:t>n, per se, criterios con base en los cuales sea posible efectuar una distribución o reparto racionales y equitativos de bienes, derechos o cargas sociales</w:t>
      </w:r>
      <w:r w:rsidRPr="007C57D2">
        <w:rPr>
          <w:rStyle w:val="Refdenotaalpie"/>
          <w:rFonts w:ascii="Times New Roman" w:hAnsi="Times New Roman"/>
          <w:sz w:val="28"/>
          <w:szCs w:val="28"/>
          <w:lang w:val="es-ES"/>
        </w:rPr>
        <w:footnoteReference w:id="485"/>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Finalmente, (iv) en otras decisiones, esta </w:t>
      </w:r>
      <w:r w:rsidRPr="007C57D2">
        <w:rPr>
          <w:rFonts w:ascii="Times New Roman" w:hAnsi="Times New Roman"/>
          <w:sz w:val="28"/>
          <w:szCs w:val="28"/>
          <w:lang w:val="es-ES"/>
        </w:rPr>
        <w:t>Corporación</w:t>
      </w:r>
      <w:r w:rsidRPr="007C57D2">
        <w:rPr>
          <w:rFonts w:ascii="Times New Roman" w:hAnsi="Times New Roman"/>
          <w:sz w:val="28"/>
          <w:szCs w:val="28"/>
          <w:lang w:val="es-ES"/>
        </w:rPr>
        <w:t xml:space="preserve"> ha también indicado que los criterios indi</w:t>
      </w:r>
      <w:r w:rsidRPr="007C57D2">
        <w:rPr>
          <w:rFonts w:ascii="Times New Roman" w:hAnsi="Times New Roman"/>
          <w:sz w:val="28"/>
          <w:szCs w:val="28"/>
          <w:lang w:val="es-ES"/>
        </w:rPr>
        <w:t>cados en el artículo 13 superior deben también ser considerados sospechosos, no sólo por cuanto se encuentran explícitamente señalados por el texto constitucional, sino también porque han estado históricamente asociados a prácticas discriminatorias</w:t>
      </w:r>
      <w:r w:rsidRPr="007C57D2">
        <w:rPr>
          <w:rStyle w:val="Refdenotaalpie"/>
          <w:rFonts w:ascii="Times New Roman" w:hAnsi="Times New Roman"/>
          <w:sz w:val="28"/>
          <w:szCs w:val="28"/>
          <w:lang w:val="es-ES"/>
        </w:rPr>
        <w:footnoteReference w:id="486"/>
      </w:r>
      <w:r w:rsidRPr="007C57D2">
        <w:rPr>
          <w:rFonts w:ascii="Times New Roman" w:hAnsi="Times New Roman"/>
          <w:sz w:val="28"/>
          <w:szCs w:val="28"/>
          <w:lang w:val="es-ES"/>
        </w:rPr>
        <w:t>.</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Dado</w:t>
      </w:r>
      <w:r w:rsidRPr="007C57D2">
        <w:rPr>
          <w:rFonts w:ascii="Times New Roman" w:hAnsi="Times New Roman"/>
          <w:sz w:val="28"/>
          <w:szCs w:val="28"/>
          <w:lang w:val="es-ES"/>
        </w:rPr>
        <w:t xml:space="preserve"> lo anterior, la consagración de una diferencia de trato por razón de edad, en principio no parece ser constitucionalmente problemática. Así, (i) la edad no es un rasgo permanente de una persona: el dinamismo que le es inherente demuestra todo lo contrario</w:t>
      </w:r>
      <w:r w:rsidRPr="007C57D2">
        <w:rPr>
          <w:rFonts w:ascii="Times New Roman" w:hAnsi="Times New Roman"/>
          <w:sz w:val="28"/>
          <w:szCs w:val="28"/>
          <w:lang w:val="es-ES"/>
        </w:rPr>
        <w:t>; (ii) no puede afirmarse que históricamente hayan existido prácticas sistemáticas de discriminación fundadas en diferencias de edad, similares a las exclusiones y hostilidades que han sufrido los grupos sociales, por razón de su raza, sexo u origen nacion</w:t>
      </w:r>
      <w:r w:rsidRPr="007C57D2">
        <w:rPr>
          <w:rFonts w:ascii="Times New Roman" w:hAnsi="Times New Roman"/>
          <w:sz w:val="28"/>
          <w:szCs w:val="28"/>
          <w:lang w:val="es-ES"/>
        </w:rPr>
        <w:t>al; (iii) la edad no parece un criterio arbitrario y caprichoso para distribuir derechos y cargas, ya que la madurez de una persona y su condición física suelen tener relaciones con la edad; así, es obvio que no se debe dar el mismo margen de autonomía a u</w:t>
      </w:r>
      <w:r w:rsidRPr="007C57D2">
        <w:rPr>
          <w:rFonts w:ascii="Times New Roman" w:hAnsi="Times New Roman"/>
          <w:sz w:val="28"/>
          <w:szCs w:val="28"/>
          <w:lang w:val="es-ES"/>
        </w:rPr>
        <w:t xml:space="preserve">n menor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que a un adulto, tal y como esta Corte lo ha reconocido en numerosas ocasiones</w:t>
      </w:r>
      <w:r w:rsidRPr="007C57D2">
        <w:rPr>
          <w:rStyle w:val="Refdenotaalpie"/>
          <w:rFonts w:ascii="Times New Roman" w:hAnsi="Times New Roman"/>
          <w:sz w:val="28"/>
          <w:szCs w:val="28"/>
          <w:lang w:val="es-ES"/>
        </w:rPr>
        <w:footnoteReference w:id="487"/>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A su vez, (iv) tampoco está prevista la edad como criterio sospechoso de discriminación, ni en el artículo 13 de la Carta, ni en ninguno de los tratados de </w:t>
      </w:r>
      <w:r w:rsidRPr="007C57D2">
        <w:rPr>
          <w:rFonts w:ascii="Times New Roman" w:hAnsi="Times New Roman"/>
          <w:sz w:val="28"/>
          <w:szCs w:val="28"/>
          <w:lang w:val="es-ES"/>
        </w:rPr>
        <w:t>derechos humanos ratificados por Colombia. Así, ni la Declaración Universal, ni la Declaración Americana, ni la Convención Interamericana, ni los pactos de derechos humanos de Naciones Unidas, prevén explícitamente que la edad sea un criterio prohibido par</w:t>
      </w:r>
      <w:r w:rsidRPr="007C57D2">
        <w:rPr>
          <w:rFonts w:ascii="Times New Roman" w:hAnsi="Times New Roman"/>
          <w:sz w:val="28"/>
          <w:szCs w:val="28"/>
          <w:lang w:val="es-ES"/>
        </w:rPr>
        <w:t>a establecer distinciones entre las personas</w:t>
      </w:r>
      <w:r w:rsidRPr="007C57D2">
        <w:rPr>
          <w:rStyle w:val="Refdenotaalpie"/>
          <w:rFonts w:ascii="Times New Roman" w:hAnsi="Times New Roman"/>
          <w:sz w:val="28"/>
          <w:szCs w:val="28"/>
          <w:lang w:val="es-ES"/>
        </w:rPr>
        <w:footnoteReference w:id="488"/>
      </w:r>
      <w:r w:rsidRPr="007C57D2">
        <w:rPr>
          <w:rFonts w:ascii="Times New Roman" w:hAnsi="Times New Roman"/>
          <w:sz w:val="28"/>
          <w:szCs w:val="28"/>
          <w:lang w:val="es-ES"/>
        </w:rPr>
        <w:t>.</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En todo caso, esta </w:t>
      </w:r>
      <w:r w:rsidRPr="007C57D2">
        <w:rPr>
          <w:rFonts w:ascii="Times New Roman" w:hAnsi="Times New Roman"/>
          <w:sz w:val="28"/>
          <w:szCs w:val="28"/>
          <w:lang w:val="es-ES"/>
        </w:rPr>
        <w:t>Corporación</w:t>
      </w:r>
      <w:r w:rsidRPr="007C57D2">
        <w:rPr>
          <w:rFonts w:ascii="Times New Roman" w:hAnsi="Times New Roman"/>
          <w:sz w:val="28"/>
          <w:szCs w:val="28"/>
          <w:lang w:val="es-ES"/>
        </w:rPr>
        <w:t xml:space="preserve"> ha constatado la existencia de discriminaciones por razón de edad y, en estos casos, ha adelantado un análisis de igualdad estricto. Por ende, en la </w:t>
      </w:r>
      <w:r w:rsidRPr="007C57D2">
        <w:rPr>
          <w:rFonts w:ascii="Times New Roman" w:hAnsi="Times New Roman"/>
          <w:sz w:val="28"/>
          <w:szCs w:val="28"/>
          <w:lang w:val="es-ES"/>
        </w:rPr>
        <w:t>S</w:t>
      </w:r>
      <w:r w:rsidRPr="007C57D2">
        <w:rPr>
          <w:rFonts w:ascii="Times New Roman" w:hAnsi="Times New Roman"/>
          <w:sz w:val="28"/>
          <w:szCs w:val="28"/>
          <w:lang w:val="es-ES"/>
        </w:rPr>
        <w:t>entencia C-09</w:t>
      </w:r>
      <w:r w:rsidRPr="007C57D2">
        <w:rPr>
          <w:rFonts w:ascii="Times New Roman" w:hAnsi="Times New Roman"/>
          <w:sz w:val="28"/>
          <w:szCs w:val="28"/>
          <w:lang w:val="es-ES"/>
        </w:rPr>
        <w:t>3</w:t>
      </w:r>
      <w:r w:rsidRPr="007C57D2">
        <w:rPr>
          <w:rFonts w:ascii="Times New Roman" w:hAnsi="Times New Roman"/>
          <w:sz w:val="28"/>
          <w:szCs w:val="28"/>
          <w:lang w:val="es-ES"/>
        </w:rPr>
        <w:t xml:space="preserve"> de 2001, est</w:t>
      </w:r>
      <w:r w:rsidRPr="007C57D2">
        <w:rPr>
          <w:rFonts w:ascii="Times New Roman" w:hAnsi="Times New Roman"/>
          <w:sz w:val="28"/>
          <w:szCs w:val="28"/>
          <w:lang w:val="es-ES"/>
        </w:rPr>
        <w:t>a Corte consideró la edad como una categoría semi-sospechosa y determinó que toda distinción que se funde en esa pauta debería estar sometida a un juicio intermedio de igualdad.</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Así las cosas, la Corte concluyó que “cuando la ley establece requisitos míni</w:t>
      </w:r>
      <w:r w:rsidRPr="007C57D2">
        <w:rPr>
          <w:rFonts w:ascii="Times New Roman" w:hAnsi="Times New Roman"/>
          <w:sz w:val="28"/>
          <w:szCs w:val="28"/>
          <w:lang w:val="es-ES"/>
        </w:rPr>
        <w:t>mos para realizar una labor o recibir un beneficio, esa regulación está sujeta a un juicio de igualdad dúctil, mientras que deben ser consideradas problemáticas o semi-sospechosas aquellas normas que establecen límites máximos a partir de los cuales una pe</w:t>
      </w:r>
      <w:r w:rsidRPr="007C57D2">
        <w:rPr>
          <w:rFonts w:ascii="Times New Roman" w:hAnsi="Times New Roman"/>
          <w:sz w:val="28"/>
          <w:szCs w:val="28"/>
          <w:lang w:val="es-ES"/>
        </w:rPr>
        <w:t>rsona es excluida de una cierta actividad o de un determinado beneficio”. Estas últimas regulaciones están entonces sujetas a un escrutinio de igualdad intermedio</w:t>
      </w:r>
      <w:r w:rsidRPr="007C57D2">
        <w:rPr>
          <w:rStyle w:val="Refdenotaalpie"/>
          <w:rFonts w:ascii="Times New Roman" w:hAnsi="Times New Roman"/>
          <w:sz w:val="28"/>
          <w:szCs w:val="28"/>
          <w:lang w:val="es-ES"/>
        </w:rPr>
        <w:footnoteReference w:id="489"/>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En el PLE la edad no constituye un criterio semi-sospechoso, pues no se trata de una disp</w:t>
      </w:r>
      <w:r w:rsidRPr="007C57D2">
        <w:rPr>
          <w:rFonts w:ascii="Times New Roman" w:hAnsi="Times New Roman"/>
          <w:sz w:val="28"/>
          <w:szCs w:val="28"/>
          <w:lang w:val="es-ES"/>
        </w:rPr>
        <w:t xml:space="preserve">osición que impone un límite máximo para acceder a un derecho o beneficio. No obstante, el problema surge porque dicha clasificación excluye injustificadamente a los adolescentes (13 a 17 años) del ámbito de protección previsto para los menores 0-12 años, </w:t>
      </w:r>
      <w:r w:rsidRPr="007C57D2">
        <w:rPr>
          <w:rFonts w:ascii="Times New Roman" w:hAnsi="Times New Roman"/>
          <w:sz w:val="28"/>
          <w:szCs w:val="28"/>
          <w:lang w:val="es-ES"/>
        </w:rPr>
        <w:t>lo que genera una asimetría material entre grupos equiparables</w:t>
      </w:r>
      <w:r w:rsidRPr="007C57D2">
        <w:rPr>
          <w:rStyle w:val="Refdenotaalpie"/>
          <w:rFonts w:ascii="Times New Roman" w:hAnsi="Times New Roman"/>
          <w:sz w:val="28"/>
          <w:szCs w:val="28"/>
          <w:lang w:val="es-ES"/>
        </w:rPr>
        <w:footnoteReference w:id="490"/>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Para la Sala, la distinción de trato prevista en el literal a) del artículo 2 del PLE debe ser examinada mediante un test de igualdad estricto, en tanto la medida recae sobre un grupo que, </w:t>
      </w:r>
      <w:r w:rsidRPr="007C57D2">
        <w:rPr>
          <w:rFonts w:ascii="Times New Roman" w:hAnsi="Times New Roman"/>
          <w:sz w:val="28"/>
          <w:szCs w:val="28"/>
          <w:lang w:val="es-ES"/>
        </w:rPr>
        <w:t>por razón de su edad, se encuentra en situación de debilidad manifiesta y, por ello, goza de protección constitucional reforzada. En efecto, la Sala Plena de la Corte Constitucional, en la Sentencia C-468 de 2009, precisó que los menores de edad son sujeto</w:t>
      </w:r>
      <w:r w:rsidRPr="007C57D2">
        <w:rPr>
          <w:rFonts w:ascii="Times New Roman" w:hAnsi="Times New Roman"/>
          <w:sz w:val="28"/>
          <w:szCs w:val="28"/>
          <w:lang w:val="es-ES"/>
        </w:rPr>
        <w:t xml:space="preserve">s de especial protección constitucional precisamente por su edad, pues esta los hace especialmente vulnerables y en condición de debilidad manifiesta.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En esa medida, cualquier disposición que afecte las garantías de este grupo debe ser sometida a un </w:t>
      </w:r>
      <w:r w:rsidRPr="007C57D2">
        <w:rPr>
          <w:rFonts w:ascii="Times New Roman" w:hAnsi="Times New Roman"/>
          <w:sz w:val="28"/>
          <w:szCs w:val="28"/>
          <w:lang w:val="es-ES"/>
        </w:rPr>
        <w:t>escrutinio riguroso y exhaustivo, dado que involucra a personas cuya capacidad de autodeterminación y defensa de sus propios derechos es limitada. Así, la exclusión de los adolescentes del mecanismo previsto para la búsqueda de niños (as) entre 0 y 12 años</w:t>
      </w:r>
      <w:r w:rsidRPr="007C57D2">
        <w:rPr>
          <w:rFonts w:ascii="Times New Roman" w:hAnsi="Times New Roman"/>
          <w:sz w:val="28"/>
          <w:szCs w:val="28"/>
          <w:lang w:val="es-ES"/>
        </w:rPr>
        <w:t xml:space="preserve"> extraviados no puede analizarse bajo un juicio leve o intermedio, sino bajo un examen estricto, que permita determinar si la medida persigue una finalidad constitucional imperiosa y si resulta necesaria y proporcionada frente a la especial protección que </w:t>
      </w:r>
      <w:r w:rsidRPr="007C57D2">
        <w:rPr>
          <w:rFonts w:ascii="Times New Roman" w:hAnsi="Times New Roman"/>
          <w:sz w:val="28"/>
          <w:szCs w:val="28"/>
          <w:lang w:val="es-ES"/>
        </w:rPr>
        <w:t>la Constitución les otorga.</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i/>
          <w:iCs/>
          <w:sz w:val="28"/>
          <w:szCs w:val="28"/>
          <w:lang w:val="es-ES"/>
        </w:rPr>
        <w:t xml:space="preserve">Test estricto de igualdad. </w:t>
      </w:r>
      <w:r w:rsidRPr="007C57D2">
        <w:rPr>
          <w:rFonts w:ascii="Times New Roman" w:hAnsi="Times New Roman"/>
          <w:sz w:val="28"/>
          <w:szCs w:val="28"/>
          <w:lang w:val="es-ES"/>
        </w:rPr>
        <w:t xml:space="preserve">De conformidad con la jurisprudencia constitucional, el test estricto de  igualdad exige verificar: (i) si la medida persigue una finalidad imperiosa, (ii) si el medio empleado o escogido es adecuado </w:t>
      </w:r>
      <w:r w:rsidRPr="007C57D2">
        <w:rPr>
          <w:rFonts w:ascii="Times New Roman" w:hAnsi="Times New Roman"/>
          <w:sz w:val="28"/>
          <w:szCs w:val="28"/>
          <w:lang w:val="es-ES"/>
        </w:rPr>
        <w:t>para alcanzarla, (iii) si resulta necesario, en el sentido de que no existen otras alternativas menos restrictivas de los derechos fundamentales o si no puede ser reemplazado por otros medio menos lesivos para los derechos de los destinatarios de la norma</w:t>
      </w:r>
      <w:r w:rsidRPr="007C57D2">
        <w:rPr>
          <w:rFonts w:ascii="Times New Roman" w:hAnsi="Times New Roman"/>
          <w:sz w:val="28"/>
          <w:szCs w:val="28"/>
          <w:lang w:val="es-ES"/>
        </w:rPr>
        <w:t xml:space="preserve"> </w:t>
      </w:r>
      <w:r w:rsidRPr="007C57D2">
        <w:rPr>
          <w:rFonts w:ascii="Times New Roman" w:hAnsi="Times New Roman"/>
          <w:sz w:val="28"/>
          <w:szCs w:val="28"/>
        </w:rPr>
        <w:t>el medio debe ser “efectivamente conducente y necesario para el logro de la finalidad perseguida por la norma”</w:t>
      </w:r>
      <w:r w:rsidRPr="007C57D2">
        <w:rPr>
          <w:rStyle w:val="Refdenotaalpie"/>
          <w:rFonts w:ascii="Times New Roman" w:hAnsi="Times New Roman"/>
          <w:sz w:val="28"/>
          <w:szCs w:val="28"/>
        </w:rPr>
        <w:footnoteReference w:id="491"/>
      </w:r>
      <w:r w:rsidRPr="007C57D2">
        <w:rPr>
          <w:rFonts w:ascii="Times New Roman" w:hAnsi="Times New Roman"/>
          <w:sz w:val="28"/>
          <w:szCs w:val="28"/>
          <w:lang w:val="es-ES"/>
        </w:rPr>
        <w:t xml:space="preserve"> , y (iv) si es proporcional en sentido estricto, esto es, si el grado de afectación que genera no excede los beneficios que produce  o “si los b</w:t>
      </w:r>
      <w:r w:rsidRPr="007C57D2">
        <w:rPr>
          <w:rFonts w:ascii="Times New Roman" w:hAnsi="Times New Roman"/>
          <w:sz w:val="28"/>
          <w:szCs w:val="28"/>
          <w:lang w:val="es-ES"/>
        </w:rPr>
        <w:t xml:space="preserve">eneficios de adoptar la medida exceden o no las restricciones impuestas sobre otros valores o principios constitucionales; es decir, si la medida es proporcional en sentido estricto.” </w:t>
      </w:r>
      <w:r w:rsidRPr="007C57D2">
        <w:rPr>
          <w:rStyle w:val="Refdenotaalpie"/>
          <w:rFonts w:ascii="Times New Roman" w:hAnsi="Times New Roman"/>
          <w:sz w:val="28"/>
          <w:szCs w:val="28"/>
        </w:rPr>
        <w:footnoteReference w:id="492"/>
      </w:r>
      <w:r w:rsidRPr="007C57D2">
        <w:rPr>
          <w:rFonts w:ascii="Times New Roman" w:hAnsi="Times New Roman"/>
          <w:sz w:val="28"/>
          <w:szCs w:val="28"/>
        </w:rPr>
        <w:t xml:space="preserve"> </w:t>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En el presente caso, el test se aplicará a la medida consistente </w:t>
      </w:r>
      <w:r w:rsidRPr="007C57D2">
        <w:rPr>
          <w:rFonts w:ascii="Times New Roman" w:hAnsi="Times New Roman"/>
          <w:sz w:val="28"/>
          <w:szCs w:val="28"/>
          <w:lang w:val="es-ES"/>
        </w:rPr>
        <w:t>en limitar el uso de la “Alerta Colombia” a niños y niñas de 0 a 12 años de edad. Precisado lo anterior, se procederá a verificar si la misma supera los elementos establecidos por la jurisprudencia constitucional:</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13"/>
        </w:numPr>
        <w:tabs>
          <w:tab w:val="left" w:pos="1134"/>
        </w:tabs>
        <w:ind w:left="567"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 Finalidad imperiosa.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El propósito del </w:t>
      </w:r>
      <w:r w:rsidRPr="007C57D2">
        <w:rPr>
          <w:rFonts w:ascii="Times New Roman" w:hAnsi="Times New Roman"/>
          <w:sz w:val="28"/>
          <w:szCs w:val="28"/>
          <w:lang w:val="es-ES"/>
        </w:rPr>
        <w:t xml:space="preserve">literal a) del artículo 2 del PLE podría entenderse orientado a proteger el grupo poblacional beneficiario del mecanismo de búsqueda inmediata de menores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 xml:space="preserve">extraviados, con el fin de garantizar una respuesta ágil y efectiva de las autoridades. Dicha </w:t>
      </w:r>
      <w:r w:rsidRPr="007C57D2">
        <w:rPr>
          <w:rFonts w:ascii="Times New Roman" w:hAnsi="Times New Roman"/>
          <w:sz w:val="28"/>
          <w:szCs w:val="28"/>
          <w:lang w:val="es-ES"/>
        </w:rPr>
        <w:t>finalidad es constitucionalmente legítima e incluso imperiosa, dado que se dirige a salvaguardar derechos fundamentales como la vida, la integridad personal y la seguridad de los niños y niñas.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13"/>
        </w:numPr>
        <w:tabs>
          <w:tab w:val="left" w:pos="1134"/>
        </w:tabs>
        <w:ind w:left="567"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Adecuación del medio.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¿Es adecuado limitar la aplicación de</w:t>
      </w:r>
      <w:r w:rsidRPr="007C57D2">
        <w:rPr>
          <w:rFonts w:ascii="Times New Roman" w:hAnsi="Times New Roman"/>
          <w:sz w:val="28"/>
          <w:szCs w:val="28"/>
          <w:lang w:val="es-ES"/>
        </w:rPr>
        <w:t xml:space="preserve"> la “Alerta Colombia” a niños y niñas de 0 a 12 años? La medida podría considerarse adecuada en apariencia, en tanto busca precisar el ámbito de aplicación del mecanismo para hacerlo operativo. Sin embargo, la exclusión de los adolescentes entre 13 y 17 añ</w:t>
      </w:r>
      <w:r w:rsidRPr="007C57D2">
        <w:rPr>
          <w:rFonts w:ascii="Times New Roman" w:hAnsi="Times New Roman"/>
          <w:sz w:val="28"/>
          <w:szCs w:val="28"/>
          <w:lang w:val="es-ES"/>
        </w:rPr>
        <w:t>os no guarda una relación de conexidad racional con la finalidad perseguida, pues el riesgo de extravío o desaparición no desaparece ni se reduce por el solo hecho de alcanzar la adolescencia. Por el contrario, las estadísticas presentadas por los intervin</w:t>
      </w:r>
      <w:r w:rsidRPr="007C57D2">
        <w:rPr>
          <w:rFonts w:ascii="Times New Roman" w:hAnsi="Times New Roman"/>
          <w:sz w:val="28"/>
          <w:szCs w:val="28"/>
          <w:lang w:val="es-ES"/>
        </w:rPr>
        <w:t xml:space="preserve">ientes, en especial, por el Ministerio Público y las consignadas en la parte motiva de esta sentencia, evidencian que los adolescentes son la población que más solicitudes de búsqueda tienen. De modo que excluirlos debilita el cumplimiento del objetivo de </w:t>
      </w:r>
      <w:r w:rsidRPr="007C57D2">
        <w:rPr>
          <w:rFonts w:ascii="Times New Roman" w:hAnsi="Times New Roman"/>
          <w:sz w:val="28"/>
          <w:szCs w:val="28"/>
          <w:lang w:val="es-ES"/>
        </w:rPr>
        <w:t>protección integral.</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La definición de niños y niñas extraviadas del PLE no es adecuada porque es excluyente en la medida que deja por fuera a otras personas especialmente protegidas por la Constitución. En efecto, prevé un trato exclusivo a los menores de</w:t>
      </w:r>
      <w:r w:rsidRPr="007C57D2">
        <w:rPr>
          <w:rFonts w:ascii="Times New Roman" w:hAnsi="Times New Roman"/>
          <w:sz w:val="28"/>
          <w:szCs w:val="28"/>
          <w:lang w:val="es-ES"/>
        </w:rPr>
        <w:t xml:space="preserve"> 0-12, privando de la misma protección a los menores en entre 13 y 17 que se encuentren en situación de extravío.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El literal a) del artículo 2 del PLE genera una carencia de protección, al ofrecer unas herramientas especiales frente a situaciones de extr</w:t>
      </w:r>
      <w:r w:rsidRPr="007C57D2">
        <w:rPr>
          <w:rFonts w:ascii="Times New Roman" w:hAnsi="Times New Roman"/>
          <w:sz w:val="28"/>
          <w:szCs w:val="28"/>
          <w:lang w:val="es-ES"/>
        </w:rPr>
        <w:t>avío o desaparición únicamente a los menores de 12 años y excluir a otras en la misma situación. Si bien busca proteger a un grupo de personas, genera un trato desigual entre sujetos de especial protección constitucional, con lo cual crea discriminación no</w:t>
      </w:r>
      <w:r w:rsidRPr="007C57D2">
        <w:rPr>
          <w:rFonts w:ascii="Times New Roman" w:hAnsi="Times New Roman"/>
          <w:sz w:val="28"/>
          <w:szCs w:val="28"/>
          <w:lang w:val="es-ES"/>
        </w:rPr>
        <w:t xml:space="preserve"> razonable ni objetivamente justificada por edad.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13"/>
        </w:numPr>
        <w:tabs>
          <w:tab w:val="left" w:pos="1276"/>
        </w:tabs>
        <w:ind w:left="567" w:firstLine="0"/>
        <w:jc w:val="both"/>
        <w:rPr>
          <w:rFonts w:ascii="Times New Roman" w:hAnsi="Times New Roman"/>
          <w:sz w:val="28"/>
          <w:szCs w:val="28"/>
          <w:lang w:val="es-ES"/>
        </w:rPr>
      </w:pPr>
      <w:r w:rsidRPr="007C57D2">
        <w:rPr>
          <w:rFonts w:ascii="Times New Roman" w:hAnsi="Times New Roman"/>
          <w:sz w:val="28"/>
          <w:szCs w:val="28"/>
          <w:lang w:val="es-ES"/>
        </w:rPr>
        <w:t xml:space="preserve">Necesidad de la medida.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i/>
          <w:iCs/>
          <w:sz w:val="28"/>
          <w:szCs w:val="28"/>
          <w:lang w:val="es-ES"/>
        </w:rPr>
      </w:pPr>
      <w:r w:rsidRPr="007C57D2">
        <w:rPr>
          <w:rFonts w:ascii="Times New Roman" w:hAnsi="Times New Roman"/>
          <w:sz w:val="28"/>
          <w:szCs w:val="28"/>
          <w:lang w:val="es-ES"/>
        </w:rPr>
        <w:t xml:space="preserve">¿Es necesario limitar la aplicación de la “Alerta Colombia” a niños y niñas de 0 a 12 años? La medida no supera el juicio de necesidad, dado que existen alternativas menos </w:t>
      </w:r>
      <w:r w:rsidRPr="007C57D2">
        <w:rPr>
          <w:rFonts w:ascii="Times New Roman" w:hAnsi="Times New Roman"/>
          <w:sz w:val="28"/>
          <w:szCs w:val="28"/>
          <w:lang w:val="es-ES"/>
        </w:rPr>
        <w:t xml:space="preserve">restrictivas que permitirían cumplir el mismo fin sin excluir a los adolescentes.  La definición de niños y niñas extraviadas es regresiva porque el PLE da un paso atrás frente a la protección que ofrecen otras regulaciones que tienen objeto la búsqueda y </w:t>
      </w:r>
      <w:r w:rsidRPr="007C57D2">
        <w:rPr>
          <w:rFonts w:ascii="Times New Roman" w:hAnsi="Times New Roman"/>
          <w:sz w:val="28"/>
          <w:szCs w:val="28"/>
          <w:lang w:val="es-ES"/>
        </w:rPr>
        <w:t>localización de todos los NNA extraviados o desaparecidos.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En primer lugar, el numeral 4 del artículo 47 del Código de la Infancia y la Adolescencia (Ley 1098 de 2006) obliga a los medios de comunicación a “promover la divulgación de información que permi</w:t>
      </w:r>
      <w:r w:rsidRPr="007C57D2">
        <w:rPr>
          <w:rFonts w:ascii="Times New Roman" w:hAnsi="Times New Roman"/>
          <w:sz w:val="28"/>
          <w:szCs w:val="28"/>
          <w:lang w:val="es-ES"/>
        </w:rPr>
        <w:t>ta la localización de los padres o personas responsables de niños, niñas o adolescentes cuando por cualquier causa se encuentren separados de ellos, se hayan extraviado o sean solicitados por las autoridades competentes”.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En segundo lugar y en cumplimient</w:t>
      </w:r>
      <w:r w:rsidRPr="007C57D2">
        <w:rPr>
          <w:rFonts w:ascii="Times New Roman" w:hAnsi="Times New Roman"/>
          <w:sz w:val="28"/>
          <w:szCs w:val="28"/>
          <w:lang w:val="es-ES"/>
        </w:rPr>
        <w:t>o de lo anteriormente señalado en el Código de Infancia y Adolescencia, el artículo 50 de la ley 1978 de 2019 ordenó a la Comisión de Regulación de Comunicaciones  (CRC) realizar un estudio y expedir la reglamentación que permita “diseñar e implementar una</w:t>
      </w:r>
      <w:r w:rsidRPr="007C57D2">
        <w:rPr>
          <w:rFonts w:ascii="Times New Roman" w:hAnsi="Times New Roman"/>
          <w:sz w:val="28"/>
          <w:szCs w:val="28"/>
          <w:lang w:val="es-ES"/>
        </w:rPr>
        <w:t xml:space="preserve"> alerta nacional ante la desaparición de NNA, mediante la que se difundirá la información de la desaparición del menor edad, previa orden judicial o de Autoridad competente, con el fin de garantizar su inmediata localización y reintegro a su entorno famili</w:t>
      </w:r>
      <w:r w:rsidRPr="007C57D2">
        <w:rPr>
          <w:rFonts w:ascii="Times New Roman" w:hAnsi="Times New Roman"/>
          <w:sz w:val="28"/>
          <w:szCs w:val="28"/>
          <w:lang w:val="es-ES"/>
        </w:rPr>
        <w:t>ar.”. En virtud de lo anterior, la CRC expidió la Resolución 6141 de 2021, la cual define la “Alerta Nacional” como un “mensaje de alerta basado en el Protocolo de Alerta Común (Common Alerting Protocol – CAP por su sigla en inglés) que contiene la informa</w:t>
      </w:r>
      <w:r w:rsidRPr="007C57D2">
        <w:rPr>
          <w:rFonts w:ascii="Times New Roman" w:hAnsi="Times New Roman"/>
          <w:sz w:val="28"/>
          <w:szCs w:val="28"/>
          <w:lang w:val="es-ES"/>
        </w:rPr>
        <w:t>ción necesaria para apoyar la búsqueda y localización de los NNA desaparecidos, y que se difunde a través de los medios masivos de comunicación”</w:t>
      </w:r>
      <w:r w:rsidRPr="007C57D2">
        <w:rPr>
          <w:rStyle w:val="Refdecomentario"/>
          <w:rFonts w:ascii="Times New Roman" w:hAnsi="Times New Roman"/>
          <w:sz w:val="28"/>
          <w:szCs w:val="28"/>
        </w:rPr>
        <w:t xml:space="preserve"> </w:t>
      </w:r>
      <w:r w:rsidRPr="007C57D2">
        <w:rPr>
          <w:rStyle w:val="Refdenotaalpie"/>
          <w:rFonts w:ascii="Times New Roman" w:hAnsi="Times New Roman"/>
          <w:sz w:val="28"/>
          <w:szCs w:val="28"/>
        </w:rPr>
        <w:footnoteReference w:id="493"/>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Finalmente, mediante a la Ley 2326 de 2023</w:t>
      </w:r>
      <w:r w:rsidRPr="007C57D2">
        <w:rPr>
          <w:rStyle w:val="Refdenotaalpie"/>
          <w:rFonts w:ascii="Times New Roman" w:hAnsi="Times New Roman"/>
          <w:sz w:val="28"/>
          <w:szCs w:val="28"/>
        </w:rPr>
        <w:footnoteReference w:id="494"/>
      </w:r>
      <w:r w:rsidRPr="007C57D2">
        <w:rPr>
          <w:rFonts w:ascii="Times New Roman" w:hAnsi="Times New Roman"/>
          <w:sz w:val="28"/>
          <w:szCs w:val="28"/>
        </w:rPr>
        <w:t xml:space="preserve"> </w:t>
      </w:r>
      <w:r w:rsidRPr="007C57D2">
        <w:rPr>
          <w:rFonts w:ascii="Times New Roman" w:hAnsi="Times New Roman"/>
          <w:sz w:val="28"/>
          <w:szCs w:val="28"/>
          <w:lang w:val="es-ES"/>
        </w:rPr>
        <w:t xml:space="preserve"> se creó y reguló el funcionamiento de la “Alerta Rosa” como u</w:t>
      </w:r>
      <w:r w:rsidRPr="007C57D2">
        <w:rPr>
          <w:rFonts w:ascii="Times New Roman" w:hAnsi="Times New Roman"/>
          <w:sz w:val="28"/>
          <w:szCs w:val="28"/>
          <w:lang w:val="es-ES"/>
        </w:rPr>
        <w:t xml:space="preserve">n mecanismo de búsqueda urgente nacional, estandarizado, multicanal y de difusión masiva y pública, para facilitar la pronta localización y protección de niñas, niños y adolescentes, jóvenes y mujeres reportados como desaparecidos, a efectos de garantizar </w:t>
      </w:r>
      <w:r w:rsidRPr="007C57D2">
        <w:rPr>
          <w:rFonts w:ascii="Times New Roman" w:hAnsi="Times New Roman"/>
          <w:sz w:val="28"/>
          <w:szCs w:val="28"/>
          <w:lang w:val="es-ES"/>
        </w:rPr>
        <w:t>su vida, libertad, seguridad, integridad y dignidad. Dicha ley fue reglamentada por el Decreto 1428 de 2024 y señala que “de conformidad con lo establecido en los artículos 3° y 29 de la Ley 1098 de 2006, se entiende como niña, niño y adolescente toda pers</w:t>
      </w:r>
      <w:r w:rsidRPr="007C57D2">
        <w:rPr>
          <w:rFonts w:ascii="Times New Roman" w:hAnsi="Times New Roman"/>
          <w:sz w:val="28"/>
          <w:szCs w:val="28"/>
          <w:lang w:val="es-ES"/>
        </w:rPr>
        <w:t>ona entre 0 y 18 años, que de acuerdo con su edad se puede reconocer en los cursos de vida de primera infancia, (entre 0 y 6 años), infancia (entre 6 y 12 años) y adolescencia (entre 12 y 18 años).”</w:t>
      </w:r>
      <w:r w:rsidRPr="007C57D2">
        <w:rPr>
          <w:rStyle w:val="Refdecomentario"/>
          <w:rFonts w:ascii="Times New Roman" w:hAnsi="Times New Roman"/>
          <w:sz w:val="28"/>
          <w:szCs w:val="28"/>
        </w:rPr>
        <w:t xml:space="preserve"> </w:t>
      </w:r>
      <w:r w:rsidRPr="007C57D2">
        <w:rPr>
          <w:rStyle w:val="Refdenotaalpie"/>
          <w:rFonts w:ascii="Times New Roman" w:hAnsi="Times New Roman"/>
          <w:sz w:val="28"/>
          <w:szCs w:val="28"/>
        </w:rPr>
        <w:footnoteReference w:id="495"/>
      </w:r>
      <w:r w:rsidRPr="007C57D2">
        <w:rPr>
          <w:rFonts w:ascii="Times New Roman" w:hAnsi="Times New Roman"/>
          <w:sz w:val="28"/>
          <w:szCs w:val="28"/>
          <w:lang w:val="es-ES"/>
        </w:rPr>
        <w:t xml:space="preserv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Como se observa, las anteriores normas otorgan el mis</w:t>
      </w:r>
      <w:r w:rsidRPr="007C57D2">
        <w:rPr>
          <w:rFonts w:ascii="Times New Roman" w:hAnsi="Times New Roman"/>
          <w:sz w:val="28"/>
          <w:szCs w:val="28"/>
          <w:lang w:val="es-ES"/>
        </w:rPr>
        <w:t>mo nivel de protección a todas las personas menores de 18 años (NNA -NNA-) que se encuentren en situación de extravío o desaparición. En contraste, el PLE no trata de la misma forma a todos los NNA en esa circunstancia porque el literal a) del artículo 2 e</w:t>
      </w:r>
      <w:r w:rsidRPr="007C57D2">
        <w:rPr>
          <w:rFonts w:ascii="Times New Roman" w:hAnsi="Times New Roman"/>
          <w:sz w:val="28"/>
          <w:szCs w:val="28"/>
          <w:lang w:val="es-ES"/>
        </w:rPr>
        <w:t>xcluye a quienes tienen entre 13 y 17 años la posibilidad de beneficiarse de la herramienta “Alerta Colombia”, prevista en el proyecto para facilitar la búsqueda y localización de personas extraviadas.</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13"/>
        </w:numPr>
        <w:tabs>
          <w:tab w:val="left" w:pos="1276"/>
        </w:tabs>
        <w:ind w:left="567" w:firstLine="0"/>
        <w:jc w:val="both"/>
        <w:rPr>
          <w:rFonts w:ascii="Times New Roman" w:hAnsi="Times New Roman"/>
          <w:sz w:val="28"/>
          <w:szCs w:val="28"/>
          <w:lang w:val="es-ES"/>
        </w:rPr>
      </w:pPr>
      <w:r w:rsidRPr="007C57D2">
        <w:rPr>
          <w:rFonts w:ascii="Times New Roman" w:hAnsi="Times New Roman"/>
          <w:sz w:val="28"/>
          <w:szCs w:val="28"/>
          <w:lang w:val="es-ES"/>
        </w:rPr>
        <w:t xml:space="preserve">Proporcionalidad en sentido estricto.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firstLine="0"/>
        <w:jc w:val="both"/>
        <w:rPr>
          <w:rFonts w:ascii="Times New Roman" w:hAnsi="Times New Roman"/>
          <w:i/>
          <w:iCs/>
          <w:sz w:val="28"/>
          <w:szCs w:val="28"/>
          <w:lang w:val="es-ES"/>
        </w:rPr>
      </w:pPr>
      <w:r w:rsidRPr="007C57D2">
        <w:rPr>
          <w:rFonts w:ascii="Times New Roman" w:hAnsi="Times New Roman"/>
          <w:sz w:val="28"/>
          <w:szCs w:val="28"/>
          <w:lang w:val="es-ES"/>
        </w:rPr>
        <w:t>¿Es proporcio</w:t>
      </w:r>
      <w:r w:rsidRPr="007C57D2">
        <w:rPr>
          <w:rFonts w:ascii="Times New Roman" w:hAnsi="Times New Roman"/>
          <w:sz w:val="28"/>
          <w:szCs w:val="28"/>
          <w:lang w:val="es-ES"/>
        </w:rPr>
        <w:t>nal limitar la aplicación de la “Alerta Colombia” a niños y niñas de 0 a 12 años?</w:t>
      </w:r>
      <w:r w:rsidRPr="007C57D2">
        <w:rPr>
          <w:rFonts w:ascii="Times New Roman" w:hAnsi="Times New Roman"/>
          <w:i/>
          <w:iCs/>
          <w:sz w:val="28"/>
          <w:szCs w:val="28"/>
          <w:lang w:val="es-ES"/>
        </w:rPr>
        <w:t xml:space="preserve"> </w:t>
      </w:r>
      <w:r w:rsidRPr="007C57D2">
        <w:rPr>
          <w:rFonts w:ascii="Times New Roman" w:hAnsi="Times New Roman"/>
          <w:sz w:val="28"/>
          <w:szCs w:val="28"/>
          <w:lang w:val="es-ES"/>
        </w:rPr>
        <w:t>Finalmente, la medida resulta desproporcionada en sentido estricto, pues el perjuicio que ocasiona –la exclusión de los adolescentes-, que son menores de edad- del acceso a u</w:t>
      </w:r>
      <w:r w:rsidRPr="007C57D2">
        <w:rPr>
          <w:rFonts w:ascii="Times New Roman" w:hAnsi="Times New Roman"/>
          <w:sz w:val="28"/>
          <w:szCs w:val="28"/>
          <w:lang w:val="es-ES"/>
        </w:rPr>
        <w:t xml:space="preserve">n instrumento estatal de protección– es mayor que cualquier beneficio que pueda derivarse de la restricción. La medida priva a las personas de 13 a 17 años de contar con mejores herramientas para que sean utilizadas en caso de que </w:t>
      </w:r>
      <w:r w:rsidRPr="007C57D2">
        <w:rPr>
          <w:rFonts w:ascii="Times New Roman" w:hAnsi="Times New Roman"/>
          <w:sz w:val="28"/>
          <w:szCs w:val="28"/>
          <w:lang w:val="es-ES"/>
        </w:rPr>
        <w:t>estén</w:t>
      </w:r>
      <w:r w:rsidRPr="007C57D2">
        <w:rPr>
          <w:rFonts w:ascii="Times New Roman" w:hAnsi="Times New Roman"/>
          <w:sz w:val="28"/>
          <w:szCs w:val="28"/>
          <w:lang w:val="es-ES"/>
        </w:rPr>
        <w:t xml:space="preserve"> en situación de extravío.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lang w:val="es-ES"/>
        </w:rPr>
      </w:pPr>
      <w:r w:rsidRPr="007C57D2">
        <w:rPr>
          <w:rFonts w:ascii="Times New Roman" w:hAnsi="Times New Roman"/>
          <w:sz w:val="28"/>
          <w:szCs w:val="28"/>
          <w:lang w:val="es-ES"/>
        </w:rPr>
        <w:t>En conclusión, la limitación de edad de 0 a 12 años desconoce el mandato de protección integral previsto en los artículos 44 y 45 de la Constitución al establecer un trato desigual entre niños y adolescentes sin fundamento obje</w:t>
      </w:r>
      <w:r w:rsidRPr="007C57D2">
        <w:rPr>
          <w:rFonts w:ascii="Times New Roman" w:hAnsi="Times New Roman"/>
          <w:sz w:val="28"/>
          <w:szCs w:val="28"/>
          <w:lang w:val="es-ES"/>
        </w:rPr>
        <w:t>tivo y razonable. La medida no supera el test estricto de igualdad, ya que sacrifica de manera injustificada la protección de los derechos fundamentales de un grupo especialmente protegido, contrariando el principio de igualdad material y la obligación est</w:t>
      </w:r>
      <w:r w:rsidRPr="007C57D2">
        <w:rPr>
          <w:rFonts w:ascii="Times New Roman" w:hAnsi="Times New Roman"/>
          <w:sz w:val="28"/>
          <w:szCs w:val="28"/>
          <w:lang w:val="es-ES"/>
        </w:rPr>
        <w:t>atal de brindar amparo reforzado a todas las personas menores de dieciocho años.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La Sala considera que el remedio constitucional adecuado para superar dicho déficit no puede consistir en declarar la constitucionalidad condicionada de la expresión “entre 0</w:t>
      </w:r>
      <w:r w:rsidRPr="007C57D2">
        <w:rPr>
          <w:rFonts w:ascii="Times New Roman" w:hAnsi="Times New Roman"/>
          <w:sz w:val="28"/>
          <w:szCs w:val="28"/>
        </w:rPr>
        <w:t xml:space="preserve"> y 12 años”, pues su tenor literal es claro, taxativo y excluyente. Por tanto, la fórmula adoptada por el legislador no admite una interpretación razonable que permita entenderla como comprensiva de todos los menores de 18 años. Tampoco resultaría acertada</w:t>
      </w:r>
      <w:r w:rsidRPr="007C57D2">
        <w:rPr>
          <w:rFonts w:ascii="Times New Roman" w:hAnsi="Times New Roman"/>
          <w:sz w:val="28"/>
          <w:szCs w:val="28"/>
        </w:rPr>
        <w:t xml:space="preserve"> una decisión de inconstitucionalidad simple, por cuanto ello generaría un vacío normativo que afectaría la coherencia sistemática de la regulación. </w:t>
      </w:r>
    </w:p>
    <w:p w:rsidR="001E19D5" w:rsidRPr="007C57D2" w:rsidRDefault="007C57D2" w:rsidP="008F3DAB">
      <w:pPr>
        <w:spacing w:after="0" w:line="240" w:lineRule="auto"/>
        <w:jc w:val="both"/>
        <w:rPr>
          <w:rFonts w:ascii="Times New Roman" w:hAnsi="Times New Roman"/>
          <w:sz w:val="28"/>
          <w:szCs w:val="28"/>
        </w:rPr>
      </w:pPr>
    </w:p>
    <w:p w:rsidR="000F0E4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rPr>
        <w:t xml:space="preserve">En tales condiciones, para garantizar la eficacia de la norma y restablecer su conformidad con la Carta, </w:t>
      </w:r>
      <w:r w:rsidRPr="007C57D2">
        <w:rPr>
          <w:rFonts w:ascii="Times New Roman" w:hAnsi="Times New Roman"/>
          <w:sz w:val="28"/>
          <w:szCs w:val="28"/>
        </w:rPr>
        <w:t xml:space="preserve">se procederá a adoptar una </w:t>
      </w:r>
      <w:r w:rsidRPr="007C57D2">
        <w:rPr>
          <w:rFonts w:ascii="Times New Roman" w:hAnsi="Times New Roman"/>
          <w:i/>
          <w:iCs/>
          <w:sz w:val="28"/>
          <w:szCs w:val="28"/>
        </w:rPr>
        <w:t>sentencia integradora de tipo sustitutivo</w:t>
      </w:r>
      <w:r w:rsidRPr="007C57D2">
        <w:rPr>
          <w:rFonts w:ascii="Times New Roman" w:hAnsi="Times New Roman"/>
          <w:sz w:val="28"/>
          <w:szCs w:val="28"/>
        </w:rPr>
        <w:t xml:space="preserve">, mediante la cual se declare la inconstitucionalidad de la expresión “entre los 0 y 12 años” y se sustituya por “menores de 18 años de edad”. </w:t>
      </w:r>
      <w:r w:rsidRPr="007C57D2">
        <w:rPr>
          <w:rFonts w:ascii="Times New Roman" w:hAnsi="Times New Roman"/>
          <w:sz w:val="28"/>
          <w:szCs w:val="28"/>
        </w:rPr>
        <w:t>De acuerdo con la jurisprudencia constitucion</w:t>
      </w:r>
      <w:r w:rsidRPr="007C57D2">
        <w:rPr>
          <w:rFonts w:ascii="Times New Roman" w:hAnsi="Times New Roman"/>
          <w:sz w:val="28"/>
          <w:szCs w:val="28"/>
        </w:rPr>
        <w:t>al, las sentencias integradoras de carácter sustitutivo encuentran sustento en el carácter normativo de la Constitución (art. 4) y en los principios de efectividad (art. 2) y conservación del derecho (art. 241). Este tipo de decisiones procede de manera ex</w:t>
      </w:r>
      <w:r w:rsidRPr="007C57D2">
        <w:rPr>
          <w:rFonts w:ascii="Times New Roman" w:hAnsi="Times New Roman"/>
          <w:sz w:val="28"/>
          <w:szCs w:val="28"/>
        </w:rPr>
        <w:t>cepcional, cuando resulta indispensable suprimir del ordenamiento los apartes contrarios a la Constitución y ajustar la disposición afectada para que su contenido resulte compatible con los mandatos superiores. La Corte ha recurrido a esta modalidad de fal</w:t>
      </w:r>
      <w:r w:rsidRPr="007C57D2">
        <w:rPr>
          <w:rFonts w:ascii="Times New Roman" w:hAnsi="Times New Roman"/>
          <w:sz w:val="28"/>
          <w:szCs w:val="28"/>
        </w:rPr>
        <w:t>lo en aquellos casos en que: (i) la declaratoria simple de inconstitucionalidad produciría vacíos o incoherencias normativas de alcance también constitucional, y (ii) el margen de configuración del legislador es restringido, de modo que la sustitución pres</w:t>
      </w:r>
      <w:r w:rsidRPr="007C57D2">
        <w:rPr>
          <w:rFonts w:ascii="Times New Roman" w:hAnsi="Times New Roman"/>
          <w:sz w:val="28"/>
          <w:szCs w:val="28"/>
        </w:rPr>
        <w:t>erva la finalidad legítima de la norma</w:t>
      </w:r>
      <w:r w:rsidRPr="007C57D2">
        <w:rPr>
          <w:rStyle w:val="Refdenotaalpie"/>
          <w:rFonts w:ascii="Times New Roman" w:hAnsi="Times New Roman"/>
          <w:sz w:val="28"/>
          <w:szCs w:val="28"/>
        </w:rPr>
        <w:footnoteReference w:id="496"/>
      </w:r>
      <w:r w:rsidRPr="007C57D2">
        <w:rPr>
          <w:rFonts w:ascii="Times New Roman" w:hAnsi="Times New Roman"/>
          <w:sz w:val="28"/>
          <w:szCs w:val="28"/>
        </w:rPr>
        <w:t>.</w:t>
      </w:r>
    </w:p>
    <w:p w:rsidR="000F0E49"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Esta modalidad decisional, sustentada en los artículos 2, 4 y 241 de la Constitución, permite “</w:t>
      </w:r>
      <w:r w:rsidRPr="007C57D2">
        <w:rPr>
          <w:rFonts w:ascii="Times New Roman" w:hAnsi="Times New Roman"/>
          <w:sz w:val="28"/>
          <w:szCs w:val="28"/>
          <w:lang w:val="es-ES"/>
        </w:rPr>
        <w:t xml:space="preserve">por un lado, retirar del ordenamiento jurídico los contenidos normativos juzgados como inconstitucionales y, por el </w:t>
      </w:r>
      <w:r w:rsidRPr="007C57D2">
        <w:rPr>
          <w:rFonts w:ascii="Times New Roman" w:hAnsi="Times New Roman"/>
          <w:sz w:val="28"/>
          <w:szCs w:val="28"/>
          <w:lang w:val="es-ES"/>
        </w:rPr>
        <w:t>otro, ajustar la disposición de manera que exprese un significado coherente, de acuerdo con los designios de la Constitución”</w:t>
      </w:r>
      <w:r w:rsidRPr="007C57D2">
        <w:rPr>
          <w:rStyle w:val="Refdenotaalpie"/>
          <w:rFonts w:ascii="Times New Roman" w:hAnsi="Times New Roman"/>
          <w:sz w:val="28"/>
          <w:szCs w:val="28"/>
          <w:lang w:val="es-ES"/>
        </w:rPr>
        <w:footnoteReference w:id="497"/>
      </w:r>
      <w:r w:rsidRPr="007C57D2">
        <w:rPr>
          <w:rFonts w:ascii="Times New Roman" w:hAnsi="Times New Roman"/>
          <w:sz w:val="28"/>
          <w:szCs w:val="28"/>
          <w:lang w:val="es-ES"/>
        </w:rPr>
        <w:t xml:space="preserve">. De este modo, </w:t>
      </w:r>
      <w:r w:rsidRPr="007C57D2">
        <w:rPr>
          <w:rFonts w:ascii="Times New Roman" w:hAnsi="Times New Roman"/>
          <w:sz w:val="28"/>
          <w:szCs w:val="28"/>
          <w:lang w:val="es-ES"/>
        </w:rPr>
        <w:t xml:space="preserve">y teniendo en cuenta que </w:t>
      </w:r>
      <w:r w:rsidRPr="007C57D2">
        <w:rPr>
          <w:rFonts w:ascii="Times New Roman" w:hAnsi="Times New Roman"/>
          <w:sz w:val="28"/>
          <w:szCs w:val="28"/>
        </w:rPr>
        <w:t xml:space="preserve">el artículo 44 de la Constitución precisa que los niños serán protegidos contra toda forma de “(…) violencia física, secuestro, abuso sexual (…)”, </w:t>
      </w:r>
      <w:r w:rsidRPr="007C57D2">
        <w:rPr>
          <w:rFonts w:ascii="Times New Roman" w:hAnsi="Times New Roman"/>
          <w:sz w:val="28"/>
          <w:szCs w:val="28"/>
          <w:lang w:val="es-ES"/>
        </w:rPr>
        <w:t>se corrige el defecto material de la norma sin desconocer su finalidad constitucional legítima, orientada a g</w:t>
      </w:r>
      <w:r w:rsidRPr="007C57D2">
        <w:rPr>
          <w:rFonts w:ascii="Times New Roman" w:hAnsi="Times New Roman"/>
          <w:sz w:val="28"/>
          <w:szCs w:val="28"/>
          <w:lang w:val="es-ES"/>
        </w:rPr>
        <w:t xml:space="preserve">arantizar una respuesta inmediata y coordinada del Estado frente al extravío de personas menores de 18 años. </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lang w:val="es-ES"/>
        </w:rPr>
        <w:t>Así, la solución propuesta respeta la finalidad protectora del PLE</w:t>
      </w:r>
      <w:r w:rsidRPr="007C57D2">
        <w:rPr>
          <w:rFonts w:ascii="Times New Roman" w:hAnsi="Times New Roman"/>
          <w:sz w:val="28"/>
          <w:szCs w:val="28"/>
        </w:rPr>
        <w:t>, restablece el principio de igualdad y reafirma el mandato de protección refor</w:t>
      </w:r>
      <w:r w:rsidRPr="007C57D2">
        <w:rPr>
          <w:rFonts w:ascii="Times New Roman" w:hAnsi="Times New Roman"/>
          <w:sz w:val="28"/>
          <w:szCs w:val="28"/>
        </w:rPr>
        <w:t xml:space="preserve">zada que la Constitución confiere a los NNA, sin distinción alguna. </w:t>
      </w:r>
    </w:p>
    <w:p w:rsidR="00B5215A" w:rsidRPr="007C57D2" w:rsidRDefault="007C57D2" w:rsidP="008F3DAB">
      <w:pPr>
        <w:pStyle w:val="Prrafodelista"/>
        <w:rPr>
          <w:rFonts w:ascii="Times New Roman" w:hAnsi="Times New Roman"/>
          <w:sz w:val="28"/>
          <w:szCs w:val="28"/>
        </w:rPr>
      </w:pPr>
    </w:p>
    <w:p w:rsidR="00B5215A"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Finalmente, es importante señalar que en el PLE, se utilizan los términos "extraviados" y "desaparecidos". La primera aparece muchas veces a lo largo del texto, mientras que “desaparecid</w:t>
      </w:r>
      <w:r w:rsidRPr="007C57D2">
        <w:rPr>
          <w:rFonts w:ascii="Times New Roman" w:hAnsi="Times New Roman"/>
          <w:sz w:val="28"/>
          <w:szCs w:val="28"/>
        </w:rPr>
        <w:t>os” solo se menciona</w:t>
      </w:r>
      <w:r w:rsidRPr="007C57D2">
        <w:rPr>
          <w:rFonts w:ascii="Times New Roman" w:hAnsi="Times New Roman"/>
          <w:sz w:val="28"/>
          <w:szCs w:val="28"/>
          <w:vertAlign w:val="superscript"/>
        </w:rPr>
        <w:footnoteReference w:id="498"/>
      </w:r>
      <w:r w:rsidRPr="007C57D2">
        <w:rPr>
          <w:rFonts w:ascii="Times New Roman" w:hAnsi="Times New Roman"/>
          <w:sz w:val="28"/>
          <w:szCs w:val="28"/>
        </w:rPr>
        <w:t xml:space="preserve">  en el artículo 13. “Extraviado” es un término creado específicamente para los efectos del PLE y, según su objeto (art. 1</w:t>
      </w:r>
      <w:r w:rsidRPr="007C57D2">
        <w:rPr>
          <w:rFonts w:ascii="Times New Roman" w:hAnsi="Times New Roman"/>
          <w:sz w:val="28"/>
          <w:szCs w:val="28"/>
          <w:vertAlign w:val="superscript"/>
        </w:rPr>
        <w:footnoteReference w:id="499"/>
      </w:r>
      <w:r w:rsidRPr="007C57D2">
        <w:rPr>
          <w:rFonts w:ascii="Times New Roman" w:hAnsi="Times New Roman"/>
          <w:sz w:val="28"/>
          <w:szCs w:val="28"/>
        </w:rPr>
        <w:t>) y la definición del artículo 2 literal a)</w:t>
      </w:r>
      <w:r w:rsidRPr="007C57D2">
        <w:rPr>
          <w:rFonts w:ascii="Times New Roman" w:hAnsi="Times New Roman"/>
          <w:sz w:val="28"/>
          <w:szCs w:val="28"/>
          <w:vertAlign w:val="superscript"/>
        </w:rPr>
        <w:t xml:space="preserve"> </w:t>
      </w:r>
      <w:r w:rsidRPr="007C57D2">
        <w:rPr>
          <w:rFonts w:ascii="Times New Roman" w:hAnsi="Times New Roman"/>
          <w:sz w:val="28"/>
          <w:szCs w:val="28"/>
          <w:vertAlign w:val="superscript"/>
        </w:rPr>
        <w:footnoteReference w:id="500"/>
      </w:r>
      <w:r w:rsidRPr="007C57D2">
        <w:rPr>
          <w:rFonts w:ascii="Times New Roman" w:hAnsi="Times New Roman"/>
          <w:sz w:val="28"/>
          <w:szCs w:val="28"/>
        </w:rPr>
        <w:t>, ambas expresiones se usan allí como sinónimas para referirse a ni</w:t>
      </w:r>
      <w:r w:rsidRPr="007C57D2">
        <w:rPr>
          <w:rFonts w:ascii="Times New Roman" w:hAnsi="Times New Roman"/>
          <w:sz w:val="28"/>
          <w:szCs w:val="28"/>
        </w:rPr>
        <w:t>ños, niñas y adolescentes que “salen o son extraídas de su domicilio, residencia, establecimiento educativo u otro lugar y no pueden retornar al mismo o a su hogar, y su familia o núcleo cercano no puede ubicarlas”</w:t>
      </w:r>
      <w:r w:rsidRPr="007C57D2">
        <w:rPr>
          <w:rFonts w:ascii="Times New Roman" w:hAnsi="Times New Roman"/>
          <w:sz w:val="28"/>
          <w:szCs w:val="28"/>
          <w:vertAlign w:val="superscript"/>
        </w:rPr>
        <w:footnoteReference w:id="501"/>
      </w:r>
      <w:r w:rsidRPr="007C57D2">
        <w:rPr>
          <w:rFonts w:ascii="Times New Roman" w:hAnsi="Times New Roman"/>
          <w:sz w:val="28"/>
          <w:szCs w:val="28"/>
        </w:rPr>
        <w:t xml:space="preserve">. Sin embargo, en otras leyes y tratados </w:t>
      </w:r>
      <w:r w:rsidRPr="007C57D2">
        <w:rPr>
          <w:rFonts w:ascii="Times New Roman" w:hAnsi="Times New Roman"/>
          <w:sz w:val="28"/>
          <w:szCs w:val="28"/>
        </w:rPr>
        <w:t>(como la Ley 589 de 2000</w:t>
      </w:r>
      <w:r w:rsidRPr="007C57D2">
        <w:rPr>
          <w:rFonts w:ascii="Times New Roman" w:hAnsi="Times New Roman"/>
          <w:sz w:val="28"/>
          <w:szCs w:val="28"/>
          <w:vertAlign w:val="superscript"/>
        </w:rPr>
        <w:footnoteReference w:id="502"/>
      </w:r>
      <w:r w:rsidRPr="007C57D2">
        <w:rPr>
          <w:rFonts w:ascii="Times New Roman" w:hAnsi="Times New Roman"/>
          <w:sz w:val="28"/>
          <w:szCs w:val="28"/>
        </w:rPr>
        <w:t>, Ley 971 de 2005</w:t>
      </w:r>
      <w:r w:rsidRPr="007C57D2">
        <w:rPr>
          <w:rFonts w:ascii="Times New Roman" w:hAnsi="Times New Roman"/>
          <w:sz w:val="28"/>
          <w:szCs w:val="28"/>
          <w:vertAlign w:val="superscript"/>
        </w:rPr>
        <w:footnoteReference w:id="503"/>
      </w:r>
      <w:r w:rsidRPr="007C57D2">
        <w:rPr>
          <w:rFonts w:ascii="Times New Roman" w:hAnsi="Times New Roman"/>
          <w:sz w:val="28"/>
          <w:szCs w:val="28"/>
        </w:rPr>
        <w:t>, Ley 1531 de 2012</w:t>
      </w:r>
      <w:r w:rsidRPr="007C57D2">
        <w:rPr>
          <w:rFonts w:ascii="Times New Roman" w:hAnsi="Times New Roman"/>
          <w:sz w:val="28"/>
          <w:szCs w:val="28"/>
          <w:vertAlign w:val="superscript"/>
        </w:rPr>
        <w:footnoteReference w:id="504"/>
      </w:r>
      <w:r w:rsidRPr="007C57D2">
        <w:rPr>
          <w:rFonts w:ascii="Times New Roman" w:hAnsi="Times New Roman"/>
          <w:sz w:val="28"/>
          <w:szCs w:val="28"/>
        </w:rPr>
        <w:t xml:space="preserve"> y la Convención Interamericana sobre Desaparición Forzada</w:t>
      </w:r>
      <w:r w:rsidRPr="007C57D2">
        <w:rPr>
          <w:rFonts w:ascii="Times New Roman" w:hAnsi="Times New Roman"/>
          <w:sz w:val="28"/>
          <w:szCs w:val="28"/>
          <w:vertAlign w:val="superscript"/>
        </w:rPr>
        <w:footnoteReference w:id="505"/>
      </w:r>
      <w:r w:rsidRPr="007C57D2">
        <w:rPr>
          <w:rFonts w:ascii="Times New Roman" w:hAnsi="Times New Roman"/>
          <w:sz w:val="28"/>
          <w:szCs w:val="28"/>
        </w:rPr>
        <w:t xml:space="preserve">),  la palabra “desaparecidos” alude a situaciones distintas ligadas a, entre otras,  delitos. Por eso, el significado de cada término </w:t>
      </w:r>
      <w:r w:rsidRPr="007C57D2">
        <w:rPr>
          <w:rFonts w:ascii="Times New Roman" w:hAnsi="Times New Roman"/>
          <w:sz w:val="28"/>
          <w:szCs w:val="28"/>
        </w:rPr>
        <w:t xml:space="preserve">depende de la norma en la que se use y es importante interpretarlo siempre dentro de su contexto legal. Esas diferencias subrayan la necesidad de entender cada término dentro de su marco jurídico correspondiente. </w:t>
      </w:r>
    </w:p>
    <w:p w:rsidR="00B5215A"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tabs>
          <w:tab w:val="left" w:pos="3810"/>
        </w:tabs>
        <w:ind w:left="0"/>
        <w:jc w:val="both"/>
        <w:rPr>
          <w:rFonts w:ascii="Times New Roman" w:hAnsi="Times New Roman"/>
          <w:sz w:val="28"/>
        </w:rPr>
      </w:pPr>
      <w:r w:rsidRPr="007C57D2">
        <w:rPr>
          <w:rFonts w:ascii="Times New Roman" w:hAnsi="Times New Roman"/>
          <w:sz w:val="28"/>
          <w:szCs w:val="28"/>
        </w:rPr>
        <w:tab/>
      </w:r>
    </w:p>
    <w:p w:rsidR="001E19D5" w:rsidRPr="007C57D2" w:rsidRDefault="007C57D2" w:rsidP="008F3DAB">
      <w:pPr>
        <w:pStyle w:val="Prrafodelista"/>
        <w:numPr>
          <w:ilvl w:val="0"/>
          <w:numId w:val="12"/>
        </w:numPr>
        <w:tabs>
          <w:tab w:val="left" w:pos="993"/>
        </w:tabs>
        <w:ind w:left="567" w:firstLine="0"/>
        <w:jc w:val="both"/>
        <w:rPr>
          <w:rFonts w:ascii="Times New Roman" w:hAnsi="Times New Roman"/>
          <w:sz w:val="28"/>
          <w:szCs w:val="28"/>
          <w:lang w:val="es-ES_tradnl"/>
        </w:rPr>
      </w:pPr>
      <w:r w:rsidRPr="007C57D2">
        <w:rPr>
          <w:rFonts w:ascii="Times New Roman" w:hAnsi="Times New Roman"/>
          <w:b/>
          <w:bCs/>
          <w:sz w:val="28"/>
          <w:szCs w:val="28"/>
          <w:lang w:val="es-ES"/>
        </w:rPr>
        <w:t>Consideraciones de la Corte en relación</w:t>
      </w:r>
      <w:r w:rsidRPr="007C57D2">
        <w:rPr>
          <w:rFonts w:ascii="Times New Roman" w:hAnsi="Times New Roman"/>
          <w:b/>
          <w:bCs/>
          <w:sz w:val="28"/>
          <w:szCs w:val="28"/>
          <w:lang w:val="es-ES"/>
        </w:rPr>
        <w:t xml:space="preserve"> con los literales b, c, d, e, f y g del artículo 2 del PLE</w:t>
      </w:r>
    </w:p>
    <w:p w:rsidR="001E19D5" w:rsidRPr="007C57D2" w:rsidRDefault="007C57D2" w:rsidP="008F3DAB">
      <w:pPr>
        <w:spacing w:after="0" w:line="240" w:lineRule="auto"/>
        <w:rPr>
          <w:rFonts w:ascii="Times New Roman" w:hAnsi="Times New Roman"/>
          <w:b/>
          <w:bCs/>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rPr>
      </w:pPr>
      <w:r w:rsidRPr="007C57D2">
        <w:rPr>
          <w:rFonts w:ascii="Times New Roman" w:hAnsi="Times New Roman"/>
          <w:sz w:val="28"/>
          <w:szCs w:val="28"/>
        </w:rPr>
        <w:t>Los literales b), c), d), e), f) y g) del PLE establecen la definición de los siguientes términos o expresiones: (i) “personas llamadas a reportar”</w:t>
      </w:r>
      <w:r w:rsidRPr="007C57D2">
        <w:rPr>
          <w:rFonts w:ascii="Times New Roman" w:hAnsi="Times New Roman"/>
          <w:sz w:val="28"/>
          <w:vertAlign w:val="superscript"/>
        </w:rPr>
        <w:footnoteReference w:id="506"/>
      </w:r>
      <w:r w:rsidRPr="007C57D2">
        <w:rPr>
          <w:rFonts w:ascii="Times New Roman" w:hAnsi="Times New Roman"/>
          <w:sz w:val="28"/>
          <w:szCs w:val="28"/>
        </w:rPr>
        <w:t>; (ii) “Alerta Colombia”</w:t>
      </w:r>
      <w:r w:rsidRPr="007C57D2">
        <w:rPr>
          <w:rFonts w:ascii="Times New Roman" w:hAnsi="Times New Roman"/>
          <w:sz w:val="28"/>
          <w:vertAlign w:val="superscript"/>
        </w:rPr>
        <w:footnoteReference w:id="507"/>
      </w:r>
      <w:r w:rsidRPr="007C57D2">
        <w:rPr>
          <w:rFonts w:ascii="Times New Roman" w:hAnsi="Times New Roman"/>
          <w:sz w:val="28"/>
          <w:szCs w:val="28"/>
        </w:rPr>
        <w:t>; (iii) “Datos biométr</w:t>
      </w:r>
      <w:r w:rsidRPr="007C57D2">
        <w:rPr>
          <w:rFonts w:ascii="Times New Roman" w:hAnsi="Times New Roman"/>
          <w:sz w:val="28"/>
          <w:szCs w:val="28"/>
        </w:rPr>
        <w:t>icos”</w:t>
      </w:r>
      <w:r w:rsidRPr="007C57D2">
        <w:rPr>
          <w:rFonts w:ascii="Times New Roman" w:hAnsi="Times New Roman"/>
          <w:sz w:val="28"/>
          <w:vertAlign w:val="superscript"/>
        </w:rPr>
        <w:footnoteReference w:id="508"/>
      </w:r>
      <w:r w:rsidRPr="007C57D2">
        <w:rPr>
          <w:rFonts w:ascii="Times New Roman" w:hAnsi="Times New Roman"/>
          <w:sz w:val="28"/>
          <w:szCs w:val="28"/>
        </w:rPr>
        <w:t>; (iv) “Datos personales”</w:t>
      </w:r>
      <w:r w:rsidRPr="007C57D2">
        <w:rPr>
          <w:rFonts w:ascii="Times New Roman" w:hAnsi="Times New Roman"/>
          <w:sz w:val="28"/>
          <w:vertAlign w:val="superscript"/>
        </w:rPr>
        <w:footnoteReference w:id="509"/>
      </w:r>
      <w:r w:rsidRPr="007C57D2">
        <w:rPr>
          <w:rFonts w:ascii="Times New Roman" w:hAnsi="Times New Roman"/>
          <w:sz w:val="28"/>
          <w:szCs w:val="28"/>
        </w:rPr>
        <w:t>; (v) “Autorización y divulgación del tratamiento de datos biométricos y personales de niños y niñas”</w:t>
      </w:r>
      <w:r w:rsidRPr="007C57D2">
        <w:rPr>
          <w:rFonts w:ascii="Times New Roman" w:hAnsi="Times New Roman"/>
          <w:sz w:val="28"/>
          <w:vertAlign w:val="superscript"/>
        </w:rPr>
        <w:footnoteReference w:id="510"/>
      </w:r>
      <w:r w:rsidRPr="007C57D2">
        <w:rPr>
          <w:rFonts w:ascii="Times New Roman" w:hAnsi="Times New Roman"/>
          <w:sz w:val="28"/>
          <w:szCs w:val="28"/>
        </w:rPr>
        <w:t xml:space="preserve"> y (vi) “Consentimiento informado”</w:t>
      </w:r>
      <w:r w:rsidRPr="007C57D2">
        <w:rPr>
          <w:rFonts w:ascii="Times New Roman" w:hAnsi="Times New Roman"/>
          <w:sz w:val="28"/>
          <w:vertAlign w:val="superscript"/>
        </w:rPr>
        <w:footnoteReference w:id="511"/>
      </w:r>
      <w:r w:rsidRPr="007C57D2">
        <w:rPr>
          <w:rFonts w:ascii="Times New Roman" w:hAnsi="Times New Roman"/>
          <w:sz w:val="28"/>
          <w:vertAlign w:val="superscript"/>
        </w:rPr>
        <w:t>.</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lang w:val="es-ES"/>
        </w:rPr>
        <w:t>No encuentra la Corte que el contenido y el lenguaje utilizado por el legislador con</w:t>
      </w:r>
      <w:r w:rsidRPr="007C57D2">
        <w:rPr>
          <w:rFonts w:ascii="Times New Roman" w:hAnsi="Times New Roman"/>
          <w:sz w:val="28"/>
          <w:szCs w:val="28"/>
          <w:lang w:val="es-ES"/>
        </w:rPr>
        <w:t>tradiga lo previsto en la Constitución, pero es importante tener presente las siguientes consideraciones.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rPr>
        <w:t>E</w:t>
      </w:r>
      <w:r w:rsidRPr="007C57D2">
        <w:rPr>
          <w:rFonts w:ascii="Times New Roman" w:hAnsi="Times New Roman"/>
          <w:sz w:val="28"/>
          <w:szCs w:val="28"/>
          <w:lang w:val="es-ES"/>
        </w:rPr>
        <w:t>l PLE contiene algunos elementos relacionados con el tratamiento de datos personales, es decir con cualquier actividad que se realice con dicha info</w:t>
      </w:r>
      <w:r w:rsidRPr="007C57D2">
        <w:rPr>
          <w:rFonts w:ascii="Times New Roman" w:hAnsi="Times New Roman"/>
          <w:sz w:val="28"/>
          <w:szCs w:val="28"/>
          <w:lang w:val="es-ES"/>
        </w:rPr>
        <w:t>rmación como, por ejemplo, la recolección, el uso, la circulación, la difusión, el almacenamiento, la indexación, el análisis, la supresión o eliminación, entre otros. El PLE no desarrolla de manera completa y exhaustiva todo lo relacionado con el tratamie</w:t>
      </w:r>
      <w:r w:rsidRPr="007C57D2">
        <w:rPr>
          <w:rFonts w:ascii="Times New Roman" w:hAnsi="Times New Roman"/>
          <w:sz w:val="28"/>
          <w:szCs w:val="28"/>
          <w:lang w:val="es-ES"/>
        </w:rPr>
        <w:t xml:space="preserve">nto de datos personales porque se trata de una norma especial enfocada en lograr el objetivo señalado en el artículo 1 del mismo. </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lang w:val="es-ES"/>
        </w:rPr>
        <w:t>Las reglas generales sobre el tratamiento de datos personales fueron establecidas en la Ley Estatutaria 1581 de 2012 respect</w:t>
      </w:r>
      <w:r w:rsidRPr="007C57D2">
        <w:rPr>
          <w:rFonts w:ascii="Times New Roman" w:hAnsi="Times New Roman"/>
          <w:sz w:val="28"/>
          <w:szCs w:val="28"/>
          <w:lang w:val="es-ES"/>
        </w:rPr>
        <w:t xml:space="preserve">o de la cual se pronunció esta </w:t>
      </w:r>
      <w:r w:rsidRPr="007C57D2">
        <w:rPr>
          <w:rFonts w:ascii="Times New Roman" w:hAnsi="Times New Roman"/>
          <w:sz w:val="28"/>
          <w:szCs w:val="28"/>
          <w:lang w:val="es-ES"/>
        </w:rPr>
        <w:t>Corporación</w:t>
      </w:r>
      <w:r w:rsidRPr="007C57D2">
        <w:rPr>
          <w:rFonts w:ascii="Times New Roman" w:hAnsi="Times New Roman"/>
          <w:sz w:val="28"/>
          <w:szCs w:val="28"/>
          <w:lang w:val="es-ES"/>
        </w:rPr>
        <w:t xml:space="preserve"> mediante la </w:t>
      </w:r>
      <w:r w:rsidRPr="007C57D2">
        <w:rPr>
          <w:rFonts w:ascii="Times New Roman" w:hAnsi="Times New Roman"/>
          <w:sz w:val="28"/>
          <w:szCs w:val="28"/>
          <w:lang w:val="es-ES"/>
        </w:rPr>
        <w:t>S</w:t>
      </w:r>
      <w:r w:rsidRPr="007C57D2">
        <w:rPr>
          <w:rFonts w:ascii="Times New Roman" w:hAnsi="Times New Roman"/>
          <w:sz w:val="28"/>
          <w:szCs w:val="28"/>
          <w:lang w:val="es-ES"/>
        </w:rPr>
        <w:t xml:space="preserve">entencia C-748 de 2011. El artículo 7 del PLE ordena que el tratamiento de datos debe realizarse de acuerdo con dicha ley. Por ende, el texto del PLE debe interpretarse y aplicarse de manera </w:t>
      </w:r>
      <w:r w:rsidRPr="007C57D2">
        <w:rPr>
          <w:rFonts w:ascii="Times New Roman" w:hAnsi="Times New Roman"/>
          <w:sz w:val="28"/>
          <w:szCs w:val="28"/>
          <w:lang w:val="es-ES"/>
        </w:rPr>
        <w:t>concurrente, armónica e integral con la precitada ley estatutaria 1581 de 2012, la cual es de obligatorio cumplimiento por parte de las entidades de naturaleza pública o privada</w:t>
      </w:r>
      <w:r w:rsidRPr="007C57D2">
        <w:rPr>
          <w:rStyle w:val="Refdenotaalpie"/>
          <w:rFonts w:ascii="Times New Roman" w:hAnsi="Times New Roman"/>
          <w:sz w:val="28"/>
          <w:szCs w:val="28"/>
          <w:lang w:val="es-ES"/>
        </w:rPr>
        <w:footnoteReference w:id="512"/>
      </w:r>
      <w:r w:rsidRPr="007C57D2">
        <w:rPr>
          <w:rFonts w:ascii="Times New Roman" w:hAnsi="Times New Roman"/>
          <w:sz w:val="28"/>
          <w:szCs w:val="28"/>
          <w:lang w:val="es-ES"/>
        </w:rPr>
        <w:t xml:space="preserve">. </w:t>
      </w:r>
      <w:r w:rsidRPr="007C57D2">
        <w:rPr>
          <w:rFonts w:ascii="Times New Roman" w:hAnsi="Times New Roman"/>
          <w:sz w:val="28"/>
          <w:szCs w:val="28"/>
          <w:lang w:val="es-ES"/>
        </w:rPr>
        <w:t>Adicionalmente, las personas o entidades que les corresponde aplicar estas d</w:t>
      </w:r>
      <w:r w:rsidRPr="007C57D2">
        <w:rPr>
          <w:rFonts w:ascii="Times New Roman" w:hAnsi="Times New Roman"/>
          <w:sz w:val="28"/>
          <w:szCs w:val="28"/>
          <w:lang w:val="es-ES"/>
        </w:rPr>
        <w:t>isposiciones deben leerlas en su contexto y en relación con el propósito que cumplen en la ley.</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Se observa lo siguiente respecto de las definiciones del PLE y la Ley Estatutaria 1581 de 2012: (i) el PLE transcribe de manera idéntica la definición de dato </w:t>
      </w:r>
      <w:r w:rsidRPr="007C57D2">
        <w:rPr>
          <w:rFonts w:ascii="Times New Roman" w:hAnsi="Times New Roman"/>
          <w:sz w:val="28"/>
          <w:szCs w:val="28"/>
          <w:lang w:val="es-ES"/>
        </w:rPr>
        <w:t>personal; (ii) el PLE coincide en que la autorización es el consentimiento que otorga personas legitimadas (padres, representantes legales, quien ostente la custodia o cuidadores). Pero, de una parte, exige que el mismo se materialice por escrito y, de otr</w:t>
      </w:r>
      <w:r w:rsidRPr="007C57D2">
        <w:rPr>
          <w:rFonts w:ascii="Times New Roman" w:hAnsi="Times New Roman"/>
          <w:sz w:val="28"/>
          <w:szCs w:val="28"/>
          <w:lang w:val="es-ES"/>
        </w:rPr>
        <w:t>a, hace especial énfasis en los datos personales biométricos; (iii) el PLE se refiere al “consentimiento informado” como un documento, mientras que la Ley 1581 de 2012 exige que un requisito del consentimiento es que sea informado. En el artículo 3 del PLE</w:t>
      </w:r>
      <w:r w:rsidRPr="007C57D2">
        <w:rPr>
          <w:rFonts w:ascii="Times New Roman" w:hAnsi="Times New Roman"/>
          <w:sz w:val="28"/>
          <w:szCs w:val="28"/>
          <w:lang w:val="es-ES"/>
        </w:rPr>
        <w:t xml:space="preserve"> se exige que el consentimiento “contendrá una nota que especifique que esta autorización para el uso y tratamiento de datos sólo tendrá efecto en el caso de activar la Alerta Colombia”; (iv) el PLE define los datos biométricos, los cuales son un ejemplo d</w:t>
      </w:r>
      <w:r w:rsidRPr="007C57D2">
        <w:rPr>
          <w:rFonts w:ascii="Times New Roman" w:hAnsi="Times New Roman"/>
          <w:sz w:val="28"/>
          <w:szCs w:val="28"/>
          <w:lang w:val="es-ES"/>
        </w:rPr>
        <w:t>e datos sensibles según el artículo 5 de la Ley Estatutaria 1581 de 2012. En el artículo 4 se enuncian los datos biométricos y personales que se requieren para utilizar la Alerta Colombia. Todo lo anterior, puede constatarse en la siguiente tabla:</w:t>
      </w:r>
    </w:p>
    <w:p w:rsidR="001E19D5" w:rsidRPr="007C57D2" w:rsidRDefault="007C57D2" w:rsidP="008F3DAB">
      <w:pPr>
        <w:spacing w:after="0" w:line="240" w:lineRule="auto"/>
        <w:jc w:val="both"/>
        <w:rPr>
          <w:rFonts w:ascii="Times New Roman" w:hAnsi="Times New Roman"/>
          <w:sz w:val="28"/>
          <w:szCs w:val="2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395"/>
      </w:tblGrid>
      <w:tr w:rsidR="001E19D5" w:rsidRPr="007C57D2" w:rsidTr="007C57D2">
        <w:trPr>
          <w:jc w:val="center"/>
        </w:trPr>
        <w:tc>
          <w:tcPr>
            <w:tcW w:w="4247" w:type="dxa"/>
            <w:shd w:val="clear" w:color="auto" w:fill="auto"/>
          </w:tcPr>
          <w:p w:rsidR="001E19D5" w:rsidRPr="007C57D2" w:rsidRDefault="007C57D2" w:rsidP="007C57D2">
            <w:pPr>
              <w:spacing w:after="0" w:line="240" w:lineRule="auto"/>
              <w:jc w:val="center"/>
              <w:rPr>
                <w:rFonts w:ascii="Times New Roman" w:hAnsi="Times New Roman"/>
                <w:b/>
                <w:bCs/>
                <w:sz w:val="28"/>
                <w:lang w:val="es-ES"/>
              </w:rPr>
            </w:pPr>
            <w:r w:rsidRPr="007C57D2">
              <w:rPr>
                <w:rFonts w:ascii="Times New Roman" w:hAnsi="Times New Roman"/>
                <w:b/>
                <w:bCs/>
                <w:sz w:val="28"/>
                <w:lang w:val="es-ES"/>
              </w:rPr>
              <w:t>Definiciones de la ley 1581 de 2012</w:t>
            </w:r>
          </w:p>
        </w:tc>
        <w:tc>
          <w:tcPr>
            <w:tcW w:w="4395" w:type="dxa"/>
            <w:shd w:val="clear" w:color="auto" w:fill="auto"/>
          </w:tcPr>
          <w:p w:rsidR="001E19D5" w:rsidRPr="007C57D2" w:rsidRDefault="007C57D2" w:rsidP="007C57D2">
            <w:pPr>
              <w:spacing w:after="0" w:line="240" w:lineRule="auto"/>
              <w:jc w:val="center"/>
              <w:rPr>
                <w:rFonts w:ascii="Times New Roman" w:hAnsi="Times New Roman"/>
                <w:b/>
                <w:bCs/>
                <w:sz w:val="28"/>
                <w:lang w:val="es-ES"/>
              </w:rPr>
            </w:pPr>
            <w:r w:rsidRPr="007C57D2">
              <w:rPr>
                <w:rFonts w:ascii="Times New Roman" w:hAnsi="Times New Roman"/>
                <w:b/>
                <w:bCs/>
                <w:sz w:val="28"/>
                <w:lang w:val="es-ES"/>
              </w:rPr>
              <w:t>Definiciones del PLE</w:t>
            </w:r>
          </w:p>
        </w:tc>
      </w:tr>
      <w:tr w:rsidR="001E19D5" w:rsidRPr="007C57D2" w:rsidTr="007C57D2">
        <w:trPr>
          <w:jc w:val="center"/>
        </w:trPr>
        <w:tc>
          <w:tcPr>
            <w:tcW w:w="4247"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“Autorización: Consentimiento previo, expreso e informado del Titular para llevar a cabo el Tratamiento de datos personales” (Literal -a- del artículo 3)</w:t>
            </w:r>
          </w:p>
        </w:tc>
        <w:tc>
          <w:tcPr>
            <w:tcW w:w="4395"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 xml:space="preserve">“Autorización y divulgación del tratamiento </w:t>
            </w:r>
            <w:r w:rsidRPr="007C57D2">
              <w:rPr>
                <w:rFonts w:ascii="Times New Roman" w:hAnsi="Times New Roman"/>
                <w:sz w:val="28"/>
                <w:lang w:val="es-ES"/>
              </w:rPr>
              <w:t>de datos biométricos y personales de niños y niñas: Es aquel documento escrito que debe ser radicado en físico o cargado a la plataforma virtual dispuesta por el Instituto Colombiano de Bienestar Familiar y de manera física a la Policía Nacional, donde cua</w:t>
            </w:r>
            <w:r w:rsidRPr="007C57D2">
              <w:rPr>
                <w:rFonts w:ascii="Times New Roman" w:hAnsi="Times New Roman"/>
                <w:sz w:val="28"/>
                <w:lang w:val="es-ES"/>
              </w:rPr>
              <w:t>lquiera de los padres, representantes legales, quien ostente la custodia o cuidadores autoricen y consientan la divulgación y el tratamiento de los datos biométricos y personales de los niños y niñas, en aras de activar la Alerta Colombia.” (Literal -f- de</w:t>
            </w:r>
            <w:r w:rsidRPr="007C57D2">
              <w:rPr>
                <w:rFonts w:ascii="Times New Roman" w:hAnsi="Times New Roman"/>
                <w:sz w:val="28"/>
                <w:lang w:val="es-ES"/>
              </w:rPr>
              <w:t>l artículo 2)</w:t>
            </w:r>
          </w:p>
          <w:p w:rsidR="001E19D5" w:rsidRPr="007C57D2" w:rsidRDefault="007C57D2" w:rsidP="007C57D2">
            <w:pPr>
              <w:spacing w:after="0" w:line="240" w:lineRule="auto"/>
              <w:jc w:val="both"/>
              <w:rPr>
                <w:rFonts w:ascii="Times New Roman" w:hAnsi="Times New Roman"/>
                <w:sz w:val="28"/>
                <w:lang w:val="es-ES"/>
              </w:rPr>
            </w:pPr>
          </w:p>
        </w:tc>
      </w:tr>
      <w:tr w:rsidR="001E19D5" w:rsidRPr="007C57D2" w:rsidTr="007C57D2">
        <w:trPr>
          <w:jc w:val="center"/>
        </w:trPr>
        <w:tc>
          <w:tcPr>
            <w:tcW w:w="4247"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“Dato personal: Cualquier información vinculada o que pueda asociarse a una o varias personas naturales determinadas o determinables;” (Literal -c- del artículo 3)</w:t>
            </w:r>
          </w:p>
        </w:tc>
        <w:tc>
          <w:tcPr>
            <w:tcW w:w="4395"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 xml:space="preserve">“Datos personales: Cualquier información vinculada o que pueda asociarse a </w:t>
            </w:r>
            <w:r w:rsidRPr="007C57D2">
              <w:rPr>
                <w:rFonts w:ascii="Times New Roman" w:hAnsi="Times New Roman"/>
                <w:sz w:val="28"/>
                <w:lang w:val="es-ES"/>
              </w:rPr>
              <w:t>una o varias personas naturales determinadas o determinables.” (Literal -e- del artículo 2)</w:t>
            </w:r>
          </w:p>
          <w:p w:rsidR="001E19D5" w:rsidRPr="007C57D2" w:rsidRDefault="007C57D2" w:rsidP="007C57D2">
            <w:pPr>
              <w:spacing w:after="0" w:line="240" w:lineRule="auto"/>
              <w:jc w:val="both"/>
              <w:rPr>
                <w:rFonts w:ascii="Times New Roman" w:hAnsi="Times New Roman"/>
                <w:sz w:val="28"/>
                <w:lang w:val="es-ES"/>
              </w:rPr>
            </w:pPr>
          </w:p>
        </w:tc>
      </w:tr>
      <w:tr w:rsidR="001E19D5" w:rsidRPr="007C57D2" w:rsidTr="007C57D2">
        <w:trPr>
          <w:jc w:val="center"/>
        </w:trPr>
        <w:tc>
          <w:tcPr>
            <w:tcW w:w="4247"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 xml:space="preserve">“Datos sensibles. Para los propósitos de la presente ley, se entiende por datos sensibles aquellos que afectan la intimidad del Titular o cuyo uso indebido puede </w:t>
            </w:r>
            <w:r w:rsidRPr="007C57D2">
              <w:rPr>
                <w:rFonts w:ascii="Times New Roman" w:hAnsi="Times New Roman"/>
                <w:sz w:val="28"/>
                <w:lang w:val="es-ES"/>
              </w:rPr>
              <w:t xml:space="preserve">generar su discriminación, tales como aquellos que revelen el origen racial o étnico, la orientación política, las convicciones religiosas o filosóficas, la pertenencia a sindicatos, organizaciones sociales, de derechos humanos o que promueva intereses de </w:t>
            </w:r>
            <w:r w:rsidRPr="007C57D2">
              <w:rPr>
                <w:rFonts w:ascii="Times New Roman" w:hAnsi="Times New Roman"/>
                <w:sz w:val="28"/>
                <w:lang w:val="es-ES"/>
              </w:rPr>
              <w:t>cualquier partido político o que garanticen los derechos y garantías de partidos políticos de oposición así como los datos relativos a la salud, a la vida sexual y los datos biométricos.” (Artículo 5)</w:t>
            </w:r>
          </w:p>
          <w:p w:rsidR="001E19D5" w:rsidRPr="007C57D2" w:rsidRDefault="007C57D2" w:rsidP="007C57D2">
            <w:pPr>
              <w:spacing w:after="0" w:line="240" w:lineRule="auto"/>
              <w:jc w:val="both"/>
              <w:rPr>
                <w:rFonts w:ascii="Times New Roman" w:hAnsi="Times New Roman"/>
                <w:sz w:val="28"/>
                <w:lang w:val="es-ES"/>
              </w:rPr>
            </w:pPr>
          </w:p>
        </w:tc>
        <w:tc>
          <w:tcPr>
            <w:tcW w:w="4395" w:type="dxa"/>
            <w:shd w:val="clear" w:color="auto" w:fill="auto"/>
          </w:tcPr>
          <w:p w:rsidR="001E19D5" w:rsidRPr="007C57D2" w:rsidRDefault="007C57D2" w:rsidP="007C57D2">
            <w:pPr>
              <w:spacing w:after="0" w:line="240" w:lineRule="auto"/>
              <w:jc w:val="both"/>
              <w:rPr>
                <w:rFonts w:ascii="Times New Roman" w:hAnsi="Times New Roman"/>
                <w:sz w:val="28"/>
                <w:lang w:val="es-ES_tradnl"/>
              </w:rPr>
            </w:pPr>
            <w:r w:rsidRPr="007C57D2">
              <w:rPr>
                <w:rFonts w:ascii="Times New Roman" w:hAnsi="Times New Roman"/>
                <w:sz w:val="28"/>
                <w:lang w:val="es-ES_tradnl"/>
              </w:rPr>
              <w:t>“Datos biométricos: Son aquellos datos sensibles que p</w:t>
            </w:r>
            <w:r w:rsidRPr="007C57D2">
              <w:rPr>
                <w:rFonts w:ascii="Times New Roman" w:hAnsi="Times New Roman"/>
                <w:sz w:val="28"/>
                <w:lang w:val="es-ES_tradnl"/>
              </w:rPr>
              <w:t>ermiten individualizar a una persona natural a través del reconocimiento de una característica física intransferible que la distingue de otra persona como lo son el reconocimiento facial a través de fotografías, entre otros.” (Literal -d- del artículo 2)</w:t>
            </w:r>
          </w:p>
          <w:p w:rsidR="001E19D5" w:rsidRPr="007C57D2" w:rsidRDefault="007C57D2" w:rsidP="007C57D2">
            <w:pPr>
              <w:spacing w:after="0" w:line="240" w:lineRule="auto"/>
              <w:jc w:val="both"/>
              <w:rPr>
                <w:rFonts w:ascii="Times New Roman" w:hAnsi="Times New Roman"/>
                <w:sz w:val="28"/>
                <w:lang w:val="es-ES_tradnl"/>
              </w:rPr>
            </w:pPr>
          </w:p>
        </w:tc>
      </w:tr>
      <w:tr w:rsidR="001E19D5" w:rsidRPr="007C57D2" w:rsidTr="007C57D2">
        <w:trPr>
          <w:jc w:val="center"/>
        </w:trPr>
        <w:tc>
          <w:tcPr>
            <w:tcW w:w="4247"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“Principio de libertad: El Tratamiento sólo puede ejercerse con el consentimiento, previo, expreso e informado del Titular. Los datos personales no podrán ser obtenidos o divulgados sin previa autorización, o en ausencia de mandato legal o judicial que re</w:t>
            </w:r>
            <w:r w:rsidRPr="007C57D2">
              <w:rPr>
                <w:rFonts w:ascii="Times New Roman" w:hAnsi="Times New Roman"/>
                <w:sz w:val="28"/>
                <w:lang w:val="es-ES"/>
              </w:rPr>
              <w:t>leve el consentimiento;” (Literal -c- del artículo 4)</w:t>
            </w:r>
          </w:p>
        </w:tc>
        <w:tc>
          <w:tcPr>
            <w:tcW w:w="4395" w:type="dxa"/>
            <w:shd w:val="clear" w:color="auto" w:fill="auto"/>
          </w:tcPr>
          <w:p w:rsidR="001E19D5" w:rsidRPr="007C57D2" w:rsidRDefault="007C57D2" w:rsidP="007C57D2">
            <w:pPr>
              <w:spacing w:after="0" w:line="240" w:lineRule="auto"/>
              <w:jc w:val="both"/>
              <w:rPr>
                <w:rFonts w:ascii="Times New Roman" w:hAnsi="Times New Roman"/>
                <w:sz w:val="28"/>
                <w:lang w:val="es-ES"/>
              </w:rPr>
            </w:pPr>
            <w:r w:rsidRPr="007C57D2">
              <w:rPr>
                <w:rFonts w:ascii="Times New Roman" w:hAnsi="Times New Roman"/>
                <w:sz w:val="28"/>
                <w:lang w:val="es-ES"/>
              </w:rPr>
              <w:t>“Consentimiento informado: Documento por el cual se establece el consentimiento informado de los padres, tutores o representantes legales, Instituto Colombiano de Bienestar Familiar, para el tratamiento</w:t>
            </w:r>
            <w:r w:rsidRPr="007C57D2">
              <w:rPr>
                <w:rFonts w:ascii="Times New Roman" w:hAnsi="Times New Roman"/>
                <w:sz w:val="28"/>
                <w:lang w:val="es-ES"/>
              </w:rPr>
              <w:t xml:space="preserve"> de los datos biométricos y personales de los niños y niñas, garantizando así su protección y el respeto a sus derechos fundamentales.” (Literal -g- del artículo 2)</w:t>
            </w:r>
          </w:p>
        </w:tc>
      </w:tr>
    </w:tbl>
    <w:p w:rsidR="001E19D5" w:rsidRPr="007C57D2" w:rsidRDefault="007C57D2" w:rsidP="008F3DAB">
      <w:pPr>
        <w:spacing w:after="0" w:line="240" w:lineRule="auto"/>
        <w:jc w:val="center"/>
        <w:rPr>
          <w:rFonts w:ascii="Times New Roman" w:hAnsi="Times New Roman"/>
          <w:i/>
          <w:iCs/>
          <w:sz w:val="28"/>
          <w:lang w:val="es-ES"/>
        </w:rPr>
      </w:pPr>
      <w:r w:rsidRPr="007C57D2">
        <w:rPr>
          <w:rFonts w:ascii="Times New Roman" w:hAnsi="Times New Roman"/>
          <w:sz w:val="28"/>
          <w:lang w:val="es-ES"/>
        </w:rPr>
        <w:t>Tabla 2</w:t>
      </w:r>
      <w:r w:rsidRPr="007C57D2">
        <w:rPr>
          <w:rFonts w:ascii="Times New Roman" w:hAnsi="Times New Roman"/>
          <w:sz w:val="28"/>
          <w:lang w:val="es-ES"/>
        </w:rPr>
        <w:t>2</w:t>
      </w:r>
      <w:r w:rsidRPr="007C57D2">
        <w:rPr>
          <w:rFonts w:ascii="Times New Roman" w:hAnsi="Times New Roman"/>
          <w:sz w:val="28"/>
          <w:lang w:val="es-ES"/>
        </w:rPr>
        <w:t xml:space="preserve">. </w:t>
      </w:r>
      <w:r w:rsidRPr="007C57D2">
        <w:rPr>
          <w:rFonts w:ascii="Times New Roman" w:hAnsi="Times New Roman"/>
          <w:i/>
          <w:iCs/>
          <w:sz w:val="28"/>
          <w:lang w:val="es-ES"/>
        </w:rPr>
        <w:t>Comparativo de definiciones</w:t>
      </w:r>
      <w:r w:rsidRPr="007C57D2">
        <w:rPr>
          <w:rFonts w:ascii="Times New Roman" w:hAnsi="Times New Roman"/>
          <w:sz w:val="28"/>
          <w:lang w:val="es-ES"/>
        </w:rPr>
        <w:t>.</w:t>
      </w:r>
    </w:p>
    <w:p w:rsidR="001E19D5" w:rsidRPr="007C57D2" w:rsidRDefault="007C57D2" w:rsidP="008F3DAB">
      <w:pPr>
        <w:pStyle w:val="Prrafodelista"/>
        <w:ind w:left="0"/>
        <w:jc w:val="both"/>
        <w:rPr>
          <w:rFonts w:ascii="Times New Roman" w:hAnsi="Times New Roman"/>
          <w:sz w:val="28"/>
          <w:szCs w:val="28"/>
          <w:lang w:val="es-ES"/>
        </w:rPr>
      </w:pPr>
    </w:p>
    <w:p w:rsidR="000747B5"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 xml:space="preserve">Dado lo anterior, esta Corte reitera la necesidad </w:t>
      </w:r>
      <w:r w:rsidRPr="007C57D2">
        <w:rPr>
          <w:rFonts w:ascii="Times New Roman" w:hAnsi="Times New Roman"/>
          <w:sz w:val="28"/>
          <w:szCs w:val="28"/>
          <w:lang w:val="es-ES"/>
        </w:rPr>
        <w:t>de que la interpretación y aplicación del PLE debe realizarse de manera concurrente, armónica e integral con la Ley Estatutaria 1581 de 2012</w:t>
      </w:r>
      <w:r w:rsidRPr="007C57D2">
        <w:rPr>
          <w:rFonts w:ascii="Times New Roman" w:hAnsi="Times New Roman"/>
          <w:sz w:val="28"/>
          <w:szCs w:val="28"/>
          <w:lang w:val="es-ES"/>
        </w:rPr>
        <w:t xml:space="preserve"> </w:t>
      </w:r>
      <w:r w:rsidRPr="007C57D2">
        <w:rPr>
          <w:rFonts w:ascii="Times New Roman" w:hAnsi="Times New Roman"/>
          <w:sz w:val="28"/>
          <w:szCs w:val="28"/>
          <w:lang w:val="es-ES" w:eastAsia="es-ES_tradnl"/>
        </w:rPr>
        <w:t xml:space="preserve">y la </w:t>
      </w:r>
      <w:r w:rsidRPr="007C57D2">
        <w:rPr>
          <w:rFonts w:ascii="Times New Roman" w:hAnsi="Times New Roman"/>
          <w:sz w:val="28"/>
          <w:szCs w:val="28"/>
          <w:lang w:val="es-ES" w:eastAsia="es-ES_tradnl"/>
        </w:rPr>
        <w:t>S</w:t>
      </w:r>
      <w:r w:rsidRPr="007C57D2">
        <w:rPr>
          <w:rFonts w:ascii="Times New Roman" w:hAnsi="Times New Roman"/>
          <w:sz w:val="28"/>
          <w:szCs w:val="28"/>
          <w:lang w:val="es-ES" w:eastAsia="es-ES_tradnl"/>
        </w:rPr>
        <w:t>entencia C-748 de 2011</w:t>
      </w:r>
      <w:r w:rsidRPr="007C57D2">
        <w:rPr>
          <w:rFonts w:ascii="Times New Roman" w:hAnsi="Times New Roman"/>
          <w:sz w:val="28"/>
          <w:szCs w:val="28"/>
          <w:lang w:val="es-ES"/>
        </w:rPr>
        <w:t>. Adicionalmente, deben tenerse presente las siguientes consideraciones.</w:t>
      </w:r>
    </w:p>
    <w:p w:rsidR="00EF7AED"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Las expresione</w:t>
      </w:r>
      <w:r w:rsidRPr="007C57D2">
        <w:rPr>
          <w:rFonts w:ascii="Times New Roman" w:hAnsi="Times New Roman"/>
          <w:sz w:val="28"/>
          <w:szCs w:val="28"/>
          <w:lang w:val="es-ES"/>
        </w:rPr>
        <w:t>s “documento escrito” y “documento” de los literal f) y g) del artículo 2 del PLE no se limitan a que se deba acreditar únicamente a un documento físico o en papel</w:t>
      </w:r>
      <w:r w:rsidRPr="007C57D2">
        <w:rPr>
          <w:rFonts w:ascii="Times New Roman" w:hAnsi="Times New Roman"/>
          <w:sz w:val="28"/>
          <w:szCs w:val="28"/>
          <w:vertAlign w:val="superscript"/>
          <w:lang w:val="es-ES"/>
        </w:rPr>
        <w:footnoteReference w:id="513"/>
      </w:r>
      <w:r w:rsidRPr="007C57D2">
        <w:rPr>
          <w:rFonts w:ascii="Times New Roman" w:hAnsi="Times New Roman"/>
          <w:sz w:val="28"/>
          <w:szCs w:val="28"/>
          <w:lang w:val="es-ES"/>
        </w:rPr>
        <w:t>, sino que debe entenderse que comprende los mensajes de datos</w:t>
      </w:r>
      <w:r w:rsidRPr="007C57D2">
        <w:rPr>
          <w:rFonts w:ascii="Times New Roman" w:hAnsi="Times New Roman"/>
          <w:sz w:val="28"/>
          <w:szCs w:val="28"/>
          <w:vertAlign w:val="superscript"/>
          <w:lang w:val="es-ES"/>
        </w:rPr>
        <w:footnoteReference w:id="514"/>
      </w:r>
      <w:r w:rsidRPr="007C57D2">
        <w:rPr>
          <w:rFonts w:ascii="Times New Roman" w:hAnsi="Times New Roman"/>
          <w:sz w:val="28"/>
          <w:szCs w:val="28"/>
          <w:lang w:val="es-ES"/>
        </w:rPr>
        <w:t xml:space="preserve"> o los documentos electrónico</w:t>
      </w:r>
      <w:r w:rsidRPr="007C57D2">
        <w:rPr>
          <w:rFonts w:ascii="Times New Roman" w:hAnsi="Times New Roman"/>
          <w:sz w:val="28"/>
          <w:szCs w:val="28"/>
          <w:lang w:val="es-ES"/>
        </w:rPr>
        <w:t>s</w:t>
      </w:r>
      <w:r w:rsidRPr="007C57D2">
        <w:rPr>
          <w:rStyle w:val="Refdenotaalpie"/>
          <w:rFonts w:ascii="Times New Roman" w:hAnsi="Times New Roman"/>
          <w:sz w:val="28"/>
          <w:szCs w:val="28"/>
          <w:lang w:val="es-ES"/>
        </w:rPr>
        <w:footnoteReference w:id="515"/>
      </w:r>
      <w:r w:rsidRPr="007C57D2">
        <w:rPr>
          <w:rFonts w:ascii="Times New Roman" w:hAnsi="Times New Roman"/>
          <w:sz w:val="28"/>
          <w:szCs w:val="28"/>
          <w:lang w:val="es-ES"/>
        </w:rPr>
        <w:t xml:space="preserve">. Esta Corte ha señalado que </w:t>
      </w:r>
      <w:r w:rsidRPr="007C57D2">
        <w:rPr>
          <w:rFonts w:ascii="Times New Roman" w:hAnsi="Times New Roman"/>
          <w:sz w:val="28"/>
          <w:szCs w:val="28"/>
        </w:rPr>
        <w:t>“el mensaje de datos como tal debe recibir el mismo tratamiento de los documentos consignados en papel, es decir, que debe dársele la misma eficacia jurídica, por cuanto el mensaje de datos comporta los mismos criterios de un</w:t>
      </w:r>
      <w:r w:rsidRPr="007C57D2">
        <w:rPr>
          <w:rFonts w:ascii="Times New Roman" w:hAnsi="Times New Roman"/>
          <w:sz w:val="28"/>
          <w:szCs w:val="28"/>
        </w:rPr>
        <w:t xml:space="preserve"> documento”</w:t>
      </w:r>
      <w:r w:rsidRPr="007C57D2">
        <w:rPr>
          <w:rFonts w:ascii="Times New Roman" w:hAnsi="Times New Roman"/>
          <w:sz w:val="28"/>
          <w:szCs w:val="28"/>
          <w:vertAlign w:val="superscript"/>
        </w:rPr>
        <w:footnoteReference w:id="516"/>
      </w:r>
      <w:r w:rsidRPr="007C57D2">
        <w:rPr>
          <w:rFonts w:ascii="Times New Roman" w:hAnsi="Times New Roman"/>
          <w:sz w:val="28"/>
          <w:szCs w:val="28"/>
          <w:lang w:val="es-ES"/>
        </w:rPr>
        <w:t xml:space="preserve"> </w:t>
      </w:r>
      <w:r w:rsidRPr="007C57D2">
        <w:rPr>
          <w:rFonts w:ascii="Times New Roman" w:hAnsi="Times New Roman"/>
          <w:sz w:val="28"/>
          <w:szCs w:val="28"/>
          <w:lang w:val="es-ES"/>
        </w:rPr>
        <w:t xml:space="preserve"> </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lang w:val="es-ES"/>
        </w:rPr>
        <w:t>Los datos biométricos, al ser una clase o ejemplo de datos sensibles, deben ser tratados con mayor diligencia y cuidado utilizando, entre otros, mejores medidas de seguridad, de restricción de acceso, de confidencialidad, de circulación. La</w:t>
      </w:r>
      <w:r w:rsidRPr="007C57D2">
        <w:rPr>
          <w:rFonts w:ascii="Times New Roman" w:hAnsi="Times New Roman"/>
          <w:sz w:val="28"/>
          <w:szCs w:val="28"/>
          <w:lang w:val="es-ES"/>
        </w:rPr>
        <w:t xml:space="preserve"> anterior es una exigencia constitucional que la Corte ha explicado en los siguientes términos: “como se trata de casos exceptuados y que, por tanto, pueden generar altos riesgos en términos de vulneración del habeas data, la intimidad e incluso la dignida</w:t>
      </w:r>
      <w:r w:rsidRPr="007C57D2">
        <w:rPr>
          <w:rFonts w:ascii="Times New Roman" w:hAnsi="Times New Roman"/>
          <w:sz w:val="28"/>
          <w:szCs w:val="28"/>
          <w:lang w:val="es-ES"/>
        </w:rPr>
        <w:t>d de los titulares de los datos, los agentes que realizan en estos casos el tratamiento tienen una responsabilidad reforzada que se traduce en una exigencia mayor en términos de cumplimiento de los principios del artículo 4 y los deberes del título VI”</w:t>
      </w:r>
      <w:r w:rsidRPr="007C57D2">
        <w:rPr>
          <w:rFonts w:ascii="Times New Roman" w:hAnsi="Times New Roman"/>
          <w:sz w:val="28"/>
          <w:szCs w:val="28"/>
          <w:vertAlign w:val="superscript"/>
        </w:rPr>
        <w:footnoteReference w:id="517"/>
      </w:r>
      <w:r w:rsidRPr="007C57D2">
        <w:rPr>
          <w:rFonts w:ascii="Times New Roman" w:hAnsi="Times New Roman"/>
          <w:sz w:val="28"/>
          <w:szCs w:val="28"/>
          <w:lang w:val="es-ES"/>
        </w:rPr>
        <w:t>.</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 xml:space="preserve">La definición de dato biométrico cita, a título de ejemplo, las fotografías. </w:t>
      </w:r>
      <w:r w:rsidRPr="007C57D2">
        <w:rPr>
          <w:rFonts w:ascii="Times New Roman" w:hAnsi="Times New Roman"/>
          <w:sz w:val="28"/>
          <w:szCs w:val="28"/>
        </w:rPr>
        <w:t>Es importante tener presente que no toda foto en el que aparezcan personas es un documento que contiene datos personales. Solo lo serán, aquellas fotos en que se pueda identificar</w:t>
      </w:r>
      <w:r w:rsidRPr="007C57D2">
        <w:rPr>
          <w:rFonts w:ascii="Times New Roman" w:hAnsi="Times New Roman"/>
          <w:sz w:val="28"/>
          <w:szCs w:val="28"/>
        </w:rPr>
        <w:t xml:space="preserve"> a las personas fotografiadas. En este sentido, ha señalado lo siguiente la autoridad colombiana de protección de datos en la guía sobre fotos: “Ahora, es importante relievar que no toda foto es, </w:t>
      </w:r>
      <w:r w:rsidRPr="007C57D2">
        <w:rPr>
          <w:rFonts w:ascii="Times New Roman" w:hAnsi="Times New Roman"/>
          <w:i/>
          <w:iCs/>
          <w:sz w:val="28"/>
          <w:szCs w:val="28"/>
        </w:rPr>
        <w:t>per se</w:t>
      </w:r>
      <w:r w:rsidRPr="007C57D2">
        <w:rPr>
          <w:rFonts w:ascii="Times New Roman" w:hAnsi="Times New Roman"/>
          <w:sz w:val="28"/>
          <w:szCs w:val="28"/>
        </w:rPr>
        <w:t>, un dato personal. Solo lo serán aquellas que conteng</w:t>
      </w:r>
      <w:r w:rsidRPr="007C57D2">
        <w:rPr>
          <w:rFonts w:ascii="Times New Roman" w:hAnsi="Times New Roman"/>
          <w:sz w:val="28"/>
          <w:szCs w:val="28"/>
        </w:rPr>
        <w:t>an “cualquier información vinculada o que pueda asociarse a una o varias personas naturales determinadas o determinables”</w:t>
      </w:r>
      <w:r w:rsidRPr="007C57D2">
        <w:rPr>
          <w:rFonts w:ascii="Times New Roman" w:hAnsi="Times New Roman"/>
          <w:sz w:val="28"/>
          <w:szCs w:val="28"/>
          <w:vertAlign w:val="superscript"/>
        </w:rPr>
        <w:footnoteReference w:id="518"/>
      </w:r>
      <w:r w:rsidRPr="007C57D2">
        <w:rPr>
          <w:rFonts w:ascii="Times New Roman" w:hAnsi="Times New Roman"/>
          <w:sz w:val="28"/>
          <w:szCs w:val="28"/>
        </w:rPr>
        <w:t>. Por eso, la foto será Dato Personal en la medida en que permita establecer la identidad de una o varias personas naturales en partic</w:t>
      </w:r>
      <w:r w:rsidRPr="007C57D2">
        <w:rPr>
          <w:rFonts w:ascii="Times New Roman" w:hAnsi="Times New Roman"/>
          <w:sz w:val="28"/>
          <w:szCs w:val="28"/>
        </w:rPr>
        <w:t>ular. Si, por ejemplo, la foto contiene la imagen de personas con máscaras en su rostro o que están de espaldas de tal forma que no se pueda establecer la identidad de cada una de ellas, pues esa fotografía no es un Dato Personal.”</w:t>
      </w:r>
      <w:r w:rsidRPr="007C57D2">
        <w:rPr>
          <w:rFonts w:ascii="Times New Roman" w:hAnsi="Times New Roman"/>
          <w:sz w:val="28"/>
          <w:szCs w:val="28"/>
          <w:vertAlign w:val="superscript"/>
        </w:rPr>
        <w:footnoteReference w:id="519"/>
      </w:r>
    </w:p>
    <w:p w:rsidR="00DB76D1" w:rsidRPr="007C57D2" w:rsidRDefault="007C57D2" w:rsidP="008F3DAB">
      <w:pPr>
        <w:pStyle w:val="Prrafodelista"/>
        <w:rPr>
          <w:rFonts w:ascii="Times New Roman" w:hAnsi="Times New Roman"/>
          <w:sz w:val="28"/>
          <w:szCs w:val="28"/>
        </w:rPr>
      </w:pPr>
    </w:p>
    <w:p w:rsidR="009A726A"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Según el </w:t>
      </w:r>
      <w:r w:rsidRPr="007C57D2">
        <w:rPr>
          <w:rFonts w:ascii="Times New Roman" w:hAnsi="Times New Roman"/>
          <w:sz w:val="28"/>
          <w:szCs w:val="28"/>
        </w:rPr>
        <w:t>P</w:t>
      </w:r>
      <w:r w:rsidRPr="007C57D2">
        <w:rPr>
          <w:rFonts w:ascii="Times New Roman" w:hAnsi="Times New Roman"/>
          <w:sz w:val="28"/>
          <w:szCs w:val="28"/>
        </w:rPr>
        <w:t>LE, l</w:t>
      </w:r>
      <w:r w:rsidRPr="007C57D2">
        <w:rPr>
          <w:rFonts w:ascii="Times New Roman" w:hAnsi="Times New Roman"/>
          <w:sz w:val="28"/>
          <w:szCs w:val="28"/>
        </w:rPr>
        <w:t xml:space="preserve">a autorización (literal f) y el consentimiento informado (literal g) </w:t>
      </w:r>
      <w:r w:rsidRPr="007C57D2">
        <w:rPr>
          <w:rFonts w:ascii="Times New Roman" w:hAnsi="Times New Roman"/>
          <w:sz w:val="28"/>
          <w:szCs w:val="28"/>
        </w:rPr>
        <w:t xml:space="preserve"> </w:t>
      </w:r>
      <w:r w:rsidRPr="007C57D2">
        <w:rPr>
          <w:rFonts w:ascii="Times New Roman" w:hAnsi="Times New Roman"/>
          <w:sz w:val="28"/>
          <w:szCs w:val="28"/>
        </w:rPr>
        <w:t>son distintos y tienen propósitos diferentes</w:t>
      </w:r>
      <w:r w:rsidRPr="007C57D2">
        <w:rPr>
          <w:rFonts w:ascii="Times New Roman" w:hAnsi="Times New Roman"/>
          <w:sz w:val="28"/>
          <w:szCs w:val="28"/>
        </w:rPr>
        <w:t>.</w:t>
      </w:r>
      <w:r w:rsidRPr="007C57D2">
        <w:rPr>
          <w:rFonts w:ascii="Times New Roman" w:hAnsi="Times New Roman"/>
          <w:sz w:val="28"/>
          <w:szCs w:val="28"/>
        </w:rPr>
        <w:t xml:space="preserve"> </w:t>
      </w:r>
      <w:r w:rsidRPr="007C57D2">
        <w:rPr>
          <w:rFonts w:ascii="Times New Roman" w:hAnsi="Times New Roman"/>
          <w:sz w:val="28"/>
          <w:szCs w:val="28"/>
        </w:rPr>
        <w:t xml:space="preserve">Ambos son </w:t>
      </w:r>
      <w:r w:rsidRPr="007C57D2">
        <w:rPr>
          <w:rFonts w:ascii="Times New Roman" w:hAnsi="Times New Roman"/>
          <w:sz w:val="28"/>
          <w:szCs w:val="28"/>
        </w:rPr>
        <w:t xml:space="preserve">documentos mediante </w:t>
      </w:r>
      <w:r w:rsidRPr="007C57D2">
        <w:rPr>
          <w:rFonts w:ascii="Times New Roman" w:hAnsi="Times New Roman"/>
          <w:sz w:val="28"/>
          <w:szCs w:val="28"/>
        </w:rPr>
        <w:t xml:space="preserve">los </w:t>
      </w:r>
      <w:r w:rsidRPr="007C57D2">
        <w:rPr>
          <w:rFonts w:ascii="Times New Roman" w:hAnsi="Times New Roman"/>
          <w:sz w:val="28"/>
          <w:szCs w:val="28"/>
        </w:rPr>
        <w:t>cual</w:t>
      </w:r>
      <w:r w:rsidRPr="007C57D2">
        <w:rPr>
          <w:rFonts w:ascii="Times New Roman" w:hAnsi="Times New Roman"/>
          <w:sz w:val="28"/>
          <w:szCs w:val="28"/>
        </w:rPr>
        <w:t>es</w:t>
      </w:r>
      <w:r w:rsidRPr="007C57D2">
        <w:rPr>
          <w:rFonts w:ascii="Times New Roman" w:hAnsi="Times New Roman"/>
          <w:sz w:val="28"/>
          <w:szCs w:val="28"/>
        </w:rPr>
        <w:t xml:space="preserve"> se </w:t>
      </w:r>
      <w:r w:rsidRPr="007C57D2">
        <w:rPr>
          <w:rFonts w:ascii="Times New Roman" w:hAnsi="Times New Roman"/>
          <w:sz w:val="28"/>
          <w:szCs w:val="28"/>
        </w:rPr>
        <w:t>otorga</w:t>
      </w:r>
      <w:r w:rsidRPr="007C57D2">
        <w:rPr>
          <w:rFonts w:ascii="Times New Roman" w:hAnsi="Times New Roman"/>
          <w:sz w:val="28"/>
          <w:szCs w:val="28"/>
        </w:rPr>
        <w:t xml:space="preserve"> el consentimiento para tratar los datos personales</w:t>
      </w:r>
      <w:r w:rsidRPr="007C57D2">
        <w:rPr>
          <w:rFonts w:ascii="Times New Roman" w:hAnsi="Times New Roman"/>
          <w:sz w:val="28"/>
          <w:szCs w:val="28"/>
        </w:rPr>
        <w:t xml:space="preserve"> de los niños y las niñas</w:t>
      </w:r>
      <w:r w:rsidRPr="007C57D2">
        <w:rPr>
          <w:rFonts w:ascii="Times New Roman" w:hAnsi="Times New Roman"/>
          <w:sz w:val="28"/>
          <w:szCs w:val="28"/>
        </w:rPr>
        <w:t>. Pero, difier</w:t>
      </w:r>
      <w:r w:rsidRPr="007C57D2">
        <w:rPr>
          <w:rFonts w:ascii="Times New Roman" w:hAnsi="Times New Roman"/>
          <w:sz w:val="28"/>
          <w:szCs w:val="28"/>
        </w:rPr>
        <w:t xml:space="preserve">en en la finalidad y en quienes pueden otorgarla: (i) La autorización  </w:t>
      </w:r>
      <w:r w:rsidRPr="007C57D2">
        <w:rPr>
          <w:rFonts w:ascii="Times New Roman" w:hAnsi="Times New Roman"/>
          <w:sz w:val="28"/>
          <w:szCs w:val="28"/>
        </w:rPr>
        <w:t xml:space="preserve">permite </w:t>
      </w:r>
      <w:r w:rsidRPr="007C57D2">
        <w:rPr>
          <w:rFonts w:ascii="Times New Roman" w:hAnsi="Times New Roman"/>
          <w:sz w:val="28"/>
          <w:szCs w:val="28"/>
        </w:rPr>
        <w:t>la “divulgación y el tratamiento de los datos biométricos y personales de los niños y niñas, en aras de activar la Alerta Colombia”</w:t>
      </w:r>
      <w:r w:rsidRPr="007C57D2">
        <w:rPr>
          <w:rFonts w:ascii="Times New Roman" w:hAnsi="Times New Roman"/>
          <w:sz w:val="28"/>
          <w:szCs w:val="28"/>
        </w:rPr>
        <w:t xml:space="preserve">. Puede </w:t>
      </w:r>
      <w:r w:rsidRPr="007C57D2">
        <w:rPr>
          <w:rFonts w:ascii="Times New Roman" w:hAnsi="Times New Roman"/>
          <w:sz w:val="28"/>
          <w:szCs w:val="28"/>
        </w:rPr>
        <w:t>ser otorgada por “cualquiera de los pa</w:t>
      </w:r>
      <w:r w:rsidRPr="007C57D2">
        <w:rPr>
          <w:rFonts w:ascii="Times New Roman" w:hAnsi="Times New Roman"/>
          <w:sz w:val="28"/>
          <w:szCs w:val="28"/>
        </w:rPr>
        <w:t>dres, representantes legales, quien ostente la custodia o cuidadores”</w:t>
      </w:r>
      <w:r w:rsidRPr="007C57D2">
        <w:rPr>
          <w:rFonts w:ascii="Times New Roman" w:hAnsi="Times New Roman"/>
          <w:sz w:val="28"/>
          <w:szCs w:val="28"/>
        </w:rPr>
        <w:t>; (ii) El consentimiento informado, por su parte, puede ser conferido por los “padres, tutores o representantes legales, Instituto Colombiano de Bienestar Familiar” y faculta “el tratamie</w:t>
      </w:r>
      <w:r w:rsidRPr="007C57D2">
        <w:rPr>
          <w:rFonts w:ascii="Times New Roman" w:hAnsi="Times New Roman"/>
          <w:sz w:val="28"/>
          <w:szCs w:val="28"/>
        </w:rPr>
        <w:t xml:space="preserve">nto de los datos biométricos y personales de los niños y niñas”. Como se observa, la finalidad de la autorización </w:t>
      </w:r>
      <w:r w:rsidRPr="007C57D2">
        <w:rPr>
          <w:rFonts w:ascii="Times New Roman" w:hAnsi="Times New Roman"/>
          <w:sz w:val="28"/>
          <w:szCs w:val="28"/>
        </w:rPr>
        <w:t xml:space="preserve">se limita a permitir el uso de los datos para </w:t>
      </w:r>
      <w:r w:rsidRPr="007C57D2">
        <w:rPr>
          <w:rFonts w:ascii="Times New Roman" w:hAnsi="Times New Roman"/>
          <w:sz w:val="28"/>
          <w:szCs w:val="28"/>
        </w:rPr>
        <w:t xml:space="preserve">activar la Alerta Colombia, </w:t>
      </w:r>
      <w:r w:rsidRPr="007C57D2">
        <w:rPr>
          <w:rFonts w:ascii="Times New Roman" w:hAnsi="Times New Roman"/>
          <w:sz w:val="28"/>
          <w:szCs w:val="28"/>
        </w:rPr>
        <w:t>la cual es una herramienta de difusión de información de los datos d</w:t>
      </w:r>
      <w:r w:rsidRPr="007C57D2">
        <w:rPr>
          <w:rFonts w:ascii="Times New Roman" w:hAnsi="Times New Roman"/>
          <w:sz w:val="28"/>
          <w:szCs w:val="28"/>
        </w:rPr>
        <w:t>e niños y niñas extraviados activar mecanismos de búsqueda, localización y recuperación de éstos de forma inmediata. El o</w:t>
      </w:r>
      <w:r w:rsidRPr="007C57D2">
        <w:rPr>
          <w:rFonts w:ascii="Times New Roman" w:hAnsi="Times New Roman"/>
          <w:sz w:val="28"/>
          <w:szCs w:val="28"/>
        </w:rPr>
        <w:t>bjetivo del</w:t>
      </w:r>
      <w:r w:rsidRPr="007C57D2">
        <w:rPr>
          <w:rFonts w:ascii="Times New Roman" w:hAnsi="Times New Roman"/>
          <w:sz w:val="28"/>
          <w:szCs w:val="28"/>
        </w:rPr>
        <w:t xml:space="preserve"> consentimiento es más amplio porque los datos se pueden utilizar para otras actividades </w:t>
      </w:r>
      <w:r w:rsidRPr="007C57D2">
        <w:rPr>
          <w:rFonts w:ascii="Times New Roman" w:hAnsi="Times New Roman"/>
          <w:i/>
          <w:iCs/>
          <w:sz w:val="28"/>
          <w:szCs w:val="28"/>
        </w:rPr>
        <w:t>-diferentes a activar la alerta-</w:t>
      </w:r>
      <w:r w:rsidRPr="007C57D2">
        <w:rPr>
          <w:rFonts w:ascii="Times New Roman" w:hAnsi="Times New Roman"/>
          <w:sz w:val="28"/>
          <w:szCs w:val="28"/>
        </w:rPr>
        <w:t xml:space="preserve"> </w:t>
      </w:r>
      <w:r w:rsidRPr="007C57D2">
        <w:rPr>
          <w:rFonts w:ascii="Times New Roman" w:hAnsi="Times New Roman"/>
          <w:sz w:val="28"/>
          <w:szCs w:val="28"/>
        </w:rPr>
        <w:t>qu</w:t>
      </w:r>
      <w:r w:rsidRPr="007C57D2">
        <w:rPr>
          <w:rFonts w:ascii="Times New Roman" w:hAnsi="Times New Roman"/>
          <w:sz w:val="28"/>
          <w:szCs w:val="28"/>
        </w:rPr>
        <w:t xml:space="preserve">e sean </w:t>
      </w:r>
      <w:r w:rsidRPr="007C57D2">
        <w:rPr>
          <w:rFonts w:ascii="Times New Roman" w:hAnsi="Times New Roman"/>
          <w:sz w:val="28"/>
          <w:szCs w:val="28"/>
        </w:rPr>
        <w:t>estrictamente necesarias para el cumplimiento del obje</w:t>
      </w:r>
      <w:r w:rsidRPr="007C57D2">
        <w:rPr>
          <w:rFonts w:ascii="Times New Roman" w:hAnsi="Times New Roman"/>
          <w:sz w:val="28"/>
          <w:szCs w:val="28"/>
        </w:rPr>
        <w:t>tivo</w:t>
      </w:r>
      <w:r w:rsidRPr="007C57D2">
        <w:rPr>
          <w:rFonts w:ascii="Times New Roman" w:hAnsi="Times New Roman"/>
          <w:sz w:val="28"/>
          <w:szCs w:val="28"/>
        </w:rPr>
        <w:t xml:space="preserve"> del PLE</w:t>
      </w:r>
      <w:r w:rsidRPr="007C57D2">
        <w:rPr>
          <w:rFonts w:ascii="Times New Roman" w:hAnsi="Times New Roman"/>
          <w:sz w:val="28"/>
          <w:szCs w:val="28"/>
        </w:rPr>
        <w:t>, es decir, buscar, localizar y recuperar niños y niñas que se encuentren extraviados.</w:t>
      </w:r>
    </w:p>
    <w:p w:rsidR="009A726A"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rPr>
          <w:rFonts w:ascii="Times New Roman" w:hAnsi="Times New Roman"/>
          <w:b/>
          <w:bCs/>
          <w:sz w:val="28"/>
          <w:lang w:val="es-ES"/>
        </w:rPr>
      </w:pPr>
    </w:p>
    <w:p w:rsidR="001E19D5" w:rsidRPr="007C57D2" w:rsidRDefault="007C57D2" w:rsidP="008F3DAB">
      <w:pPr>
        <w:pStyle w:val="Prrafodelista"/>
        <w:numPr>
          <w:ilvl w:val="0"/>
          <w:numId w:val="12"/>
        </w:numPr>
        <w:tabs>
          <w:tab w:val="left" w:pos="993"/>
        </w:tabs>
        <w:ind w:left="567" w:firstLine="0"/>
        <w:rPr>
          <w:rFonts w:ascii="Times New Roman" w:hAnsi="Times New Roman"/>
          <w:b/>
          <w:bCs/>
          <w:sz w:val="28"/>
          <w:lang w:val="es-ES"/>
        </w:rPr>
      </w:pPr>
      <w:r w:rsidRPr="007C57D2">
        <w:rPr>
          <w:rFonts w:ascii="Times New Roman" w:hAnsi="Times New Roman"/>
          <w:b/>
          <w:bCs/>
          <w:sz w:val="28"/>
          <w:szCs w:val="28"/>
          <w:lang w:val="es-ES"/>
        </w:rPr>
        <w:t>Decisión sobre la constitucionalidad del artículo 2 del PLE.</w:t>
      </w:r>
      <w:r w:rsidRPr="007C57D2">
        <w:rPr>
          <w:rFonts w:ascii="Times New Roman" w:hAnsi="Times New Roman"/>
          <w:b/>
          <w:bCs/>
          <w:sz w:val="28"/>
          <w:lang w:val="es-ES"/>
        </w:rPr>
        <w:t xml:space="preserv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 xml:space="preserve">Por las razones expuestas en </w:t>
      </w:r>
      <w:r w:rsidRPr="007C57D2">
        <w:rPr>
          <w:rFonts w:ascii="Times New Roman" w:hAnsi="Times New Roman"/>
          <w:sz w:val="28"/>
          <w:szCs w:val="28"/>
          <w:lang w:val="es-ES"/>
        </w:rPr>
        <w:t>los párrafos precedentes, la Corte procederá a declarar constitucional el artículo 2 del PLE, salvo la expresión “entre los 0 y 12 años” contenida en el literal a), que se declara inconstitucional y se sustituye por la expresión “menores de 18 años de edad</w:t>
      </w:r>
      <w:r w:rsidRPr="007C57D2">
        <w:rPr>
          <w:rFonts w:ascii="Times New Roman" w:hAnsi="Times New Roman"/>
          <w:sz w:val="28"/>
          <w:szCs w:val="28"/>
          <w:lang w:val="es-ES"/>
        </w:rPr>
        <w:t>”.</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Ttulo3"/>
        <w:spacing w:before="0" w:after="0" w:line="240" w:lineRule="auto"/>
        <w:rPr>
          <w:rFonts w:ascii="Times New Roman" w:hAnsi="Times New Roman"/>
          <w:b/>
          <w:bCs/>
          <w:color w:val="000000"/>
          <w:lang w:val="es-ES_tradnl"/>
        </w:rPr>
      </w:pPr>
      <w:bookmarkStart w:id="48" w:name="_Toc222728036"/>
      <w:r w:rsidRPr="007C57D2">
        <w:rPr>
          <w:rFonts w:ascii="Times New Roman" w:hAnsi="Times New Roman"/>
          <w:b/>
          <w:bCs/>
          <w:color w:val="000000"/>
          <w:lang w:val="es-ES_tradnl"/>
        </w:rPr>
        <w:t>5.5.3. Tratamiento de datos personales: legitimación, limitación temporal y necesidad (Examen de constitucionalidad de los artículos 3, 4, 7 y 8 del PLE)</w:t>
      </w:r>
      <w:bookmarkEnd w:id="48"/>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1"/>
          <w:numId w:val="3"/>
        </w:numPr>
        <w:tabs>
          <w:tab w:val="left" w:pos="993"/>
        </w:tabs>
        <w:ind w:left="567" w:firstLine="0"/>
        <w:jc w:val="both"/>
        <w:rPr>
          <w:rFonts w:ascii="Times New Roman" w:hAnsi="Times New Roman"/>
          <w:b/>
          <w:bCs/>
          <w:sz w:val="28"/>
          <w:szCs w:val="28"/>
          <w:lang w:val="es-ES"/>
        </w:rPr>
      </w:pPr>
      <w:r w:rsidRPr="007C57D2">
        <w:rPr>
          <w:rFonts w:ascii="Times New Roman" w:hAnsi="Times New Roman"/>
          <w:b/>
          <w:bCs/>
          <w:sz w:val="28"/>
          <w:szCs w:val="28"/>
          <w:lang w:val="es-ES"/>
        </w:rPr>
        <w:t xml:space="preserve">Transcripción de la norma objeto de control. </w:t>
      </w:r>
    </w:p>
    <w:p w:rsidR="001E19D5"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A continuación, se transcriben las normas </w:t>
      </w:r>
      <w:r w:rsidRPr="007C57D2">
        <w:rPr>
          <w:rFonts w:ascii="Times New Roman" w:hAnsi="Times New Roman"/>
          <w:sz w:val="28"/>
          <w:szCs w:val="28"/>
          <w:lang w:val="es-ES"/>
        </w:rPr>
        <w:t>contenidas en los artículos 3, 4, 7 y 8 del PLE: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3. Autorización.</w:t>
      </w:r>
      <w:r w:rsidRPr="007C57D2">
        <w:rPr>
          <w:rFonts w:ascii="Times New Roman" w:hAnsi="Times New Roman"/>
          <w:sz w:val="28"/>
          <w:szCs w:val="26"/>
        </w:rPr>
        <w:t xml:space="preserve"> Para activar la Alerta Colombia de manera expedita, ante situaciones de riesgo inminente, cualquiera de los padres quienes son los que ostentan la patria potestad, representantes legales, quien tenga la custodia, cuidadores, familiares, o el Instituto Col</w:t>
      </w:r>
      <w:r w:rsidRPr="007C57D2">
        <w:rPr>
          <w:rFonts w:ascii="Times New Roman" w:hAnsi="Times New Roman"/>
          <w:sz w:val="28"/>
          <w:szCs w:val="26"/>
        </w:rPr>
        <w:t>ombiano de Bienestar Familiar al momento del reporte de su extravío, deberán diligenciar y firmar de manera ágil el consentimiento informado que autorice hacer uso de los datos personales y biométricos de los niños y niñas extraviados en el territorio colo</w:t>
      </w:r>
      <w:r w:rsidRPr="007C57D2">
        <w:rPr>
          <w:rFonts w:ascii="Times New Roman" w:hAnsi="Times New Roman"/>
          <w:sz w:val="28"/>
          <w:szCs w:val="26"/>
        </w:rPr>
        <w:t xml:space="preserve">mbiano a la Policía Nacional. En caso de no tener autorización escrita, el Instituto Colombiano de Bienestar Familiar o quien haga sus veces en el territorio con motivos fundados, solicitará a la Policía Nacional la activación de la Alerta.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w:t>
      </w:r>
      <w:r w:rsidRPr="007C57D2">
        <w:rPr>
          <w:rFonts w:ascii="Times New Roman" w:hAnsi="Times New Roman"/>
          <w:sz w:val="28"/>
          <w:szCs w:val="26"/>
        </w:rPr>
        <w:t xml:space="preserve"> El</w:t>
      </w:r>
      <w:r w:rsidRPr="007C57D2">
        <w:rPr>
          <w:rFonts w:ascii="Times New Roman" w:hAnsi="Times New Roman"/>
          <w:sz w:val="28"/>
          <w:szCs w:val="26"/>
        </w:rPr>
        <w:t xml:space="preserve"> consentimiento informado contendrá una nota que especifique que esta autorización para el uso y tratamiento de datos sólo tendrá efecto en el caso de activar la Alerta Colombia.</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4. Datos biométricos y personales.</w:t>
      </w:r>
      <w:r w:rsidRPr="007C57D2">
        <w:rPr>
          <w:rFonts w:ascii="Times New Roman" w:hAnsi="Times New Roman"/>
          <w:sz w:val="28"/>
          <w:szCs w:val="26"/>
        </w:rPr>
        <w:t xml:space="preserve"> Los datos biométricos y personal</w:t>
      </w:r>
      <w:r w:rsidRPr="007C57D2">
        <w:rPr>
          <w:rFonts w:ascii="Times New Roman" w:hAnsi="Times New Roman"/>
          <w:sz w:val="28"/>
          <w:szCs w:val="26"/>
        </w:rPr>
        <w:t xml:space="preserve">es mínimos requeridos que se deben utilizar en la Alerta Colombia son los siguientes: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a. Nombres y apellidos del niño o niña.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b. Número de identificación.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c. Sexo.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d. Edad aproximada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e. Descripción física.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f. Última fotografía que garantice su </w:t>
      </w:r>
      <w:r w:rsidRPr="007C57D2">
        <w:rPr>
          <w:rFonts w:ascii="Times New Roman" w:hAnsi="Times New Roman"/>
          <w:sz w:val="28"/>
          <w:szCs w:val="26"/>
        </w:rPr>
        <w:t xml:space="preserve">individualización.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g. Descripción de la última vestimenta con la que fue visto, si se llegase a contar con dicha información.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h. Fecha, hora y lugar en la que se reporta la desaparición del niño o niña, si se llegase a contar con dicha información. </w:t>
      </w: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p>
    <w:p w:rsidR="001E19D5" w:rsidRPr="007C57D2" w:rsidRDefault="007C57D2" w:rsidP="008F3DAB">
      <w:pPr>
        <w:tabs>
          <w:tab w:val="left" w:pos="142"/>
          <w:tab w:val="left" w:pos="284"/>
          <w:tab w:val="left" w:pos="567"/>
        </w:tabs>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i. Información de contacto de los padres, representantes legales, quien ostente la custodia o cuidadores, familiares del niño o niña, incluyendo números de teléfono y direcciones de correo electrónico, si se llegase a contar con dicha información.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w:t>
      </w:r>
      <w:r w:rsidRPr="007C57D2">
        <w:rPr>
          <w:rFonts w:ascii="Times New Roman" w:hAnsi="Times New Roman"/>
          <w:b/>
          <w:bCs/>
          <w:sz w:val="28"/>
          <w:szCs w:val="26"/>
        </w:rPr>
        <w:t>afo 1.</w:t>
      </w:r>
      <w:r w:rsidRPr="007C57D2">
        <w:rPr>
          <w:rFonts w:ascii="Times New Roman" w:hAnsi="Times New Roman"/>
          <w:sz w:val="28"/>
          <w:szCs w:val="26"/>
        </w:rPr>
        <w:t xml:space="preserve"> La Policía Nacional, en coordinación con el Instituto Colombiano de Bienestar Familiar, deberá recolectar estos datos para que, junto con los números a los cuales pueden comunicarse los ciudadanos en caso de tener alguna información, sean entregados</w:t>
      </w:r>
      <w:r w:rsidRPr="007C57D2">
        <w:rPr>
          <w:rFonts w:ascii="Times New Roman" w:hAnsi="Times New Roman"/>
          <w:sz w:val="28"/>
          <w:szCs w:val="26"/>
        </w:rPr>
        <w:t xml:space="preserve"> de manera inmediata a los proveedores de redes y servicios de telecomunicaciones móviles que operan en territorio colombiano, a quienes se les informará que solo podrán realizar el tratamiento de la información para las finalidades establecidas en la pres</w:t>
      </w:r>
      <w:r w:rsidRPr="007C57D2">
        <w:rPr>
          <w:rFonts w:ascii="Times New Roman" w:hAnsi="Times New Roman"/>
          <w:sz w:val="28"/>
          <w:szCs w:val="26"/>
        </w:rPr>
        <w:t xml:space="preserve">ente ley.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7. Tratamiento de datos personales.</w:t>
      </w:r>
      <w:r w:rsidRPr="007C57D2">
        <w:rPr>
          <w:rFonts w:ascii="Times New Roman" w:hAnsi="Times New Roman"/>
          <w:sz w:val="28"/>
          <w:szCs w:val="26"/>
        </w:rPr>
        <w:t xml:space="preserve"> El Tratamiento de los datos personales se llevará a cabo de acuerdo con lo establecido en la Ley Estatutaria 1581 de 2012. Los datos personales no podrán ser entregados a otras entidades diferentes d</w:t>
      </w:r>
      <w:r w:rsidRPr="007C57D2">
        <w:rPr>
          <w:rFonts w:ascii="Times New Roman" w:hAnsi="Times New Roman"/>
          <w:sz w:val="28"/>
          <w:szCs w:val="26"/>
        </w:rPr>
        <w:t xml:space="preserve">e las que trata la presente ley y empresas nacionales o extranjeras so pena de incurrir en las sanciones consagradas en el Título VII, Capítulos I y II de la Ley Estatutaria 1581 de 2012.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8. Eliminación de Registro de los datos.</w:t>
      </w:r>
      <w:r w:rsidRPr="007C57D2">
        <w:rPr>
          <w:rFonts w:ascii="Times New Roman" w:hAnsi="Times New Roman"/>
          <w:sz w:val="28"/>
          <w:szCs w:val="26"/>
        </w:rPr>
        <w:t xml:space="preserve"> Cuando el niño o</w:t>
      </w:r>
      <w:r w:rsidRPr="007C57D2">
        <w:rPr>
          <w:rFonts w:ascii="Times New Roman" w:hAnsi="Times New Roman"/>
          <w:sz w:val="28"/>
          <w:szCs w:val="26"/>
        </w:rPr>
        <w:t xml:space="preserve"> niña sea encontrado, el Instituto Colombiano de Bienestar familiar (ICBF) comunicará a los proveedores de redes y servicios de telecomunicaciones móviles, quienes eliminarán de forma inmediata tanto datos personales como biométricos de los niños y niñas e</w:t>
      </w:r>
      <w:r w:rsidRPr="007C57D2">
        <w:rPr>
          <w:rFonts w:ascii="Times New Roman" w:hAnsi="Times New Roman"/>
          <w:sz w:val="28"/>
          <w:szCs w:val="26"/>
        </w:rPr>
        <w:t xml:space="preserve">n sus bases de datos.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w:t>
      </w:r>
      <w:r w:rsidRPr="007C57D2">
        <w:rPr>
          <w:rFonts w:ascii="Times New Roman" w:hAnsi="Times New Roman"/>
          <w:sz w:val="28"/>
          <w:szCs w:val="26"/>
        </w:rPr>
        <w:t xml:space="preserve"> Por una sola vez, los proveedores de redes y servicios de telecomunicaciones móviles enviarán una alerta de éxito anunciando que el niño o niña extraviado fue encontrado. </w:t>
      </w:r>
    </w:p>
    <w:p w:rsidR="001E19D5" w:rsidRPr="007C57D2" w:rsidRDefault="007C57D2" w:rsidP="008F3DAB">
      <w:pPr>
        <w:spacing w:after="0" w:line="240" w:lineRule="auto"/>
        <w:rPr>
          <w:rFonts w:ascii="Times New Roman" w:hAnsi="Times New Roman"/>
          <w:sz w:val="28"/>
          <w:szCs w:val="28"/>
          <w:lang w:val="es-ES_tradnl"/>
        </w:rPr>
      </w:pPr>
    </w:p>
    <w:p w:rsidR="001E19D5" w:rsidRPr="007C57D2" w:rsidRDefault="007C57D2" w:rsidP="008F3DAB">
      <w:pPr>
        <w:pStyle w:val="Prrafodelista"/>
        <w:numPr>
          <w:ilvl w:val="0"/>
          <w:numId w:val="14"/>
        </w:numPr>
        <w:tabs>
          <w:tab w:val="left" w:pos="1134"/>
        </w:tabs>
        <w:ind w:left="567" w:firstLine="0"/>
        <w:jc w:val="both"/>
        <w:rPr>
          <w:rFonts w:ascii="Times New Roman" w:hAnsi="Times New Roman"/>
          <w:b/>
          <w:bCs/>
          <w:sz w:val="28"/>
          <w:szCs w:val="28"/>
          <w:lang w:val="es-ES"/>
        </w:rPr>
      </w:pPr>
      <w:r w:rsidRPr="007C57D2">
        <w:rPr>
          <w:rFonts w:ascii="Times New Roman" w:hAnsi="Times New Roman"/>
          <w:b/>
          <w:bCs/>
          <w:sz w:val="28"/>
          <w:szCs w:val="28"/>
          <w:lang w:val="es-ES"/>
        </w:rPr>
        <w:t xml:space="preserve">Problema jurídico e intervenciones. </w:t>
      </w:r>
    </w:p>
    <w:p w:rsidR="001E19D5"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Para decid</w:t>
      </w:r>
      <w:r w:rsidRPr="007C57D2">
        <w:rPr>
          <w:rFonts w:ascii="Times New Roman" w:hAnsi="Times New Roman"/>
          <w:sz w:val="28"/>
          <w:szCs w:val="28"/>
          <w:lang w:val="es-ES"/>
        </w:rPr>
        <w:t>ir definitivamente sobre la constitucionalidad del PLE, respecto del contenido material de los artículos 3, 4, 7 y 8 le corresponde a la Corte establecer lo siguiente: ¿Se ajustan los artículos 3, 4, 7 y 8 del PLE a lo dispuesto en los preceptos constituci</w:t>
      </w:r>
      <w:r w:rsidRPr="007C57D2">
        <w:rPr>
          <w:rFonts w:ascii="Times New Roman" w:hAnsi="Times New Roman"/>
          <w:sz w:val="28"/>
          <w:szCs w:val="28"/>
          <w:lang w:val="es-ES"/>
        </w:rPr>
        <w:t>onales?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Ninguna de las intervenciones solicitó declarar la inexequibilidad de estos artículos, pero realizaron solicitudes de precisión de algunas expresiones y sugerencias sobre el tratamiento de datos personales en el marco del objetivo del PLE. Esta</w:t>
      </w:r>
      <w:r w:rsidRPr="007C57D2">
        <w:rPr>
          <w:rFonts w:ascii="Times New Roman" w:hAnsi="Times New Roman"/>
          <w:sz w:val="28"/>
          <w:szCs w:val="28"/>
          <w:lang w:val="es-ES"/>
        </w:rPr>
        <w:t>s</w:t>
      </w:r>
      <w:r w:rsidRPr="007C57D2">
        <w:rPr>
          <w:rFonts w:ascii="Times New Roman" w:hAnsi="Times New Roman"/>
          <w:sz w:val="28"/>
          <w:szCs w:val="28"/>
          <w:lang w:val="es-ES"/>
        </w:rPr>
        <w:t xml:space="preserve"> son las principales observaciones: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_tradnl"/>
        </w:rPr>
        <w:t xml:space="preserve">La Procuraduría General de la Nación (PGN) </w:t>
      </w:r>
      <w:r w:rsidRPr="007C57D2">
        <w:rPr>
          <w:rFonts w:ascii="Times New Roman" w:hAnsi="Times New Roman"/>
          <w:sz w:val="28"/>
          <w:szCs w:val="28"/>
          <w:lang w:val="es-ES"/>
        </w:rPr>
        <w:t>solicitó que se precise el término “riesgo inminente”, que utiliza el artículo 3 en relación con la activación de la Alerta Colombia. Parta dicha entidad, es un concepto indet</w:t>
      </w:r>
      <w:r w:rsidRPr="007C57D2">
        <w:rPr>
          <w:rFonts w:ascii="Times New Roman" w:hAnsi="Times New Roman"/>
          <w:sz w:val="28"/>
          <w:szCs w:val="28"/>
          <w:lang w:val="es-ES"/>
        </w:rPr>
        <w:t>erminado y subjetivo que no especifica los elementos para su configuración. También resaltó que la exigencia de un consentimiento informado para el tratamiento de datos personales de los niños y niñas se encuentra en consonancia con los postulados superior</w:t>
      </w:r>
      <w:r w:rsidRPr="007C57D2">
        <w:rPr>
          <w:rFonts w:ascii="Times New Roman" w:hAnsi="Times New Roman"/>
          <w:sz w:val="28"/>
          <w:szCs w:val="28"/>
          <w:lang w:val="es-ES"/>
        </w:rPr>
        <w:t xml:space="preserve">es y la Ley estatutaria 1581 de 2012. Agregó que los datos personales de los menores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 xml:space="preserve">deben ser utilizados exclusivamente para la protección del menor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 xml:space="preserve">extraviado. </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cuanto al artículo 4, el Ministerio Público afirmó que la Corte debe señalar que los datos personales y biométricos establecidos en los literales a) a f) son los datos mínimos requeridos para aumentar las probabilidades de encontrar al menor </w:t>
      </w:r>
      <w:r w:rsidRPr="007C57D2">
        <w:rPr>
          <w:rFonts w:ascii="Times New Roman" w:hAnsi="Times New Roman"/>
          <w:sz w:val="28"/>
          <w:szCs w:val="28"/>
          <w:lang w:val="es-ES"/>
        </w:rPr>
        <w:t xml:space="preserve">de edad </w:t>
      </w:r>
      <w:r w:rsidRPr="007C57D2">
        <w:rPr>
          <w:rFonts w:ascii="Times New Roman" w:hAnsi="Times New Roman"/>
          <w:sz w:val="28"/>
          <w:szCs w:val="28"/>
          <w:lang w:val="es-ES"/>
        </w:rPr>
        <w:t>ext</w:t>
      </w:r>
      <w:r w:rsidRPr="007C57D2">
        <w:rPr>
          <w:rFonts w:ascii="Times New Roman" w:hAnsi="Times New Roman"/>
          <w:sz w:val="28"/>
          <w:szCs w:val="28"/>
          <w:lang w:val="es-ES"/>
        </w:rPr>
        <w:t>raviado. Además, expuso que, primero, la autorización de los padres o representantes legales del niño o niña extraviado que establece el artículo 7 garantiza la protección del derecho al habeas data. Y, segundo, que la obligación de eliminar los datos en l</w:t>
      </w:r>
      <w:r w:rsidRPr="007C57D2">
        <w:rPr>
          <w:rFonts w:ascii="Times New Roman" w:hAnsi="Times New Roman"/>
          <w:sz w:val="28"/>
          <w:szCs w:val="28"/>
          <w:lang w:val="es-ES"/>
        </w:rPr>
        <w:t xml:space="preserve">os términos del artículo 8 ayuda a que los datos personales y biométricos sean utilizados exclusivamente por el tiempo en que el menor </w:t>
      </w:r>
      <w:r w:rsidRPr="007C57D2">
        <w:rPr>
          <w:rFonts w:ascii="Times New Roman" w:hAnsi="Times New Roman"/>
          <w:sz w:val="28"/>
          <w:szCs w:val="28"/>
          <w:lang w:val="es-ES"/>
        </w:rPr>
        <w:t xml:space="preserve">de 18 años </w:t>
      </w:r>
      <w:r w:rsidRPr="007C57D2">
        <w:rPr>
          <w:rFonts w:ascii="Times New Roman" w:hAnsi="Times New Roman"/>
          <w:sz w:val="28"/>
          <w:szCs w:val="28"/>
          <w:lang w:val="es-ES"/>
        </w:rPr>
        <w:t>permanezca extraviado.</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La PGN también consideró que el tratamiento de datos personales que dispone el artícul</w:t>
      </w:r>
      <w:r w:rsidRPr="007C57D2">
        <w:rPr>
          <w:rFonts w:ascii="Times New Roman" w:hAnsi="Times New Roman"/>
          <w:sz w:val="28"/>
          <w:szCs w:val="28"/>
          <w:lang w:val="es-ES"/>
        </w:rPr>
        <w:t>o 7, únicamente por el tiempo de la desaparición, garantiza el derecho a la intimidad personal de los menores</w:t>
      </w:r>
      <w:r w:rsidRPr="007C57D2">
        <w:rPr>
          <w:rFonts w:ascii="Times New Roman" w:hAnsi="Times New Roman"/>
          <w:sz w:val="28"/>
          <w:szCs w:val="28"/>
          <w:lang w:val="es-ES"/>
        </w:rPr>
        <w:t xml:space="preserve"> de edad</w:t>
      </w:r>
      <w:r w:rsidRPr="007C57D2">
        <w:rPr>
          <w:rFonts w:ascii="Times New Roman" w:hAnsi="Times New Roman"/>
          <w:sz w:val="28"/>
          <w:szCs w:val="28"/>
          <w:lang w:val="es-ES"/>
        </w:rPr>
        <w:t xml:space="preserve">. Asimismo, explicó que el artículo 8, a cuyo tenor procede la eliminación inmediata de los datos personales del </w:t>
      </w:r>
      <w:r w:rsidRPr="007C57D2">
        <w:rPr>
          <w:rFonts w:ascii="Times New Roman" w:hAnsi="Times New Roman"/>
          <w:sz w:val="28"/>
          <w:szCs w:val="28"/>
          <w:lang w:val="es-ES"/>
        </w:rPr>
        <w:t xml:space="preserve">niño, niña o adolescente </w:t>
      </w:r>
      <w:r w:rsidRPr="007C57D2">
        <w:rPr>
          <w:rFonts w:ascii="Times New Roman" w:hAnsi="Times New Roman"/>
          <w:sz w:val="28"/>
          <w:szCs w:val="28"/>
          <w:lang w:val="es-ES"/>
        </w:rPr>
        <w:t>c</w:t>
      </w:r>
      <w:r w:rsidRPr="007C57D2">
        <w:rPr>
          <w:rFonts w:ascii="Times New Roman" w:hAnsi="Times New Roman"/>
          <w:sz w:val="28"/>
          <w:szCs w:val="28"/>
          <w:lang w:val="es-ES"/>
        </w:rPr>
        <w:t>uando este es encontrado, protege el derecho fundamental al habeas data.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La Defensoría del Pueblo solicitó precisar los siguientes aspectos del proyecto de ley:</w:t>
      </w:r>
    </w:p>
    <w:p w:rsidR="001E19D5"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Prrafodelista"/>
        <w:numPr>
          <w:ilvl w:val="1"/>
          <w:numId w:val="15"/>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La expresión “riesgo inminente” contenida en el artículo 3, en razón a que no se menciona en </w:t>
      </w:r>
      <w:r w:rsidRPr="007C57D2">
        <w:rPr>
          <w:rFonts w:ascii="Times New Roman" w:hAnsi="Times New Roman"/>
          <w:sz w:val="28"/>
          <w:szCs w:val="28"/>
          <w:lang w:val="es-ES"/>
        </w:rPr>
        <w:t>que consiste dicho riesgo ni cuáles son los elementos para que se configure.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1"/>
          <w:numId w:val="15"/>
        </w:numPr>
        <w:ind w:left="0" w:firstLine="0"/>
        <w:jc w:val="both"/>
        <w:rPr>
          <w:rFonts w:ascii="Times New Roman" w:hAnsi="Times New Roman"/>
          <w:sz w:val="28"/>
          <w:szCs w:val="28"/>
          <w:lang w:val="es-ES"/>
        </w:rPr>
      </w:pPr>
      <w:r w:rsidRPr="007C57D2">
        <w:rPr>
          <w:rFonts w:ascii="Times New Roman" w:hAnsi="Times New Roman"/>
          <w:sz w:val="28"/>
          <w:szCs w:val="28"/>
          <w:lang w:val="es-ES"/>
        </w:rPr>
        <w:t>En relación con los datos personales de los niños y niñas: (a) los datos biométricos y personales que se consagran en el artículo 4, debido a que la redacción actual podría permi</w:t>
      </w:r>
      <w:r w:rsidRPr="007C57D2">
        <w:rPr>
          <w:rFonts w:ascii="Times New Roman" w:hAnsi="Times New Roman"/>
          <w:sz w:val="28"/>
          <w:szCs w:val="28"/>
          <w:lang w:val="es-ES"/>
        </w:rPr>
        <w:t>tir una habilitación para la recolección y tratamiento de datos más amplia de lo estrictamente necesario, en contravía del principio de finalidad y deber de minimización de datos. En ese entendido, se debe precisar que la recolección y tratamiento de datos</w:t>
      </w:r>
      <w:r w:rsidRPr="007C57D2">
        <w:rPr>
          <w:rFonts w:ascii="Times New Roman" w:hAnsi="Times New Roman"/>
          <w:sz w:val="28"/>
          <w:szCs w:val="28"/>
          <w:lang w:val="es-ES"/>
        </w:rPr>
        <w:t xml:space="preserve"> solo se realizará cuando sea necesario y en relación con la finalidad exclusiva de localización; (b) la inclusión de garantías en el artículo 7 que reconozcan el carácter reforzado de la protección de la información sensible de los niños y niñas, como suj</w:t>
      </w:r>
      <w:r w:rsidRPr="007C57D2">
        <w:rPr>
          <w:rFonts w:ascii="Times New Roman" w:hAnsi="Times New Roman"/>
          <w:sz w:val="28"/>
          <w:szCs w:val="28"/>
          <w:lang w:val="es-ES"/>
        </w:rPr>
        <w:t>etos de especial protección constitucional. En ese sentido, dicho artículo debe regirse por un estándar más estricto que el aplicable a los adultos; y, (c) la eliminación de los datos personales cuando el niño o la niña sea localizado que consagra el artíc</w:t>
      </w:r>
      <w:r w:rsidRPr="007C57D2">
        <w:rPr>
          <w:rFonts w:ascii="Times New Roman" w:hAnsi="Times New Roman"/>
          <w:sz w:val="28"/>
          <w:szCs w:val="28"/>
          <w:lang w:val="es-ES"/>
        </w:rPr>
        <w:t>ulo 8, debe acompañarse con mecanismos de verificación, trazabilidad y control por parte de las autoridades competentes. Además, se debe garantizar el derecho de los representantes de los menores</w:t>
      </w:r>
      <w:r w:rsidRPr="007C57D2">
        <w:rPr>
          <w:rFonts w:ascii="Times New Roman" w:hAnsi="Times New Roman"/>
          <w:sz w:val="28"/>
          <w:szCs w:val="28"/>
          <w:lang w:val="es-ES"/>
        </w:rPr>
        <w:t xml:space="preserve"> de edad</w:t>
      </w:r>
      <w:r w:rsidRPr="007C57D2">
        <w:rPr>
          <w:rFonts w:ascii="Times New Roman" w:hAnsi="Times New Roman"/>
          <w:sz w:val="28"/>
          <w:szCs w:val="28"/>
          <w:lang w:val="es-ES"/>
        </w:rPr>
        <w:t xml:space="preserve"> a solicitar la confirmación de dicha supresión, y a </w:t>
      </w:r>
      <w:r w:rsidRPr="007C57D2">
        <w:rPr>
          <w:rFonts w:ascii="Times New Roman" w:hAnsi="Times New Roman"/>
          <w:sz w:val="28"/>
          <w:szCs w:val="28"/>
          <w:lang w:val="es-ES"/>
        </w:rPr>
        <w:t>ejercer las facultades de rectificación o exclusión de manera directa y sin dilaciones”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Para el ICBF resulta desproporcionado que, ante la falta de autorización, sea él quien asuma el deber de solicitar la activación de la alerta, según lo previsto en el </w:t>
      </w:r>
      <w:r w:rsidRPr="007C57D2">
        <w:rPr>
          <w:rFonts w:ascii="Times New Roman" w:hAnsi="Times New Roman"/>
          <w:sz w:val="28"/>
          <w:szCs w:val="28"/>
          <w:lang w:val="es-ES"/>
        </w:rPr>
        <w:t xml:space="preserve">artículo 3 del proyecto de ley. Ello es así porque en virtud de sus competencias legales y su naturaleza jurídica, no puede suplir las obligaciones y derechos que se predican de quienes ostentan la patria potestad, la representación legal, la custodia, el </w:t>
      </w:r>
      <w:r w:rsidRPr="007C57D2">
        <w:rPr>
          <w:rFonts w:ascii="Times New Roman" w:hAnsi="Times New Roman"/>
          <w:sz w:val="28"/>
          <w:szCs w:val="28"/>
          <w:lang w:val="es-ES"/>
        </w:rPr>
        <w:t xml:space="preserve">cuidado o la familia de los </w:t>
      </w:r>
      <w:r w:rsidRPr="007C57D2">
        <w:rPr>
          <w:rFonts w:ascii="Times New Roman" w:hAnsi="Times New Roman"/>
          <w:sz w:val="28"/>
          <w:szCs w:val="28"/>
          <w:lang w:val="es-ES"/>
        </w:rPr>
        <w:t>niños, niñas o adolescentes</w:t>
      </w:r>
      <w:r w:rsidRPr="007C57D2">
        <w:rPr>
          <w:rFonts w:ascii="Times New Roman" w:hAnsi="Times New Roman"/>
          <w:sz w:val="28"/>
          <w:szCs w:val="28"/>
          <w:lang w:val="es-ES"/>
        </w:rPr>
        <w:t>. Los únicos casos contemplados en la norma serían para los NNA que se encuentran bajo una medida de protección a cargo del ICBF, de quienes ostenta su representación legal el defensor de familia en ca</w:t>
      </w:r>
      <w:r w:rsidRPr="007C57D2">
        <w:rPr>
          <w:rFonts w:ascii="Times New Roman" w:hAnsi="Times New Roman"/>
          <w:sz w:val="28"/>
          <w:szCs w:val="28"/>
          <w:lang w:val="es-ES"/>
        </w:rPr>
        <w:t>beza del proceso de restablecimiento de derechos.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El Semillero de Derechos Humanos y Derecho Internacional Humanitario Antônio Cançado Trinda de la Universidad Católica de Colombia señaló que deben establecerse medidas estrictas, herramientas claras y cri</w:t>
      </w:r>
      <w:r w:rsidRPr="007C57D2">
        <w:rPr>
          <w:rFonts w:ascii="Times New Roman" w:hAnsi="Times New Roman"/>
          <w:sz w:val="28"/>
          <w:szCs w:val="28"/>
          <w:lang w:val="es-ES"/>
        </w:rPr>
        <w:t>terios técnicos para la protección y control de la divulgación de información. Esto, para evitar, como ejemplo, que datos personales y biométricos queden expuestos a la conservación, descarga o mal uso de terceros no autorizados o que se convierta en un me</w:t>
      </w:r>
      <w:r w:rsidRPr="007C57D2">
        <w:rPr>
          <w:rFonts w:ascii="Times New Roman" w:hAnsi="Times New Roman"/>
          <w:sz w:val="28"/>
          <w:szCs w:val="28"/>
          <w:lang w:val="es-ES"/>
        </w:rPr>
        <w:t>dio de revictimización o estigmatización.</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Finalmente, manifestó lo siguiente la Clínica jurídica de la Escuela de Derecho y Ciencias Políticas de la Universidad Pontificia Bolivariana: “El artículo 3 del proyecto introduce como requisito la autorización e</w:t>
      </w:r>
      <w:r w:rsidRPr="007C57D2">
        <w:rPr>
          <w:rFonts w:ascii="Times New Roman" w:hAnsi="Times New Roman"/>
          <w:sz w:val="28"/>
          <w:szCs w:val="28"/>
          <w:lang w:val="es-ES"/>
        </w:rPr>
        <w:t>xpresa del titular o su representante legal para el tratamiento de datos personales y biométricos necesarios para activar este mecanismo. Aunque esta disposición responde a la legítima preocupación por la protección de información sensible del menor</w:t>
      </w:r>
      <w:r w:rsidRPr="007C57D2">
        <w:rPr>
          <w:rFonts w:ascii="Times New Roman" w:hAnsi="Times New Roman"/>
          <w:sz w:val="28"/>
          <w:szCs w:val="28"/>
          <w:lang w:val="es-ES"/>
        </w:rPr>
        <w:t xml:space="preserve"> de eda</w:t>
      </w:r>
      <w:r w:rsidRPr="007C57D2">
        <w:rPr>
          <w:rFonts w:ascii="Times New Roman" w:hAnsi="Times New Roman"/>
          <w:sz w:val="28"/>
          <w:szCs w:val="28"/>
          <w:lang w:val="es-ES"/>
        </w:rPr>
        <w:t>d</w:t>
      </w:r>
      <w:r w:rsidRPr="007C57D2">
        <w:rPr>
          <w:rFonts w:ascii="Times New Roman" w:hAnsi="Times New Roman"/>
          <w:sz w:val="28"/>
          <w:szCs w:val="28"/>
          <w:lang w:val="es-ES"/>
        </w:rPr>
        <w:t>, su aplicación estricta podría generar efectos contraproducentes si se convierte en una barrera jurídica para la activación de la acción en contextos urgentes, pues condiciona su operatividad.</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14"/>
        </w:numPr>
        <w:tabs>
          <w:tab w:val="left" w:pos="1134"/>
        </w:tabs>
        <w:ind w:left="567" w:right="-45" w:firstLine="0"/>
        <w:jc w:val="both"/>
        <w:textAlignment w:val="baseline"/>
        <w:rPr>
          <w:rFonts w:ascii="Times New Roman" w:hAnsi="Times New Roman"/>
          <w:b/>
          <w:bCs/>
          <w:sz w:val="28"/>
          <w:szCs w:val="28"/>
          <w:lang w:val="es-ES"/>
        </w:rPr>
      </w:pPr>
      <w:r w:rsidRPr="007C57D2">
        <w:rPr>
          <w:rFonts w:ascii="Times New Roman" w:hAnsi="Times New Roman"/>
          <w:b/>
          <w:bCs/>
          <w:sz w:val="28"/>
          <w:szCs w:val="28"/>
          <w:lang w:val="es-ES"/>
        </w:rPr>
        <w:t xml:space="preserve">Consideraciones de la Corte.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3"/>
        </w:numPr>
        <w:tabs>
          <w:tab w:val="left" w:pos="709"/>
        </w:tabs>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 xml:space="preserve">Los artículos 3, 4, 7 y 8 se </w:t>
      </w:r>
      <w:r w:rsidRPr="007C57D2">
        <w:rPr>
          <w:rFonts w:ascii="Times New Roman" w:hAnsi="Times New Roman"/>
          <w:sz w:val="28"/>
          <w:szCs w:val="28"/>
          <w:lang w:val="es-ES"/>
        </w:rPr>
        <w:t>refieren a algunos aspectos relevantes sobre el tratamiento de datos personales para lograr el objetivo del proyecto de ley. Estos regulan lo siguiente: (i) la autorización como requisito que, por regla general, se requiere para activar la Alerta Colombia;</w:t>
      </w:r>
      <w:r w:rsidRPr="007C57D2">
        <w:rPr>
          <w:rFonts w:ascii="Times New Roman" w:hAnsi="Times New Roman"/>
          <w:sz w:val="28"/>
          <w:szCs w:val="28"/>
          <w:lang w:val="es-ES"/>
        </w:rPr>
        <w:t xml:space="preserve"> (ii) los datos personales y biométricos necesarios para utilizar la precitada alerta, la finalidad específica para la cual pueden tratarse y la limitación de circulación de dicha es información; y (iii) el deber de eliminación de los datos personales cuan</w:t>
      </w:r>
      <w:r w:rsidRPr="007C57D2">
        <w:rPr>
          <w:rFonts w:ascii="Times New Roman" w:hAnsi="Times New Roman"/>
          <w:sz w:val="28"/>
          <w:szCs w:val="28"/>
          <w:lang w:val="es-ES"/>
        </w:rPr>
        <w:t>do el niño o niña desaparecido haya sido encontrado.</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El tratamiento de datos de NNA es de suma relevancia por tratarse de sujetos de especial protección constitucional y por el reconocimiento del interés superior del menor de 18 años. Adicionalmente, en e</w:t>
      </w:r>
      <w:r w:rsidRPr="007C57D2">
        <w:rPr>
          <w:rFonts w:ascii="Times New Roman" w:hAnsi="Times New Roman"/>
          <w:sz w:val="28"/>
          <w:szCs w:val="28"/>
          <w:lang w:val="es-ES"/>
        </w:rPr>
        <w:t>l contexto del PLE es imprescindible para la activación de la Alerta Colombia con miras a buscar y localizar personas extraviadas. Sin esa información es prácticamente imposible lograr el objetivo del PLE. Pero, al mismo tiempo, por regla general, el artíc</w:t>
      </w:r>
      <w:r w:rsidRPr="007C57D2">
        <w:rPr>
          <w:rFonts w:ascii="Times New Roman" w:hAnsi="Times New Roman"/>
          <w:sz w:val="28"/>
          <w:szCs w:val="28"/>
          <w:lang w:val="es-ES"/>
        </w:rPr>
        <w:t xml:space="preserve">ulo 7 de la Ley Estatutaria 1581 de 2012 prohíbe el tratamiento de datos personales de NNA, salvo los datos que sean de naturaleza pública. </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No es absoluta la prohibición del artículo. La Corte concluyó que la aludida prohibición del artículo 7 “</w:t>
      </w:r>
      <w:r w:rsidRPr="007C57D2">
        <w:rPr>
          <w:rFonts w:ascii="Times New Roman" w:hAnsi="Times New Roman"/>
          <w:sz w:val="28"/>
          <w:szCs w:val="28"/>
        </w:rPr>
        <w:t>es exequi</w:t>
      </w:r>
      <w:r w:rsidRPr="007C57D2">
        <w:rPr>
          <w:rFonts w:ascii="Times New Roman" w:hAnsi="Times New Roman"/>
          <w:sz w:val="28"/>
          <w:szCs w:val="28"/>
        </w:rPr>
        <w:t xml:space="preserve">ble, si se interpreta que los datos de los niños, las niñas y adolescentes pueden ser objeto de tratamiento siempre y cuando no se ponga en riesgo la prevalencia de sus derechos fundamentales e inequívocamente responda a la realización del principio de su </w:t>
      </w:r>
      <w:r w:rsidRPr="007C57D2">
        <w:rPr>
          <w:rFonts w:ascii="Times New Roman" w:hAnsi="Times New Roman"/>
          <w:sz w:val="28"/>
          <w:szCs w:val="28"/>
        </w:rPr>
        <w:t>interés superior, cuya aplicación específica devendrá del análisis de cada caso en particular.”</w:t>
      </w:r>
      <w:r w:rsidRPr="007C57D2">
        <w:rPr>
          <w:rStyle w:val="Refdenotaalpie"/>
          <w:rFonts w:ascii="Times New Roman" w:hAnsi="Times New Roman"/>
          <w:sz w:val="28"/>
          <w:szCs w:val="28"/>
        </w:rPr>
        <w:t xml:space="preserve"> </w:t>
      </w:r>
      <w:r w:rsidRPr="007C57D2">
        <w:rPr>
          <w:rStyle w:val="Refdenotaalpie"/>
          <w:rFonts w:ascii="Times New Roman" w:hAnsi="Times New Roman"/>
          <w:sz w:val="28"/>
          <w:szCs w:val="28"/>
        </w:rPr>
        <w:footnoteReference w:id="520"/>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La Corte considera que los citados artículos son constitucionales por las siguientes razones:</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El artículo 7 del PLE señala que el tratamiento de datos debe realizarse de conformidad con la Ley Estatutaria 1581 de 2012 y recalca que la circulación de los datos es limitada, es decir, que no se pueden compartir con cualquier entidad o persona, sino ún</w:t>
      </w:r>
      <w:r w:rsidRPr="007C57D2">
        <w:rPr>
          <w:rFonts w:ascii="Times New Roman" w:hAnsi="Times New Roman"/>
          <w:sz w:val="28"/>
          <w:szCs w:val="28"/>
          <w:lang w:val="es-ES"/>
        </w:rPr>
        <w:t xml:space="preserve">icamente con las entidades señaladas en el PLE. En la </w:t>
      </w:r>
      <w:r w:rsidRPr="007C57D2">
        <w:rPr>
          <w:rFonts w:ascii="Times New Roman" w:hAnsi="Times New Roman"/>
          <w:sz w:val="28"/>
          <w:szCs w:val="28"/>
          <w:lang w:val="es-ES"/>
        </w:rPr>
        <w:t>S</w:t>
      </w:r>
      <w:r w:rsidRPr="007C57D2">
        <w:rPr>
          <w:rFonts w:ascii="Times New Roman" w:hAnsi="Times New Roman"/>
          <w:sz w:val="28"/>
          <w:szCs w:val="28"/>
          <w:lang w:val="es-ES"/>
        </w:rPr>
        <w:t>entencia C-748 de 2011 esta Corte se pronunció sobre la constitucionalidad del proyecto de ley que hoy corresponde a la Ley Estatutaria 1581 de 2012. Así las cosas, lo referente al tratamiento de datos</w:t>
      </w:r>
      <w:r w:rsidRPr="007C57D2">
        <w:rPr>
          <w:rFonts w:ascii="Times New Roman" w:hAnsi="Times New Roman"/>
          <w:sz w:val="28"/>
          <w:szCs w:val="28"/>
          <w:lang w:val="es-ES"/>
        </w:rPr>
        <w:t xml:space="preserve"> que se regula en el PLE debe aplicarse e interpretarse de manera concurrente, armónica e integral con lo dispuesto en la </w:t>
      </w:r>
      <w:r w:rsidRPr="007C57D2">
        <w:rPr>
          <w:rFonts w:ascii="Times New Roman" w:hAnsi="Times New Roman"/>
          <w:sz w:val="28"/>
          <w:szCs w:val="28"/>
          <w:lang w:val="es-ES"/>
        </w:rPr>
        <w:t>mencionada ley y la precitada sentencia</w:t>
      </w:r>
      <w:r w:rsidRPr="007C57D2">
        <w:rPr>
          <w:rFonts w:ascii="Times New Roman" w:hAnsi="Times New Roman"/>
          <w:sz w:val="28"/>
          <w:szCs w:val="28"/>
          <w:lang w:val="es-ES"/>
        </w:rPr>
        <w:t xml:space="preserve">. </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En el artículo 3 del PLE se establece lo siguiente frente a situaciones de riesgo inminente</w:t>
      </w:r>
      <w:r w:rsidRPr="007C57D2">
        <w:rPr>
          <w:rFonts w:ascii="Times New Roman" w:hAnsi="Times New Roman"/>
          <w:sz w:val="28"/>
          <w:szCs w:val="28"/>
          <w:lang w:val="es-ES"/>
        </w:rPr>
        <w:t>: (i) por regla general, es necesaria la autorización (consentimiento informado) para activar la Alerta Colombia. Este consentimiento deber contener una nota que especifique que “sólo tendrá efecto en el caso de activar la Alerta Colombia”; y (ii) si no se</w:t>
      </w:r>
      <w:r w:rsidRPr="007C57D2">
        <w:rPr>
          <w:rFonts w:ascii="Times New Roman" w:hAnsi="Times New Roman"/>
          <w:sz w:val="28"/>
          <w:szCs w:val="28"/>
          <w:lang w:val="es-ES"/>
        </w:rPr>
        <w:t xml:space="preserve"> cuenta con la autorización escrita, el Instituto Colombia de Bienestar Familiar (ICBF) o quien haga sus veces, deberá solicitar a la Policía Nacional la activación de la alerta. </w:t>
      </w:r>
    </w:p>
    <w:p w:rsidR="00995534" w:rsidRPr="007C57D2" w:rsidRDefault="007C57D2" w:rsidP="008F3DAB">
      <w:pPr>
        <w:pStyle w:val="Prrafodelista"/>
        <w:rPr>
          <w:rFonts w:ascii="Times New Roman" w:hAnsi="Times New Roman"/>
          <w:sz w:val="28"/>
          <w:szCs w:val="28"/>
          <w:lang w:val="es-ES"/>
        </w:rPr>
      </w:pPr>
    </w:p>
    <w:p w:rsidR="00995534"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lang w:val="es-ES"/>
        </w:rPr>
        <w:t xml:space="preserve">El artículo 3 prevé </w:t>
      </w:r>
      <w:r w:rsidRPr="007C57D2">
        <w:rPr>
          <w:rFonts w:ascii="Times New Roman" w:hAnsi="Times New Roman"/>
          <w:sz w:val="28"/>
          <w:szCs w:val="28"/>
        </w:rPr>
        <w:t>múltiples sujetos para otorgar el consentimiento en mat</w:t>
      </w:r>
      <w:r w:rsidRPr="007C57D2">
        <w:rPr>
          <w:rFonts w:ascii="Times New Roman" w:hAnsi="Times New Roman"/>
          <w:sz w:val="28"/>
          <w:szCs w:val="28"/>
        </w:rPr>
        <w:t>eria de tratamiento de datos personales y la constitucionalidad de dicho consentimiento. Así, es posible distinguir entre: (i) quienes ostentan la patria potestad y los representantes legales del menor</w:t>
      </w:r>
      <w:r w:rsidRPr="007C57D2">
        <w:rPr>
          <w:rFonts w:ascii="Times New Roman" w:hAnsi="Times New Roman"/>
          <w:sz w:val="28"/>
          <w:szCs w:val="28"/>
        </w:rPr>
        <w:t xml:space="preserve"> de edad</w:t>
      </w:r>
      <w:r w:rsidRPr="007C57D2">
        <w:rPr>
          <w:rFonts w:ascii="Times New Roman" w:hAnsi="Times New Roman"/>
          <w:sz w:val="28"/>
          <w:szCs w:val="28"/>
        </w:rPr>
        <w:t>; (ii) quienes son cuidadores o familiares; y (</w:t>
      </w:r>
      <w:r w:rsidRPr="007C57D2">
        <w:rPr>
          <w:rFonts w:ascii="Times New Roman" w:hAnsi="Times New Roman"/>
          <w:sz w:val="28"/>
          <w:szCs w:val="28"/>
        </w:rPr>
        <w:t xml:space="preserve">iii) el ICBF. Respecto del primer grupo, es claro que la autorización que estos otorgan se ajusta a la Constitución, dado su rol de garantes, cuidadores y protectores de los derechos del </w:t>
      </w:r>
      <w:r w:rsidRPr="007C57D2">
        <w:rPr>
          <w:rFonts w:ascii="Times New Roman" w:hAnsi="Times New Roman"/>
          <w:sz w:val="28"/>
          <w:szCs w:val="28"/>
        </w:rPr>
        <w:t>NNA</w:t>
      </w:r>
      <w:r w:rsidRPr="007C57D2">
        <w:rPr>
          <w:rFonts w:ascii="Times New Roman" w:hAnsi="Times New Roman"/>
          <w:sz w:val="28"/>
          <w:szCs w:val="28"/>
        </w:rPr>
        <w:t>. En cuanto al segundo y tercer grupo, la autorización de estos pa</w:t>
      </w:r>
      <w:r w:rsidRPr="007C57D2">
        <w:rPr>
          <w:rFonts w:ascii="Times New Roman" w:hAnsi="Times New Roman"/>
          <w:sz w:val="28"/>
          <w:szCs w:val="28"/>
        </w:rPr>
        <w:t xml:space="preserve">rte del deber de corresponsabilidad de la garantía de los derechos del menor </w:t>
      </w:r>
      <w:r w:rsidRPr="007C57D2">
        <w:rPr>
          <w:rFonts w:ascii="Times New Roman" w:hAnsi="Times New Roman"/>
          <w:sz w:val="28"/>
          <w:szCs w:val="28"/>
        </w:rPr>
        <w:t xml:space="preserve">de 18 años </w:t>
      </w:r>
      <w:r w:rsidRPr="007C57D2">
        <w:rPr>
          <w:rFonts w:ascii="Times New Roman" w:hAnsi="Times New Roman"/>
          <w:sz w:val="28"/>
          <w:szCs w:val="28"/>
        </w:rPr>
        <w:t>por parte de la familia, la sociedad y el Estado. Así, no podría considerarse desproporcional el hecho que la norma permita que otros sujetos autoricen el tratamiento d</w:t>
      </w:r>
      <w:r w:rsidRPr="007C57D2">
        <w:rPr>
          <w:rFonts w:ascii="Times New Roman" w:hAnsi="Times New Roman"/>
          <w:sz w:val="28"/>
          <w:szCs w:val="28"/>
        </w:rPr>
        <w:t xml:space="preserve">e datos personales de los </w:t>
      </w:r>
      <w:r w:rsidRPr="007C57D2">
        <w:rPr>
          <w:rFonts w:ascii="Times New Roman" w:hAnsi="Times New Roman"/>
          <w:sz w:val="28"/>
          <w:szCs w:val="28"/>
        </w:rPr>
        <w:t>NNA</w:t>
      </w:r>
      <w:r w:rsidRPr="007C57D2">
        <w:rPr>
          <w:rFonts w:ascii="Times New Roman" w:hAnsi="Times New Roman"/>
          <w:sz w:val="28"/>
          <w:szCs w:val="28"/>
        </w:rPr>
        <w:t xml:space="preserve"> pues dicho tratamiento parte de una situación en la que existe un riesgo inminente que podría afectar los derechos del menor </w:t>
      </w:r>
      <w:r w:rsidRPr="007C57D2">
        <w:rPr>
          <w:rFonts w:ascii="Times New Roman" w:hAnsi="Times New Roman"/>
          <w:sz w:val="28"/>
          <w:szCs w:val="28"/>
        </w:rPr>
        <w:t xml:space="preserve">de 18 años </w:t>
      </w:r>
      <w:r w:rsidRPr="007C57D2">
        <w:rPr>
          <w:rFonts w:ascii="Times New Roman" w:hAnsi="Times New Roman"/>
          <w:sz w:val="28"/>
          <w:szCs w:val="28"/>
        </w:rPr>
        <w:t>debido a su desaparición.</w:t>
      </w:r>
    </w:p>
    <w:p w:rsidR="00866198" w:rsidRPr="007C57D2" w:rsidRDefault="007C57D2" w:rsidP="008F3DAB">
      <w:pPr>
        <w:pStyle w:val="Prrafodelista"/>
        <w:rPr>
          <w:rFonts w:ascii="Times New Roman" w:hAnsi="Times New Roman"/>
          <w:sz w:val="28"/>
          <w:szCs w:val="28"/>
        </w:rPr>
      </w:pPr>
    </w:p>
    <w:p w:rsidR="00866198"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Cuando la autorización es diligenciada y suscrita por los “fami</w:t>
      </w:r>
      <w:r w:rsidRPr="007C57D2">
        <w:rPr>
          <w:rFonts w:ascii="Times New Roman" w:hAnsi="Times New Roman"/>
          <w:sz w:val="28"/>
          <w:szCs w:val="28"/>
        </w:rPr>
        <w:t xml:space="preserve">liares” del </w:t>
      </w:r>
      <w:r w:rsidRPr="007C57D2">
        <w:rPr>
          <w:rFonts w:ascii="Times New Roman" w:hAnsi="Times New Roman"/>
          <w:sz w:val="28"/>
          <w:szCs w:val="28"/>
        </w:rPr>
        <w:t xml:space="preserve">NNA </w:t>
      </w:r>
      <w:r w:rsidRPr="007C57D2">
        <w:rPr>
          <w:rFonts w:ascii="Times New Roman" w:hAnsi="Times New Roman"/>
          <w:sz w:val="28"/>
          <w:szCs w:val="28"/>
        </w:rPr>
        <w:t xml:space="preserve">extraviado, es necesario que la persona que autorice el tratamiento de datos personales acredite esa calidad. Lo anterior es imprescindible para proteger el interés superior del menor </w:t>
      </w:r>
      <w:r w:rsidRPr="007C57D2">
        <w:rPr>
          <w:rFonts w:ascii="Times New Roman" w:hAnsi="Times New Roman"/>
          <w:sz w:val="28"/>
          <w:szCs w:val="28"/>
        </w:rPr>
        <w:t xml:space="preserve">de edad </w:t>
      </w:r>
      <w:r w:rsidRPr="007C57D2">
        <w:rPr>
          <w:rFonts w:ascii="Times New Roman" w:hAnsi="Times New Roman"/>
          <w:sz w:val="28"/>
          <w:szCs w:val="28"/>
        </w:rPr>
        <w:t xml:space="preserve">y evitar, entre otras, suplantaciones de identidad. Esta finalidad se garantiza, entre otras, mediante la constatación de que la persona que suscribe el consentimiento informado es efectivamente un familiar del </w:t>
      </w:r>
      <w:r w:rsidRPr="007C57D2">
        <w:rPr>
          <w:rFonts w:ascii="Times New Roman" w:hAnsi="Times New Roman"/>
          <w:sz w:val="28"/>
          <w:szCs w:val="28"/>
        </w:rPr>
        <w:t xml:space="preserve">NNA </w:t>
      </w:r>
      <w:r w:rsidRPr="007C57D2">
        <w:rPr>
          <w:rFonts w:ascii="Times New Roman" w:hAnsi="Times New Roman"/>
          <w:sz w:val="28"/>
          <w:szCs w:val="28"/>
        </w:rPr>
        <w:t>extraviado, y no un tercero. Los familiar</w:t>
      </w:r>
      <w:r w:rsidRPr="007C57D2">
        <w:rPr>
          <w:rFonts w:ascii="Times New Roman" w:hAnsi="Times New Roman"/>
          <w:sz w:val="28"/>
          <w:szCs w:val="28"/>
        </w:rPr>
        <w:t>es deben ser personas mayores de 18 años de edad y ser parte dentro del grupo de personas que la ley y la jurisprudencia</w:t>
      </w:r>
      <w:r w:rsidRPr="007C57D2">
        <w:rPr>
          <w:rStyle w:val="Refdenotaalpie"/>
          <w:rFonts w:ascii="Times New Roman" w:hAnsi="Times New Roman"/>
          <w:sz w:val="28"/>
          <w:szCs w:val="28"/>
        </w:rPr>
        <w:footnoteReference w:id="521"/>
      </w:r>
      <w:r w:rsidRPr="007C57D2">
        <w:rPr>
          <w:rFonts w:ascii="Times New Roman" w:hAnsi="Times New Roman"/>
          <w:sz w:val="28"/>
          <w:szCs w:val="28"/>
        </w:rPr>
        <w:t xml:space="preserve"> los considera como tales.</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 xml:space="preserve">La redacción del texto </w:t>
      </w:r>
      <w:r w:rsidRPr="007C57D2">
        <w:rPr>
          <w:rFonts w:ascii="Times New Roman" w:hAnsi="Times New Roman"/>
          <w:sz w:val="28"/>
          <w:szCs w:val="28"/>
          <w:lang w:val="es-ES"/>
        </w:rPr>
        <w:t xml:space="preserve">se refiere a la activación de </w:t>
      </w:r>
      <w:r w:rsidRPr="007C57D2">
        <w:rPr>
          <w:rFonts w:ascii="Times New Roman" w:hAnsi="Times New Roman"/>
          <w:sz w:val="28"/>
          <w:szCs w:val="28"/>
          <w:lang w:val="es-ES"/>
        </w:rPr>
        <w:t>la Alerta Colombia</w:t>
      </w:r>
      <w:r w:rsidRPr="007C57D2">
        <w:rPr>
          <w:rFonts w:ascii="Times New Roman" w:hAnsi="Times New Roman"/>
          <w:sz w:val="28"/>
          <w:szCs w:val="28"/>
          <w:lang w:val="es-ES"/>
        </w:rPr>
        <w:t xml:space="preserve"> </w:t>
      </w:r>
      <w:r w:rsidRPr="007C57D2">
        <w:rPr>
          <w:rFonts w:ascii="Times New Roman" w:hAnsi="Times New Roman"/>
          <w:sz w:val="28"/>
          <w:szCs w:val="28"/>
          <w:lang w:val="es-ES"/>
        </w:rPr>
        <w:t>cuando existe riesgo</w:t>
      </w:r>
      <w:r w:rsidRPr="007C57D2">
        <w:rPr>
          <w:rFonts w:ascii="Times New Roman" w:hAnsi="Times New Roman"/>
          <w:sz w:val="28"/>
          <w:szCs w:val="28"/>
          <w:lang w:val="es-ES"/>
        </w:rPr>
        <w:t xml:space="preserve"> inminente, como una situación </w:t>
      </w:r>
      <w:r w:rsidRPr="007C57D2">
        <w:rPr>
          <w:rFonts w:ascii="Times New Roman" w:hAnsi="Times New Roman"/>
          <w:sz w:val="28"/>
          <w:szCs w:val="28"/>
          <w:lang w:val="es-ES"/>
        </w:rPr>
        <w:t>particular</w:t>
      </w:r>
      <w:r w:rsidRPr="007C57D2">
        <w:rPr>
          <w:rFonts w:ascii="Times New Roman" w:hAnsi="Times New Roman"/>
          <w:sz w:val="28"/>
          <w:szCs w:val="28"/>
          <w:lang w:val="es-ES"/>
        </w:rPr>
        <w:t xml:space="preserve"> para que se active de manera expedita dicha alerta.</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 xml:space="preserve">El PLE </w:t>
      </w:r>
      <w:r w:rsidRPr="007C57D2">
        <w:rPr>
          <w:rFonts w:ascii="Times New Roman" w:hAnsi="Times New Roman"/>
          <w:sz w:val="28"/>
          <w:szCs w:val="28"/>
          <w:lang w:val="es-ES"/>
        </w:rPr>
        <w:t>no define lo que debe entenderse por “riesgo inminente” pero debe tenerse presente lo siguiente: (i) Teniendo en cuenta el objeto del PLE (artículo 1), el</w:t>
      </w:r>
      <w:r w:rsidRPr="007C57D2">
        <w:rPr>
          <w:rFonts w:ascii="Times New Roman" w:hAnsi="Times New Roman"/>
          <w:sz w:val="28"/>
          <w:szCs w:val="28"/>
          <w:lang w:val="es-ES"/>
        </w:rPr>
        <w:t xml:space="preserve"> riesgo se refiere a la probabilidad de que efectivamente el niño o niña haya desaparecido o se encuentre extraviado. Es factible que un niño o niña no haya desparecido por el solo hecho de estar ausente de su casa, establecimiento educativo u otro lugar e</w:t>
      </w:r>
      <w:r w:rsidRPr="007C57D2">
        <w:rPr>
          <w:rFonts w:ascii="Times New Roman" w:hAnsi="Times New Roman"/>
          <w:sz w:val="28"/>
          <w:szCs w:val="28"/>
          <w:lang w:val="es-ES"/>
        </w:rPr>
        <w:t xml:space="preserve">n el que usualmente se encuentra la persona menor de edad. Esto es complejo establecerlo en abstracto y para todos los casos porque dependerá de las particularidades concretas de cada situación; y (ii) Según el diccionario de la Real Academia Española, la </w:t>
      </w:r>
      <w:r w:rsidRPr="007C57D2">
        <w:rPr>
          <w:rFonts w:ascii="Times New Roman" w:hAnsi="Times New Roman"/>
          <w:sz w:val="28"/>
          <w:szCs w:val="28"/>
          <w:lang w:val="es-ES"/>
        </w:rPr>
        <w:t>palabra “riesgo” significa “contingencia o proximidad de un daño”</w:t>
      </w:r>
      <w:r w:rsidRPr="007C57D2">
        <w:rPr>
          <w:rStyle w:val="Refdenotaalpie"/>
          <w:rFonts w:ascii="Times New Roman" w:hAnsi="Times New Roman"/>
          <w:sz w:val="28"/>
          <w:szCs w:val="28"/>
          <w:lang w:val="es-ES"/>
        </w:rPr>
        <w:footnoteReference w:id="522"/>
      </w:r>
      <w:r w:rsidRPr="007C57D2">
        <w:rPr>
          <w:rFonts w:ascii="Times New Roman" w:hAnsi="Times New Roman"/>
          <w:sz w:val="28"/>
          <w:szCs w:val="28"/>
          <w:lang w:val="es-ES"/>
        </w:rPr>
        <w:t xml:space="preserve"> y el término “inminente” es algo que “amenaza o está para suceder prontamente”</w:t>
      </w:r>
      <w:r w:rsidRPr="007C57D2">
        <w:rPr>
          <w:rStyle w:val="Refdenotaalpie"/>
          <w:rFonts w:ascii="Times New Roman" w:hAnsi="Times New Roman"/>
          <w:sz w:val="28"/>
          <w:szCs w:val="28"/>
          <w:lang w:val="es-ES"/>
        </w:rPr>
        <w:footnoteReference w:id="523"/>
      </w:r>
      <w:r w:rsidRPr="007C57D2">
        <w:rPr>
          <w:rFonts w:ascii="Times New Roman" w:hAnsi="Times New Roman"/>
          <w:sz w:val="28"/>
          <w:szCs w:val="28"/>
          <w:lang w:val="es-ES"/>
        </w:rPr>
        <w:t>. La inminencia del riesgo dependerá de los detalles o circunstancias de cada caso para establecer que tan rea</w:t>
      </w:r>
      <w:r w:rsidRPr="007C57D2">
        <w:rPr>
          <w:rFonts w:ascii="Times New Roman" w:hAnsi="Times New Roman"/>
          <w:sz w:val="28"/>
          <w:szCs w:val="28"/>
          <w:lang w:val="es-ES"/>
        </w:rPr>
        <w:t>l, inmediata, apremiante, urgente, remota o lejana es la probabilidad de que el niño o niña efectivamente ha desaparecido o se encuentra extraviado y, por tanto, es inaplazable, indispensable, necesaria o innecesaria activar la Alerta Colombia</w:t>
      </w:r>
      <w:r w:rsidRPr="007C57D2">
        <w:rPr>
          <w:rFonts w:ascii="Times New Roman" w:hAnsi="Times New Roman"/>
          <w:sz w:val="28"/>
          <w:szCs w:val="28"/>
          <w:lang w:val="es-ES"/>
        </w:rPr>
        <w:t>.</w:t>
      </w:r>
      <w:r w:rsidRPr="007C57D2">
        <w:rPr>
          <w:rStyle w:val="Refdenotaalpie"/>
          <w:rFonts w:ascii="Times New Roman" w:hAnsi="Times New Roman"/>
          <w:sz w:val="28"/>
          <w:szCs w:val="28"/>
          <w:lang w:val="es-ES"/>
        </w:rPr>
        <w:footnoteReference w:id="524"/>
      </w:r>
    </w:p>
    <w:p w:rsidR="001E19D5" w:rsidRPr="007C57D2" w:rsidRDefault="007C57D2" w:rsidP="008F3DAB">
      <w:pPr>
        <w:pStyle w:val="Prrafodelista"/>
        <w:ind w:left="0" w:right="-45"/>
        <w:jc w:val="both"/>
        <w:textAlignment w:val="baseline"/>
        <w:rPr>
          <w:rFonts w:ascii="Times New Roman" w:hAnsi="Times New Roman"/>
          <w:sz w:val="28"/>
          <w:szCs w:val="28"/>
          <w:lang w:val="es-ES"/>
        </w:rPr>
      </w:pPr>
    </w:p>
    <w:p w:rsidR="002A3CC9"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lang w:val="es-ES"/>
        </w:rPr>
        <w:t xml:space="preserve">Es </w:t>
      </w:r>
      <w:r w:rsidRPr="007C57D2">
        <w:rPr>
          <w:rFonts w:ascii="Times New Roman" w:hAnsi="Times New Roman"/>
          <w:sz w:val="28"/>
          <w:szCs w:val="28"/>
          <w:lang w:val="es-ES"/>
        </w:rPr>
        <w:t>posible</w:t>
      </w:r>
      <w:r w:rsidRPr="007C57D2">
        <w:rPr>
          <w:rFonts w:ascii="Times New Roman" w:hAnsi="Times New Roman"/>
          <w:sz w:val="28"/>
          <w:szCs w:val="28"/>
          <w:lang w:val="es-ES"/>
        </w:rPr>
        <w:t xml:space="preserve"> que frente a estas situaciones existan grados de subjetividad y que lo urgente para unos, no lo sea para otros. Por eso, tanto los particulares como las autoridades involucradas en las actividades relacionadas con la Alerta Colombia deben obrar com</w:t>
      </w:r>
      <w:r w:rsidRPr="007C57D2">
        <w:rPr>
          <w:rFonts w:ascii="Times New Roman" w:hAnsi="Times New Roman"/>
          <w:sz w:val="28"/>
          <w:szCs w:val="28"/>
          <w:lang w:val="es-ES"/>
        </w:rPr>
        <w:t>o lo ordena el artículo 83 de la Constitución, es decir, les corresponde “ceñirse a los postulados de la buena fe”, la cual “se presumirá en todas las gestiones” que los primeros adelanten ante las segundas. Los particulares deben cumplir sus deberes const</w:t>
      </w:r>
      <w:r w:rsidRPr="007C57D2">
        <w:rPr>
          <w:rFonts w:ascii="Times New Roman" w:hAnsi="Times New Roman"/>
          <w:sz w:val="28"/>
          <w:szCs w:val="28"/>
          <w:lang w:val="es-ES"/>
        </w:rPr>
        <w:t>itucionales como, entre otros, los siguientes que ordena el artículo 95 de la Constitución: (i) respetar los derechos ajenos y no abusar de los propios y (ii) respetar y apoyar a las autoridades democráticas. Por ende, le corresponde a las “personas llamad</w:t>
      </w:r>
      <w:r w:rsidRPr="007C57D2">
        <w:rPr>
          <w:rFonts w:ascii="Times New Roman" w:hAnsi="Times New Roman"/>
          <w:sz w:val="28"/>
          <w:szCs w:val="28"/>
          <w:lang w:val="es-ES"/>
        </w:rPr>
        <w:t>as a reportar” hacer uso adecuado de la Alerta Colombia, porque el abuso o mal uso de esta no solo implica invertir recursos o poner en movimiento una serie de herramientas y organizaciones en casos que no lo ameritan, sino que podría ir en detrimento de l</w:t>
      </w:r>
      <w:r w:rsidRPr="007C57D2">
        <w:rPr>
          <w:rFonts w:ascii="Times New Roman" w:hAnsi="Times New Roman"/>
          <w:sz w:val="28"/>
          <w:szCs w:val="28"/>
          <w:lang w:val="es-ES"/>
        </w:rPr>
        <w:t xml:space="preserve">a protección de los derechos de las personas menores de edad que efectivamente se encuentran extraviadas o desaparecidas. </w:t>
      </w:r>
    </w:p>
    <w:p w:rsidR="005C5F4E" w:rsidRPr="007C57D2" w:rsidRDefault="007C57D2" w:rsidP="008F3DAB">
      <w:pPr>
        <w:pStyle w:val="Prrafodelista"/>
        <w:ind w:left="0" w:right="-45"/>
        <w:jc w:val="both"/>
        <w:textAlignment w:val="baseline"/>
        <w:rPr>
          <w:rFonts w:ascii="Times New Roman" w:hAnsi="Times New Roman"/>
          <w:sz w:val="28"/>
          <w:szCs w:val="28"/>
          <w:lang w:val="es-ES"/>
        </w:rPr>
      </w:pPr>
    </w:p>
    <w:p w:rsidR="005C5F4E"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rPr>
        <w:t>No obstante, la ausencia de una definición de “riesgo inminente” plantea desafíos que solo pueden resolverse atendiendo las particul</w:t>
      </w:r>
      <w:r w:rsidRPr="007C57D2">
        <w:rPr>
          <w:rFonts w:ascii="Times New Roman" w:hAnsi="Times New Roman"/>
          <w:sz w:val="28"/>
          <w:szCs w:val="28"/>
        </w:rPr>
        <w:t>aridades de cada caso, pues no es posible fijar una regla abstracta y uniforme. En la práctica, puede resultar difícil para padres o cuidadores saber si, para efectos del artículo 3 del PLE, están ante un riesgo inminente, lo que podría trasladarles indebi</w:t>
      </w:r>
      <w:r w:rsidRPr="007C57D2">
        <w:rPr>
          <w:rFonts w:ascii="Times New Roman" w:hAnsi="Times New Roman"/>
          <w:sz w:val="28"/>
          <w:szCs w:val="28"/>
        </w:rPr>
        <w:t>damente la carga de valorar una situación compleja y variab</w:t>
      </w:r>
      <w:r w:rsidRPr="007C57D2">
        <w:rPr>
          <w:rFonts w:ascii="Times New Roman" w:hAnsi="Times New Roman"/>
          <w:sz w:val="28"/>
          <w:szCs w:val="28"/>
        </w:rPr>
        <w:t>le</w:t>
      </w:r>
      <w:r w:rsidRPr="007C57D2">
        <w:rPr>
          <w:rFonts w:ascii="Times New Roman" w:hAnsi="Times New Roman"/>
          <w:sz w:val="28"/>
          <w:szCs w:val="28"/>
        </w:rPr>
        <w:t>. Esta indeterminación también puede dar lugar a decisiones arbitrarias que dilaten injustificadamente la activación de la alerta. Por ello, la interpretación del PLE sobre este concepto debe arm</w:t>
      </w:r>
      <w:r w:rsidRPr="007C57D2">
        <w:rPr>
          <w:rFonts w:ascii="Times New Roman" w:hAnsi="Times New Roman"/>
          <w:sz w:val="28"/>
          <w:szCs w:val="28"/>
        </w:rPr>
        <w:t>onizarse, caso a caso, con el deber de protección especial de los menores de edad y con la responsabilidad principal de las entidades estatales de apreciar el riesgo en el marco de sus funciones constitucionales y legales</w:t>
      </w:r>
      <w:r w:rsidRPr="007C57D2">
        <w:rPr>
          <w:rFonts w:ascii="Times New Roman" w:hAnsi="Times New Roman"/>
          <w:sz w:val="28"/>
          <w:szCs w:val="28"/>
        </w:rPr>
        <w:t>, siempre a partir de las circunsta</w:t>
      </w:r>
      <w:r w:rsidRPr="007C57D2">
        <w:rPr>
          <w:rFonts w:ascii="Times New Roman" w:hAnsi="Times New Roman"/>
          <w:sz w:val="28"/>
          <w:szCs w:val="28"/>
        </w:rPr>
        <w:t>ncias concretas de cada caso.</w:t>
      </w:r>
    </w:p>
    <w:p w:rsidR="001E19D5" w:rsidRPr="007C57D2" w:rsidRDefault="007C57D2" w:rsidP="008F3DAB">
      <w:pPr>
        <w:spacing w:after="0" w:line="240" w:lineRule="auto"/>
        <w:ind w:right="-45"/>
        <w:jc w:val="both"/>
        <w:textAlignment w:val="baseline"/>
        <w:rPr>
          <w:rFonts w:ascii="Times New Roman" w:hAnsi="Times New Roman"/>
          <w:sz w:val="28"/>
          <w:szCs w:val="28"/>
          <w:lang w:val="es-ES"/>
        </w:rPr>
      </w:pPr>
    </w:p>
    <w:p w:rsidR="00C94D3C"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i/>
          <w:iCs/>
          <w:sz w:val="28"/>
          <w:szCs w:val="28"/>
          <w:lang w:val="es-ES"/>
        </w:rPr>
        <w:t>De la autorización como presupuesto para activar la Alerta Colombia.</w:t>
      </w:r>
      <w:r w:rsidRPr="007C57D2">
        <w:rPr>
          <w:rFonts w:ascii="Times New Roman" w:hAnsi="Times New Roman"/>
          <w:sz w:val="28"/>
          <w:szCs w:val="28"/>
          <w:lang w:val="es-ES"/>
        </w:rPr>
        <w:t xml:space="preserve"> El PLE exige la autorización o consentimiento informado para activar la Alerta Colombia. Es una regla general coherente con la jurisprudencia de esta </w:t>
      </w:r>
      <w:r w:rsidRPr="007C57D2">
        <w:rPr>
          <w:rFonts w:ascii="Times New Roman" w:hAnsi="Times New Roman"/>
          <w:sz w:val="28"/>
          <w:szCs w:val="28"/>
          <w:lang w:val="es-ES"/>
        </w:rPr>
        <w:t>Corporación</w:t>
      </w:r>
      <w:r w:rsidRPr="007C57D2">
        <w:rPr>
          <w:rFonts w:ascii="Times New Roman" w:hAnsi="Times New Roman"/>
          <w:sz w:val="28"/>
          <w:szCs w:val="28"/>
          <w:lang w:val="es-ES"/>
        </w:rPr>
        <w:t xml:space="preserve"> respecto del tratamiento de datos personales. En la </w:t>
      </w:r>
      <w:r w:rsidRPr="007C57D2">
        <w:rPr>
          <w:rFonts w:ascii="Times New Roman" w:hAnsi="Times New Roman"/>
          <w:sz w:val="28"/>
          <w:szCs w:val="28"/>
          <w:lang w:val="es-ES"/>
        </w:rPr>
        <w:t>S</w:t>
      </w:r>
      <w:r w:rsidRPr="007C57D2">
        <w:rPr>
          <w:rFonts w:ascii="Times New Roman" w:hAnsi="Times New Roman"/>
          <w:sz w:val="28"/>
          <w:szCs w:val="28"/>
          <w:lang w:val="es-ES"/>
        </w:rPr>
        <w:t>entencia C-748 de 2011, por ejemplo, la Corte señaló que “</w:t>
      </w:r>
      <w:r w:rsidRPr="007C57D2">
        <w:rPr>
          <w:rFonts w:ascii="Times New Roman" w:hAnsi="Times New Roman"/>
          <w:sz w:val="28"/>
          <w:szCs w:val="28"/>
        </w:rPr>
        <w:t>el consentimiento del titular de la información es un presupuesto para la legitimidad constitucional de los procesos de administració</w:t>
      </w:r>
      <w:r w:rsidRPr="007C57D2">
        <w:rPr>
          <w:rFonts w:ascii="Times New Roman" w:hAnsi="Times New Roman"/>
          <w:sz w:val="28"/>
          <w:szCs w:val="28"/>
        </w:rPr>
        <w:t>n de datos personales. En concordancia con lo expuesto frente al principio de libertad, en el manejo de los datos no podrá existir una autorización tácita.”</w:t>
      </w:r>
      <w:r w:rsidRPr="007C57D2">
        <w:rPr>
          <w:rFonts w:ascii="Times New Roman" w:hAnsi="Times New Roman"/>
          <w:sz w:val="28"/>
          <w:szCs w:val="28"/>
        </w:rPr>
        <w:t xml:space="preserve"> </w:t>
      </w:r>
      <w:r w:rsidRPr="007C57D2">
        <w:rPr>
          <w:rFonts w:ascii="Times New Roman" w:hAnsi="Times New Roman"/>
          <w:sz w:val="28"/>
          <w:szCs w:val="28"/>
        </w:rPr>
        <w:t>Por lo tanto, se requiere autorización para activar la Alerta; únicamente en situaciones excepciona</w:t>
      </w:r>
      <w:r w:rsidRPr="007C57D2">
        <w:rPr>
          <w:rFonts w:ascii="Times New Roman" w:hAnsi="Times New Roman"/>
          <w:sz w:val="28"/>
          <w:szCs w:val="28"/>
        </w:rPr>
        <w:t xml:space="preserve">les previstas por la ley podrá activarse sin ese requisito. </w:t>
      </w:r>
    </w:p>
    <w:p w:rsidR="001E19D5" w:rsidRPr="007C57D2" w:rsidRDefault="007C57D2" w:rsidP="008F3DAB">
      <w:pPr>
        <w:pStyle w:val="Prrafodelista"/>
        <w:ind w:left="0"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L</w:t>
      </w:r>
      <w:r w:rsidRPr="007C57D2">
        <w:rPr>
          <w:rFonts w:ascii="Times New Roman" w:hAnsi="Times New Roman"/>
          <w:sz w:val="28"/>
          <w:szCs w:val="28"/>
        </w:rPr>
        <w:t xml:space="preserve">a Corte Constitucional, al analizar el proyecto de ley del texto que actualmente corresponde a la </w:t>
      </w:r>
      <w:r w:rsidRPr="007C57D2">
        <w:rPr>
          <w:rFonts w:ascii="Times New Roman" w:hAnsi="Times New Roman"/>
          <w:sz w:val="28"/>
          <w:szCs w:val="28"/>
        </w:rPr>
        <w:t>Ley Estatutaria 1581 de 2012</w:t>
      </w:r>
      <w:r w:rsidRPr="007C57D2">
        <w:rPr>
          <w:rFonts w:ascii="Times New Roman" w:hAnsi="Times New Roman"/>
          <w:sz w:val="28"/>
          <w:szCs w:val="28"/>
        </w:rPr>
        <w:t xml:space="preserve">, concluyó que son </w:t>
      </w:r>
      <w:r w:rsidRPr="007C57D2">
        <w:rPr>
          <w:rFonts w:ascii="Times New Roman" w:hAnsi="Times New Roman"/>
          <w:sz w:val="28"/>
          <w:szCs w:val="28"/>
        </w:rPr>
        <w:t>exequibles</w:t>
      </w:r>
      <w:r w:rsidRPr="007C57D2">
        <w:rPr>
          <w:rFonts w:ascii="Times New Roman" w:hAnsi="Times New Roman"/>
          <w:sz w:val="28"/>
          <w:szCs w:val="28"/>
        </w:rPr>
        <w:t xml:space="preserve"> algunas situaciones en las que </w:t>
      </w:r>
      <w:r w:rsidRPr="007C57D2">
        <w:rPr>
          <w:rFonts w:ascii="Times New Roman" w:hAnsi="Times New Roman"/>
          <w:sz w:val="28"/>
          <w:szCs w:val="28"/>
        </w:rPr>
        <w:t xml:space="preserve">no es </w:t>
      </w:r>
      <w:r w:rsidRPr="007C57D2">
        <w:rPr>
          <w:rFonts w:ascii="Times New Roman" w:hAnsi="Times New Roman"/>
          <w:sz w:val="28"/>
          <w:szCs w:val="28"/>
        </w:rPr>
        <w:t>necesaria la autorización para tratar datos personales. El artículo 10 de la citada ley enuncia los casos en que no es necesario el consentimiento, dentro de los cuales destaca el siguiente: “Artículo 10. Casos en que no es necesaria la autorización. La au</w:t>
      </w:r>
      <w:r w:rsidRPr="007C57D2">
        <w:rPr>
          <w:rFonts w:ascii="Times New Roman" w:hAnsi="Times New Roman"/>
          <w:sz w:val="28"/>
          <w:szCs w:val="28"/>
        </w:rPr>
        <w:t>torización del Titular no será necesaria cuando se trate de: a) Información requerida por una entidad pública o administrativa en ejercicio de sus funciones legales o por orden judicial”</w:t>
      </w:r>
      <w:r w:rsidRPr="007C57D2">
        <w:rPr>
          <w:rStyle w:val="Refdenotaalpie"/>
          <w:rFonts w:ascii="Times New Roman" w:hAnsi="Times New Roman"/>
          <w:sz w:val="28"/>
          <w:szCs w:val="28"/>
        </w:rPr>
        <w:footnoteReference w:id="525"/>
      </w:r>
      <w:r w:rsidRPr="007C57D2">
        <w:rPr>
          <w:rFonts w:ascii="Times New Roman" w:hAnsi="Times New Roman"/>
          <w:sz w:val="28"/>
          <w:szCs w:val="28"/>
        </w:rPr>
        <w:t>.</w:t>
      </w:r>
    </w:p>
    <w:p w:rsidR="001E19D5" w:rsidRPr="007C57D2" w:rsidRDefault="007C57D2" w:rsidP="008F3DAB">
      <w:pPr>
        <w:pStyle w:val="Prrafodelista"/>
        <w:ind w:left="0" w:right="-45"/>
        <w:jc w:val="both"/>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La anterior excepción también aplica a los datos sensibles en la m</w:t>
      </w:r>
      <w:r w:rsidRPr="007C57D2">
        <w:rPr>
          <w:rFonts w:ascii="Times New Roman" w:hAnsi="Times New Roman"/>
          <w:sz w:val="28"/>
          <w:szCs w:val="28"/>
        </w:rPr>
        <w:t>edi</w:t>
      </w:r>
      <w:r w:rsidRPr="007C57D2">
        <w:rPr>
          <w:rFonts w:ascii="Times New Roman" w:hAnsi="Times New Roman"/>
          <w:sz w:val="28"/>
          <w:szCs w:val="28"/>
        </w:rPr>
        <w:t>d</w:t>
      </w:r>
      <w:r w:rsidRPr="007C57D2">
        <w:rPr>
          <w:rFonts w:ascii="Times New Roman" w:hAnsi="Times New Roman"/>
          <w:sz w:val="28"/>
          <w:szCs w:val="28"/>
        </w:rPr>
        <w:t xml:space="preserve">a que, por regla general, está prohibido de esta clase de información excepto cuando, entre otros, “el Titular haya dado su autorización explícita a dicho tratamiento, salvo en los casos que por ley no sea requerido el otorgamiento de dicha </w:t>
      </w:r>
      <w:r w:rsidRPr="007C57D2">
        <w:rPr>
          <w:rFonts w:ascii="Times New Roman" w:hAnsi="Times New Roman"/>
          <w:sz w:val="28"/>
          <w:szCs w:val="28"/>
        </w:rPr>
        <w:t>autorización”</w:t>
      </w:r>
      <w:r w:rsidRPr="007C57D2">
        <w:rPr>
          <w:rStyle w:val="Refdenotaalpie"/>
          <w:rFonts w:ascii="Times New Roman" w:hAnsi="Times New Roman"/>
          <w:sz w:val="28"/>
          <w:szCs w:val="28"/>
        </w:rPr>
        <w:footnoteReference w:id="526"/>
      </w:r>
      <w:r w:rsidRPr="007C57D2">
        <w:rPr>
          <w:rFonts w:ascii="Times New Roman" w:hAnsi="Times New Roman"/>
          <w:sz w:val="28"/>
          <w:szCs w:val="28"/>
        </w:rPr>
        <w:t>. El literal a) del artículo 10 es, precisamente, uno de los casos en que por mandato legal no se requiere la autorización. En este sentido, la Corte concluyó que la anterior excepción es “compatible con la Constitución, siempre y cuando se e</w:t>
      </w:r>
      <w:r w:rsidRPr="007C57D2">
        <w:rPr>
          <w:rFonts w:ascii="Times New Roman" w:hAnsi="Times New Roman"/>
          <w:sz w:val="28"/>
          <w:szCs w:val="28"/>
        </w:rPr>
        <w:t>ntienda, como se mencionará más adelante, que tal autorización, además de estar contenida en una ley, sea conforme a las garantías que otorga el habeas data, por  ejemplo, en materia de finalidad, y cumpla las exigencias del principio de proporcionalidad”</w:t>
      </w:r>
      <w:r w:rsidRPr="007C57D2">
        <w:rPr>
          <w:rStyle w:val="Refdenotaalpie"/>
          <w:rFonts w:ascii="Times New Roman" w:hAnsi="Times New Roman"/>
          <w:sz w:val="28"/>
          <w:szCs w:val="28"/>
        </w:rPr>
        <w:footnoteReference w:id="527"/>
      </w:r>
      <w:r w:rsidRPr="007C57D2">
        <w:rPr>
          <w:rFonts w:ascii="Times New Roman" w:hAnsi="Times New Roman"/>
          <w:sz w:val="28"/>
          <w:szCs w:val="28"/>
        </w:rPr>
        <w:t>. Adicionalmente, según la Corte, en estos casos excepcionales quienes tratan estos datos “tienen una responsabilidad reforzada que se traduce en una exigencia mayor en términos de cumplimiento de los principios del artículo 4 y los deberes del título VI”</w:t>
      </w:r>
      <w:r w:rsidRPr="007C57D2">
        <w:rPr>
          <w:rStyle w:val="Refdenotaalpie"/>
          <w:rFonts w:ascii="Times New Roman" w:hAnsi="Times New Roman"/>
          <w:sz w:val="28"/>
          <w:szCs w:val="28"/>
        </w:rPr>
        <w:t xml:space="preserve"> </w:t>
      </w:r>
      <w:r w:rsidRPr="007C57D2">
        <w:rPr>
          <w:rStyle w:val="Refdenotaalpie"/>
          <w:rFonts w:ascii="Times New Roman" w:hAnsi="Times New Roman"/>
          <w:sz w:val="28"/>
          <w:szCs w:val="28"/>
        </w:rPr>
        <w:footnoteReference w:id="528"/>
      </w:r>
      <w:r w:rsidRPr="007C57D2">
        <w:rPr>
          <w:rStyle w:val="Refdenotaalpie"/>
          <w:rFonts w:ascii="Times New Roman" w:hAnsi="Times New Roman"/>
          <w:sz w:val="28"/>
          <w:szCs w:val="28"/>
        </w:rPr>
        <w:t>.</w:t>
      </w:r>
    </w:p>
    <w:p w:rsidR="001B486A" w:rsidRPr="007C57D2" w:rsidRDefault="007C57D2" w:rsidP="008F3DAB">
      <w:pPr>
        <w:pStyle w:val="Prrafodelista"/>
        <w:rPr>
          <w:rFonts w:ascii="Times New Roman" w:hAnsi="Times New Roman"/>
          <w:sz w:val="28"/>
          <w:szCs w:val="28"/>
        </w:rPr>
      </w:pPr>
    </w:p>
    <w:p w:rsidR="001B486A" w:rsidRPr="007C57D2" w:rsidRDefault="007C57D2" w:rsidP="008F3DAB">
      <w:pPr>
        <w:pStyle w:val="Prrafodelista"/>
        <w:numPr>
          <w:ilvl w:val="0"/>
          <w:numId w:val="3"/>
        </w:numPr>
        <w:ind w:left="0" w:right="-45" w:firstLine="0"/>
        <w:jc w:val="both"/>
        <w:rPr>
          <w:rFonts w:ascii="Times New Roman" w:hAnsi="Times New Roman"/>
          <w:sz w:val="28"/>
          <w:szCs w:val="28"/>
        </w:rPr>
      </w:pPr>
      <w:r w:rsidRPr="007C57D2">
        <w:rPr>
          <w:rFonts w:ascii="Times New Roman" w:hAnsi="Times New Roman"/>
          <w:sz w:val="28"/>
          <w:szCs w:val="28"/>
        </w:rPr>
        <w:t>La Corte recalcó que la facultad de entidades públicas o autoridades administrativas de poder tratar datos personales sin la autorización del titular “no puede convertirse en un escenario proclive al abuso del poder informático, esta vez en cabeza de l</w:t>
      </w:r>
      <w:r w:rsidRPr="007C57D2">
        <w:rPr>
          <w:rFonts w:ascii="Times New Roman" w:hAnsi="Times New Roman"/>
          <w:sz w:val="28"/>
          <w:szCs w:val="28"/>
        </w:rPr>
        <w:t>os funcionarios del Estado. Así, el hecho que el legislador estatutario haya determinado que el dato personal puede ser requerido por toda entidad pública, bajo el condicionamiento que la petición se sustente en la conexidad directa con alguna de sus funci</w:t>
      </w:r>
      <w:r w:rsidRPr="007C57D2">
        <w:rPr>
          <w:rFonts w:ascii="Times New Roman" w:hAnsi="Times New Roman"/>
          <w:sz w:val="28"/>
          <w:szCs w:val="28"/>
        </w:rPr>
        <w:t>ones, de</w:t>
      </w:r>
      <w:r w:rsidRPr="007C57D2">
        <w:rPr>
          <w:rFonts w:ascii="Times New Roman" w:hAnsi="Times New Roman"/>
          <w:sz w:val="28"/>
          <w:szCs w:val="28"/>
        </w:rPr>
        <w:t>be</w:t>
      </w:r>
      <w:r w:rsidRPr="007C57D2">
        <w:rPr>
          <w:rFonts w:ascii="Times New Roman" w:hAnsi="Times New Roman"/>
          <w:sz w:val="28"/>
          <w:szCs w:val="28"/>
        </w:rPr>
        <w:t xml:space="preserve"> acompasarse con la garantía irrestricta del derecho al hábeas data del titular de la información. En efecto, amén de la infinidad de posibilidades en que bajo este expediente puede accederse al dato personal, la aplicación del precepto bajo anál</w:t>
      </w:r>
      <w:r w:rsidRPr="007C57D2">
        <w:rPr>
          <w:rFonts w:ascii="Times New Roman" w:hAnsi="Times New Roman"/>
          <w:sz w:val="28"/>
          <w:szCs w:val="28"/>
        </w:rPr>
        <w:t>isis debe subordinarse a que la entidad administrativa receptora cumpla con las obligaciones de protección y garantía que se derivan del citado derecho fundamental, en especial la vigencia de los principios de finalidad, utilidad y circulación restringida.</w:t>
      </w:r>
      <w:r w:rsidRPr="007C57D2">
        <w:rPr>
          <w:rFonts w:ascii="Times New Roman" w:hAnsi="Times New Roman"/>
          <w:sz w:val="28"/>
          <w:szCs w:val="28"/>
        </w:rPr>
        <w:t xml:space="preserve"> </w:t>
      </w:r>
      <w:r w:rsidRPr="007C57D2">
        <w:rPr>
          <w:rFonts w:ascii="Times New Roman" w:hAnsi="Times New Roman"/>
          <w:sz w:val="28"/>
          <w:szCs w:val="28"/>
        </w:rPr>
        <w:t>Para la Corte, esto se logra a través de dos condiciones: </w:t>
      </w:r>
      <w:r w:rsidRPr="007C57D2">
        <w:rPr>
          <w:rFonts w:ascii="Times New Roman" w:hAnsi="Times New Roman"/>
          <w:i/>
          <w:iCs/>
          <w:sz w:val="28"/>
          <w:szCs w:val="28"/>
        </w:rPr>
        <w:t>(i) </w:t>
      </w:r>
      <w:r w:rsidRPr="007C57D2">
        <w:rPr>
          <w:rFonts w:ascii="Times New Roman" w:hAnsi="Times New Roman"/>
          <w:sz w:val="28"/>
          <w:szCs w:val="28"/>
        </w:rPr>
        <w:t>el carácter calificado del vínculo entre la divulgación del dato y el cumplimiento de las funciones de la entidad del poder Ejecutivo; y </w:t>
      </w:r>
      <w:r w:rsidRPr="007C57D2">
        <w:rPr>
          <w:rFonts w:ascii="Times New Roman" w:hAnsi="Times New Roman"/>
          <w:i/>
          <w:iCs/>
          <w:sz w:val="28"/>
          <w:szCs w:val="28"/>
        </w:rPr>
        <w:t>(ii) </w:t>
      </w:r>
      <w:r w:rsidRPr="007C57D2">
        <w:rPr>
          <w:rFonts w:ascii="Times New Roman" w:hAnsi="Times New Roman"/>
          <w:sz w:val="28"/>
          <w:szCs w:val="28"/>
        </w:rPr>
        <w:t xml:space="preserve">la adscripción a dichas entidades de los deberes y </w:t>
      </w:r>
      <w:r w:rsidRPr="007C57D2">
        <w:rPr>
          <w:rFonts w:ascii="Times New Roman" w:hAnsi="Times New Roman"/>
          <w:sz w:val="28"/>
          <w:szCs w:val="28"/>
        </w:rPr>
        <w:t>obligaciones que la normatividad estatutaria predica de los usuarios de la información, habida consideración que ese grupo de condiciones permite la protección adecuada del derecho.</w:t>
      </w:r>
      <w:r w:rsidRPr="007C57D2">
        <w:rPr>
          <w:rFonts w:ascii="Times New Roman" w:hAnsi="Times New Roman"/>
          <w:sz w:val="28"/>
          <w:szCs w:val="28"/>
        </w:rPr>
        <w:t>”</w:t>
      </w:r>
      <w:r w:rsidRPr="007C57D2">
        <w:rPr>
          <w:rStyle w:val="Refdenotaalpie"/>
          <w:rFonts w:ascii="Times New Roman" w:hAnsi="Times New Roman"/>
          <w:sz w:val="28"/>
          <w:szCs w:val="28"/>
        </w:rPr>
        <w:footnoteReference w:id="529"/>
      </w:r>
    </w:p>
    <w:p w:rsidR="001E19D5" w:rsidRPr="007C57D2" w:rsidRDefault="007C57D2" w:rsidP="008F3DAB">
      <w:pPr>
        <w:spacing w:after="0" w:line="240" w:lineRule="auto"/>
        <w:ind w:right="-45"/>
        <w:jc w:val="both"/>
        <w:textAlignment w:val="baseline"/>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 xml:space="preserve">Esta excepción </w:t>
      </w:r>
      <w:r w:rsidRPr="007C57D2">
        <w:rPr>
          <w:rFonts w:ascii="Times New Roman" w:hAnsi="Times New Roman"/>
          <w:sz w:val="28"/>
          <w:szCs w:val="28"/>
        </w:rPr>
        <w:t xml:space="preserve">y las precisiones de la Corte son </w:t>
      </w:r>
      <w:r w:rsidRPr="007C57D2">
        <w:rPr>
          <w:rFonts w:ascii="Times New Roman" w:hAnsi="Times New Roman"/>
          <w:sz w:val="28"/>
          <w:szCs w:val="28"/>
        </w:rPr>
        <w:t>relevante</w:t>
      </w:r>
      <w:r w:rsidRPr="007C57D2">
        <w:rPr>
          <w:rFonts w:ascii="Times New Roman" w:hAnsi="Times New Roman"/>
          <w:sz w:val="28"/>
          <w:szCs w:val="28"/>
        </w:rPr>
        <w:t>s</w:t>
      </w:r>
      <w:r w:rsidRPr="007C57D2">
        <w:rPr>
          <w:rFonts w:ascii="Times New Roman" w:hAnsi="Times New Roman"/>
          <w:sz w:val="28"/>
          <w:szCs w:val="28"/>
        </w:rPr>
        <w:t xml:space="preserve"> porque en la activación de la Alerta Colombia participan entidades públicas como el ICBF o la Policía Nacional. En efecto, el parágrafo primero del artículo 4 ordena que “La Policía Nacional, en coordinación con el Instituto Colombiano de Bienestar Famili</w:t>
      </w:r>
      <w:r w:rsidRPr="007C57D2">
        <w:rPr>
          <w:rFonts w:ascii="Times New Roman" w:hAnsi="Times New Roman"/>
          <w:sz w:val="28"/>
          <w:szCs w:val="28"/>
        </w:rPr>
        <w:t>ar, deberá recolectar estos datos para que, junto con los números a los cuales pueden comunicarse los ciudadanos en caso de tener alguna información, sean entregados de manera inmediata a los proveedores de redes y servicios de telecomunicaciones móviles q</w:t>
      </w:r>
      <w:r w:rsidRPr="007C57D2">
        <w:rPr>
          <w:rFonts w:ascii="Times New Roman" w:hAnsi="Times New Roman"/>
          <w:sz w:val="28"/>
          <w:szCs w:val="28"/>
        </w:rPr>
        <w:t>ue operan en territorio colombiano, a quienes se les informará que solo podrán realizar el tratamiento de la información para las finalidades establecidas en la presente ley.”</w:t>
      </w:r>
    </w:p>
    <w:p w:rsidR="001E19D5" w:rsidRPr="007C57D2" w:rsidRDefault="007C57D2" w:rsidP="008F3DAB">
      <w:pPr>
        <w:spacing w:after="0" w:line="240" w:lineRule="auto"/>
        <w:ind w:right="-45"/>
        <w:jc w:val="both"/>
        <w:textAlignment w:val="baseline"/>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 xml:space="preserve">Dichas entidades, precisamente, deben tratar datos personales para cumplir las </w:t>
      </w:r>
      <w:r w:rsidRPr="007C57D2">
        <w:rPr>
          <w:rFonts w:ascii="Times New Roman" w:hAnsi="Times New Roman"/>
          <w:sz w:val="28"/>
          <w:szCs w:val="28"/>
        </w:rPr>
        <w:t>obligaciones que les impone el PLE. Pero, el hecho de que la Ley Estatutaria los faculte para recolectar, usar o circular los datos personales sin autorización no significa que puedan hacer lo que deseen con la información. En este sentido, el inciso final</w:t>
      </w:r>
      <w:r w:rsidRPr="007C57D2">
        <w:rPr>
          <w:rFonts w:ascii="Times New Roman" w:hAnsi="Times New Roman"/>
          <w:sz w:val="28"/>
          <w:szCs w:val="28"/>
        </w:rPr>
        <w:t xml:space="preserve"> del mencionado artículo 10 establece que “quien acceda a los datos personales sin que medie autorización previa deberá en todo caso cumplir con las disposiciones contenidas en la presente ley”. Lo anterior fue reiterado por esta Corte al precisar que “una</w:t>
      </w:r>
      <w:r w:rsidRPr="007C57D2">
        <w:rPr>
          <w:rFonts w:ascii="Times New Roman" w:hAnsi="Times New Roman"/>
          <w:sz w:val="28"/>
          <w:szCs w:val="28"/>
        </w:rPr>
        <w:t xml:space="preserve"> lectura de la norma permite interpretar que lo que busca el legislador estatutario es que en los casos taxativos permitidos por el artículo 10, en los que no es necesario el consentimiento del Titular, el uso del dato también debe sujetarse a todos los pr</w:t>
      </w:r>
      <w:r w:rsidRPr="007C57D2">
        <w:rPr>
          <w:rFonts w:ascii="Times New Roman" w:hAnsi="Times New Roman"/>
          <w:sz w:val="28"/>
          <w:szCs w:val="28"/>
        </w:rPr>
        <w:t>incipios y limitaciones consagrados en la Ley.”</w:t>
      </w:r>
      <w:r w:rsidRPr="007C57D2">
        <w:rPr>
          <w:rStyle w:val="Refdenotaalpie"/>
          <w:rFonts w:ascii="Times New Roman" w:hAnsi="Times New Roman"/>
          <w:sz w:val="28"/>
          <w:szCs w:val="28"/>
        </w:rPr>
        <w:footnoteReference w:id="530"/>
      </w:r>
    </w:p>
    <w:p w:rsidR="001E19D5" w:rsidRPr="007C57D2" w:rsidRDefault="007C57D2" w:rsidP="008F3DAB">
      <w:pPr>
        <w:spacing w:after="0" w:line="240" w:lineRule="auto"/>
        <w:ind w:right="-45"/>
        <w:jc w:val="both"/>
        <w:textAlignment w:val="baseline"/>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En adición a lo anterior, la Corte precisó que debe existir una conexidad directa entre las funciones de la entidad pública y la necesidad de tratar los datos personales. En otras palabras, la motivación de</w:t>
      </w:r>
      <w:r w:rsidRPr="007C57D2">
        <w:rPr>
          <w:rFonts w:ascii="Times New Roman" w:hAnsi="Times New Roman"/>
          <w:sz w:val="28"/>
          <w:szCs w:val="28"/>
        </w:rPr>
        <w:t>l tratamiento de los datos debe estar basado en una “clara y específica competencia funcional de la entidad”</w:t>
      </w:r>
      <w:r w:rsidRPr="007C57D2">
        <w:rPr>
          <w:rStyle w:val="Refdenotaalpie"/>
          <w:rFonts w:ascii="Times New Roman" w:hAnsi="Times New Roman"/>
          <w:sz w:val="28"/>
          <w:szCs w:val="28"/>
        </w:rPr>
        <w:footnoteReference w:id="531"/>
      </w:r>
      <w:r w:rsidRPr="007C57D2">
        <w:rPr>
          <w:rStyle w:val="Refdenotaalpie"/>
          <w:rFonts w:ascii="Times New Roman" w:hAnsi="Times New Roman"/>
          <w:sz w:val="28"/>
          <w:szCs w:val="28"/>
        </w:rPr>
        <w:t>.</w:t>
      </w:r>
    </w:p>
    <w:p w:rsidR="001E19D5" w:rsidRPr="007C57D2" w:rsidRDefault="007C57D2" w:rsidP="008F3DAB">
      <w:pPr>
        <w:pStyle w:val="Prrafodelista"/>
        <w:rPr>
          <w:rFonts w:ascii="Times New Roman" w:hAnsi="Times New Roman"/>
          <w:b/>
          <w:bCs/>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i/>
          <w:iCs/>
          <w:sz w:val="28"/>
          <w:szCs w:val="28"/>
        </w:rPr>
      </w:pPr>
      <w:r w:rsidRPr="007C57D2">
        <w:rPr>
          <w:rFonts w:ascii="Times New Roman" w:hAnsi="Times New Roman"/>
          <w:i/>
          <w:iCs/>
          <w:sz w:val="28"/>
          <w:szCs w:val="28"/>
        </w:rPr>
        <w:t xml:space="preserve">Principio de limitación temporal del tratamiento de datos personales: eliminación de los datos personales. </w:t>
      </w:r>
      <w:r w:rsidRPr="007C57D2">
        <w:rPr>
          <w:rFonts w:ascii="Times New Roman" w:hAnsi="Times New Roman"/>
          <w:sz w:val="28"/>
          <w:szCs w:val="28"/>
        </w:rPr>
        <w:t xml:space="preserve">El artículo 8 ordena que tan pronto </w:t>
      </w:r>
      <w:r w:rsidRPr="007C57D2">
        <w:rPr>
          <w:rFonts w:ascii="Times New Roman" w:hAnsi="Times New Roman"/>
          <w:sz w:val="28"/>
          <w:szCs w:val="28"/>
        </w:rPr>
        <w:t>como el niño o niña sea encontrado, el ICBF debe comunicar esa información a los proveedores de redes y servicios de telecomunicaciones para lo siguiente: (i) eliminar inmediatamente de sus bases los datos la información que se les proporcionó para efectos</w:t>
      </w:r>
      <w:r w:rsidRPr="007C57D2">
        <w:rPr>
          <w:rFonts w:ascii="Times New Roman" w:hAnsi="Times New Roman"/>
          <w:sz w:val="28"/>
          <w:szCs w:val="28"/>
        </w:rPr>
        <w:t xml:space="preserve"> de difundir la Alerta Colombia con miras a buscar y localizar a los menores de edad, y (ii) enviar, por una sola vez, una alerta de éxito anunciando que fue encontrado el niño o niña extraviado.</w:t>
      </w:r>
    </w:p>
    <w:p w:rsidR="001E19D5" w:rsidRPr="007C57D2" w:rsidRDefault="007C57D2" w:rsidP="008F3DAB">
      <w:pPr>
        <w:pStyle w:val="Prrafodelista"/>
        <w:ind w:left="0" w:right="-45"/>
        <w:jc w:val="both"/>
        <w:textAlignment w:val="baseline"/>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rPr>
        <w:t xml:space="preserve"> Este artículo es coherente con los principios de finalidad</w:t>
      </w:r>
      <w:r w:rsidRPr="007C57D2">
        <w:rPr>
          <w:rFonts w:ascii="Times New Roman" w:hAnsi="Times New Roman"/>
          <w:sz w:val="28"/>
          <w:szCs w:val="28"/>
        </w:rPr>
        <w:t xml:space="preserve"> y limitación temporal del tratamiento de datos personales porque pueden tratarse para un propósito o fin legítimo y específico, pero tan pronto se cumpla el mismo, deben ser suprimidos o eliminados. Para la Corte, “el principio de finalidad implica tambié</w:t>
      </w:r>
      <w:r w:rsidRPr="007C57D2">
        <w:rPr>
          <w:rFonts w:ascii="Times New Roman" w:hAnsi="Times New Roman"/>
          <w:sz w:val="28"/>
          <w:szCs w:val="28"/>
        </w:rPr>
        <w:t>n: (i) un ámbito temporal, es decir que el periodo de conservación de los datos personales no exceda del necesario para alcanzar la necesidad con que se han registrado</w:t>
      </w:r>
      <w:r w:rsidRPr="007C57D2">
        <w:rPr>
          <w:rFonts w:ascii="Times New Roman" w:hAnsi="Times New Roman"/>
          <w:sz w:val="28"/>
          <w:szCs w:val="28"/>
        </w:rPr>
        <w:t xml:space="preserve">” </w:t>
      </w:r>
      <w:r w:rsidRPr="007C57D2">
        <w:rPr>
          <w:rStyle w:val="Refdenotaalpie"/>
          <w:rFonts w:ascii="Times New Roman" w:hAnsi="Times New Roman"/>
          <w:sz w:val="28"/>
          <w:szCs w:val="28"/>
        </w:rPr>
        <w:footnoteReference w:id="532"/>
      </w:r>
      <w:r w:rsidRPr="007C57D2">
        <w:rPr>
          <w:rFonts w:ascii="Times New Roman" w:hAnsi="Times New Roman"/>
          <w:sz w:val="28"/>
          <w:szCs w:val="28"/>
        </w:rPr>
        <w:t>. Por ende, ha establecido la Corte que “(…) el periodo de conservación de los datos p</w:t>
      </w:r>
      <w:r w:rsidRPr="007C57D2">
        <w:rPr>
          <w:rFonts w:ascii="Times New Roman" w:hAnsi="Times New Roman"/>
          <w:sz w:val="28"/>
          <w:szCs w:val="28"/>
        </w:rPr>
        <w:t>ersonales no debe exceder del necesario para alcanzar la necesidad con que se han registrado</w:t>
      </w:r>
      <w:r w:rsidRPr="007C57D2">
        <w:rPr>
          <w:rFonts w:ascii="Times New Roman" w:hAnsi="Times New Roman"/>
          <w:i/>
          <w:sz w:val="28"/>
          <w:szCs w:val="28"/>
          <w:vertAlign w:val="superscript"/>
        </w:rPr>
        <w:footnoteReference w:id="533"/>
      </w:r>
      <w:r w:rsidRPr="007C57D2">
        <w:rPr>
          <w:rFonts w:ascii="Times New Roman" w:hAnsi="Times New Roman"/>
          <w:sz w:val="28"/>
        </w:rPr>
        <w:t>￼</w:t>
      </w:r>
      <w:r w:rsidRPr="007C57D2">
        <w:rPr>
          <w:rFonts w:ascii="Times New Roman" w:hAnsi="Times New Roman"/>
          <w:sz w:val="28"/>
          <w:szCs w:val="28"/>
        </w:rPr>
        <w:t>.</w:t>
      </w:r>
      <w:r w:rsidRPr="007C57D2">
        <w:rPr>
          <w:rFonts w:ascii="Times New Roman" w:hAnsi="Times New Roman"/>
          <w:i/>
          <w:iCs/>
          <w:sz w:val="28"/>
          <w:szCs w:val="28"/>
          <w:lang w:val="es-ES"/>
        </w:rPr>
        <w:t xml:space="preserve"> </w:t>
      </w:r>
      <w:r w:rsidRPr="007C57D2">
        <w:rPr>
          <w:rFonts w:ascii="Times New Roman" w:hAnsi="Times New Roman"/>
          <w:sz w:val="28"/>
          <w:szCs w:val="28"/>
          <w:lang w:val="es-ES"/>
        </w:rPr>
        <w:t>En suma, si expiró el tiempo de tratamiento autorizado por el Titular del dato o se cumplió la finalidad del tratamiento y no existe una norma legal que dispong</w:t>
      </w:r>
      <w:r w:rsidRPr="007C57D2">
        <w:rPr>
          <w:rFonts w:ascii="Times New Roman" w:hAnsi="Times New Roman"/>
          <w:sz w:val="28"/>
          <w:szCs w:val="28"/>
          <w:lang w:val="es-ES"/>
        </w:rPr>
        <w:t>a lo contrario, “el Responsable</w:t>
      </w:r>
      <w:r w:rsidRPr="007C57D2">
        <w:rPr>
          <w:rFonts w:ascii="Times New Roman" w:hAnsi="Times New Roman"/>
          <w:sz w:val="28"/>
          <w:szCs w:val="28"/>
          <w:lang w:val="es-ES"/>
        </w:rPr>
        <w:t xml:space="preserve"> </w:t>
      </w:r>
      <w:r w:rsidRPr="007C57D2">
        <w:rPr>
          <w:rFonts w:ascii="Times New Roman" w:hAnsi="Times New Roman"/>
          <w:sz w:val="28"/>
          <w:szCs w:val="28"/>
        </w:rPr>
        <w:t>y el Encargado de</w:t>
      </w:r>
      <w:r w:rsidRPr="007C57D2">
        <w:rPr>
          <w:rFonts w:ascii="Times New Roman" w:hAnsi="Times New Roman"/>
          <w:sz w:val="28"/>
          <w:szCs w:val="28"/>
        </w:rPr>
        <w:softHyphen/>
        <w:t>berán proceder a la supresión de los datos personales en su posesión.”</w:t>
      </w:r>
      <w:r w:rsidRPr="007C57D2">
        <w:rPr>
          <w:rFonts w:ascii="Times New Roman" w:hAnsi="Times New Roman"/>
          <w:iCs/>
          <w:sz w:val="28"/>
          <w:szCs w:val="28"/>
          <w:vertAlign w:val="superscript"/>
          <w:lang w:val="es-ES"/>
        </w:rPr>
        <w:footnoteReference w:id="534"/>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330A69">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 xml:space="preserve">La búsqueda, localización y recuperación del niño o niña extraviado es la finalidad del tratamiento de datos que establece el PLE. Por ende, una vez encontrados los niños o las niñas, debe suprimirse </w:t>
      </w:r>
      <w:r w:rsidRPr="007C57D2">
        <w:rPr>
          <w:rFonts w:ascii="Times New Roman" w:hAnsi="Times New Roman"/>
          <w:sz w:val="28"/>
          <w:szCs w:val="28"/>
        </w:rPr>
        <w:t xml:space="preserve">de maneral total y definitiva </w:t>
      </w:r>
      <w:r w:rsidRPr="007C57D2">
        <w:rPr>
          <w:rFonts w:ascii="Times New Roman" w:hAnsi="Times New Roman"/>
          <w:sz w:val="28"/>
          <w:szCs w:val="28"/>
        </w:rPr>
        <w:t>la información porque se h</w:t>
      </w:r>
      <w:r w:rsidRPr="007C57D2">
        <w:rPr>
          <w:rFonts w:ascii="Times New Roman" w:hAnsi="Times New Roman"/>
          <w:sz w:val="28"/>
          <w:szCs w:val="28"/>
        </w:rPr>
        <w:t xml:space="preserve">a </w:t>
      </w:r>
      <w:r w:rsidRPr="007C57D2">
        <w:rPr>
          <w:rFonts w:ascii="Times New Roman" w:hAnsi="Times New Roman"/>
          <w:sz w:val="28"/>
          <w:szCs w:val="28"/>
        </w:rPr>
        <w:t xml:space="preserve">alcanzado el objetivo </w:t>
      </w:r>
      <w:r w:rsidRPr="007C57D2">
        <w:rPr>
          <w:rFonts w:ascii="Times New Roman" w:hAnsi="Times New Roman"/>
          <w:sz w:val="28"/>
          <w:szCs w:val="28"/>
        </w:rPr>
        <w:t>del tratamiento y la información ya no es necesaria. En otras palabras, los datos deberán ser eliminados definitivamente cuando hayan dejado de ser necesarios para el cumplimiento de las finalidades que justificaron su obtención y t</w:t>
      </w:r>
      <w:r w:rsidRPr="007C57D2">
        <w:rPr>
          <w:rFonts w:ascii="Times New Roman" w:hAnsi="Times New Roman"/>
          <w:sz w:val="28"/>
          <w:szCs w:val="28"/>
        </w:rPr>
        <w:t>ratamiento.</w:t>
      </w:r>
      <w:r w:rsidRPr="007C57D2">
        <w:rPr>
          <w:rFonts w:ascii="Times New Roman" w:hAnsi="Times New Roman"/>
          <w:sz w:val="28"/>
          <w:szCs w:val="28"/>
        </w:rPr>
        <w:t xml:space="preserve"> </w:t>
      </w:r>
      <w:r w:rsidRPr="007C57D2">
        <w:rPr>
          <w:rFonts w:ascii="Times New Roman" w:hAnsi="Times New Roman"/>
          <w:sz w:val="28"/>
          <w:szCs w:val="28"/>
        </w:rPr>
        <w:br/>
      </w:r>
      <w:r w:rsidRPr="007C57D2">
        <w:rPr>
          <w:rFonts w:ascii="Times New Roman" w:hAnsi="Times New Roman"/>
          <w:sz w:val="28"/>
          <w:szCs w:val="28"/>
        </w:rPr>
        <w:t xml:space="preserve">Por ende, </w:t>
      </w:r>
      <w:r w:rsidRPr="007C57D2">
        <w:rPr>
          <w:rFonts w:ascii="Times New Roman" w:hAnsi="Times New Roman"/>
          <w:sz w:val="28"/>
          <w:szCs w:val="28"/>
        </w:rPr>
        <w:t xml:space="preserve">la supresión de la información </w:t>
      </w:r>
      <w:r w:rsidRPr="007C57D2">
        <w:rPr>
          <w:rFonts w:ascii="Times New Roman" w:hAnsi="Times New Roman"/>
          <w:sz w:val="28"/>
          <w:szCs w:val="28"/>
        </w:rPr>
        <w:t xml:space="preserve">no solo procede cuando el NNA </w:t>
      </w:r>
      <w:r w:rsidRPr="007C57D2">
        <w:rPr>
          <w:rFonts w:ascii="Times New Roman" w:hAnsi="Times New Roman"/>
          <w:sz w:val="28"/>
          <w:szCs w:val="28"/>
        </w:rPr>
        <w:t>sea encontrado</w:t>
      </w:r>
      <w:r w:rsidRPr="007C57D2">
        <w:rPr>
          <w:rFonts w:ascii="Times New Roman" w:hAnsi="Times New Roman"/>
          <w:sz w:val="28"/>
          <w:szCs w:val="28"/>
        </w:rPr>
        <w:t xml:space="preserve">, sino  en otras situaciones que, según el caso, no exista </w:t>
      </w:r>
      <w:r w:rsidRPr="007C57D2">
        <w:rPr>
          <w:rFonts w:ascii="Times New Roman" w:hAnsi="Times New Roman"/>
          <w:sz w:val="28"/>
          <w:szCs w:val="28"/>
        </w:rPr>
        <w:t>fundamento, sustento o razón jurídica válida</w:t>
      </w:r>
      <w:r w:rsidRPr="007C57D2">
        <w:rPr>
          <w:rFonts w:ascii="Times New Roman" w:hAnsi="Times New Roman"/>
          <w:sz w:val="28"/>
          <w:szCs w:val="28"/>
        </w:rPr>
        <w:t xml:space="preserve"> para seguir tratando los datos personales.</w:t>
      </w:r>
    </w:p>
    <w:p w:rsidR="001E19D5" w:rsidRPr="007C57D2" w:rsidRDefault="007C57D2" w:rsidP="008F3DAB">
      <w:pPr>
        <w:spacing w:after="0" w:line="240" w:lineRule="auto"/>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 xml:space="preserve"> Ahora bie</w:t>
      </w:r>
      <w:r w:rsidRPr="007C57D2">
        <w:rPr>
          <w:rFonts w:ascii="Times New Roman" w:hAnsi="Times New Roman"/>
          <w:sz w:val="28"/>
          <w:szCs w:val="28"/>
        </w:rPr>
        <w:t>n, el deber de eliminación de los datos personales cobija a todos los sujetos que han intervenido en el tratamiento del mismo, es decir a los Responsables, eventuales Encargados y los usuarios de esa información como, entre otros, las personas que recibier</w:t>
      </w:r>
      <w:r w:rsidRPr="007C57D2">
        <w:rPr>
          <w:rFonts w:ascii="Times New Roman" w:hAnsi="Times New Roman"/>
          <w:sz w:val="28"/>
          <w:szCs w:val="28"/>
        </w:rPr>
        <w:t>on la “Alerta Colombia” en sus equipos móviles o a través de canales digitales. Esto último es muy importante porque los usuarios no pueden quedarse definitivamente con la información que reciben con ocasión de la alerta, es decir, la señalada en los artíc</w:t>
      </w:r>
      <w:r w:rsidRPr="007C57D2">
        <w:rPr>
          <w:rFonts w:ascii="Times New Roman" w:hAnsi="Times New Roman"/>
          <w:sz w:val="28"/>
          <w:szCs w:val="28"/>
        </w:rPr>
        <w:t>ulos 4 y 6 del PLE. Almacenar o usar indefinidamente esa información generaría un tratamiento indebido de datos personales en detrimento de los derechos de los niños y las niñas que se pretenden proteger con ocasión de la implementación y difusión de la al</w:t>
      </w:r>
      <w:r w:rsidRPr="007C57D2">
        <w:rPr>
          <w:rFonts w:ascii="Times New Roman" w:hAnsi="Times New Roman"/>
          <w:sz w:val="28"/>
          <w:szCs w:val="28"/>
        </w:rPr>
        <w:t xml:space="preserve">erta. </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Sinespaciado"/>
        <w:numPr>
          <w:ilvl w:val="0"/>
          <w:numId w:val="3"/>
        </w:numPr>
        <w:ind w:left="0" w:firstLine="0"/>
        <w:jc w:val="both"/>
        <w:rPr>
          <w:rFonts w:ascii="Times New Roman" w:hAnsi="Times New Roman"/>
          <w:lang w:val="es-ES"/>
        </w:rPr>
      </w:pPr>
      <w:r w:rsidRPr="007C57D2">
        <w:rPr>
          <w:rFonts w:ascii="Times New Roman" w:hAnsi="Times New Roman"/>
          <w:lang w:val="es-ES"/>
        </w:rPr>
        <w:t xml:space="preserve">En el caso de los datos sensibles como, por ejemplo, las fotos, es importante subrayar que la Corte concluyó que los datos sensibles no pueden ser tratados sin autorización del Titular aún en el caso que este los “haya hecho manifiestamente </w:t>
      </w:r>
      <w:r w:rsidRPr="007C57D2">
        <w:rPr>
          <w:rFonts w:ascii="Times New Roman" w:hAnsi="Times New Roman"/>
          <w:lang w:val="es-ES"/>
        </w:rPr>
        <w:t>públicos”</w:t>
      </w:r>
      <w:r w:rsidRPr="007C57D2">
        <w:rPr>
          <w:rStyle w:val="Refdenotaalpie"/>
          <w:rFonts w:ascii="Times New Roman" w:hAnsi="Times New Roman"/>
          <w:lang w:val="es-ES"/>
        </w:rPr>
        <w:footnoteReference w:id="535"/>
      </w:r>
      <w:r w:rsidRPr="007C57D2">
        <w:rPr>
          <w:rFonts w:ascii="Times New Roman" w:hAnsi="Times New Roman"/>
          <w:lang w:val="es-ES"/>
        </w:rPr>
        <w:t>. Los datos sensibles no se convierten en datos públicos porque el titular los ponga en conocimiento del público. En ese sentido, la Corte Constitucional recalcó que “</w:t>
      </w:r>
      <w:r w:rsidRPr="007C57D2">
        <w:rPr>
          <w:rFonts w:ascii="Times New Roman" w:hAnsi="Times New Roman"/>
        </w:rPr>
        <w:t>el hecho de que un dato sensible se haga público, no lo convierte en un dato de</w:t>
      </w:r>
      <w:r w:rsidRPr="007C57D2">
        <w:rPr>
          <w:rFonts w:ascii="Times New Roman" w:hAnsi="Times New Roman"/>
        </w:rPr>
        <w:t xml:space="preserve"> naturaleza pública que cualquier persona pueda someter a tratamiento. Por tanto, pese a la divulgación de un dato por su titular, la posibilidad de someterlo a tratamiento debe sujetarse a su consentimiento expreso, previo e informado -principio de libert</w:t>
      </w:r>
      <w:r w:rsidRPr="007C57D2">
        <w:rPr>
          <w:rFonts w:ascii="Times New Roman" w:hAnsi="Times New Roman"/>
        </w:rPr>
        <w:t>ad- y a las demás exigencias que imponen los principios consagrados en el artículo 4 y demás garantías del habeas data”</w:t>
      </w:r>
      <w:r w:rsidRPr="007C57D2">
        <w:rPr>
          <w:rStyle w:val="Refdenotaalpie"/>
          <w:rFonts w:ascii="Times New Roman" w:hAnsi="Times New Roman"/>
        </w:rPr>
        <w:footnoteReference w:id="536"/>
      </w:r>
      <w:r w:rsidRPr="007C57D2">
        <w:rPr>
          <w:rFonts w:ascii="Times New Roman" w:hAnsi="Times New Roman"/>
        </w:rPr>
        <w:t xml:space="preserve">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right="-45" w:firstLine="0"/>
        <w:jc w:val="both"/>
        <w:textAlignment w:val="baseline"/>
        <w:rPr>
          <w:rFonts w:ascii="Times New Roman" w:hAnsi="Times New Roman"/>
          <w:kern w:val="0"/>
        </w:rPr>
      </w:pPr>
      <w:r w:rsidRPr="007C57D2">
        <w:rPr>
          <w:rFonts w:ascii="Times New Roman" w:hAnsi="Times New Roman"/>
        </w:rPr>
        <w:t xml:space="preserve">Como se observa, el hecho de que el dato sensible sea de conocimiento público por voluntad del titular no significa que se convierta </w:t>
      </w:r>
      <w:r w:rsidRPr="007C57D2">
        <w:rPr>
          <w:rFonts w:ascii="Times New Roman" w:hAnsi="Times New Roman"/>
        </w:rPr>
        <w:t>en un dato de naturaleza pública y que pueda ser tratada por quien tenga acceso a él. En el caso de la Alerta Colombia que se difundirá por diversos canales (telefonía móvil, internet, redes sociales digitales), sus destinatarios o quienes conozcan la info</w:t>
      </w:r>
      <w:r w:rsidRPr="007C57D2">
        <w:rPr>
          <w:rFonts w:ascii="Times New Roman" w:hAnsi="Times New Roman"/>
        </w:rPr>
        <w:t>rmación publicada no pueden apropiarse de esa información, ni utilizarla para fines diferentes a los señalados en el PLE. Por ejemplo, no pueden almacenar las fotos e información de los niños para fines de publicidad, extorsión, realizar engaños o estafas,</w:t>
      </w:r>
      <w:r w:rsidRPr="007C57D2">
        <w:rPr>
          <w:rFonts w:ascii="Times New Roman" w:hAnsi="Times New Roman"/>
        </w:rPr>
        <w:t xml:space="preserve"> entre otros. </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 xml:space="preserve"> Los receptores de la “Alerta Colombia” también deben realizar un debido tratamiento de los datos personales, lo cual no solo implica usar la información únicamente para los fines que se les proporcionó (búsqueda, localización y recuperació</w:t>
      </w:r>
      <w:r w:rsidRPr="007C57D2">
        <w:rPr>
          <w:rFonts w:ascii="Times New Roman" w:hAnsi="Times New Roman"/>
          <w:sz w:val="28"/>
          <w:szCs w:val="28"/>
        </w:rPr>
        <w:t xml:space="preserve">n de niños y niñas extraviados), sino eliminar definitivamente de sus equipos o bases de datos la información recibida una vez se cumpla la finalidad de la alerta, es decir, la recuperación de las personas extraviadas. </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b/>
          <w:bCs/>
          <w:sz w:val="28"/>
          <w:szCs w:val="28"/>
          <w:lang w:val="es-ES_tradnl"/>
        </w:rPr>
      </w:pPr>
      <w:r w:rsidRPr="007C57D2">
        <w:rPr>
          <w:rFonts w:ascii="Times New Roman" w:hAnsi="Times New Roman"/>
          <w:sz w:val="28"/>
          <w:szCs w:val="28"/>
        </w:rPr>
        <w:t>El parágrafo del artículo 8 del PLE</w:t>
      </w:r>
      <w:r w:rsidRPr="007C57D2">
        <w:rPr>
          <w:rFonts w:ascii="Times New Roman" w:hAnsi="Times New Roman"/>
          <w:sz w:val="28"/>
          <w:szCs w:val="28"/>
        </w:rPr>
        <w:t xml:space="preserve"> ordena a los proveedores de redes y servicios de telecomunicaciones móviles enviar una “alerta de éxito” informando que fue encontrada la persona extraviada. Con esto, se comunica a los receptores de la alerta que se cumplió la finalidad para la cual se l</w:t>
      </w:r>
      <w:r w:rsidRPr="007C57D2">
        <w:rPr>
          <w:rFonts w:ascii="Times New Roman" w:hAnsi="Times New Roman"/>
          <w:sz w:val="28"/>
          <w:szCs w:val="28"/>
        </w:rPr>
        <w:t>es envió la misma. Por ende, tan pronto reciban la “alerta de éxito”, los receptores de la “Alerta Colombia” deben eliminar de manera completa y definitiva toda la información que recibieron.</w:t>
      </w:r>
      <w:r w:rsidRPr="007C57D2">
        <w:rPr>
          <w:rFonts w:ascii="Times New Roman" w:hAnsi="Times New Roman"/>
          <w:sz w:val="28"/>
          <w:szCs w:val="28"/>
        </w:rPr>
        <w:t xml:space="preserve"> </w:t>
      </w:r>
      <w:r w:rsidRPr="007C57D2">
        <w:rPr>
          <w:rFonts w:ascii="Times New Roman" w:hAnsi="Times New Roman"/>
          <w:sz w:val="28"/>
          <w:szCs w:val="28"/>
          <w:lang w:val="es-ES_tradnl"/>
        </w:rPr>
        <w:t xml:space="preserve">En línea con lo anterior, </w:t>
      </w:r>
      <w:r w:rsidRPr="007C57D2">
        <w:rPr>
          <w:rFonts w:ascii="Times New Roman" w:hAnsi="Times New Roman"/>
          <w:sz w:val="28"/>
          <w:szCs w:val="28"/>
          <w:lang w:val="es-ES_tradnl"/>
        </w:rPr>
        <w:t>mediante la Sentencia T-414 de 1992 es</w:t>
      </w:r>
      <w:r w:rsidRPr="007C57D2">
        <w:rPr>
          <w:rFonts w:ascii="Times New Roman" w:hAnsi="Times New Roman"/>
          <w:sz w:val="28"/>
          <w:szCs w:val="28"/>
          <w:lang w:val="es-ES_tradnl"/>
        </w:rPr>
        <w:t xml:space="preserve">ta Corporación creó, </w:t>
      </w:r>
      <w:r w:rsidRPr="007C57D2">
        <w:rPr>
          <w:rFonts w:ascii="Times New Roman" w:hAnsi="Times New Roman"/>
          <w:sz w:val="28"/>
          <w:szCs w:val="28"/>
          <w:lang w:val="es-ES_tradnl"/>
        </w:rPr>
        <w:t>en cabeza del titular del dato</w:t>
      </w:r>
      <w:r w:rsidRPr="007C57D2">
        <w:rPr>
          <w:rFonts w:ascii="Times New Roman" w:hAnsi="Times New Roman"/>
          <w:sz w:val="28"/>
          <w:szCs w:val="28"/>
          <w:lang w:val="es-ES_tradnl"/>
        </w:rPr>
        <w:t>,</w:t>
      </w:r>
      <w:r w:rsidRPr="007C57D2">
        <w:rPr>
          <w:rFonts w:ascii="Times New Roman" w:hAnsi="Times New Roman"/>
          <w:sz w:val="28"/>
          <w:szCs w:val="28"/>
          <w:lang w:val="es-ES_tradnl"/>
        </w:rPr>
        <w:t xml:space="preserve"> el “derecho al olvido”</w:t>
      </w:r>
      <w:r w:rsidRPr="007C57D2">
        <w:rPr>
          <w:rFonts w:ascii="Times New Roman" w:hAnsi="Times New Roman"/>
          <w:sz w:val="28"/>
          <w:szCs w:val="28"/>
          <w:vertAlign w:val="superscript"/>
          <w:lang w:val="es-ES_tradnl"/>
        </w:rPr>
        <w:footnoteReference w:id="537"/>
      </w:r>
      <w:r w:rsidRPr="007C57D2">
        <w:rPr>
          <w:rFonts w:ascii="Times New Roman" w:hAnsi="Times New Roman"/>
          <w:sz w:val="28"/>
          <w:szCs w:val="28"/>
          <w:lang w:val="es-ES_tradnl"/>
        </w:rPr>
        <w:t xml:space="preserve"> con miras a señalar que una vez desaparezcan las causas que le dieron nacimiento a un dato o registro, este debe desaparecer: “Esto da lugar al derecho al olvido, sostenido por es</w:t>
      </w:r>
      <w:r w:rsidRPr="007C57D2">
        <w:rPr>
          <w:rFonts w:ascii="Times New Roman" w:hAnsi="Times New Roman"/>
          <w:sz w:val="28"/>
          <w:szCs w:val="28"/>
          <w:lang w:val="es-ES_tradnl"/>
        </w:rPr>
        <w:t xml:space="preserve">ta Corte desde la Sentencia </w:t>
      </w:r>
      <w:r w:rsidRPr="007C57D2">
        <w:rPr>
          <w:rFonts w:ascii="Times New Roman" w:hAnsi="Times New Roman"/>
          <w:sz w:val="28"/>
          <w:szCs w:val="28"/>
          <w:lang w:val="es-ES_tradnl"/>
        </w:rPr>
        <w:t>T-</w:t>
      </w:r>
      <w:r w:rsidRPr="007C57D2">
        <w:rPr>
          <w:rFonts w:ascii="Times New Roman" w:hAnsi="Times New Roman"/>
          <w:sz w:val="28"/>
          <w:szCs w:val="28"/>
          <w:lang w:val="es-ES_tradnl"/>
        </w:rPr>
        <w:t xml:space="preserve">414 del 6 de junio de 1992, según el cual las informaciones negativas acerca de una persona no tienen vocación de perennidad y, en consecuencia, después de algún tiempo, deben desaparecer totalmente del banco de datos </w:t>
      </w:r>
      <w:r w:rsidRPr="007C57D2">
        <w:rPr>
          <w:rFonts w:ascii="Times New Roman" w:hAnsi="Times New Roman"/>
          <w:sz w:val="28"/>
          <w:szCs w:val="28"/>
          <w:lang w:val="es-ES_tradnl"/>
        </w:rPr>
        <w:t>respectivo”</w:t>
      </w:r>
      <w:r w:rsidRPr="007C57D2">
        <w:rPr>
          <w:rFonts w:ascii="Times New Roman" w:hAnsi="Times New Roman"/>
          <w:sz w:val="28"/>
          <w:szCs w:val="28"/>
          <w:vertAlign w:val="superscript"/>
          <w:lang w:val="es-ES_tradnl"/>
        </w:rPr>
        <w:footnoteReference w:id="538"/>
      </w:r>
      <w:r w:rsidRPr="007C57D2">
        <w:rPr>
          <w:rFonts w:ascii="Times New Roman" w:hAnsi="Times New Roman"/>
          <w:sz w:val="28"/>
          <w:szCs w:val="28"/>
          <w:lang w:val="es-ES_tradnl"/>
        </w:rPr>
        <w:t>.</w:t>
      </w:r>
    </w:p>
    <w:p w:rsidR="001E19D5" w:rsidRPr="007C57D2" w:rsidRDefault="007C57D2" w:rsidP="008F3DAB">
      <w:pPr>
        <w:pStyle w:val="Prrafodelista"/>
        <w:rPr>
          <w:rFonts w:ascii="Times New Roman" w:hAnsi="Times New Roman"/>
          <w:sz w:val="28"/>
          <w:szCs w:val="28"/>
        </w:rPr>
      </w:pPr>
    </w:p>
    <w:p w:rsidR="000F31FE"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 xml:space="preserve">Dado lo anterior, la Corte declarará la </w:t>
      </w:r>
      <w:r w:rsidRPr="007C57D2">
        <w:rPr>
          <w:rFonts w:ascii="Times New Roman" w:hAnsi="Times New Roman"/>
          <w:sz w:val="28"/>
          <w:szCs w:val="28"/>
          <w:lang w:val="es-ES"/>
        </w:rPr>
        <w:t xml:space="preserve">constitucionalidad del artículo 8 del PLE, </w:t>
      </w:r>
      <w:r w:rsidRPr="007C57D2">
        <w:rPr>
          <w:rFonts w:ascii="Times New Roman" w:hAnsi="Times New Roman"/>
          <w:sz w:val="28"/>
          <w:szCs w:val="28"/>
          <w:lang w:val="es-ES"/>
        </w:rPr>
        <w:t xml:space="preserve">bajo el entendido de que los receptores de la “Alerta Colombia” </w:t>
      </w:r>
      <w:r w:rsidRPr="007C57D2">
        <w:rPr>
          <w:rFonts w:ascii="Times New Roman" w:hAnsi="Times New Roman"/>
          <w:sz w:val="28"/>
          <w:szCs w:val="28"/>
        </w:rPr>
        <w:t xml:space="preserve">también están obligados a suprimir el registro de los datos personales del </w:t>
      </w:r>
      <w:r w:rsidRPr="007C57D2">
        <w:rPr>
          <w:rFonts w:ascii="Times New Roman" w:hAnsi="Times New Roman"/>
          <w:sz w:val="28"/>
          <w:szCs w:val="28"/>
        </w:rPr>
        <w:t xml:space="preserve">NNA </w:t>
      </w:r>
      <w:r w:rsidRPr="007C57D2">
        <w:rPr>
          <w:rFonts w:ascii="Times New Roman" w:hAnsi="Times New Roman"/>
          <w:sz w:val="28"/>
          <w:szCs w:val="28"/>
        </w:rPr>
        <w:t>extraviado y to</w:t>
      </w:r>
      <w:r w:rsidRPr="007C57D2">
        <w:rPr>
          <w:rFonts w:ascii="Times New Roman" w:hAnsi="Times New Roman"/>
          <w:sz w:val="28"/>
          <w:szCs w:val="28"/>
        </w:rPr>
        <w:t>da la información que recibieron, de manera completa y definitiva. Esta supresión debe efectuarse inmediatamente después de haber recibido la “alerta de éxito” a que se refiere el parágrafo de este artículo. La obligación de eliminación de información se e</w:t>
      </w:r>
      <w:r w:rsidRPr="007C57D2">
        <w:rPr>
          <w:rFonts w:ascii="Times New Roman" w:hAnsi="Times New Roman"/>
          <w:sz w:val="28"/>
          <w:szCs w:val="28"/>
        </w:rPr>
        <w:t>xtiende a todos los repositorios digitales y físicos de los receptores de la Alerta, en cumplimiento del principio de supresión integral y de la finalidad temporal de la Alerta Colombia.</w:t>
      </w:r>
    </w:p>
    <w:p w:rsidR="001E19D5" w:rsidRPr="007C57D2" w:rsidRDefault="007C57D2" w:rsidP="001B75EA">
      <w:pPr>
        <w:rPr>
          <w:rFonts w:ascii="Times New Roman" w:hAnsi="Times New Roman"/>
          <w:b/>
          <w:bCs/>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i/>
          <w:iCs/>
          <w:sz w:val="28"/>
          <w:szCs w:val="28"/>
        </w:rPr>
        <w:t xml:space="preserve">Principio de proporcionalidad o necesidad de la información. </w:t>
      </w:r>
      <w:r w:rsidRPr="007C57D2">
        <w:rPr>
          <w:rFonts w:ascii="Times New Roman" w:hAnsi="Times New Roman"/>
          <w:sz w:val="28"/>
          <w:szCs w:val="28"/>
        </w:rPr>
        <w:t>El prin</w:t>
      </w:r>
      <w:r w:rsidRPr="007C57D2">
        <w:rPr>
          <w:rFonts w:ascii="Times New Roman" w:hAnsi="Times New Roman"/>
          <w:sz w:val="28"/>
          <w:szCs w:val="28"/>
        </w:rPr>
        <w:t>cipio de proporcionalidad es directamente conexo con el de finalidad en la medida que exige que solo pueden tratarse los datos estrictamente necesarios para lograr el objetivo o la finalidad del tratamiento. Según la Corte, “el principio de finalidad impli</w:t>
      </w:r>
      <w:r w:rsidRPr="007C57D2">
        <w:rPr>
          <w:rFonts w:ascii="Times New Roman" w:hAnsi="Times New Roman"/>
          <w:sz w:val="28"/>
          <w:szCs w:val="28"/>
        </w:rPr>
        <w:t>ca también: (…) (ii) un ámbito material, que exige que los datos recaudados sean los estrictamente necesarios para las finalidades perseguidas</w:t>
      </w:r>
      <w:r w:rsidRPr="007C57D2">
        <w:rPr>
          <w:rFonts w:ascii="Times New Roman" w:hAnsi="Times New Roman"/>
          <w:i/>
          <w:iCs/>
          <w:sz w:val="28"/>
          <w:szCs w:val="28"/>
        </w:rPr>
        <w:t>”</w:t>
      </w:r>
      <w:r w:rsidRPr="007C57D2">
        <w:rPr>
          <w:rFonts w:ascii="Times New Roman" w:hAnsi="Times New Roman"/>
          <w:sz w:val="28"/>
          <w:szCs w:val="28"/>
          <w:vertAlign w:val="superscript"/>
        </w:rPr>
        <w:footnoteReference w:id="539"/>
      </w:r>
      <w:r w:rsidRPr="007C57D2">
        <w:rPr>
          <w:rFonts w:ascii="Times New Roman" w:hAnsi="Times New Roman"/>
          <w:sz w:val="28"/>
          <w:szCs w:val="28"/>
        </w:rPr>
        <w:t>. Con este principio se quiere evitar que se recolecte información que no es necesaria para cumplir la finalidad</w:t>
      </w:r>
      <w:r w:rsidRPr="007C57D2">
        <w:rPr>
          <w:rFonts w:ascii="Times New Roman" w:hAnsi="Times New Roman"/>
          <w:sz w:val="28"/>
          <w:szCs w:val="28"/>
        </w:rPr>
        <w:t xml:space="preserve"> del tratamiento. Sólo se deben recolectar los estrictamente necesarios para cumplir el objetivo del tratamiento.</w:t>
      </w:r>
    </w:p>
    <w:p w:rsidR="001E19D5" w:rsidRPr="007C57D2" w:rsidRDefault="007C57D2" w:rsidP="008F3DAB">
      <w:pPr>
        <w:spacing w:after="0" w:line="240" w:lineRule="auto"/>
        <w:ind w:right="-45"/>
        <w:jc w:val="both"/>
        <w:textAlignment w:val="baseline"/>
        <w:rPr>
          <w:rFonts w:ascii="Times New Roman" w:hAnsi="Times New Roman"/>
          <w:iCs/>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iCs/>
          <w:sz w:val="28"/>
          <w:szCs w:val="28"/>
        </w:rPr>
      </w:pPr>
      <w:r w:rsidRPr="007C57D2">
        <w:rPr>
          <w:rFonts w:ascii="Times New Roman" w:hAnsi="Times New Roman"/>
          <w:iCs/>
          <w:sz w:val="28"/>
          <w:szCs w:val="28"/>
        </w:rPr>
        <w:t xml:space="preserve">En el artículo 4 del PLE se enuncian los datos “mínimos requeridos” para utilizar en la “Alerta Colombia”, a saber: (i) Nombres y apellidos </w:t>
      </w:r>
      <w:r w:rsidRPr="007C57D2">
        <w:rPr>
          <w:rFonts w:ascii="Times New Roman" w:hAnsi="Times New Roman"/>
          <w:iCs/>
          <w:sz w:val="28"/>
          <w:szCs w:val="28"/>
        </w:rPr>
        <w:t xml:space="preserve">del niño o niña; (ii) Número de identificación; (iii) Sexo; (iv) Edad aproximada; (v) Descripción física; (vi) Última fotografía que garantice su individualización; (vii) Descripción de la última vestimenta con la que fue visto, si se llegase a contar con </w:t>
      </w:r>
      <w:r w:rsidRPr="007C57D2">
        <w:rPr>
          <w:rFonts w:ascii="Times New Roman" w:hAnsi="Times New Roman"/>
          <w:iCs/>
          <w:sz w:val="28"/>
          <w:szCs w:val="28"/>
        </w:rPr>
        <w:t xml:space="preserve">dicha información; (viii) Fecha, hora y lugar en la que se reporta la desaparición del niño o niña, si se llegase a contar con dicha información; y (ix) Información de contacto de los padres, representantes legales, quien ostente la custodia o cuidadores, </w:t>
      </w:r>
      <w:r w:rsidRPr="007C57D2">
        <w:rPr>
          <w:rFonts w:ascii="Times New Roman" w:hAnsi="Times New Roman"/>
          <w:iCs/>
          <w:sz w:val="28"/>
          <w:szCs w:val="28"/>
        </w:rPr>
        <w:t>familiares del niño o niña, incluyendo números de teléfono y direcciones de correo electrónico, si se llegase a contar con dicha información.</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sz w:val="28"/>
          <w:szCs w:val="28"/>
        </w:rPr>
        <w:t>El texto del artículo indica que esos son los datos “mínimos requeridos”, lo cual da a entender que es posible qu</w:t>
      </w:r>
      <w:r w:rsidRPr="007C57D2">
        <w:rPr>
          <w:rFonts w:ascii="Times New Roman" w:hAnsi="Times New Roman"/>
          <w:sz w:val="28"/>
          <w:szCs w:val="28"/>
        </w:rPr>
        <w:t>e se soliciten datos adicionales. La Corte no desconoce que es viable que sea necesario acudir a información adicional para lograr el objetivo del PLE. Pero, si ello es necesario, debe tenerse presente lo siguiente:</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pStyle w:val="Prrafodelista"/>
        <w:numPr>
          <w:ilvl w:val="0"/>
          <w:numId w:val="3"/>
        </w:numPr>
        <w:ind w:left="0" w:right="-45" w:firstLine="0"/>
        <w:jc w:val="both"/>
        <w:textAlignment w:val="baseline"/>
        <w:rPr>
          <w:rStyle w:val="Refdenotaalpie"/>
          <w:rFonts w:ascii="Times New Roman" w:hAnsi="Times New Roman"/>
          <w:sz w:val="28"/>
          <w:szCs w:val="28"/>
          <w:vertAlign w:val="baseline"/>
        </w:rPr>
      </w:pPr>
      <w:r w:rsidRPr="007C57D2">
        <w:rPr>
          <w:rFonts w:ascii="Times New Roman" w:hAnsi="Times New Roman"/>
          <w:sz w:val="28"/>
          <w:szCs w:val="28"/>
        </w:rPr>
        <w:t xml:space="preserve">El tratamiento de datos personales </w:t>
      </w:r>
      <w:r w:rsidRPr="007C57D2">
        <w:rPr>
          <w:rFonts w:ascii="Times New Roman" w:hAnsi="Times New Roman"/>
          <w:sz w:val="28"/>
          <w:szCs w:val="28"/>
        </w:rPr>
        <w:t>deberá circunscribirse a aquellos que resulten adecuados, relevantes y no excesivos en relación con la finalidad del tratamiento (buscar, localizar y recuperar niños y niñas extraviados). Según la Corte</w:t>
      </w:r>
      <w:r w:rsidRPr="007C57D2">
        <w:rPr>
          <w:rFonts w:ascii="Times New Roman" w:hAnsi="Times New Roman"/>
          <w:i/>
          <w:iCs/>
          <w:sz w:val="28"/>
          <w:szCs w:val="28"/>
        </w:rPr>
        <w:t xml:space="preserve"> </w:t>
      </w:r>
      <w:r w:rsidRPr="007C57D2">
        <w:rPr>
          <w:rFonts w:ascii="Times New Roman" w:hAnsi="Times New Roman"/>
          <w:sz w:val="28"/>
          <w:szCs w:val="28"/>
        </w:rPr>
        <w:t>“los datos personales registrados deben ser los estri</w:t>
      </w:r>
      <w:r w:rsidRPr="007C57D2">
        <w:rPr>
          <w:rFonts w:ascii="Times New Roman" w:hAnsi="Times New Roman"/>
          <w:sz w:val="28"/>
          <w:szCs w:val="28"/>
        </w:rPr>
        <w:t>ctamente necesarios para el cumplimiento de las finalidades perseguidas con la base de datos de que se trate, de tal forma que se encuentra prohibido el registro y divulgación de datos que no guarden estrecha relación con el objetivo de la base de datos. E</w:t>
      </w:r>
      <w:r w:rsidRPr="007C57D2">
        <w:rPr>
          <w:rFonts w:ascii="Times New Roman" w:hAnsi="Times New Roman"/>
          <w:sz w:val="28"/>
          <w:szCs w:val="28"/>
        </w:rPr>
        <w:t>n consecuencia, debe hacerse todo lo razonablemente posible para limitar el procesamiento de datos personales al mínimo necesario. Es decir, los datos deberán ser: (i) adecuados, (ii) pertinentes y (iii) acordes con las finalidades para las cuales fueron p</w:t>
      </w:r>
      <w:r w:rsidRPr="007C57D2">
        <w:rPr>
          <w:rFonts w:ascii="Times New Roman" w:hAnsi="Times New Roman"/>
          <w:sz w:val="28"/>
          <w:szCs w:val="28"/>
        </w:rPr>
        <w:t>revistos”</w:t>
      </w:r>
      <w:r w:rsidRPr="007C57D2">
        <w:rPr>
          <w:rStyle w:val="Ttulo3Car"/>
          <w:rFonts w:ascii="Times New Roman" w:hAnsi="Times New Roman"/>
          <w:i/>
          <w:iCs/>
          <w:color w:val="auto"/>
          <w:lang w:eastAsia="es-CO"/>
        </w:rPr>
        <w:t xml:space="preserve"> </w:t>
      </w:r>
      <w:r w:rsidRPr="007C57D2">
        <w:rPr>
          <w:rStyle w:val="Refdenotaalpie"/>
          <w:rFonts w:ascii="Times New Roman" w:hAnsi="Times New Roman"/>
          <w:i/>
          <w:iCs/>
          <w:sz w:val="28"/>
          <w:szCs w:val="28"/>
          <w:lang w:eastAsia="es-CO"/>
        </w:rPr>
        <w:footnoteReference w:id="540"/>
      </w:r>
      <w:r w:rsidRPr="007C57D2">
        <w:rPr>
          <w:rStyle w:val="Refdenotaalpie"/>
          <w:rFonts w:ascii="Times New Roman" w:hAnsi="Times New Roman"/>
          <w:i/>
          <w:iCs/>
          <w:sz w:val="28"/>
          <w:szCs w:val="28"/>
          <w:lang w:eastAsia="es-CO"/>
        </w:rPr>
        <w:t>.</w:t>
      </w:r>
    </w:p>
    <w:p w:rsidR="001E19D5" w:rsidRPr="007C57D2" w:rsidRDefault="007C57D2" w:rsidP="008F3DAB">
      <w:pPr>
        <w:pStyle w:val="Prrafodelista"/>
        <w:ind w:left="0" w:right="-45"/>
        <w:jc w:val="both"/>
        <w:textAlignment w:val="baseline"/>
        <w:rPr>
          <w:rFonts w:ascii="Times New Roman" w:hAnsi="Times New Roman"/>
          <w:iCs/>
          <w:sz w:val="28"/>
          <w:szCs w:val="28"/>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sz w:val="28"/>
          <w:szCs w:val="28"/>
        </w:rPr>
      </w:pPr>
      <w:r w:rsidRPr="007C57D2">
        <w:rPr>
          <w:rFonts w:ascii="Times New Roman" w:hAnsi="Times New Roman"/>
          <w:iCs/>
          <w:sz w:val="28"/>
          <w:szCs w:val="28"/>
        </w:rPr>
        <w:t xml:space="preserve">En suma, en caso de requerirse información adicional a la enunciada en el artículo 4 del PLE, deberá justificarse que la misma es </w:t>
      </w:r>
      <w:r w:rsidRPr="007C57D2">
        <w:rPr>
          <w:rFonts w:ascii="Times New Roman" w:hAnsi="Times New Roman"/>
          <w:sz w:val="28"/>
          <w:szCs w:val="28"/>
        </w:rPr>
        <w:t>estrictamente necesaria para el cumplimiento de los fines del PLE. Por ende, el tratamiento de información difer</w:t>
      </w:r>
      <w:r w:rsidRPr="007C57D2">
        <w:rPr>
          <w:rFonts w:ascii="Times New Roman" w:hAnsi="Times New Roman"/>
          <w:sz w:val="28"/>
          <w:szCs w:val="28"/>
        </w:rPr>
        <w:t xml:space="preserve">ente a la indicada en el citado artículo deberá ser motivado y contar con una explicación sobre la necesidad de recolectar la información. </w:t>
      </w:r>
    </w:p>
    <w:p w:rsidR="008A53C6" w:rsidRPr="007C57D2" w:rsidRDefault="007C57D2" w:rsidP="008F3DAB">
      <w:pPr>
        <w:pStyle w:val="Prrafodelista"/>
        <w:rPr>
          <w:rFonts w:ascii="Times New Roman" w:hAnsi="Times New Roman"/>
          <w:sz w:val="28"/>
          <w:szCs w:val="28"/>
        </w:rPr>
      </w:pPr>
    </w:p>
    <w:p w:rsidR="001E19D5" w:rsidRPr="007C57D2" w:rsidRDefault="007C57D2" w:rsidP="004C64A7">
      <w:pPr>
        <w:pStyle w:val="Prrafodelista"/>
        <w:numPr>
          <w:ilvl w:val="0"/>
          <w:numId w:val="3"/>
        </w:numPr>
        <w:ind w:left="0" w:right="-45" w:firstLine="0"/>
        <w:jc w:val="both"/>
        <w:textAlignment w:val="baseline"/>
        <w:rPr>
          <w:rFonts w:ascii="Times New Roman" w:hAnsi="Times New Roman"/>
          <w:sz w:val="28"/>
          <w:szCs w:val="28"/>
          <w:lang w:val="es-ES"/>
        </w:rPr>
      </w:pPr>
      <w:r w:rsidRPr="007C57D2">
        <w:rPr>
          <w:rFonts w:ascii="Times New Roman" w:hAnsi="Times New Roman"/>
          <w:sz w:val="28"/>
          <w:szCs w:val="28"/>
        </w:rPr>
        <w:t xml:space="preserve">Dado lo anterior, </w:t>
      </w:r>
      <w:r w:rsidRPr="007C57D2">
        <w:rPr>
          <w:rFonts w:ascii="Times New Roman" w:hAnsi="Times New Roman"/>
          <w:sz w:val="28"/>
          <w:szCs w:val="28"/>
          <w:lang w:val="es-ES"/>
        </w:rPr>
        <w:t>la Corte declarará la constitucionalidad condicionada del artículo 4, bajos los siguientes entend</w:t>
      </w:r>
      <w:r w:rsidRPr="007C57D2">
        <w:rPr>
          <w:rFonts w:ascii="Times New Roman" w:hAnsi="Times New Roman"/>
          <w:sz w:val="28"/>
          <w:szCs w:val="28"/>
          <w:lang w:val="es-ES"/>
        </w:rPr>
        <w:t>idos: (i) los datos biométricos y personales mínimos requeridos para la adopción de la Alerta Colombia deberán valorarse en función del riesgo, las circunstancias particulares y los requerimientos tecnológicos, y (ii) cualquier información exigida por la a</w:t>
      </w:r>
      <w:r w:rsidRPr="007C57D2">
        <w:rPr>
          <w:rFonts w:ascii="Times New Roman" w:hAnsi="Times New Roman"/>
          <w:sz w:val="28"/>
          <w:szCs w:val="28"/>
          <w:lang w:val="es-ES"/>
        </w:rPr>
        <w:t xml:space="preserve">utoridad competente y adicional a los “mínimos requeridos que se deben utilizar en la Alerta Colombia”, deberá ser justificada como estrictamente necesaria para la búsqueda, localización y recuperación del </w:t>
      </w:r>
      <w:r w:rsidRPr="007C57D2">
        <w:rPr>
          <w:rFonts w:ascii="Times New Roman" w:hAnsi="Times New Roman"/>
          <w:sz w:val="28"/>
          <w:szCs w:val="28"/>
          <w:lang w:val="es-ES"/>
        </w:rPr>
        <w:t xml:space="preserve"> menor de edad </w:t>
      </w:r>
      <w:r w:rsidRPr="007C57D2">
        <w:rPr>
          <w:rFonts w:ascii="Times New Roman" w:hAnsi="Times New Roman"/>
          <w:sz w:val="28"/>
          <w:szCs w:val="28"/>
          <w:lang w:val="es-ES"/>
        </w:rPr>
        <w:t xml:space="preserve"> extraviado.</w:t>
      </w:r>
    </w:p>
    <w:p w:rsidR="004C64A7" w:rsidRPr="007C57D2" w:rsidRDefault="007C57D2" w:rsidP="004C64A7">
      <w:pPr>
        <w:pStyle w:val="Prrafodelista"/>
        <w:ind w:left="0" w:right="-45"/>
        <w:jc w:val="both"/>
        <w:textAlignment w:val="baseline"/>
        <w:rPr>
          <w:rFonts w:ascii="Times New Roman" w:hAnsi="Times New Roman"/>
          <w:sz w:val="28"/>
          <w:szCs w:val="28"/>
          <w:lang w:val="es-ES"/>
        </w:rPr>
      </w:pPr>
    </w:p>
    <w:p w:rsidR="001E19D5" w:rsidRPr="007C57D2" w:rsidRDefault="007C57D2" w:rsidP="008F3DAB">
      <w:pPr>
        <w:pStyle w:val="Prrafodelista"/>
        <w:numPr>
          <w:ilvl w:val="0"/>
          <w:numId w:val="3"/>
        </w:numPr>
        <w:ind w:left="0" w:right="-45" w:firstLine="0"/>
        <w:jc w:val="both"/>
        <w:textAlignment w:val="baseline"/>
        <w:rPr>
          <w:rFonts w:ascii="Times New Roman" w:hAnsi="Times New Roman"/>
          <w:i/>
          <w:iCs/>
          <w:sz w:val="28"/>
          <w:szCs w:val="28"/>
        </w:rPr>
      </w:pPr>
      <w:r w:rsidRPr="007C57D2">
        <w:rPr>
          <w:rFonts w:ascii="Times New Roman" w:hAnsi="Times New Roman"/>
          <w:i/>
          <w:iCs/>
          <w:sz w:val="28"/>
          <w:szCs w:val="28"/>
        </w:rPr>
        <w:t xml:space="preserve">La responsabilidad demostrada (accountability) como </w:t>
      </w:r>
      <w:r w:rsidRPr="007C57D2">
        <w:rPr>
          <w:rFonts w:ascii="Times New Roman" w:hAnsi="Times New Roman"/>
          <w:i/>
          <w:iCs/>
          <w:sz w:val="28"/>
          <w:szCs w:val="28"/>
        </w:rPr>
        <w:t>obligación</w:t>
      </w:r>
      <w:r w:rsidRPr="007C57D2">
        <w:rPr>
          <w:rFonts w:ascii="Times New Roman" w:hAnsi="Times New Roman"/>
          <w:i/>
          <w:iCs/>
          <w:sz w:val="28"/>
          <w:szCs w:val="28"/>
        </w:rPr>
        <w:t xml:space="preserve"> para garantizar el debido tratamiento de los datos personales. </w:t>
      </w:r>
      <w:r w:rsidRPr="007C57D2">
        <w:rPr>
          <w:rFonts w:ascii="Times New Roman" w:hAnsi="Times New Roman"/>
          <w:sz w:val="28"/>
          <w:szCs w:val="28"/>
          <w:lang w:val="es-ES"/>
        </w:rPr>
        <w:t>La Corte pone de presente que el deber de responsabilidad demostrada (</w:t>
      </w:r>
      <w:r w:rsidRPr="007C57D2">
        <w:rPr>
          <w:rFonts w:ascii="Times New Roman" w:hAnsi="Times New Roman"/>
          <w:i/>
          <w:iCs/>
          <w:sz w:val="28"/>
          <w:szCs w:val="28"/>
          <w:lang w:val="es-ES"/>
        </w:rPr>
        <w:t>accountability</w:t>
      </w:r>
      <w:r w:rsidRPr="007C57D2">
        <w:rPr>
          <w:rFonts w:ascii="Times New Roman" w:hAnsi="Times New Roman"/>
          <w:sz w:val="28"/>
          <w:szCs w:val="28"/>
          <w:lang w:val="es-ES"/>
        </w:rPr>
        <w:t>)</w:t>
      </w:r>
      <w:r w:rsidRPr="007C57D2">
        <w:rPr>
          <w:rStyle w:val="Refdenotaalpie"/>
          <w:rFonts w:ascii="Times New Roman" w:hAnsi="Times New Roman"/>
          <w:sz w:val="28"/>
          <w:szCs w:val="28"/>
          <w:lang w:val="es-ES"/>
        </w:rPr>
        <w:footnoteReference w:id="541"/>
      </w:r>
      <w:r w:rsidRPr="007C57D2">
        <w:rPr>
          <w:rFonts w:ascii="Times New Roman" w:hAnsi="Times New Roman"/>
          <w:sz w:val="28"/>
          <w:szCs w:val="28"/>
          <w:lang w:val="es-ES"/>
        </w:rPr>
        <w:t xml:space="preserve"> es un factor importante de obligatorio cump</w:t>
      </w:r>
      <w:r w:rsidRPr="007C57D2">
        <w:rPr>
          <w:rFonts w:ascii="Times New Roman" w:hAnsi="Times New Roman"/>
          <w:sz w:val="28"/>
          <w:szCs w:val="28"/>
          <w:lang w:val="es-ES"/>
        </w:rPr>
        <w:t>limiento en todo lo relacionado con la implementación de lo que establece el PLE respecto del tratamiento de datos personales. Aunque el proyecto no menciona expresamente este deber, sí lo hace tácitamente al establecer en el artículo 7 que “el Tratamiento</w:t>
      </w:r>
      <w:r w:rsidRPr="007C57D2">
        <w:rPr>
          <w:rFonts w:ascii="Times New Roman" w:hAnsi="Times New Roman"/>
          <w:sz w:val="28"/>
          <w:szCs w:val="28"/>
          <w:lang w:val="es-ES"/>
        </w:rPr>
        <w:t xml:space="preserve"> de los datos personales se llevará a cabo de acuerdo con lo establecido en la Ley Estatutaria 1581 de 2012”. Dado lo anterior, resulta pertinente que se tenga en cuenta lo siguiente a la hora de implementar medidas para cumplir lo que establece el PLE.</w:t>
      </w:r>
    </w:p>
    <w:p w:rsidR="001E19D5" w:rsidRPr="007C57D2" w:rsidRDefault="007C57D2" w:rsidP="008F3DAB">
      <w:pPr>
        <w:pStyle w:val="Sinespaciado"/>
        <w:jc w:val="both"/>
        <w:rPr>
          <w:rFonts w:ascii="Times New Roman" w:hAnsi="Times New Roman"/>
          <w:lang w:val="es-ES_tradnl"/>
        </w:rPr>
      </w:pPr>
    </w:p>
    <w:p w:rsidR="001E19D5" w:rsidRPr="007C57D2" w:rsidRDefault="007C57D2" w:rsidP="008F3DAB">
      <w:pPr>
        <w:pStyle w:val="Sinespaciado"/>
        <w:numPr>
          <w:ilvl w:val="0"/>
          <w:numId w:val="3"/>
        </w:numPr>
        <w:ind w:left="0" w:firstLine="0"/>
        <w:jc w:val="both"/>
        <w:rPr>
          <w:rStyle w:val="Ninguno"/>
          <w:rFonts w:ascii="Times New Roman" w:hAnsi="Times New Roman"/>
        </w:rPr>
      </w:pPr>
      <w:r w:rsidRPr="007C57D2">
        <w:rPr>
          <w:rFonts w:ascii="Times New Roman" w:hAnsi="Times New Roman"/>
        </w:rPr>
        <w:t>Según la Corte Constitucional, “existe un deber constitucional de administrar correctamente y de proteger los archivos y bases de datos que contengan información personal o socialmente relevante”</w:t>
      </w:r>
      <w:r w:rsidRPr="007C57D2">
        <w:rPr>
          <w:rFonts w:ascii="Times New Roman" w:hAnsi="Times New Roman"/>
          <w:vertAlign w:val="superscript"/>
        </w:rPr>
        <w:footnoteReference w:id="542"/>
      </w:r>
      <w:r w:rsidRPr="007C57D2">
        <w:rPr>
          <w:rFonts w:ascii="Times New Roman" w:hAnsi="Times New Roman"/>
        </w:rPr>
        <w:t xml:space="preserve">. </w:t>
      </w:r>
      <w:r w:rsidRPr="007C57D2">
        <w:rPr>
          <w:rStyle w:val="Ninguno"/>
          <w:rFonts w:ascii="Times New Roman" w:hAnsi="Times New Roman"/>
        </w:rPr>
        <w:t xml:space="preserve">La </w:t>
      </w:r>
      <w:r w:rsidRPr="007C57D2">
        <w:rPr>
          <w:rStyle w:val="Ninguno"/>
          <w:rFonts w:ascii="Times New Roman" w:hAnsi="Times New Roman"/>
        </w:rPr>
        <w:t xml:space="preserve">responsabilidad demostrada </w:t>
      </w:r>
      <w:r w:rsidRPr="007C57D2">
        <w:rPr>
          <w:rStyle w:val="Ninguno"/>
          <w:rFonts w:ascii="Times New Roman" w:hAnsi="Times New Roman"/>
        </w:rPr>
        <w:t>impone</w:t>
      </w:r>
      <w:r w:rsidRPr="007C57D2">
        <w:rPr>
          <w:rStyle w:val="Ninguno"/>
          <w:rFonts w:ascii="Times New Roman" w:hAnsi="Times New Roman"/>
        </w:rPr>
        <w:t xml:space="preserve">, </w:t>
      </w:r>
      <w:r w:rsidRPr="007C57D2">
        <w:rPr>
          <w:rStyle w:val="Ninguno"/>
          <w:rFonts w:ascii="Times New Roman" w:hAnsi="Times New Roman"/>
        </w:rPr>
        <w:t>a</w:t>
      </w:r>
      <w:r w:rsidRPr="007C57D2">
        <w:rPr>
          <w:rStyle w:val="Ninguno"/>
          <w:rFonts w:ascii="Times New Roman" w:hAnsi="Times New Roman"/>
        </w:rPr>
        <w:t xml:space="preserve"> quienes tratan dat</w:t>
      </w:r>
      <w:r w:rsidRPr="007C57D2">
        <w:rPr>
          <w:rStyle w:val="Ninguno"/>
          <w:rFonts w:ascii="Times New Roman" w:hAnsi="Times New Roman"/>
        </w:rPr>
        <w:t xml:space="preserve">os, la obligación de </w:t>
      </w:r>
      <w:r w:rsidRPr="007C57D2">
        <w:rPr>
          <w:rStyle w:val="Ninguno"/>
          <w:rFonts w:ascii="Times New Roman" w:hAnsi="Times New Roman"/>
        </w:rPr>
        <w:t xml:space="preserve">comprobar </w:t>
      </w:r>
      <w:r w:rsidRPr="007C57D2">
        <w:rPr>
          <w:rStyle w:val="Ninguno"/>
          <w:rFonts w:ascii="Times New Roman" w:hAnsi="Times New Roman"/>
        </w:rPr>
        <w:t xml:space="preserve">que ha adoptado medidas útiles, oportunas, efectivas y demostrables para cumplir la </w:t>
      </w:r>
      <w:r w:rsidRPr="007C57D2">
        <w:rPr>
          <w:rStyle w:val="Ninguno"/>
          <w:rFonts w:ascii="Times New Roman" w:hAnsi="Times New Roman"/>
        </w:rPr>
        <w:t>regulación sobre protección de datos o tratamiento de esa información</w:t>
      </w:r>
      <w:r w:rsidRPr="007C57D2">
        <w:rPr>
          <w:rStyle w:val="Ninguno"/>
          <w:rFonts w:ascii="Times New Roman" w:hAnsi="Times New Roman"/>
        </w:rPr>
        <w:t xml:space="preserve">. En este sentido, la Corte Constitucional ha manifestado lo siguiente: </w:t>
      </w:r>
    </w:p>
    <w:p w:rsidR="001E19D5" w:rsidRPr="007C57D2" w:rsidRDefault="007C57D2" w:rsidP="008F3DAB">
      <w:pPr>
        <w:pStyle w:val="Sinespaciado"/>
        <w:jc w:val="both"/>
        <w:rPr>
          <w:rStyle w:val="Ninguno"/>
          <w:rFonts w:ascii="Times New Roman" w:hAnsi="Times New Roman"/>
        </w:rPr>
      </w:pPr>
    </w:p>
    <w:p w:rsidR="001E19D5" w:rsidRPr="007C57D2" w:rsidRDefault="007C57D2" w:rsidP="008F3DAB">
      <w:pPr>
        <w:pStyle w:val="Sinespaciado"/>
        <w:ind w:left="567"/>
        <w:jc w:val="both"/>
        <w:rPr>
          <w:rStyle w:val="Ninguno"/>
          <w:rFonts w:ascii="Times New Roman" w:hAnsi="Times New Roman"/>
          <w:i/>
          <w:iCs/>
          <w:szCs w:val="26"/>
          <w:lang w:val="es-CO"/>
        </w:rPr>
      </w:pPr>
      <w:r w:rsidRPr="007C57D2">
        <w:rPr>
          <w:rStyle w:val="Ninguno"/>
          <w:rFonts w:ascii="Times New Roman" w:hAnsi="Times New Roman"/>
          <w:szCs w:val="26"/>
          <w:lang w:val="es-CO"/>
        </w:rPr>
        <w:t xml:space="preserve">“El principio de responsabilidad demostrada, conocido en el derecho comparado como </w:t>
      </w:r>
      <w:r w:rsidRPr="007C57D2">
        <w:rPr>
          <w:rStyle w:val="Ninguno"/>
          <w:rFonts w:ascii="Times New Roman" w:hAnsi="Times New Roman"/>
          <w:i/>
          <w:iCs/>
          <w:szCs w:val="26"/>
          <w:lang w:val="es-CO"/>
        </w:rPr>
        <w:t>accountability</w:t>
      </w:r>
      <w:r w:rsidRPr="007C57D2">
        <w:rPr>
          <w:rStyle w:val="Ninguno"/>
          <w:rFonts w:ascii="Times New Roman" w:hAnsi="Times New Roman"/>
          <w:szCs w:val="26"/>
          <w:lang w:val="es-CO"/>
        </w:rPr>
        <w:t xml:space="preserve"> en la protección de datos personales, es incorporado por la legislación interna por el Decreto 1377 de 2013, reglamentario de la Ley 1581 de 2013. El artícu</w:t>
      </w:r>
      <w:r w:rsidRPr="007C57D2">
        <w:rPr>
          <w:rStyle w:val="Ninguno"/>
          <w:rFonts w:ascii="Times New Roman" w:hAnsi="Times New Roman"/>
          <w:szCs w:val="26"/>
          <w:lang w:val="es-CO"/>
        </w:rPr>
        <w:t xml:space="preserve">lo 26 de esa normativa determina que los responsables del tratamiento de datos personales deberán demostrar, a petición de la Superintendencia de Industria y Comercio, entidad que obra como autoridad colombiana de protección de datos, que han implementado </w:t>
      </w:r>
      <w:r w:rsidRPr="007C57D2">
        <w:rPr>
          <w:rStyle w:val="Ninguno"/>
          <w:rFonts w:ascii="Times New Roman" w:hAnsi="Times New Roman"/>
          <w:szCs w:val="26"/>
          <w:lang w:val="es-CO"/>
        </w:rPr>
        <w:t xml:space="preserve">medidas apropiadas y efectivas para cumplir con las citadas normas jurídicas. (…) </w:t>
      </w:r>
    </w:p>
    <w:p w:rsidR="001E19D5" w:rsidRPr="007C57D2" w:rsidRDefault="007C57D2" w:rsidP="008F3DAB">
      <w:pPr>
        <w:pStyle w:val="Sinespaciado"/>
        <w:ind w:left="567"/>
        <w:jc w:val="both"/>
        <w:rPr>
          <w:rStyle w:val="Ninguno"/>
          <w:rFonts w:ascii="Times New Roman" w:hAnsi="Times New Roman"/>
          <w:i/>
          <w:iCs/>
          <w:szCs w:val="26"/>
        </w:rPr>
      </w:pPr>
    </w:p>
    <w:p w:rsidR="001E19D5" w:rsidRPr="007C57D2" w:rsidRDefault="007C57D2" w:rsidP="008F3DAB">
      <w:pPr>
        <w:pStyle w:val="Sinespaciado"/>
        <w:ind w:left="567"/>
        <w:jc w:val="both"/>
        <w:rPr>
          <w:rStyle w:val="Ninguno"/>
          <w:rFonts w:ascii="Times New Roman" w:hAnsi="Times New Roman"/>
          <w:szCs w:val="26"/>
        </w:rPr>
      </w:pPr>
      <w:r w:rsidRPr="007C57D2">
        <w:rPr>
          <w:rStyle w:val="Ninguno"/>
          <w:rFonts w:ascii="Times New Roman" w:hAnsi="Times New Roman"/>
          <w:szCs w:val="26"/>
        </w:rPr>
        <w:t>El principio de responsabilidad demostrada, de acuerdo con lo expuesto, consiste en el deber jurídico del responsable del tratamiento de demostrar ante la autoridad de dato</w:t>
      </w:r>
      <w:r w:rsidRPr="007C57D2">
        <w:rPr>
          <w:rStyle w:val="Ninguno"/>
          <w:rFonts w:ascii="Times New Roman" w:hAnsi="Times New Roman"/>
          <w:szCs w:val="26"/>
        </w:rPr>
        <w:t>s que cuenta con la institucionalidad y los procedimientos para garantizar las distintas garantías del derecho al habeas data, en especial, la vigencia del principio de libertad y las facultades de conocimiento, actualización y rectificación del dato perso</w:t>
      </w:r>
      <w:r w:rsidRPr="007C57D2">
        <w:rPr>
          <w:rStyle w:val="Ninguno"/>
          <w:rFonts w:ascii="Times New Roman" w:hAnsi="Times New Roman"/>
          <w:szCs w:val="26"/>
        </w:rPr>
        <w:t>nal”.</w:t>
      </w:r>
      <w:r w:rsidRPr="007C57D2">
        <w:rPr>
          <w:rStyle w:val="Refdenotaalpie"/>
          <w:rFonts w:ascii="Times New Roman" w:hAnsi="Times New Roman"/>
          <w:i/>
          <w:iCs/>
          <w:szCs w:val="26"/>
        </w:rPr>
        <w:footnoteReference w:id="543"/>
      </w:r>
      <w:r w:rsidRPr="007C57D2">
        <w:rPr>
          <w:rStyle w:val="Ninguno"/>
          <w:rFonts w:ascii="Times New Roman" w:hAnsi="Times New Roman"/>
          <w:szCs w:val="26"/>
        </w:rPr>
        <w:t xml:space="preserve"> </w:t>
      </w:r>
    </w:p>
    <w:p w:rsidR="001E19D5" w:rsidRPr="007C57D2" w:rsidRDefault="007C57D2" w:rsidP="008F3DAB">
      <w:pPr>
        <w:pStyle w:val="Sinespaciado"/>
        <w:jc w:val="both"/>
        <w:rPr>
          <w:rFonts w:ascii="Times New Roman" w:hAnsi="Times New Roman"/>
          <w:iCs/>
          <w:lang w:val="es-ES_tradnl"/>
        </w:rPr>
      </w:pPr>
    </w:p>
    <w:p w:rsidR="001E19D5" w:rsidRPr="007C57D2" w:rsidRDefault="007C57D2" w:rsidP="008F3DAB">
      <w:pPr>
        <w:pStyle w:val="Sinespaciado"/>
        <w:numPr>
          <w:ilvl w:val="0"/>
          <w:numId w:val="3"/>
        </w:numPr>
        <w:ind w:left="0" w:firstLine="0"/>
        <w:jc w:val="both"/>
        <w:rPr>
          <w:rFonts w:ascii="Times New Roman" w:hAnsi="Times New Roman"/>
          <w:iCs/>
        </w:rPr>
      </w:pPr>
      <w:r w:rsidRPr="007C57D2">
        <w:rPr>
          <w:rFonts w:ascii="Times New Roman" w:hAnsi="Times New Roman"/>
          <w:iCs/>
        </w:rPr>
        <w:t xml:space="preserve">El Capítulo III del Decreto 1377 de 27 de junio de 2013 -incorporado en el Decreto 1074 de 2015- reglamenta algunos aspectos relacionados con el principio de responsabilidad demostrada. El artículo 26 -Demostración- establece que, “los </w:t>
      </w:r>
      <w:r w:rsidRPr="007C57D2">
        <w:rPr>
          <w:rFonts w:ascii="Times New Roman" w:hAnsi="Times New Roman"/>
          <w:iCs/>
        </w:rPr>
        <w:t>responsables del tratamiento de datos personales deben ser capaces de demostrar, a petición de la Superintendencia de Industria y Comercio, que han implementado medidas apropiadas y efectivas para cumplir con las obligaciones establecidas en la Ley 1581 de</w:t>
      </w:r>
      <w:r w:rsidRPr="007C57D2">
        <w:rPr>
          <w:rFonts w:ascii="Times New Roman" w:hAnsi="Times New Roman"/>
          <w:iCs/>
        </w:rPr>
        <w:t xml:space="preserve"> 2012”. El artículo 27 -Políticas Internas Efectivas-, por su parte, exige que los responsables del tratamiento de datos implementen medidas efectivas y apropiadas que garanticen, entre otras: “1. (…) la implementación de políticas consistentes con la Ley </w:t>
      </w:r>
      <w:r w:rsidRPr="007C57D2">
        <w:rPr>
          <w:rFonts w:ascii="Times New Roman" w:hAnsi="Times New Roman"/>
          <w:iCs/>
        </w:rPr>
        <w:t>1581 de 2012 y este decreto. 2. La adopción de mecanismos internos para poner en práctica estas políticas incluyendo herramientas de implementación, entrenamiento y programas de educación 3. La adopción de procesos para la atención y respuesta a consultas,</w:t>
      </w:r>
      <w:r w:rsidRPr="007C57D2">
        <w:rPr>
          <w:rFonts w:ascii="Times New Roman" w:hAnsi="Times New Roman"/>
          <w:iCs/>
        </w:rPr>
        <w:t xml:space="preserve"> peticiones y reclamos de los titulares, con respecto a cualquier aspecto del tratamiento.”</w:t>
      </w:r>
    </w:p>
    <w:p w:rsidR="001E19D5" w:rsidRPr="007C57D2" w:rsidRDefault="007C57D2" w:rsidP="008F3DAB">
      <w:pPr>
        <w:pStyle w:val="Sinespaciado"/>
        <w:jc w:val="both"/>
        <w:rPr>
          <w:rFonts w:ascii="Times New Roman" w:hAnsi="Times New Roman"/>
          <w:iCs/>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En línea con lo anterior, la Ley Estatutaria 2157</w:t>
      </w:r>
      <w:r w:rsidRPr="007C57D2">
        <w:rPr>
          <w:rStyle w:val="Refdenotaalpie"/>
          <w:rFonts w:ascii="Times New Roman" w:hAnsi="Times New Roman"/>
        </w:rPr>
        <w:footnoteReference w:id="544"/>
      </w:r>
      <w:r w:rsidRPr="007C57D2">
        <w:rPr>
          <w:rFonts w:ascii="Times New Roman" w:hAnsi="Times New Roman"/>
        </w:rPr>
        <w:t xml:space="preserve"> del 29 de octubre de 2021 modificó la Ley Estatutaria 1266 de 2008 para, entre otras, exigir a los operadores, l</w:t>
      </w:r>
      <w:r w:rsidRPr="007C57D2">
        <w:rPr>
          <w:rFonts w:ascii="Times New Roman" w:hAnsi="Times New Roman"/>
        </w:rPr>
        <w:t xml:space="preserve">as fuentes y los usuarios que implementen medidas útiles, pertinentes y demostrables con el objetivo de cumplir lo que ordena la citada norma de 2008. </w:t>
      </w:r>
      <w:r w:rsidRPr="007C57D2">
        <w:rPr>
          <w:rFonts w:ascii="Times New Roman" w:hAnsi="Times New Roman"/>
        </w:rPr>
        <w:t>En los artículos 12</w:t>
      </w:r>
      <w:r w:rsidRPr="007C57D2">
        <w:rPr>
          <w:rStyle w:val="Refdenotaalpie"/>
          <w:rFonts w:ascii="Times New Roman" w:hAnsi="Times New Roman"/>
        </w:rPr>
        <w:footnoteReference w:id="545"/>
      </w:r>
      <w:r w:rsidRPr="007C57D2">
        <w:rPr>
          <w:rFonts w:ascii="Times New Roman" w:hAnsi="Times New Roman"/>
        </w:rPr>
        <w:t xml:space="preserve"> y 13</w:t>
      </w:r>
      <w:r w:rsidRPr="007C57D2">
        <w:rPr>
          <w:rStyle w:val="Refdenotaalpie"/>
          <w:rFonts w:ascii="Times New Roman" w:hAnsi="Times New Roman"/>
        </w:rPr>
        <w:footnoteReference w:id="546"/>
      </w:r>
      <w:r w:rsidRPr="007C57D2">
        <w:rPr>
          <w:rFonts w:ascii="Times New Roman" w:hAnsi="Times New Roman"/>
        </w:rPr>
        <w:t xml:space="preserve"> se regula</w:t>
      </w:r>
      <w:r w:rsidRPr="007C57D2">
        <w:rPr>
          <w:rFonts w:ascii="Times New Roman" w:hAnsi="Times New Roman"/>
        </w:rPr>
        <w:t>n</w:t>
      </w:r>
      <w:r w:rsidRPr="007C57D2">
        <w:rPr>
          <w:rFonts w:ascii="Times New Roman" w:hAnsi="Times New Roman"/>
        </w:rPr>
        <w:t xml:space="preserve"> expresamente la “responsabilidad demostrada” y las “políticas inter</w:t>
      </w:r>
      <w:r w:rsidRPr="007C57D2">
        <w:rPr>
          <w:rFonts w:ascii="Times New Roman" w:hAnsi="Times New Roman"/>
        </w:rPr>
        <w:t xml:space="preserve">nas efectivas” para garantizar el </w:t>
      </w:r>
      <w:r w:rsidRPr="007C57D2">
        <w:rPr>
          <w:rFonts w:ascii="Times New Roman" w:hAnsi="Times New Roman"/>
        </w:rPr>
        <w:t xml:space="preserve">adecuado </w:t>
      </w:r>
      <w:r w:rsidRPr="007C57D2">
        <w:rPr>
          <w:rFonts w:ascii="Times New Roman" w:hAnsi="Times New Roman"/>
        </w:rPr>
        <w:t xml:space="preserve">tratamiento de los datos personales.  </w:t>
      </w:r>
      <w:r w:rsidRPr="007C57D2">
        <w:rPr>
          <w:rFonts w:ascii="Times New Roman" w:hAnsi="Times New Roman"/>
        </w:rPr>
        <w:t>Dicha ley ordena que “especial énfasis debe hacerse en asegurar la calidad de la información, la comunicación previa para el reporte de información negativa, la confidencialid</w:t>
      </w:r>
      <w:r w:rsidRPr="007C57D2">
        <w:rPr>
          <w:rFonts w:ascii="Times New Roman" w:hAnsi="Times New Roman"/>
        </w:rPr>
        <w:t>ad y seguridad de la misma, así como la debida y oportuna atención de las consultas o reclamos de los titulares de los datos”</w:t>
      </w:r>
      <w:r w:rsidRPr="007C57D2">
        <w:rPr>
          <w:rStyle w:val="Refdenotaalpie"/>
          <w:rFonts w:ascii="Times New Roman" w:hAnsi="Times New Roman"/>
        </w:rPr>
        <w:footnoteReference w:id="547"/>
      </w:r>
      <w:r w:rsidRPr="007C57D2">
        <w:rPr>
          <w:rStyle w:val="Refdenotaalpie"/>
          <w:rFonts w:ascii="Times New Roman" w:hAnsi="Times New Roman"/>
        </w:rPr>
        <w:t>.</w:t>
      </w:r>
    </w:p>
    <w:p w:rsidR="003D7E29" w:rsidRPr="007C57D2" w:rsidRDefault="007C57D2" w:rsidP="008F3DAB">
      <w:pPr>
        <w:pStyle w:val="Prrafodelista"/>
        <w:rPr>
          <w:rFonts w:ascii="Times New Roman" w:hAnsi="Times New Roman"/>
          <w:sz w:val="28"/>
        </w:rPr>
      </w:pPr>
    </w:p>
    <w:p w:rsidR="00D72D97"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La Corte Constitucional declaró constitucionales ambas disposiciones legales (artículos 12 y 13</w:t>
      </w:r>
      <w:r w:rsidRPr="007C57D2">
        <w:rPr>
          <w:rFonts w:ascii="Times New Roman" w:hAnsi="Times New Roman"/>
        </w:rPr>
        <w:t xml:space="preserve"> de la Ley Estatutaria 2157 de 2021)</w:t>
      </w:r>
      <w:r w:rsidRPr="007C57D2">
        <w:rPr>
          <w:rFonts w:ascii="Times New Roman" w:hAnsi="Times New Roman"/>
        </w:rPr>
        <w:t>, concluyendo que la responsabilidad demostrada y las políticas internas efectiva en el tratamiento de datos personales “buscan hacer efectivas las garantías previstas en el artículo 15 superior, asegurando que los opera</w:t>
      </w:r>
      <w:r w:rsidRPr="007C57D2">
        <w:rPr>
          <w:rFonts w:ascii="Times New Roman" w:hAnsi="Times New Roman"/>
        </w:rPr>
        <w:t>dores, usuarios y fuentes de la información cumplan con la normatividad vigente en la materia”</w:t>
      </w:r>
      <w:r w:rsidRPr="007C57D2">
        <w:rPr>
          <w:rStyle w:val="Refdenotaalpie"/>
          <w:rFonts w:ascii="Times New Roman" w:hAnsi="Times New Roman"/>
        </w:rPr>
        <w:footnoteReference w:id="548"/>
      </w:r>
      <w:r w:rsidRPr="007C57D2">
        <w:rPr>
          <w:rFonts w:ascii="Times New Roman" w:hAnsi="Times New Roman"/>
        </w:rPr>
        <w:t>. Por eso,</w:t>
      </w:r>
      <w:r w:rsidRPr="007C57D2">
        <w:rPr>
          <w:rFonts w:ascii="Times New Roman" w:hAnsi="Times New Roman"/>
        </w:rPr>
        <w:t xml:space="preserve"> precisa la </w:t>
      </w:r>
      <w:r w:rsidRPr="007C57D2">
        <w:rPr>
          <w:rFonts w:ascii="Times New Roman" w:hAnsi="Times New Roman"/>
        </w:rPr>
        <w:t>Corte “bajo el principio de responsabilidad demostrada, a los encargados del tratamiento de datos personales les asiste la obligación gener</w:t>
      </w:r>
      <w:r w:rsidRPr="007C57D2">
        <w:rPr>
          <w:rFonts w:ascii="Times New Roman" w:hAnsi="Times New Roman"/>
        </w:rPr>
        <w:t>al de adoptar medidas apropiadas, efectivas y verificables para proteger el derecho fundamental de habeas data. Estas medidas deberán garantizar, como mínimo y en cualquier operación de procesamiento de datos personales: </w:t>
      </w:r>
      <w:r w:rsidRPr="007C57D2">
        <w:rPr>
          <w:rFonts w:ascii="Times New Roman" w:hAnsi="Times New Roman"/>
          <w:i/>
          <w:iCs/>
        </w:rPr>
        <w:t>(i)</w:t>
      </w:r>
      <w:r w:rsidRPr="007C57D2">
        <w:rPr>
          <w:rFonts w:ascii="Times New Roman" w:hAnsi="Times New Roman"/>
        </w:rPr>
        <w:t> una organización administrativa</w:t>
      </w:r>
      <w:r w:rsidRPr="007C57D2">
        <w:rPr>
          <w:rFonts w:ascii="Times New Roman" w:hAnsi="Times New Roman"/>
        </w:rPr>
        <w:t xml:space="preserve"> para cumplir con estas políticas; </w:t>
      </w:r>
      <w:r w:rsidRPr="007C57D2">
        <w:rPr>
          <w:rFonts w:ascii="Times New Roman" w:hAnsi="Times New Roman"/>
          <w:i/>
          <w:iCs/>
        </w:rPr>
        <w:t>(ii)</w:t>
      </w:r>
      <w:r w:rsidRPr="007C57D2">
        <w:rPr>
          <w:rFonts w:ascii="Times New Roman" w:hAnsi="Times New Roman"/>
        </w:rPr>
        <w:t> un mecanismo interno para hacerlas efectivas; y, </w:t>
      </w:r>
      <w:r w:rsidRPr="007C57D2">
        <w:rPr>
          <w:rFonts w:ascii="Times New Roman" w:hAnsi="Times New Roman"/>
          <w:i/>
          <w:iCs/>
        </w:rPr>
        <w:t>(iii)</w:t>
      </w:r>
      <w:r w:rsidRPr="007C57D2">
        <w:rPr>
          <w:rFonts w:ascii="Times New Roman" w:hAnsi="Times New Roman"/>
        </w:rPr>
        <w:t> un proceso adecuado de consultas, peticiones y reclamos que garantice la confidencialidad y seguridad de la información”.</w:t>
      </w:r>
      <w:r w:rsidRPr="007C57D2">
        <w:rPr>
          <w:rStyle w:val="Refdenotaalpie"/>
          <w:rFonts w:ascii="Times New Roman" w:hAnsi="Times New Roman"/>
        </w:rPr>
        <w:footnoteReference w:id="549"/>
      </w:r>
      <w:r w:rsidRPr="007C57D2">
        <w:rPr>
          <w:rFonts w:ascii="Times New Roman" w:hAnsi="Times New Roman"/>
        </w:rPr>
        <w:t xml:space="preserve"> </w:t>
      </w:r>
    </w:p>
    <w:p w:rsidR="001E19D5" w:rsidRPr="007C57D2" w:rsidRDefault="007C57D2" w:rsidP="008F3DAB">
      <w:pPr>
        <w:pStyle w:val="Sinespaciado"/>
        <w:jc w:val="both"/>
        <w:rPr>
          <w:rFonts w:ascii="Times New Roman" w:hAnsi="Times New Roman"/>
        </w:rPr>
      </w:pPr>
    </w:p>
    <w:p w:rsidR="001E19D5"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La responsabilidad demostrada –</w:t>
      </w:r>
      <w:r w:rsidRPr="007C57D2">
        <w:rPr>
          <w:rFonts w:ascii="Times New Roman" w:hAnsi="Times New Roman"/>
          <w:i/>
          <w:iCs/>
        </w:rPr>
        <w:t>accou</w:t>
      </w:r>
      <w:r w:rsidRPr="007C57D2">
        <w:rPr>
          <w:rFonts w:ascii="Times New Roman" w:hAnsi="Times New Roman"/>
          <w:i/>
          <w:iCs/>
        </w:rPr>
        <w:t>ntability</w:t>
      </w:r>
      <w:r w:rsidRPr="007C57D2">
        <w:rPr>
          <w:rFonts w:ascii="Times New Roman" w:hAnsi="Times New Roman"/>
        </w:rPr>
        <w:t>- implica implementar acciones de diversa naturaleza</w:t>
      </w:r>
      <w:r w:rsidRPr="007C57D2">
        <w:rPr>
          <w:rFonts w:ascii="Times New Roman" w:hAnsi="Times New Roman"/>
          <w:vertAlign w:val="superscript"/>
        </w:rPr>
        <w:footnoteReference w:id="550"/>
      </w:r>
      <w:r w:rsidRPr="007C57D2">
        <w:rPr>
          <w:rFonts w:ascii="Times New Roman" w:hAnsi="Times New Roman"/>
        </w:rPr>
        <w:t xml:space="preserve"> para garantizar el correcto cumplimiento de los deberes que imponen las regulaciones sobre tratamiento de datos personales. El mismo, exige que los Responsables o Encargados del Tratamiento, as</w:t>
      </w:r>
      <w:r w:rsidRPr="007C57D2">
        <w:rPr>
          <w:rFonts w:ascii="Times New Roman" w:hAnsi="Times New Roman"/>
        </w:rPr>
        <w:t>í como los operadores, las fuentes y los usuarios pongan en marcha medidas apropiadas, efectivas y verificables que le permitan evidenciar la observancia de las normas sobre la materia. Dichas medidas deben ser objeto de revisión y evaluación permanente pa</w:t>
      </w:r>
      <w:r w:rsidRPr="007C57D2">
        <w:rPr>
          <w:rFonts w:ascii="Times New Roman" w:hAnsi="Times New Roman"/>
        </w:rPr>
        <w:t>ra medir su nivel de eficacia y el grado de protección de los datos personales.</w:t>
      </w:r>
    </w:p>
    <w:p w:rsidR="00452B20" w:rsidRPr="007C57D2" w:rsidRDefault="007C57D2" w:rsidP="008F3DAB">
      <w:pPr>
        <w:pStyle w:val="Sinespaciado"/>
        <w:jc w:val="both"/>
        <w:rPr>
          <w:rFonts w:ascii="Times New Roman" w:hAnsi="Times New Roman"/>
        </w:rPr>
      </w:pPr>
    </w:p>
    <w:p w:rsidR="00452B20" w:rsidRPr="007C57D2" w:rsidRDefault="007C57D2" w:rsidP="008F3DAB">
      <w:pPr>
        <w:pStyle w:val="Sinespaciado"/>
        <w:numPr>
          <w:ilvl w:val="0"/>
          <w:numId w:val="3"/>
        </w:numPr>
        <w:ind w:left="0" w:firstLine="0"/>
        <w:jc w:val="both"/>
        <w:rPr>
          <w:rFonts w:ascii="Times New Roman" w:hAnsi="Times New Roman"/>
        </w:rPr>
      </w:pPr>
      <w:r w:rsidRPr="007C57D2">
        <w:rPr>
          <w:rFonts w:ascii="Times New Roman" w:hAnsi="Times New Roman"/>
        </w:rPr>
        <w:t>En conclusión, es imprescindible aplicar el principio de responsabilidad demostrada (accountability) en todas las operaciones que impliquen tratamiento de datos personales par</w:t>
      </w:r>
      <w:r w:rsidRPr="007C57D2">
        <w:rPr>
          <w:rFonts w:ascii="Times New Roman" w:hAnsi="Times New Roman"/>
        </w:rPr>
        <w:t xml:space="preserve">a cumplir con lo ordenado en el PLE. Este principio obliga a adoptar e implementar medidas apropiadas, efectivas y verificables para materializar lo ordenado por el artículo 15 de la Constitución. Su aplicación es pertinente y relevante para garantizar el </w:t>
      </w:r>
      <w:r w:rsidRPr="007C57D2">
        <w:rPr>
          <w:rFonts w:ascii="Times New Roman" w:hAnsi="Times New Roman"/>
        </w:rPr>
        <w:t>debido tratamiento de datos p</w:t>
      </w:r>
      <w:r w:rsidRPr="007C57D2">
        <w:rPr>
          <w:rFonts w:ascii="Times New Roman" w:hAnsi="Times New Roman"/>
        </w:rPr>
        <w:t>e</w:t>
      </w:r>
      <w:r w:rsidRPr="007C57D2">
        <w:rPr>
          <w:rFonts w:ascii="Times New Roman" w:hAnsi="Times New Roman"/>
        </w:rPr>
        <w:t>rsona</w:t>
      </w:r>
      <w:r w:rsidRPr="007C57D2">
        <w:rPr>
          <w:rFonts w:ascii="Times New Roman" w:hAnsi="Times New Roman"/>
        </w:rPr>
        <w:t>l</w:t>
      </w:r>
      <w:r w:rsidRPr="007C57D2">
        <w:rPr>
          <w:rFonts w:ascii="Times New Roman" w:hAnsi="Times New Roman"/>
        </w:rPr>
        <w:t>es en la práctica y</w:t>
      </w:r>
      <w:r w:rsidRPr="007C57D2">
        <w:rPr>
          <w:rFonts w:ascii="Times New Roman" w:hAnsi="Times New Roman"/>
        </w:rPr>
        <w:t xml:space="preserve"> respecto de</w:t>
      </w:r>
      <w:r w:rsidRPr="007C57D2">
        <w:rPr>
          <w:rFonts w:ascii="Times New Roman" w:hAnsi="Times New Roman"/>
        </w:rPr>
        <w:t xml:space="preserve"> todo lo que implique el cumplimiento del PLE.</w:t>
      </w:r>
    </w:p>
    <w:p w:rsidR="001E19D5" w:rsidRPr="007C57D2" w:rsidRDefault="007C57D2" w:rsidP="008F3DAB">
      <w:pPr>
        <w:spacing w:after="0" w:line="240" w:lineRule="auto"/>
        <w:rPr>
          <w:rFonts w:ascii="Times New Roman" w:hAnsi="Times New Roman"/>
          <w:sz w:val="28"/>
          <w:szCs w:val="28"/>
          <w:lang w:val="es-ES"/>
        </w:rPr>
      </w:pPr>
    </w:p>
    <w:p w:rsidR="001E19D5" w:rsidRPr="007C57D2" w:rsidRDefault="007C57D2" w:rsidP="008F3DAB">
      <w:pPr>
        <w:pStyle w:val="Prrafodelista"/>
        <w:numPr>
          <w:ilvl w:val="0"/>
          <w:numId w:val="14"/>
        </w:numPr>
        <w:rPr>
          <w:rFonts w:ascii="Times New Roman" w:hAnsi="Times New Roman"/>
          <w:b/>
          <w:bCs/>
          <w:sz w:val="28"/>
          <w:szCs w:val="28"/>
          <w:lang w:val="es-ES_tradnl"/>
        </w:rPr>
      </w:pPr>
      <w:r w:rsidRPr="007C57D2">
        <w:rPr>
          <w:rFonts w:ascii="Times New Roman" w:hAnsi="Times New Roman"/>
          <w:b/>
          <w:bCs/>
          <w:sz w:val="28"/>
          <w:szCs w:val="28"/>
          <w:lang w:val="es-ES_tradnl"/>
        </w:rPr>
        <w:t>Decisión sobre la constitucionalidad de los artículos 3, 4, 7 y 8 del PLE</w:t>
      </w:r>
    </w:p>
    <w:p w:rsidR="00964DB3" w:rsidRPr="007C57D2" w:rsidRDefault="007C57D2" w:rsidP="008F3DAB">
      <w:pPr>
        <w:pStyle w:val="Prrafodelista"/>
        <w:ind w:left="0"/>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 xml:space="preserve">Por las razones expuestas en los párrafos precedentes, la Corte </w:t>
      </w:r>
      <w:r w:rsidRPr="007C57D2">
        <w:rPr>
          <w:rFonts w:ascii="Times New Roman" w:hAnsi="Times New Roman"/>
          <w:sz w:val="28"/>
          <w:szCs w:val="28"/>
          <w:lang w:val="es-ES_tradnl"/>
        </w:rPr>
        <w:t>procederá a declarar la constitucionalidad de</w:t>
      </w:r>
      <w:r w:rsidRPr="007C57D2">
        <w:rPr>
          <w:rFonts w:ascii="Times New Roman" w:hAnsi="Times New Roman"/>
          <w:sz w:val="28"/>
          <w:szCs w:val="28"/>
          <w:lang w:val="es-ES_tradnl"/>
        </w:rPr>
        <w:t>l artículo 7. En los casos de los</w:t>
      </w:r>
      <w:r w:rsidRPr="007C57D2">
        <w:rPr>
          <w:rFonts w:ascii="Times New Roman" w:hAnsi="Times New Roman"/>
          <w:sz w:val="28"/>
          <w:szCs w:val="28"/>
          <w:lang w:val="es-ES_tradnl"/>
        </w:rPr>
        <w:t xml:space="preserve"> artículos 3</w:t>
      </w:r>
      <w:r w:rsidRPr="007C57D2">
        <w:rPr>
          <w:rFonts w:ascii="Times New Roman" w:hAnsi="Times New Roman"/>
          <w:sz w:val="28"/>
          <w:szCs w:val="28"/>
          <w:lang w:val="es-ES_tradnl"/>
        </w:rPr>
        <w:t>, 4,</w:t>
      </w:r>
      <w:r w:rsidRPr="007C57D2">
        <w:rPr>
          <w:rFonts w:ascii="Times New Roman" w:hAnsi="Times New Roman"/>
          <w:sz w:val="28"/>
          <w:szCs w:val="28"/>
          <w:lang w:val="es-ES_tradnl"/>
        </w:rPr>
        <w:t xml:space="preserve"> </w:t>
      </w:r>
      <w:r w:rsidRPr="007C57D2">
        <w:rPr>
          <w:rFonts w:ascii="Times New Roman" w:hAnsi="Times New Roman"/>
          <w:sz w:val="28"/>
          <w:szCs w:val="28"/>
          <w:lang w:val="es-ES_tradnl"/>
        </w:rPr>
        <w:t xml:space="preserve">y 8 </w:t>
      </w:r>
      <w:r w:rsidRPr="007C57D2">
        <w:rPr>
          <w:rFonts w:ascii="Times New Roman" w:hAnsi="Times New Roman"/>
          <w:sz w:val="28"/>
          <w:szCs w:val="28"/>
          <w:lang w:val="es-ES_tradnl"/>
        </w:rPr>
        <w:t>del PLE</w:t>
      </w:r>
      <w:r w:rsidRPr="007C57D2">
        <w:rPr>
          <w:rFonts w:ascii="Times New Roman" w:hAnsi="Times New Roman"/>
          <w:sz w:val="28"/>
          <w:szCs w:val="28"/>
          <w:lang w:val="es-ES_tradnl"/>
        </w:rPr>
        <w:t xml:space="preserve"> se </w:t>
      </w:r>
      <w:r w:rsidRPr="007C57D2">
        <w:rPr>
          <w:rFonts w:ascii="Times New Roman" w:hAnsi="Times New Roman"/>
          <w:sz w:val="28"/>
          <w:szCs w:val="28"/>
          <w:lang w:val="es-ES_tradnl"/>
        </w:rPr>
        <w:t>decidirá la constitucionalidad condicionada</w:t>
      </w:r>
      <w:r w:rsidRPr="007C57D2">
        <w:rPr>
          <w:rFonts w:ascii="Times New Roman" w:hAnsi="Times New Roman"/>
          <w:sz w:val="28"/>
          <w:szCs w:val="28"/>
          <w:lang w:val="es-ES_tradnl"/>
        </w:rPr>
        <w:t xml:space="preserve"> por las razones que se explican a </w:t>
      </w:r>
      <w:r w:rsidRPr="007C57D2">
        <w:rPr>
          <w:rFonts w:ascii="Times New Roman" w:hAnsi="Times New Roman"/>
          <w:sz w:val="28"/>
          <w:szCs w:val="28"/>
          <w:lang w:val="es-ES_tradnl"/>
        </w:rPr>
        <w:t>continuación</w:t>
      </w:r>
      <w:r w:rsidRPr="007C57D2">
        <w:rPr>
          <w:rFonts w:ascii="Times New Roman" w:hAnsi="Times New Roman"/>
          <w:sz w:val="28"/>
          <w:szCs w:val="28"/>
          <w:lang w:val="es-ES_tradnl"/>
        </w:rPr>
        <w:t>:</w:t>
      </w:r>
    </w:p>
    <w:p w:rsidR="00D44F69" w:rsidRPr="007C57D2" w:rsidRDefault="007C57D2" w:rsidP="008F3DAB">
      <w:pPr>
        <w:pStyle w:val="Prrafodelista"/>
        <w:ind w:left="0"/>
        <w:jc w:val="both"/>
        <w:rPr>
          <w:rFonts w:ascii="Times New Roman" w:hAnsi="Times New Roman"/>
          <w:sz w:val="28"/>
          <w:szCs w:val="28"/>
          <w:lang w:val="es-ES_tradnl"/>
        </w:rPr>
      </w:pPr>
    </w:p>
    <w:p w:rsidR="00D44F6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rPr>
        <w:t>En ocasiones anteriores, l</w:t>
      </w:r>
      <w:r w:rsidRPr="007C57D2">
        <w:rPr>
          <w:rFonts w:ascii="Times New Roman" w:hAnsi="Times New Roman"/>
          <w:sz w:val="28"/>
          <w:szCs w:val="28"/>
          <w:lang w:val="es-ES"/>
        </w:rPr>
        <w:t xml:space="preserve">a Corte Constitucional ha </w:t>
      </w:r>
      <w:r w:rsidRPr="007C57D2">
        <w:rPr>
          <w:rFonts w:ascii="Times New Roman" w:hAnsi="Times New Roman"/>
          <w:sz w:val="28"/>
          <w:szCs w:val="28"/>
          <w:lang w:val="es-ES"/>
        </w:rPr>
        <w:t>establecido que es competente para definir el alcance y los efectos de sus sentencias</w:t>
      </w:r>
      <w:r w:rsidRPr="007C57D2">
        <w:rPr>
          <w:rFonts w:ascii="Times New Roman" w:hAnsi="Times New Roman"/>
          <w:sz w:val="28"/>
          <w:szCs w:val="28"/>
          <w:vertAlign w:val="superscript"/>
          <w:lang w:val="es-ES"/>
        </w:rPr>
        <w:footnoteReference w:id="551"/>
      </w:r>
      <w:r w:rsidRPr="007C57D2">
        <w:rPr>
          <w:rFonts w:ascii="Times New Roman" w:hAnsi="Times New Roman"/>
          <w:sz w:val="28"/>
          <w:szCs w:val="28"/>
          <w:lang w:val="es-ES"/>
        </w:rPr>
        <w:t xml:space="preserve">. En la </w:t>
      </w:r>
      <w:r w:rsidRPr="007C57D2">
        <w:rPr>
          <w:rFonts w:ascii="Times New Roman" w:hAnsi="Times New Roman"/>
          <w:sz w:val="28"/>
          <w:szCs w:val="28"/>
          <w:lang w:val="es-ES"/>
        </w:rPr>
        <w:t>S</w:t>
      </w:r>
      <w:r w:rsidRPr="007C57D2">
        <w:rPr>
          <w:rFonts w:ascii="Times New Roman" w:hAnsi="Times New Roman"/>
          <w:sz w:val="28"/>
          <w:szCs w:val="28"/>
          <w:lang w:val="es-ES"/>
        </w:rPr>
        <w:t xml:space="preserve">entencia C-315 de 2023, se resaltó que en virtud de los artículo 243 de la Constitución y 21 del Decreto 2067 de 1991 “esta </w:t>
      </w:r>
      <w:r w:rsidRPr="007C57D2">
        <w:rPr>
          <w:rFonts w:ascii="Times New Roman" w:hAnsi="Times New Roman"/>
          <w:sz w:val="28"/>
          <w:szCs w:val="28"/>
          <w:lang w:val="es-ES"/>
        </w:rPr>
        <w:t>Corporación</w:t>
      </w:r>
      <w:r w:rsidRPr="007C57D2">
        <w:rPr>
          <w:rFonts w:ascii="Times New Roman" w:hAnsi="Times New Roman"/>
          <w:sz w:val="28"/>
          <w:szCs w:val="28"/>
          <w:lang w:val="es-ES"/>
        </w:rPr>
        <w:t xml:space="preserve"> ha optado en algunas ocas</w:t>
      </w:r>
      <w:r w:rsidRPr="007C57D2">
        <w:rPr>
          <w:rFonts w:ascii="Times New Roman" w:hAnsi="Times New Roman"/>
          <w:sz w:val="28"/>
          <w:szCs w:val="28"/>
          <w:lang w:val="es-ES"/>
        </w:rPr>
        <w:t>iones por proferir sentencias interpretativas o condicionadas como una opción para modular sus decisiones.</w:t>
      </w:r>
      <w:bookmarkStart w:id="51" w:name="_ftnref67"/>
      <w:r w:rsidRPr="007C57D2">
        <w:rPr>
          <w:rFonts w:ascii="Times New Roman" w:hAnsi="Times New Roman"/>
          <w:sz w:val="28"/>
          <w:szCs w:val="28"/>
          <w:vertAlign w:val="superscript"/>
          <w:lang w:val="es-ES"/>
        </w:rPr>
        <w:footnoteReference w:id="552"/>
      </w:r>
      <w:bookmarkEnd w:id="51"/>
      <w:r w:rsidRPr="007C57D2">
        <w:rPr>
          <w:rFonts w:ascii="Times New Roman" w:hAnsi="Times New Roman"/>
          <w:sz w:val="28"/>
          <w:szCs w:val="28"/>
          <w:lang w:val="es-ES"/>
        </w:rPr>
        <w:t> Esto, con el fin de armonizar principios en tensión tales como la conservación del derecho, por una parte, y la supremacía constitucional, por otra.</w:t>
      </w:r>
      <w:r w:rsidRPr="007C57D2">
        <w:rPr>
          <w:rFonts w:ascii="Times New Roman" w:hAnsi="Times New Roman"/>
          <w:sz w:val="28"/>
          <w:szCs w:val="28"/>
          <w:lang w:val="es-ES"/>
        </w:rPr>
        <w:t xml:space="preserve"> Así, hay lugar a una exequibilidad condicionada de una norma cuando esta: </w:t>
      </w:r>
      <w:r w:rsidRPr="007C57D2">
        <w:rPr>
          <w:rFonts w:ascii="Times New Roman" w:hAnsi="Times New Roman"/>
          <w:i/>
          <w:iCs/>
          <w:sz w:val="28"/>
          <w:szCs w:val="28"/>
          <w:lang w:val="es-ES"/>
        </w:rPr>
        <w:t>(i)</w:t>
      </w:r>
      <w:r w:rsidRPr="007C57D2">
        <w:rPr>
          <w:rFonts w:ascii="Times New Roman" w:hAnsi="Times New Roman"/>
          <w:sz w:val="28"/>
          <w:szCs w:val="28"/>
          <w:lang w:val="es-ES"/>
        </w:rPr>
        <w:t> debe entenderse en un sentido específico que resulte conforme con la Constitución, de modo que todas las demás lecturas son inexequibles, o </w:t>
      </w:r>
      <w:r w:rsidRPr="007C57D2">
        <w:rPr>
          <w:rFonts w:ascii="Times New Roman" w:hAnsi="Times New Roman"/>
          <w:i/>
          <w:iCs/>
          <w:sz w:val="28"/>
          <w:szCs w:val="28"/>
          <w:lang w:val="es-ES"/>
        </w:rPr>
        <w:t>(ii)</w:t>
      </w:r>
      <w:r w:rsidRPr="007C57D2">
        <w:rPr>
          <w:rFonts w:ascii="Times New Roman" w:hAnsi="Times New Roman"/>
          <w:sz w:val="28"/>
          <w:szCs w:val="28"/>
          <w:lang w:val="es-ES"/>
        </w:rPr>
        <w:t> puede interpretarse de una maner</w:t>
      </w:r>
      <w:r w:rsidRPr="007C57D2">
        <w:rPr>
          <w:rFonts w:ascii="Times New Roman" w:hAnsi="Times New Roman"/>
          <w:sz w:val="28"/>
          <w:szCs w:val="28"/>
          <w:lang w:val="es-ES"/>
        </w:rPr>
        <w:t>a que es contraria al Texto Superior, por lo que debe excluirse del ordenamiento jurídico esa posible lectura”.</w:t>
      </w:r>
      <w:r w:rsidRPr="007C57D2">
        <w:rPr>
          <w:rFonts w:ascii="Times New Roman" w:hAnsi="Times New Roman"/>
          <w:sz w:val="28"/>
          <w:szCs w:val="28"/>
          <w:vertAlign w:val="superscript"/>
          <w:lang w:val="es-ES"/>
        </w:rPr>
        <w:footnoteReference w:id="553"/>
      </w:r>
    </w:p>
    <w:p w:rsidR="00D44F69" w:rsidRPr="007C57D2" w:rsidRDefault="007C57D2" w:rsidP="008F3DAB">
      <w:pPr>
        <w:pStyle w:val="Prrafodelista"/>
        <w:ind w:left="0"/>
        <w:rPr>
          <w:rFonts w:ascii="Times New Roman" w:hAnsi="Times New Roman"/>
          <w:sz w:val="28"/>
          <w:szCs w:val="28"/>
          <w:lang w:val="es-ES"/>
        </w:rPr>
      </w:pPr>
    </w:p>
    <w:p w:rsidR="00D44F69"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el caso de los artículo 3, 4 y 8 de otros preceptos del PLE, la Corte acudirá a esta técnica y declarará su constitucionalidad condicionada</w:t>
      </w:r>
      <w:r w:rsidRPr="007C57D2">
        <w:rPr>
          <w:rFonts w:ascii="Times New Roman" w:hAnsi="Times New Roman"/>
          <w:sz w:val="28"/>
          <w:szCs w:val="28"/>
        </w:rPr>
        <w:t>. Esto significa que dichos artículos se mantendrán en el ordenamiento, pero solo bajo una interpretación específica que sea plenamente compatible con la Constitución, quedando excluidas todas las demás lecturas posibles que resulten contrarias al Texto Su</w:t>
      </w:r>
      <w:r w:rsidRPr="007C57D2">
        <w:rPr>
          <w:rFonts w:ascii="Times New Roman" w:hAnsi="Times New Roman"/>
          <w:sz w:val="28"/>
          <w:szCs w:val="28"/>
        </w:rPr>
        <w:t>perior. De esta manera, la Corte armoniza la conservación del derecho con la supremacía constitucional.</w:t>
      </w:r>
    </w:p>
    <w:p w:rsidR="00D44F69" w:rsidRPr="007C57D2" w:rsidRDefault="007C57D2" w:rsidP="008F3DAB">
      <w:pPr>
        <w:pStyle w:val="Prrafodelista"/>
        <w:ind w:left="0"/>
        <w:rPr>
          <w:rFonts w:ascii="Times New Roman" w:hAnsi="Times New Roman"/>
          <w:sz w:val="28"/>
          <w:szCs w:val="28"/>
        </w:rPr>
      </w:pPr>
    </w:p>
    <w:p w:rsidR="00D44F6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rPr>
        <w:t>La Sala Plena considera que hay lugar adoptar una sentencia condicionada de conformidad con la jurisprudencia reiterada en este asunto. De ahí que, est</w:t>
      </w:r>
      <w:r w:rsidRPr="007C57D2">
        <w:rPr>
          <w:rFonts w:ascii="Times New Roman" w:hAnsi="Times New Roman"/>
          <w:sz w:val="28"/>
          <w:szCs w:val="28"/>
        </w:rPr>
        <w:t xml:space="preserve">a </w:t>
      </w:r>
      <w:r w:rsidRPr="007C57D2">
        <w:rPr>
          <w:rFonts w:ascii="Times New Roman" w:hAnsi="Times New Roman"/>
          <w:sz w:val="28"/>
          <w:szCs w:val="28"/>
        </w:rPr>
        <w:t>Corporación</w:t>
      </w:r>
      <w:r w:rsidRPr="007C57D2">
        <w:rPr>
          <w:rFonts w:ascii="Times New Roman" w:hAnsi="Times New Roman"/>
          <w:sz w:val="28"/>
          <w:szCs w:val="28"/>
        </w:rPr>
        <w:t xml:space="preserve"> concluye que el artículo 3 es constitucional </w:t>
      </w:r>
      <w:r w:rsidRPr="007C57D2">
        <w:rPr>
          <w:rFonts w:ascii="Times New Roman" w:hAnsi="Times New Roman"/>
          <w:sz w:val="28"/>
          <w:szCs w:val="28"/>
          <w:lang w:val="es-ES"/>
        </w:rPr>
        <w:t xml:space="preserve">en el entendido de que </w:t>
      </w:r>
      <w:r w:rsidRPr="007C57D2">
        <w:rPr>
          <w:rFonts w:ascii="Times New Roman" w:hAnsi="Times New Roman"/>
          <w:sz w:val="28"/>
          <w:szCs w:val="28"/>
        </w:rPr>
        <w:t>cuando la autorización es diligenciada y suscrita por los “familiares” del menor extraviado, es necesario que la persona que autorice el tratamiento de datos personales acred</w:t>
      </w:r>
      <w:r w:rsidRPr="007C57D2">
        <w:rPr>
          <w:rFonts w:ascii="Times New Roman" w:hAnsi="Times New Roman"/>
          <w:sz w:val="28"/>
          <w:szCs w:val="28"/>
        </w:rPr>
        <w:t xml:space="preserve">ite esa calidad. Lo anterior es imprescindible para proteger el interés superior del menor de edad. Esta finalidad se garantiza mediante la constatación de que la persona que suscribe el consentimiento informado es efectivamente un familiar del niño, niña </w:t>
      </w:r>
      <w:r w:rsidRPr="007C57D2">
        <w:rPr>
          <w:rFonts w:ascii="Times New Roman" w:hAnsi="Times New Roman"/>
          <w:sz w:val="28"/>
          <w:szCs w:val="28"/>
        </w:rPr>
        <w:t xml:space="preserve">o adolescente extraviado (a), y no un tercero. </w:t>
      </w:r>
    </w:p>
    <w:p w:rsidR="00D44F69" w:rsidRPr="007C57D2" w:rsidRDefault="007C57D2" w:rsidP="008F3DAB">
      <w:pPr>
        <w:pStyle w:val="Prrafodelista"/>
        <w:rPr>
          <w:rFonts w:ascii="Times New Roman" w:hAnsi="Times New Roman"/>
          <w:sz w:val="28"/>
          <w:szCs w:val="28"/>
          <w:lang w:val="es-ES"/>
        </w:rPr>
      </w:pPr>
    </w:p>
    <w:p w:rsidR="00D44F6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Así mismo, declarará la constitucionalidad condicionada del artículo 4, bajos los siguientes entendidos: (i) los datos biométricos y personales mínimos requeridos para la adopción de la Alerta Colombia deberán valorarse en función del riesgo, las circunsta</w:t>
      </w:r>
      <w:r w:rsidRPr="007C57D2">
        <w:rPr>
          <w:rFonts w:ascii="Times New Roman" w:hAnsi="Times New Roman"/>
          <w:sz w:val="28"/>
          <w:szCs w:val="28"/>
          <w:lang w:val="es-ES"/>
        </w:rPr>
        <w:t>ncias particulares y los requerimientos tecnológicos, y (ii) cualquier información exigida por la autoridad competente y adicional a los “mínimos requeridos que se deben utilizar en la Alerta Colombia”, deberá ser justificada como estrictamente necesaria p</w:t>
      </w:r>
      <w:r w:rsidRPr="007C57D2">
        <w:rPr>
          <w:rFonts w:ascii="Times New Roman" w:hAnsi="Times New Roman"/>
          <w:sz w:val="28"/>
          <w:szCs w:val="28"/>
          <w:lang w:val="es-ES"/>
        </w:rPr>
        <w:t xml:space="preserve">ara la búsqueda, localización y recuperación del menor de edad extraviado. </w:t>
      </w:r>
    </w:p>
    <w:p w:rsidR="00D44F69" w:rsidRPr="007C57D2" w:rsidRDefault="007C57D2" w:rsidP="008F3DAB">
      <w:pPr>
        <w:pStyle w:val="Prrafodelista"/>
        <w:rPr>
          <w:rFonts w:ascii="Times New Roman" w:hAnsi="Times New Roman"/>
          <w:sz w:val="28"/>
          <w:szCs w:val="28"/>
          <w:lang w:val="es-ES"/>
        </w:rPr>
      </w:pPr>
    </w:p>
    <w:p w:rsidR="00D44F6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El tratamiento de datos personales debe circunscribirse a aquellos que resulten adecuados, relevantes y no excesivos en relación con la finalidad de la recolección y uso de estos </w:t>
      </w:r>
      <w:r w:rsidRPr="007C57D2">
        <w:rPr>
          <w:rFonts w:ascii="Times New Roman" w:hAnsi="Times New Roman"/>
          <w:sz w:val="28"/>
          <w:szCs w:val="28"/>
          <w:lang w:val="es-ES"/>
        </w:rPr>
        <w:t xml:space="preserve">(buscar, localizar y recuperar niños y niñas extraviadas). Únicamente se pueden tratar los datos personales estrictamente necesarios para el cumplimiento de las finalidades del tratamiento, de tal forma que se encuentra prohibido el registro y divulgación </w:t>
      </w:r>
      <w:r w:rsidRPr="007C57D2">
        <w:rPr>
          <w:rFonts w:ascii="Times New Roman" w:hAnsi="Times New Roman"/>
          <w:sz w:val="28"/>
          <w:szCs w:val="28"/>
          <w:lang w:val="es-ES"/>
        </w:rPr>
        <w:t>de datos que no guarden estrecha relación con el objetivo de este. En consecuencia, debe hacerse todo lo razonablemente posible para limitar el procesamiento de datos personales al mínimo necesario. Es decir, los datos deberán ser: (i) adecuados, (ii) pert</w:t>
      </w:r>
      <w:r w:rsidRPr="007C57D2">
        <w:rPr>
          <w:rFonts w:ascii="Times New Roman" w:hAnsi="Times New Roman"/>
          <w:sz w:val="28"/>
          <w:szCs w:val="28"/>
          <w:lang w:val="es-ES"/>
        </w:rPr>
        <w:t xml:space="preserve">inentes y (iii) acordes con las finalidades para las cuales fueron previstos. </w:t>
      </w:r>
    </w:p>
    <w:p w:rsidR="00D44F69" w:rsidRPr="007C57D2" w:rsidRDefault="007C57D2" w:rsidP="008F3DAB">
      <w:pPr>
        <w:pStyle w:val="Prrafodelista"/>
        <w:ind w:left="0"/>
        <w:rPr>
          <w:rFonts w:ascii="Times New Roman" w:hAnsi="Times New Roman"/>
          <w:sz w:val="28"/>
          <w:szCs w:val="28"/>
          <w:lang w:val="es-ES"/>
        </w:rPr>
      </w:pPr>
    </w:p>
    <w:p w:rsidR="00C535F2"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_tradnl"/>
        </w:rPr>
        <w:t xml:space="preserve">Finalmente, la Corte declarará la constitucionalidad condicionada del artículo 8, </w:t>
      </w:r>
      <w:r w:rsidRPr="007C57D2">
        <w:rPr>
          <w:rFonts w:ascii="Times New Roman" w:hAnsi="Times New Roman"/>
          <w:sz w:val="28"/>
          <w:szCs w:val="28"/>
          <w:lang w:val="es-ES"/>
        </w:rPr>
        <w:t>bajo el entendido de que los receptores de la “Alerta Colombia” deben eliminar de manera completa y definitiva toda la información que recibieron. Esta supresión debe efectuarse inmediatamente después de haber recibido la “alerta de éxito” a que se refiere</w:t>
      </w:r>
      <w:r w:rsidRPr="007C57D2">
        <w:rPr>
          <w:rFonts w:ascii="Times New Roman" w:hAnsi="Times New Roman"/>
          <w:sz w:val="28"/>
          <w:szCs w:val="28"/>
          <w:lang w:val="es-ES"/>
        </w:rPr>
        <w:t xml:space="preserve"> el parágrafo de este artículo. </w:t>
      </w:r>
      <w:r w:rsidRPr="007C57D2">
        <w:rPr>
          <w:rFonts w:ascii="Times New Roman" w:hAnsi="Times New Roman"/>
          <w:sz w:val="28"/>
          <w:szCs w:val="28"/>
        </w:rPr>
        <w:t>La obligación de eliminación de información se extiende a todos los repositorios digitales y físicos de los receptores de la Alerta, en cumplimiento del principio de supresión integral y de la finalidad temporal de la Alerta</w:t>
      </w:r>
      <w:r w:rsidRPr="007C57D2">
        <w:rPr>
          <w:rFonts w:ascii="Times New Roman" w:hAnsi="Times New Roman"/>
          <w:sz w:val="28"/>
          <w:szCs w:val="28"/>
        </w:rPr>
        <w:t xml:space="preserve"> Colombia.</w:t>
      </w:r>
      <w:r w:rsidRPr="007C57D2">
        <w:rPr>
          <w:rFonts w:ascii="Times New Roman" w:hAnsi="Times New Roman"/>
          <w:sz w:val="28"/>
          <w:szCs w:val="28"/>
        </w:rPr>
        <w:t xml:space="preserve"> </w:t>
      </w:r>
    </w:p>
    <w:p w:rsidR="00C535F2" w:rsidRPr="007C57D2" w:rsidRDefault="007C57D2" w:rsidP="008F3DAB">
      <w:pPr>
        <w:pStyle w:val="Prrafodelista"/>
        <w:ind w:left="0"/>
        <w:rPr>
          <w:rFonts w:ascii="Times New Roman" w:hAnsi="Times New Roman"/>
          <w:sz w:val="28"/>
          <w:szCs w:val="28"/>
          <w:lang w:val="es-ES"/>
        </w:rPr>
      </w:pPr>
    </w:p>
    <w:p w:rsidR="00C535F2"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Para la Sala, los receptores de la “Alerta Colombia” también deben realizar un debido tratamiento de los datos personales, lo cual no solo implica usar la información únicamente para los fines que se les proporcionó (búsqueda, localización y r</w:t>
      </w:r>
      <w:r w:rsidRPr="007C57D2">
        <w:rPr>
          <w:rFonts w:ascii="Times New Roman" w:hAnsi="Times New Roman"/>
          <w:sz w:val="28"/>
          <w:szCs w:val="28"/>
          <w:lang w:val="es-ES"/>
        </w:rPr>
        <w:t xml:space="preserve">ecuperación de los NNA extraviados), sino eliminar definitivamente de sus equipos o bases de datos la información recibida una vez se cumpla la finalidad de la alerta, es decir, la recuperación de las personas extraviadas. </w:t>
      </w:r>
    </w:p>
    <w:p w:rsidR="00C535F2" w:rsidRPr="007C57D2" w:rsidRDefault="007C57D2" w:rsidP="008F3DAB">
      <w:pPr>
        <w:pStyle w:val="Prrafodelista"/>
        <w:rPr>
          <w:rFonts w:ascii="Times New Roman" w:hAnsi="Times New Roman"/>
          <w:sz w:val="28"/>
          <w:szCs w:val="28"/>
          <w:lang w:val="es-ES"/>
        </w:rPr>
      </w:pPr>
    </w:p>
    <w:p w:rsidR="00C535F2"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El deber de eliminación de los </w:t>
      </w:r>
      <w:r w:rsidRPr="007C57D2">
        <w:rPr>
          <w:rFonts w:ascii="Times New Roman" w:hAnsi="Times New Roman"/>
          <w:sz w:val="28"/>
          <w:szCs w:val="28"/>
          <w:lang w:val="es-ES"/>
        </w:rPr>
        <w:t>datos personales cobija a todos los sujetos que han intervenido en el tratamiento de esa información, es decir, a los Responsables, eventuales Encargados, a los usuarios de esa información y, en general, a todas las personas que recibieron la “Alerta Colom</w:t>
      </w:r>
      <w:r w:rsidRPr="007C57D2">
        <w:rPr>
          <w:rFonts w:ascii="Times New Roman" w:hAnsi="Times New Roman"/>
          <w:sz w:val="28"/>
          <w:szCs w:val="28"/>
          <w:lang w:val="es-ES"/>
        </w:rPr>
        <w:t>bia” en sus equipos móviles o a través de canales digitales. Esto último es muy importante porque los usuarios no pueden almacenar indefinidamente la información que reciben con ocasión de la alerta. Almacenar o usar indefinidamente esa información generar</w:t>
      </w:r>
      <w:r w:rsidRPr="007C57D2">
        <w:rPr>
          <w:rFonts w:ascii="Times New Roman" w:hAnsi="Times New Roman"/>
          <w:sz w:val="28"/>
          <w:szCs w:val="28"/>
          <w:lang w:val="es-ES"/>
        </w:rPr>
        <w:t>ía un tratamiento indebido de datos personales en detrimento de los derechos de los NNA que se pretenden proteger con ocasión de la implementación y difusión de la alerta.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Ttulo3"/>
        <w:spacing w:before="0" w:after="0" w:line="240" w:lineRule="auto"/>
        <w:jc w:val="both"/>
        <w:rPr>
          <w:rFonts w:ascii="Times New Roman" w:hAnsi="Times New Roman"/>
          <w:b/>
          <w:bCs/>
          <w:color w:val="000000"/>
          <w:lang w:val="es-ES_tradnl"/>
        </w:rPr>
      </w:pPr>
      <w:bookmarkStart w:id="52" w:name="_Toc222728037"/>
      <w:r w:rsidRPr="007C57D2">
        <w:rPr>
          <w:rFonts w:ascii="Times New Roman" w:hAnsi="Times New Roman"/>
          <w:b/>
          <w:bCs/>
          <w:color w:val="000000"/>
          <w:lang w:val="es-ES_tradnl"/>
        </w:rPr>
        <w:t>5.5.4. Requisitos para activar la “Alerta Colombia” (Examen de constitucionalidad d</w:t>
      </w:r>
      <w:r w:rsidRPr="007C57D2">
        <w:rPr>
          <w:rFonts w:ascii="Times New Roman" w:hAnsi="Times New Roman"/>
          <w:b/>
          <w:bCs/>
          <w:color w:val="000000"/>
          <w:lang w:val="es-ES_tradnl"/>
        </w:rPr>
        <w:t>el artículo 9 del PLE)</w:t>
      </w:r>
      <w:bookmarkEnd w:id="52"/>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1"/>
          <w:numId w:val="3"/>
        </w:numPr>
        <w:tabs>
          <w:tab w:val="left" w:pos="993"/>
        </w:tabs>
        <w:ind w:left="567" w:firstLine="0"/>
        <w:jc w:val="both"/>
        <w:rPr>
          <w:rFonts w:ascii="Times New Roman" w:hAnsi="Times New Roman"/>
          <w:b/>
          <w:bCs/>
          <w:sz w:val="28"/>
          <w:szCs w:val="28"/>
          <w:lang w:val="es-ES"/>
        </w:rPr>
      </w:pPr>
      <w:r w:rsidRPr="007C57D2">
        <w:rPr>
          <w:rFonts w:ascii="Times New Roman" w:hAnsi="Times New Roman"/>
          <w:b/>
          <w:bCs/>
          <w:sz w:val="28"/>
          <w:szCs w:val="28"/>
          <w:lang w:val="es-ES"/>
        </w:rPr>
        <w:t xml:space="preserve">Transcripción de la norma objeto de control.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 continuación, se transcriben las normas contenidas en el artículo 9 del PLE: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9. Activación de la Alerta Colombia.</w:t>
      </w:r>
      <w:r w:rsidRPr="007C57D2">
        <w:rPr>
          <w:rFonts w:ascii="Times New Roman" w:hAnsi="Times New Roman"/>
          <w:sz w:val="28"/>
          <w:szCs w:val="26"/>
        </w:rPr>
        <w:t xml:space="preserve"> Para activar la alerta Colombia deberán cumplirse los siguientes requisitos:</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a. Al momento de extraviarse el niño o niña deberá tener entre 0 y 12 años.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b. El tiempo transcurrido entre el reporte de alerta en la ventana especial de la página web oficia</w:t>
      </w:r>
      <w:r w:rsidRPr="007C57D2">
        <w:rPr>
          <w:rFonts w:ascii="Times New Roman" w:hAnsi="Times New Roman"/>
          <w:sz w:val="28"/>
          <w:szCs w:val="26"/>
        </w:rPr>
        <w:t>l del Instituto Colombiano de Bienestar Familiar ICBF, o el reporte presencial ante la Policía Nacional o las Entidades del Sistema Nacional de Bienestar Familiar en cualquiera de sus instalaciones cuando no se cuente con los medios tecnológicos disponible</w:t>
      </w:r>
      <w:r w:rsidRPr="007C57D2">
        <w:rPr>
          <w:rFonts w:ascii="Times New Roman" w:hAnsi="Times New Roman"/>
          <w:sz w:val="28"/>
          <w:szCs w:val="26"/>
        </w:rPr>
        <w:t>s para interponer el reporte por medio de la página web oficial, y la activación inmediata de la alerta y no podrá ser superior a una (1) hora. La autorización para el uso de los datos biométricos y personales de los niños y niñas extraviados debe realizar</w:t>
      </w:r>
      <w:r w:rsidRPr="007C57D2">
        <w:rPr>
          <w:rFonts w:ascii="Times New Roman" w:hAnsi="Times New Roman"/>
          <w:sz w:val="28"/>
          <w:szCs w:val="26"/>
        </w:rPr>
        <w:t xml:space="preserve">se conforme al artículo 3 de la presente ley.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c. Los padres, representantes legales, quien ostente la custodia, cuidadores, o el Instituto Colombiano de Bienestar Familiar o quien tenga conocimiento sobre un niño o niña extraviado deben disponer de infor</w:t>
      </w:r>
      <w:r w:rsidRPr="007C57D2">
        <w:rPr>
          <w:rFonts w:ascii="Times New Roman" w:hAnsi="Times New Roman"/>
          <w:sz w:val="28"/>
          <w:szCs w:val="26"/>
        </w:rPr>
        <w:t xml:space="preserve">mación suficiente para qué al momento de emitir la alerta, la colaboración de la sociedad pueda arrojar resultados positivos.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 xml:space="preserve">b. Problema jurídico e intervenciones </w:t>
      </w:r>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 xml:space="preserve">Para decidir sobre la constitucionalidad del artículo 9 del PLE, respecto del contenido </w:t>
      </w:r>
      <w:r w:rsidRPr="007C57D2">
        <w:rPr>
          <w:rFonts w:ascii="Times New Roman" w:hAnsi="Times New Roman"/>
          <w:sz w:val="28"/>
          <w:szCs w:val="28"/>
          <w:lang w:val="es-ES_tradnl"/>
        </w:rPr>
        <w:t>material de sus literales a), b) y c), a la Corte le corresponde establecer lo siguiente:</w:t>
      </w:r>
    </w:p>
    <w:p w:rsidR="001E19D5" w:rsidRPr="007C57D2" w:rsidRDefault="007C57D2" w:rsidP="008F3DAB">
      <w:pPr>
        <w:pStyle w:val="Prrafodelista"/>
        <w:ind w:left="0"/>
        <w:jc w:val="both"/>
        <w:rPr>
          <w:rFonts w:ascii="Times New Roman" w:hAnsi="Times New Roman"/>
          <w:sz w:val="28"/>
          <w:szCs w:val="28"/>
          <w:lang w:val="es-ES_tradnl"/>
        </w:rPr>
      </w:pPr>
    </w:p>
    <w:p w:rsidR="001E19D5" w:rsidRPr="007C57D2" w:rsidRDefault="007C57D2" w:rsidP="008F3DAB">
      <w:pPr>
        <w:pStyle w:val="Prrafodelista"/>
        <w:numPr>
          <w:ilvl w:val="0"/>
          <w:numId w:val="16"/>
        </w:numPr>
        <w:ind w:left="0" w:firstLine="0"/>
        <w:jc w:val="both"/>
        <w:rPr>
          <w:rFonts w:ascii="Times New Roman" w:hAnsi="Times New Roman"/>
          <w:sz w:val="28"/>
          <w:szCs w:val="28"/>
          <w:lang w:val="es-ES"/>
        </w:rPr>
      </w:pPr>
      <w:r w:rsidRPr="007C57D2">
        <w:rPr>
          <w:rFonts w:ascii="Times New Roman" w:hAnsi="Times New Roman"/>
          <w:sz w:val="28"/>
          <w:szCs w:val="28"/>
          <w:lang w:val="es-ES"/>
        </w:rPr>
        <w:t>¿Se ajusta el literal a) del artículo 9 del PLE al restringir la activación de la Alerta Colombia únicamente a niños de 0 a 12 años, excluyendo a los adolescentes de</w:t>
      </w:r>
      <w:r w:rsidRPr="007C57D2">
        <w:rPr>
          <w:rFonts w:ascii="Times New Roman" w:hAnsi="Times New Roman"/>
          <w:sz w:val="28"/>
          <w:szCs w:val="28"/>
          <w:lang w:val="es-ES"/>
        </w:rPr>
        <w:t xml:space="preserve"> 13 a 17 años, al principio de igualdad y el interés superior del menor</w:t>
      </w:r>
      <w:r w:rsidRPr="007C57D2">
        <w:rPr>
          <w:rFonts w:ascii="Times New Roman" w:hAnsi="Times New Roman"/>
          <w:sz w:val="28"/>
          <w:szCs w:val="28"/>
          <w:lang w:val="es-ES"/>
        </w:rPr>
        <w:t xml:space="preserve"> de edad</w:t>
      </w:r>
      <w:r w:rsidRPr="007C57D2">
        <w:rPr>
          <w:rFonts w:ascii="Times New Roman" w:hAnsi="Times New Roman"/>
          <w:sz w:val="28"/>
          <w:szCs w:val="28"/>
          <w:lang w:val="es-ES"/>
        </w:rPr>
        <w:t>?</w:t>
      </w:r>
    </w:p>
    <w:p w:rsidR="001E19D5"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Prrafodelista"/>
        <w:numPr>
          <w:ilvl w:val="0"/>
          <w:numId w:val="16"/>
        </w:numPr>
        <w:ind w:left="0" w:firstLine="0"/>
        <w:jc w:val="both"/>
        <w:rPr>
          <w:rFonts w:ascii="Times New Roman" w:hAnsi="Times New Roman"/>
          <w:sz w:val="28"/>
          <w:szCs w:val="28"/>
          <w:lang w:val="es-ES"/>
        </w:rPr>
      </w:pPr>
      <w:r w:rsidRPr="007C57D2">
        <w:rPr>
          <w:rFonts w:ascii="Times New Roman" w:hAnsi="Times New Roman"/>
          <w:sz w:val="28"/>
          <w:szCs w:val="28"/>
          <w:lang w:val="es-ES_tradnl"/>
        </w:rPr>
        <w:t>¿Se ajusta literal b) del artículo 9 del PLE, al fijar un límite de una (1) hora para activar la alerta, y al remitir, en lo relativo al uso de datos biométricos y personales</w:t>
      </w:r>
      <w:r w:rsidRPr="007C57D2">
        <w:rPr>
          <w:rFonts w:ascii="Times New Roman" w:hAnsi="Times New Roman"/>
          <w:sz w:val="28"/>
          <w:szCs w:val="28"/>
          <w:lang w:val="es-ES_tradnl"/>
        </w:rPr>
        <w:t xml:space="preserve">, a la autorización prevista en el artículo 3 del mismo PLE, a los mandatos constitucionales de protección de los derechos de los NNA? </w:t>
      </w:r>
    </w:p>
    <w:p w:rsidR="001E19D5" w:rsidRPr="007C57D2" w:rsidRDefault="007C57D2" w:rsidP="008F3DAB">
      <w:pPr>
        <w:pStyle w:val="Prrafodelista"/>
        <w:rPr>
          <w:rFonts w:ascii="Times New Roman" w:hAnsi="Times New Roman"/>
          <w:sz w:val="28"/>
          <w:szCs w:val="28"/>
          <w:lang w:val="es-ES"/>
        </w:rPr>
      </w:pPr>
    </w:p>
    <w:p w:rsidR="001E19D5" w:rsidRPr="007C57D2" w:rsidRDefault="007C57D2" w:rsidP="008F3DAB">
      <w:pPr>
        <w:pStyle w:val="Prrafodelista"/>
        <w:numPr>
          <w:ilvl w:val="0"/>
          <w:numId w:val="16"/>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¿Se ajusta el literal c) del artículo 9 del PLE, según la cual los padres, representantes legales, cuidadores, el ICBF </w:t>
      </w:r>
      <w:r w:rsidRPr="007C57D2">
        <w:rPr>
          <w:rFonts w:ascii="Times New Roman" w:hAnsi="Times New Roman"/>
          <w:sz w:val="28"/>
          <w:szCs w:val="28"/>
          <w:lang w:val="es-ES"/>
        </w:rPr>
        <w:t xml:space="preserve">o cualquier persona que tenga conocimiento de la desaparición de un menor de 18 años deben aportar información suficiente para emitir la Alerta Colombia, </w:t>
      </w:r>
      <w:r w:rsidRPr="007C57D2">
        <w:rPr>
          <w:rFonts w:ascii="Times New Roman" w:hAnsi="Times New Roman"/>
          <w:sz w:val="28"/>
          <w:szCs w:val="28"/>
          <w:lang w:val="es-ES_tradnl"/>
        </w:rPr>
        <w:t>a los mandatos constitucionales de protección de los derechos de los NNA</w:t>
      </w:r>
      <w:r w:rsidRPr="007C57D2">
        <w:rPr>
          <w:rFonts w:ascii="Times New Roman" w:hAnsi="Times New Roman"/>
          <w:sz w:val="28"/>
          <w:szCs w:val="28"/>
          <w:lang w:val="es-ES"/>
        </w:rPr>
        <w:t>?</w:t>
      </w:r>
    </w:p>
    <w:p w:rsidR="001E19D5" w:rsidRPr="007C57D2" w:rsidRDefault="007C57D2" w:rsidP="008F3DAB">
      <w:pPr>
        <w:pStyle w:val="Prrafodelista"/>
        <w:ind w:left="0"/>
        <w:jc w:val="both"/>
        <w:rPr>
          <w:rFonts w:ascii="Times New Roman" w:hAnsi="Times New Roman"/>
          <w:sz w:val="28"/>
          <w:szCs w:val="28"/>
          <w:lang w:val="es-ES_tradnl"/>
        </w:rPr>
      </w:pPr>
    </w:p>
    <w:p w:rsidR="00A24A5A" w:rsidRPr="007C57D2" w:rsidRDefault="007C57D2" w:rsidP="00A24A5A">
      <w:pPr>
        <w:pStyle w:val="Prrafodelista"/>
        <w:numPr>
          <w:ilvl w:val="0"/>
          <w:numId w:val="3"/>
        </w:numPr>
        <w:tabs>
          <w:tab w:val="left" w:pos="709"/>
        </w:tabs>
        <w:ind w:left="0" w:firstLine="0"/>
        <w:jc w:val="both"/>
        <w:rPr>
          <w:rFonts w:ascii="Times New Roman" w:hAnsi="Times New Roman"/>
          <w:sz w:val="28"/>
          <w:szCs w:val="28"/>
          <w:lang w:val="es-ES_tradnl"/>
        </w:rPr>
      </w:pPr>
      <w:r w:rsidRPr="007C57D2">
        <w:rPr>
          <w:rFonts w:ascii="Times New Roman" w:hAnsi="Times New Roman"/>
          <w:sz w:val="28"/>
          <w:szCs w:val="28"/>
        </w:rPr>
        <w:t>Las intervenciones se enfocaron en el literal b) del artículo. La Clínica Jurídica de la Escuela de Derecho y Ciencias Políticas de la Universidad Pontificia Bolivariana (UPB Medellín), señaló que el límite de una (1) hora, previsto para la activación de l</w:t>
      </w:r>
      <w:r w:rsidRPr="007C57D2">
        <w:rPr>
          <w:rFonts w:ascii="Times New Roman" w:hAnsi="Times New Roman"/>
          <w:sz w:val="28"/>
          <w:szCs w:val="28"/>
        </w:rPr>
        <w:t>a Alerta Colombia debe entenderse únicamente como un plazo máximo de actuación para las autoridades, y no como una condición que habilite o restrinja el inicio de la búsqueda. Resaltó que la obligación de activar de inmediato los mecanismos de búsqueda der</w:t>
      </w:r>
      <w:r w:rsidRPr="007C57D2">
        <w:rPr>
          <w:rFonts w:ascii="Times New Roman" w:hAnsi="Times New Roman"/>
          <w:sz w:val="28"/>
          <w:szCs w:val="28"/>
        </w:rPr>
        <w:t>iva tanto del marco normativo interno –en particular la Ley 971 de 2005 sobre el Mecanismo de Búsqueda Urgente, declarado exequible en la Sentencia C-473 de 2005– como de los estándares internacionales, que proscriben cualquier demora en la respuesta estat</w:t>
      </w:r>
      <w:r w:rsidRPr="007C57D2">
        <w:rPr>
          <w:rFonts w:ascii="Times New Roman" w:hAnsi="Times New Roman"/>
          <w:sz w:val="28"/>
          <w:szCs w:val="28"/>
        </w:rPr>
        <w:t>al frente a una desaparición. En este sentido, cualquier interpretación que permita posponer la activación de la alerta hasta agotar el término, según la interviniente, resultaría contraria al principio de inmediatez que debe guiar la protección de los der</w:t>
      </w:r>
      <w:r w:rsidRPr="007C57D2">
        <w:rPr>
          <w:rFonts w:ascii="Times New Roman" w:hAnsi="Times New Roman"/>
          <w:sz w:val="28"/>
          <w:szCs w:val="28"/>
        </w:rPr>
        <w:t xml:space="preserve">echos fundamentales de los NNA. </w:t>
      </w:r>
    </w:p>
    <w:p w:rsidR="00A24A5A" w:rsidRPr="007C57D2" w:rsidRDefault="007C57D2" w:rsidP="00A24A5A">
      <w:pPr>
        <w:pStyle w:val="Prrafodelista"/>
        <w:tabs>
          <w:tab w:val="left" w:pos="709"/>
        </w:tabs>
        <w:ind w:left="0"/>
        <w:jc w:val="both"/>
        <w:rPr>
          <w:rFonts w:ascii="Times New Roman" w:hAnsi="Times New Roman"/>
          <w:sz w:val="28"/>
          <w:szCs w:val="28"/>
          <w:lang w:val="es-ES_tradnl"/>
        </w:rPr>
      </w:pPr>
    </w:p>
    <w:p w:rsidR="001E19D5" w:rsidRPr="007C57D2" w:rsidRDefault="007C57D2" w:rsidP="00A24A5A">
      <w:pPr>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 xml:space="preserve">c. </w:t>
      </w:r>
      <w:r w:rsidRPr="007C57D2">
        <w:rPr>
          <w:rFonts w:ascii="Times New Roman" w:hAnsi="Times New Roman"/>
          <w:b/>
          <w:bCs/>
          <w:sz w:val="28"/>
          <w:szCs w:val="28"/>
          <w:lang w:val="es-ES_tradnl"/>
        </w:rPr>
        <w:t>Consideraciones de la Corte</w:t>
      </w: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El literal a) del artículo 9 del PLE dispone que la alerta solo se activa para niños y niñas entre 0 y 12 años, lo que excluye a los adolescentes de 13 a 17 años. Como se indicó en el análisi</w:t>
      </w:r>
      <w:r w:rsidRPr="007C57D2">
        <w:rPr>
          <w:rFonts w:ascii="Times New Roman" w:hAnsi="Times New Roman"/>
          <w:sz w:val="28"/>
          <w:szCs w:val="28"/>
        </w:rPr>
        <w:t xml:space="preserve">s del </w:t>
      </w:r>
      <w:r w:rsidRPr="007C57D2">
        <w:rPr>
          <w:rFonts w:ascii="Times New Roman" w:hAnsi="Times New Roman"/>
          <w:sz w:val="28"/>
          <w:szCs w:val="28"/>
        </w:rPr>
        <w:t xml:space="preserve">literal a) del </w:t>
      </w:r>
      <w:r w:rsidRPr="007C57D2">
        <w:rPr>
          <w:rFonts w:ascii="Times New Roman" w:hAnsi="Times New Roman"/>
          <w:sz w:val="28"/>
          <w:szCs w:val="28"/>
        </w:rPr>
        <w:t>artículo 2 del PLE</w:t>
      </w:r>
      <w:r w:rsidRPr="007C57D2">
        <w:rPr>
          <w:rFonts w:ascii="Times New Roman" w:hAnsi="Times New Roman"/>
          <w:sz w:val="28"/>
          <w:szCs w:val="28"/>
        </w:rPr>
        <w:t xml:space="preserve"> —cuyos argumentos reiteramos y se dan aquí por reproducidos—</w:t>
      </w:r>
      <w:r w:rsidRPr="007C57D2">
        <w:rPr>
          <w:rFonts w:ascii="Times New Roman" w:hAnsi="Times New Roman"/>
          <w:sz w:val="28"/>
          <w:szCs w:val="28"/>
        </w:rPr>
        <w:t xml:space="preserve">, esta diferenciación resulta incompatible, en primer lugar, con la Constitución Política, que en sus artículos 13, 44 y 45 consagra la especial protección de los NNA, reconoce el carácter prevalente de sus derechos y establece la corresponsabilidad de la </w:t>
      </w:r>
      <w:r w:rsidRPr="007C57D2">
        <w:rPr>
          <w:rFonts w:ascii="Times New Roman" w:hAnsi="Times New Roman"/>
          <w:sz w:val="28"/>
          <w:szCs w:val="28"/>
        </w:rPr>
        <w:t xml:space="preserve">familia, la sociedad y el Estado en su garantía. </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segundo término desconoce el bloque de constitucionalidad, en particular la Convención sobre los Derechos del Niño, que define como “niño” a todo ser humano menor de 18 años y obliga a los Estados parte</w:t>
      </w:r>
      <w:r w:rsidRPr="007C57D2">
        <w:rPr>
          <w:rFonts w:ascii="Times New Roman" w:hAnsi="Times New Roman"/>
          <w:sz w:val="28"/>
          <w:szCs w:val="28"/>
        </w:rPr>
        <w:t xml:space="preserve"> a garantizar su interés superior sin distinción alguna. A ello se suman otros instrumentos internacionales de derechos humanos –como la Convención Americana sobre Derechos Humanos y el Pacto Internacional de Derechos Civiles y Políticos– así como las obse</w:t>
      </w:r>
      <w:r w:rsidRPr="007C57D2">
        <w:rPr>
          <w:rFonts w:ascii="Times New Roman" w:hAnsi="Times New Roman"/>
          <w:sz w:val="28"/>
          <w:szCs w:val="28"/>
        </w:rPr>
        <w:t xml:space="preserve">rvaciones generales del Comité de los Derechos del Niño, que han reiterado los principios de no discriminación e interés superior del  niño.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Finalmente, contradice la jurisprudencia constitucional</w:t>
      </w:r>
      <w:r w:rsidRPr="007C57D2">
        <w:rPr>
          <w:rStyle w:val="Refdenotaalpie"/>
          <w:rFonts w:ascii="Times New Roman" w:hAnsi="Times New Roman"/>
          <w:sz w:val="28"/>
          <w:szCs w:val="28"/>
        </w:rPr>
        <w:footnoteReference w:id="554"/>
      </w:r>
      <w:r w:rsidRPr="007C57D2">
        <w:rPr>
          <w:rFonts w:ascii="Times New Roman" w:hAnsi="Times New Roman"/>
          <w:sz w:val="28"/>
          <w:szCs w:val="28"/>
        </w:rPr>
        <w:t>, que de manera constante ha precisado que los adolescent</w:t>
      </w:r>
      <w:r w:rsidRPr="007C57D2">
        <w:rPr>
          <w:rFonts w:ascii="Times New Roman" w:hAnsi="Times New Roman"/>
          <w:sz w:val="28"/>
          <w:szCs w:val="28"/>
        </w:rPr>
        <w:t>es están comprendidos en el concepto amplio de “niños” previsto en la Constitución, y que los derechos y garantías reconocidos a estos en el ordenamiento internacional también se predican de los “adolescentes”. Así, ambos grupos gozan de la misma protecció</w:t>
      </w:r>
      <w:r w:rsidRPr="007C57D2">
        <w:rPr>
          <w:rFonts w:ascii="Times New Roman" w:hAnsi="Times New Roman"/>
          <w:sz w:val="28"/>
          <w:szCs w:val="28"/>
        </w:rPr>
        <w:t xml:space="preserve">n reforzada y de los mismos derechos prevalentes, por lo que no resulta constitucionalmente admisible establecer diferenciaciones en el grado de amparo que se les otorga.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En consecuencia, por las razones previamente expuestas, el literal a) del artículo </w:t>
      </w:r>
      <w:r w:rsidRPr="007C57D2">
        <w:rPr>
          <w:rFonts w:ascii="Times New Roman" w:hAnsi="Times New Roman"/>
          <w:sz w:val="28"/>
          <w:szCs w:val="28"/>
        </w:rPr>
        <w:t>9 y, en particular, la expresión “entre 0 y 12 años” incurre en el mismo vicio de constitucionalidad del literal a) del artículo 2 porque causa un vacío de protección injustificado para los menores entre 13 y 17 años.</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Por ello, la sala aplicará el mismo r</w:t>
      </w:r>
      <w:r w:rsidRPr="007C57D2">
        <w:rPr>
          <w:rFonts w:ascii="Times New Roman" w:hAnsi="Times New Roman"/>
          <w:sz w:val="28"/>
          <w:szCs w:val="28"/>
        </w:rPr>
        <w:t xml:space="preserve">emedio constitucional que utilizó para el literal a) del artículo 2 del PLE, a saber: adoptar una </w:t>
      </w:r>
      <w:r w:rsidRPr="007C57D2">
        <w:rPr>
          <w:rFonts w:ascii="Times New Roman" w:hAnsi="Times New Roman"/>
          <w:i/>
          <w:iCs/>
          <w:sz w:val="28"/>
          <w:szCs w:val="28"/>
        </w:rPr>
        <w:t>sentencia integradora de tipo sustitutivo</w:t>
      </w:r>
      <w:r w:rsidRPr="007C57D2">
        <w:rPr>
          <w:rFonts w:ascii="Times New Roman" w:hAnsi="Times New Roman"/>
          <w:sz w:val="28"/>
          <w:szCs w:val="28"/>
        </w:rPr>
        <w:t>, mediante la cual se declare la inconstitucionalidad de la expresión “entre 0 y 12 años” y se sustituya por “menos d</w:t>
      </w:r>
      <w:r w:rsidRPr="007C57D2">
        <w:rPr>
          <w:rFonts w:ascii="Times New Roman" w:hAnsi="Times New Roman"/>
          <w:sz w:val="28"/>
          <w:szCs w:val="28"/>
        </w:rPr>
        <w:t xml:space="preserve">e 18 años de edad”.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El literal b) del artículo 9, por su parte, regula dos aspectos centrales en el procedimiento de activación de la Alerta Colombia. En primer lugar, fija un plazo máximo de una (1) hora entre el reporte de la desaparición y la activaci</w:t>
      </w:r>
      <w:r w:rsidRPr="007C57D2">
        <w:rPr>
          <w:rFonts w:ascii="Times New Roman" w:hAnsi="Times New Roman"/>
          <w:sz w:val="28"/>
          <w:szCs w:val="28"/>
        </w:rPr>
        <w:t>ón de la alerta. Este reporte puede efectuarse a través de la ventana especial habilitada en la página web oficial del ICBF, o de manera presencial ante la Policía Nacional o cualquier entidad integrante del Sistema Nacional de Bienestar Familiar, en aquel</w:t>
      </w:r>
      <w:r w:rsidRPr="007C57D2">
        <w:rPr>
          <w:rFonts w:ascii="Times New Roman" w:hAnsi="Times New Roman"/>
          <w:sz w:val="28"/>
          <w:szCs w:val="28"/>
        </w:rPr>
        <w:t>los casos en lo que no se cuente con medios tecnológicos para hacerlo en línea. En segundo lugar, la disposición establece que la autorización para el uso de los datos biométricos y personales de los NNA extraviados debe realizarse conforme a lo previsto e</w:t>
      </w:r>
      <w:r w:rsidRPr="007C57D2">
        <w:rPr>
          <w:rFonts w:ascii="Times New Roman" w:hAnsi="Times New Roman"/>
          <w:sz w:val="28"/>
          <w:szCs w:val="28"/>
        </w:rPr>
        <w:t>n el artículo 3 del mismo PLE, que establece los sujetos autorizados para diligenciar y firmar el consentimiento informado que permita el uso de sus datos personales y biométricos.</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De este modo, la norma busca garantizar que la activación de la alerta se </w:t>
      </w:r>
      <w:r w:rsidRPr="007C57D2">
        <w:rPr>
          <w:rFonts w:ascii="Times New Roman" w:hAnsi="Times New Roman"/>
          <w:sz w:val="28"/>
          <w:szCs w:val="28"/>
        </w:rPr>
        <w:t xml:space="preserve">produzca con celeridad y dentro de un marco temporal definido, a fin de favorecer la pronta localización del menor de 18 años extraviado. Al mismo tiempo, incorpora una salvaguarda en materia de protección de datos personales, condicionando el tratamiento </w:t>
      </w:r>
      <w:r w:rsidRPr="007C57D2">
        <w:rPr>
          <w:rFonts w:ascii="Times New Roman" w:hAnsi="Times New Roman"/>
          <w:sz w:val="28"/>
          <w:szCs w:val="28"/>
        </w:rPr>
        <w:t xml:space="preserve">de información sensible al cumplimiento de los principios y requisitos legales aplicables.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i/>
          <w:iCs/>
          <w:sz w:val="28"/>
          <w:szCs w:val="28"/>
        </w:rPr>
        <w:t>El literal b) del artículo 9 del PLE no ofrece ningún reproche de constitucionalidad</w:t>
      </w:r>
      <w:r w:rsidRPr="007C57D2">
        <w:rPr>
          <w:rFonts w:ascii="Times New Roman" w:hAnsi="Times New Roman"/>
          <w:sz w:val="28"/>
          <w:szCs w:val="28"/>
        </w:rPr>
        <w:t>. El problema jurídico planteado al comienzo de este análisis se centra en esta</w:t>
      </w:r>
      <w:r w:rsidRPr="007C57D2">
        <w:rPr>
          <w:rFonts w:ascii="Times New Roman" w:hAnsi="Times New Roman"/>
          <w:sz w:val="28"/>
          <w:szCs w:val="28"/>
        </w:rPr>
        <w:t>blecer si la fijación de un límite de una (1) hora para activar la alerta y la exigencia de autorización para el tratamiento de datos personales desconocen los derechos fundamentales de los NNA a la luz de la Constitución, el bloque de constitucionalidad y</w:t>
      </w:r>
      <w:r w:rsidRPr="007C57D2">
        <w:rPr>
          <w:rFonts w:ascii="Times New Roman" w:hAnsi="Times New Roman"/>
          <w:sz w:val="28"/>
          <w:szCs w:val="28"/>
        </w:rPr>
        <w:t xml:space="preserve"> la jurisprudencia de esta Corte.</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cuanto al plazo máximo de una (1) hora, la Sala considera que la disposición no restringe indebidamente la protección de los derechos de los menores de 18 años extraviados. Por el contrario, al establecer un marco temporal preciso, refuerza la obligació</w:t>
      </w:r>
      <w:r w:rsidRPr="007C57D2">
        <w:rPr>
          <w:rFonts w:ascii="Times New Roman" w:hAnsi="Times New Roman"/>
          <w:sz w:val="28"/>
          <w:szCs w:val="28"/>
        </w:rPr>
        <w:t xml:space="preserve">n de las autoridades de reaccionar con la mayor celeridad frente a su desaparición. Conforme a los artículos 44 y 45 de la Constitución, la vida, la integridad y la seguridad de los menores de 18 años son derechos prevalentes y, en virtud del principio de </w:t>
      </w:r>
      <w:r w:rsidRPr="007C57D2">
        <w:rPr>
          <w:rFonts w:ascii="Times New Roman" w:hAnsi="Times New Roman"/>
          <w:sz w:val="28"/>
          <w:szCs w:val="28"/>
        </w:rPr>
        <w:t xml:space="preserve">eficacia, exigen una actuación inmediata del Estado. La Convención sobre los Derechos del Niño y la jurisprudencia constitucional han reiterado que el interés superior de esta población impone una protección urgente e incondicionada.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este sentido, com</w:t>
      </w:r>
      <w:r w:rsidRPr="007C57D2">
        <w:rPr>
          <w:rFonts w:ascii="Times New Roman" w:hAnsi="Times New Roman"/>
          <w:sz w:val="28"/>
          <w:szCs w:val="28"/>
        </w:rPr>
        <w:t>o lo señaló la Clínica Jurídica de la Universidad Pontificia Bolivariana (UPB Medellín), el término de una (1) hora debe interpretarse en armonía con el principio de celeridad que caracteriza los mecanismos de búsqueda de personas desaparecidas</w:t>
      </w:r>
      <w:r w:rsidRPr="007C57D2">
        <w:rPr>
          <w:rFonts w:ascii="Times New Roman" w:hAnsi="Times New Roman"/>
          <w:sz w:val="28"/>
          <w:vertAlign w:val="superscript"/>
        </w:rPr>
        <w:footnoteReference w:id="555"/>
      </w:r>
      <w:r w:rsidRPr="007C57D2">
        <w:rPr>
          <w:rFonts w:ascii="Times New Roman" w:hAnsi="Times New Roman"/>
          <w:sz w:val="28"/>
          <w:szCs w:val="28"/>
        </w:rPr>
        <w:t>. Por ello,</w:t>
      </w:r>
      <w:r w:rsidRPr="007C57D2">
        <w:rPr>
          <w:rFonts w:ascii="Times New Roman" w:hAnsi="Times New Roman"/>
          <w:sz w:val="28"/>
          <w:szCs w:val="28"/>
        </w:rPr>
        <w:t xml:space="preserve"> dicho límite temporal </w:t>
      </w:r>
      <w:r w:rsidRPr="007C57D2">
        <w:rPr>
          <w:rFonts w:ascii="Times New Roman" w:hAnsi="Times New Roman"/>
          <w:sz w:val="28"/>
          <w:szCs w:val="28"/>
        </w:rPr>
        <w:t xml:space="preserve">es, como lo señala el literal b) del artículo 9 del PLE, </w:t>
      </w:r>
      <w:r w:rsidRPr="007C57D2">
        <w:rPr>
          <w:rFonts w:ascii="Times New Roman" w:hAnsi="Times New Roman"/>
          <w:sz w:val="28"/>
          <w:szCs w:val="28"/>
        </w:rPr>
        <w:t>un plazo máximo orientador que obliga a las autoridades a actuar antes de su vencimiento y nunca como una justificación para diferir la activación de la alerta. Bajo esta inter</w:t>
      </w:r>
      <w:r w:rsidRPr="007C57D2">
        <w:rPr>
          <w:rFonts w:ascii="Times New Roman" w:hAnsi="Times New Roman"/>
          <w:sz w:val="28"/>
          <w:szCs w:val="28"/>
        </w:rPr>
        <w:t>pretación, el lapso de una (1) hora resulta razonable y compatible con la Constitución.</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lo que respecta a la autorización para el tratamiento de datos personales y biométricos, la Corte observa que la remisión al artículo 3 obedece a la necesidad de ga</w:t>
      </w:r>
      <w:r w:rsidRPr="007C57D2">
        <w:rPr>
          <w:rFonts w:ascii="Times New Roman" w:hAnsi="Times New Roman"/>
          <w:sz w:val="28"/>
          <w:szCs w:val="28"/>
        </w:rPr>
        <w:t>rantizar la intimidad y dignidad de los menores de 18 años, en concordancia con el derecho fundamental al habeas data (art. 15 CP). Tal previsión debe comprenderse en los términos definidos en el análisis de constitucionalidad del artículo 3 del PLE, en el</w:t>
      </w:r>
      <w:r w:rsidRPr="007C57D2">
        <w:rPr>
          <w:rFonts w:ascii="Times New Roman" w:hAnsi="Times New Roman"/>
          <w:sz w:val="28"/>
          <w:szCs w:val="28"/>
        </w:rPr>
        <w:t xml:space="preserve"> cual se precisó el alcance de la autorización y su compatibilidad con los derechos fundamentales y la Ley Estatutaria 1581 de 2012, junto con la </w:t>
      </w:r>
      <w:r w:rsidRPr="007C57D2">
        <w:rPr>
          <w:rFonts w:ascii="Times New Roman" w:hAnsi="Times New Roman"/>
          <w:sz w:val="28"/>
          <w:szCs w:val="28"/>
        </w:rPr>
        <w:t>S</w:t>
      </w:r>
      <w:r w:rsidRPr="007C57D2">
        <w:rPr>
          <w:rFonts w:ascii="Times New Roman" w:hAnsi="Times New Roman"/>
          <w:sz w:val="28"/>
          <w:szCs w:val="28"/>
        </w:rPr>
        <w:t>entencia C-748 de 2011. Por ello, el literal b) no plantea un reproche autónomo de constitucionalidad en este</w:t>
      </w:r>
      <w:r w:rsidRPr="007C57D2">
        <w:rPr>
          <w:rFonts w:ascii="Times New Roman" w:hAnsi="Times New Roman"/>
          <w:sz w:val="28"/>
          <w:szCs w:val="28"/>
        </w:rPr>
        <w:t xml:space="preserve"> aspecto.</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síntesis, el literal b) del artículo 9 del PLE se ajusta a la Constitución, ya que asegura un marco de celeridad en la búsqueda de menores de 18 años extraviados y protege sus datos personales, siempre que se interprete bajo el principio rect</w:t>
      </w:r>
      <w:r w:rsidRPr="007C57D2">
        <w:rPr>
          <w:rFonts w:ascii="Times New Roman" w:hAnsi="Times New Roman"/>
          <w:sz w:val="28"/>
          <w:szCs w:val="28"/>
        </w:rPr>
        <w:t>or del interés superior de los NNA.</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Finalmente, el literal c) del artículo 9 del PLE establece que los padres, representantes legales, quienes ostenten la custodia, los cuidadores, el ICBF o cualquier persona que tenga conocimiento sobre un menor de 18 añ</w:t>
      </w:r>
      <w:r w:rsidRPr="007C57D2">
        <w:rPr>
          <w:rFonts w:ascii="Times New Roman" w:hAnsi="Times New Roman"/>
          <w:sz w:val="28"/>
          <w:szCs w:val="28"/>
          <w:lang w:val="es-ES_tradnl"/>
        </w:rPr>
        <w:t xml:space="preserve">os extraviado deben contar con información suficiente al momento de emitir la alerta, de manera que la colaboración ciudadana resulte efectiva. </w:t>
      </w:r>
      <w:r w:rsidRPr="007C57D2">
        <w:rPr>
          <w:rFonts w:ascii="Times New Roman" w:hAnsi="Times New Roman"/>
          <w:sz w:val="28"/>
          <w:szCs w:val="28"/>
        </w:rPr>
        <w:t>La norma busca garantizar que la difusión de la Alerta Colombia incluya datos claros, pertinentes y verificables</w:t>
      </w:r>
      <w:r w:rsidRPr="007C57D2">
        <w:rPr>
          <w:rFonts w:ascii="Times New Roman" w:hAnsi="Times New Roman"/>
          <w:sz w:val="28"/>
          <w:szCs w:val="28"/>
        </w:rPr>
        <w:t xml:space="preserve">, que permitan a la sociedad contribuir de forma real a la localización del </w:t>
      </w:r>
      <w:r w:rsidRPr="007C57D2">
        <w:rPr>
          <w:rFonts w:ascii="Times New Roman" w:hAnsi="Times New Roman"/>
          <w:sz w:val="28"/>
          <w:szCs w:val="28"/>
        </w:rPr>
        <w:t xml:space="preserve">NNA </w:t>
      </w:r>
      <w:r w:rsidRPr="007C57D2">
        <w:rPr>
          <w:rFonts w:ascii="Times New Roman" w:hAnsi="Times New Roman"/>
          <w:sz w:val="28"/>
          <w:szCs w:val="28"/>
        </w:rPr>
        <w:t>extraviado y a la eficacia de los mecanismos de búsqueda.</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rPr>
        <w:t xml:space="preserve">El literal c) del artículo 9 del PLE no ofrece ningún reproche de constitucionalidad. </w:t>
      </w:r>
      <w:r w:rsidRPr="007C57D2">
        <w:rPr>
          <w:rFonts w:ascii="Times New Roman" w:hAnsi="Times New Roman"/>
          <w:sz w:val="28"/>
          <w:szCs w:val="28"/>
          <w:lang w:val="es-ES"/>
        </w:rPr>
        <w:t xml:space="preserve">Si bien la disposición no </w:t>
      </w:r>
      <w:r w:rsidRPr="007C57D2">
        <w:rPr>
          <w:rFonts w:ascii="Times New Roman" w:hAnsi="Times New Roman"/>
          <w:sz w:val="28"/>
          <w:szCs w:val="28"/>
          <w:lang w:val="es-ES"/>
        </w:rPr>
        <w:t xml:space="preserve">determina el tipo de información que se debe solicitar a quienes realicen el reporte para activar la alarma, para la Sala Plena es claro que la información a la que hace referencia este literal es aquella que se encuentra especificada en el artículo 4 del </w:t>
      </w:r>
      <w:r w:rsidRPr="007C57D2">
        <w:rPr>
          <w:rFonts w:ascii="Times New Roman" w:hAnsi="Times New Roman"/>
          <w:sz w:val="28"/>
          <w:szCs w:val="28"/>
          <w:lang w:val="es-ES"/>
        </w:rPr>
        <w:t>PLE que se revisa</w:t>
      </w:r>
      <w:r w:rsidRPr="007C57D2">
        <w:rPr>
          <w:rFonts w:ascii="Times New Roman" w:hAnsi="Times New Roman"/>
          <w:sz w:val="28"/>
          <w:vertAlign w:val="superscript"/>
          <w:lang w:val="es-ES"/>
        </w:rPr>
        <w:footnoteReference w:id="556"/>
      </w:r>
      <w:r w:rsidRPr="007C57D2">
        <w:rPr>
          <w:rFonts w:ascii="Times New Roman" w:hAnsi="Times New Roman"/>
          <w:sz w:val="28"/>
          <w:szCs w:val="28"/>
          <w:lang w:val="es-ES"/>
        </w:rPr>
        <w:t xml:space="preserve">, </w:t>
      </w:r>
      <w:r w:rsidRPr="007C57D2">
        <w:rPr>
          <w:rFonts w:ascii="Times New Roman" w:hAnsi="Times New Roman"/>
          <w:sz w:val="28"/>
          <w:szCs w:val="28"/>
        </w:rPr>
        <w:t xml:space="preserve">el cual delimita los datos necesarios para la activación de la Alerta Colombia. Ahora bien, este artículo, de acuerdo con las conclusiones precedentes, </w:t>
      </w:r>
      <w:r w:rsidRPr="007C57D2">
        <w:rPr>
          <w:rFonts w:ascii="Times New Roman" w:hAnsi="Times New Roman"/>
          <w:sz w:val="28"/>
          <w:szCs w:val="28"/>
          <w:lang w:val="es-ES"/>
        </w:rPr>
        <w:t xml:space="preserve">es compatible con la Constitución Política de Colombia.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Como se explicó en la part</w:t>
      </w:r>
      <w:r w:rsidRPr="007C57D2">
        <w:rPr>
          <w:rFonts w:ascii="Times New Roman" w:hAnsi="Times New Roman"/>
          <w:sz w:val="28"/>
          <w:szCs w:val="28"/>
          <w:lang w:val="es-ES"/>
        </w:rPr>
        <w:t>e considerativa de esta providencia, el artículo 7 de la Ley 1581 de 2012 estableció que el tratamiento de los datos de los NNA está proscrito salvo aquellos datos que sean de naturaleza pública. Al respecto, la Sala Plena</w:t>
      </w:r>
      <w:r w:rsidRPr="007C57D2">
        <w:rPr>
          <w:rFonts w:ascii="Times New Roman" w:hAnsi="Times New Roman"/>
          <w:sz w:val="28"/>
          <w:vertAlign w:val="superscript"/>
          <w:lang w:val="es-ES"/>
        </w:rPr>
        <w:footnoteReference w:id="557"/>
      </w:r>
      <w:r w:rsidRPr="007C57D2">
        <w:rPr>
          <w:rFonts w:ascii="Times New Roman" w:hAnsi="Times New Roman"/>
          <w:sz w:val="28"/>
          <w:szCs w:val="28"/>
          <w:lang w:val="es-ES"/>
        </w:rPr>
        <w:t xml:space="preserve"> determinó que el uso de sus dato</w:t>
      </w:r>
      <w:r w:rsidRPr="007C57D2">
        <w:rPr>
          <w:rFonts w:ascii="Times New Roman" w:hAnsi="Times New Roman"/>
          <w:sz w:val="28"/>
          <w:szCs w:val="28"/>
          <w:lang w:val="es-ES"/>
        </w:rPr>
        <w:t>s personales, al margen de su naturaleza, pueden ser objeto de tratamiento siempre y cuando (i) no se ponga en riesgo la prevalencia de sus derechos fundamentales, y (ii) el fin que se persiga responda al interés superior de los menores de 18 años</w:t>
      </w:r>
      <w:r w:rsidRPr="007C57D2">
        <w:rPr>
          <w:rFonts w:ascii="Times New Roman" w:hAnsi="Times New Roman"/>
          <w:sz w:val="28"/>
          <w:vertAlign w:val="superscript"/>
          <w:lang w:val="es-ES"/>
        </w:rPr>
        <w:footnoteReference w:id="558"/>
      </w:r>
      <w:r w:rsidRPr="007C57D2">
        <w:rPr>
          <w:rFonts w:ascii="Times New Roman" w:hAnsi="Times New Roman"/>
          <w:sz w:val="28"/>
          <w:szCs w:val="28"/>
          <w:lang w:val="es-ES"/>
        </w:rPr>
        <w:t xml:space="preserve">. </w:t>
      </w:r>
      <w:r w:rsidRPr="007C57D2">
        <w:rPr>
          <w:rFonts w:ascii="Times New Roman" w:hAnsi="Times New Roman"/>
          <w:sz w:val="28"/>
          <w:szCs w:val="28"/>
        </w:rPr>
        <w:t xml:space="preserve">Dicho </w:t>
      </w:r>
      <w:r w:rsidRPr="007C57D2">
        <w:rPr>
          <w:rFonts w:ascii="Times New Roman" w:hAnsi="Times New Roman"/>
          <w:sz w:val="28"/>
          <w:szCs w:val="28"/>
        </w:rPr>
        <w:t xml:space="preserve">principio, entre otros, impone que todas las autoridades y particulares orienten sus actuaciones a maximizar la protección de sus derechos fundamentales y a minimizar cualquier riesgo que pueda afectarlos. </w:t>
      </w:r>
    </w:p>
    <w:p w:rsidR="001E19D5" w:rsidRPr="007C57D2" w:rsidRDefault="007C57D2" w:rsidP="008F3DAB">
      <w:pPr>
        <w:spacing w:after="0" w:line="240" w:lineRule="auto"/>
        <w:jc w:val="both"/>
        <w:rPr>
          <w:rFonts w:ascii="Times New Roman" w:hAnsi="Times New Roman"/>
          <w:sz w:val="28"/>
          <w:szCs w:val="28"/>
        </w:rPr>
      </w:pPr>
    </w:p>
    <w:p w:rsidR="00FD0700" w:rsidRPr="007C57D2" w:rsidRDefault="007C57D2" w:rsidP="00FD0700">
      <w:pPr>
        <w:pStyle w:val="Prrafodelista"/>
        <w:numPr>
          <w:ilvl w:val="0"/>
          <w:numId w:val="3"/>
        </w:numPr>
        <w:ind w:left="0" w:firstLine="0"/>
        <w:jc w:val="both"/>
        <w:rPr>
          <w:rFonts w:ascii="Times New Roman" w:hAnsi="Times New Roman"/>
          <w:color w:val="000000"/>
          <w:sz w:val="28"/>
          <w:szCs w:val="28"/>
        </w:rPr>
      </w:pPr>
      <w:r w:rsidRPr="007C57D2">
        <w:rPr>
          <w:rFonts w:ascii="Times New Roman" w:hAnsi="Times New Roman"/>
          <w:sz w:val="28"/>
          <w:szCs w:val="28"/>
        </w:rPr>
        <w:t>En relación con el tratamiento de datos personal</w:t>
      </w:r>
      <w:r w:rsidRPr="007C57D2">
        <w:rPr>
          <w:rFonts w:ascii="Times New Roman" w:hAnsi="Times New Roman"/>
          <w:sz w:val="28"/>
          <w:szCs w:val="28"/>
        </w:rPr>
        <w:t>es de los NNA, Naciones Unidas en su informe A/HRC/46/37 del 25 de enero de 2021 realizó varias recomendaciones a los Estados en relación con los datos biométricos y personales estos. En ese sentido, recomendó que no se recopilen datos biométricos de los m</w:t>
      </w:r>
      <w:r w:rsidRPr="007C57D2">
        <w:rPr>
          <w:rFonts w:ascii="Times New Roman" w:hAnsi="Times New Roman"/>
          <w:sz w:val="28"/>
          <w:szCs w:val="28"/>
        </w:rPr>
        <w:t>enores de 18 años, salvo como medida excepcional y únicamente cuando sea legal, necesario y proporcionado. De igual forma, encomendó que los datos de los menores de 18 años se traten de forma justa y segura, con una finalidad específica y de acuerdo con un</w:t>
      </w:r>
      <w:r w:rsidRPr="007C57D2">
        <w:rPr>
          <w:rFonts w:ascii="Times New Roman" w:hAnsi="Times New Roman"/>
          <w:sz w:val="28"/>
          <w:szCs w:val="28"/>
        </w:rPr>
        <w:t xml:space="preserve">a base jurídica legítima. A su vez, que quienes traten dichos datos, sean conscientes del derecho de los </w:t>
      </w:r>
      <w:r w:rsidRPr="007C57D2">
        <w:rPr>
          <w:rFonts w:ascii="Times New Roman" w:hAnsi="Times New Roman"/>
          <w:color w:val="000000"/>
          <w:sz w:val="28"/>
          <w:szCs w:val="28"/>
        </w:rPr>
        <w:t xml:space="preserve">niños a la privacidad y a la protección de sus datos. </w:t>
      </w:r>
    </w:p>
    <w:p w:rsidR="00FD0700" w:rsidRPr="007C57D2" w:rsidRDefault="007C57D2" w:rsidP="00FD0700">
      <w:pPr>
        <w:pStyle w:val="Prrafodelista"/>
        <w:rPr>
          <w:rFonts w:ascii="Times New Roman" w:hAnsi="Times New Roman"/>
          <w:sz w:val="28"/>
          <w:szCs w:val="28"/>
        </w:rPr>
      </w:pPr>
    </w:p>
    <w:p w:rsidR="001E19D5" w:rsidRPr="007C57D2" w:rsidRDefault="007C57D2" w:rsidP="00FD0700">
      <w:pPr>
        <w:pStyle w:val="Prrafodelista"/>
        <w:numPr>
          <w:ilvl w:val="0"/>
          <w:numId w:val="3"/>
        </w:numPr>
        <w:ind w:left="0" w:firstLine="0"/>
        <w:jc w:val="both"/>
        <w:rPr>
          <w:rFonts w:ascii="Times New Roman" w:hAnsi="Times New Roman"/>
          <w:color w:val="000000"/>
          <w:sz w:val="28"/>
          <w:szCs w:val="28"/>
        </w:rPr>
      </w:pPr>
      <w:r w:rsidRPr="007C57D2">
        <w:rPr>
          <w:rFonts w:ascii="Times New Roman" w:hAnsi="Times New Roman"/>
          <w:sz w:val="28"/>
          <w:szCs w:val="28"/>
        </w:rPr>
        <w:t>Bajo este marco, la exigencia del literal c) del artículo 9 es constitucionalmente legítima. Co</w:t>
      </w:r>
      <w:r w:rsidRPr="007C57D2">
        <w:rPr>
          <w:rFonts w:ascii="Times New Roman" w:hAnsi="Times New Roman"/>
          <w:sz w:val="28"/>
          <w:szCs w:val="28"/>
        </w:rPr>
        <w:t>mo se explicó en el análisis del artículo 4, el recaudo de la información busca que, al momento de activar la Alerta Colombia, exista un conjunto mínimo de información que haga posible que la sociedad pueda identificar al menor de edad y, de esta manera, p</w:t>
      </w:r>
      <w:r w:rsidRPr="007C57D2">
        <w:rPr>
          <w:rFonts w:ascii="Times New Roman" w:hAnsi="Times New Roman"/>
          <w:sz w:val="28"/>
          <w:szCs w:val="28"/>
        </w:rPr>
        <w:t xml:space="preserve">ueda colaborar en su búsqueda y localización de forma eficaz. </w:t>
      </w:r>
      <w:r w:rsidRPr="007C57D2">
        <w:rPr>
          <w:rFonts w:ascii="Times New Roman" w:hAnsi="Times New Roman"/>
          <w:sz w:val="28"/>
          <w:szCs w:val="28"/>
        </w:rPr>
        <w:t>En todo caso, este literal debe leerse, interpretarse y aplicarse en armonía con lo establecido por la Corte respecto al artículo 4. Si la autoridad competente requiere información adicional a l</w:t>
      </w:r>
      <w:r w:rsidRPr="007C57D2">
        <w:rPr>
          <w:rFonts w:ascii="Times New Roman" w:hAnsi="Times New Roman"/>
          <w:sz w:val="28"/>
          <w:szCs w:val="28"/>
        </w:rPr>
        <w:t xml:space="preserve">a mencionada en ese artículo, deberá justificar que es estrictamente necesaria para la búsqueda, localización y recuperación del niño, niña o adolescente extraviado. Esto no implica ni significa que la constitucionalidad del literal c) del artículo 9 esté </w:t>
      </w:r>
      <w:r w:rsidRPr="007C57D2">
        <w:rPr>
          <w:rFonts w:ascii="Times New Roman" w:hAnsi="Times New Roman"/>
          <w:sz w:val="28"/>
          <w:szCs w:val="28"/>
        </w:rPr>
        <w:t>condicionada.</w:t>
      </w:r>
      <w:r w:rsidRPr="007C57D2">
        <w:rPr>
          <w:rFonts w:ascii="Times New Roman" w:hAnsi="Times New Roman"/>
          <w:color w:val="EE0000"/>
          <w:sz w:val="28"/>
          <w:szCs w:val="28"/>
          <w:lang w:val="es-ES"/>
        </w:rPr>
        <w:t xml:space="preserv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Además, la disposición que se estudia no habilita para solicitar de manera indiscriminada datos personales de los menores de 18 años</w:t>
      </w:r>
      <w:r w:rsidRPr="007C57D2">
        <w:rPr>
          <w:rFonts w:ascii="Times New Roman" w:hAnsi="Times New Roman"/>
          <w:sz w:val="28"/>
          <w:szCs w:val="28"/>
        </w:rPr>
        <w:t xml:space="preserve"> de edad</w:t>
      </w:r>
      <w:r w:rsidRPr="007C57D2">
        <w:rPr>
          <w:rFonts w:ascii="Times New Roman" w:hAnsi="Times New Roman"/>
          <w:sz w:val="28"/>
          <w:szCs w:val="28"/>
        </w:rPr>
        <w:t xml:space="preserve">, sino aquella estrictamente indispensable para garantizar la eficacia del mecanismo, delimitada en el artículo 4.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De igual forma, es importante resaltar que este literal no fue cuestionado por ninguno de los intervinientes en el presente trámite, lo que</w:t>
      </w:r>
      <w:r w:rsidRPr="007C57D2">
        <w:rPr>
          <w:rFonts w:ascii="Times New Roman" w:hAnsi="Times New Roman"/>
          <w:sz w:val="28"/>
          <w:szCs w:val="28"/>
        </w:rPr>
        <w:t xml:space="preserve"> le permite a la Sala Plena reafirmar que no existe un desacuerdo sobre su constitucionalidad.</w:t>
      </w:r>
    </w:p>
    <w:p w:rsidR="001E19D5" w:rsidRPr="007C57D2" w:rsidRDefault="007C57D2" w:rsidP="008F3DAB">
      <w:pPr>
        <w:spacing w:after="0" w:line="240" w:lineRule="auto"/>
        <w:jc w:val="both"/>
        <w:rPr>
          <w:rFonts w:ascii="Times New Roman" w:hAnsi="Times New Roman"/>
          <w:b/>
          <w:bCs/>
          <w:color w:val="000000"/>
          <w:sz w:val="28"/>
          <w:szCs w:val="32"/>
        </w:rPr>
      </w:pPr>
    </w:p>
    <w:p w:rsidR="001E19D5" w:rsidRPr="007C57D2" w:rsidRDefault="007C57D2" w:rsidP="00FD0700">
      <w:pPr>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 xml:space="preserve">d. </w:t>
      </w:r>
      <w:r w:rsidRPr="007C57D2">
        <w:rPr>
          <w:rFonts w:ascii="Times New Roman" w:hAnsi="Times New Roman"/>
          <w:b/>
          <w:bCs/>
          <w:color w:val="000000"/>
          <w:sz w:val="28"/>
          <w:szCs w:val="28"/>
          <w:lang w:val="es-ES_tradnl"/>
        </w:rPr>
        <w:t>Decisión sobre la constitucionalidad del artículo 9 del PLE</w:t>
      </w:r>
    </w:p>
    <w:p w:rsidR="001E19D5" w:rsidRPr="007C57D2" w:rsidRDefault="007C57D2" w:rsidP="008F3DAB">
      <w:pPr>
        <w:pStyle w:val="Prrafodelista"/>
        <w:numPr>
          <w:ilvl w:val="0"/>
          <w:numId w:val="3"/>
        </w:numPr>
        <w:ind w:left="0" w:firstLine="0"/>
        <w:jc w:val="both"/>
        <w:rPr>
          <w:rFonts w:ascii="Times New Roman" w:hAnsi="Times New Roman"/>
          <w:b/>
          <w:bCs/>
          <w:i/>
          <w:iCs/>
          <w:sz w:val="28"/>
          <w:szCs w:val="28"/>
          <w:lang w:val="es-ES"/>
        </w:rPr>
      </w:pPr>
      <w:r w:rsidRPr="007C57D2">
        <w:rPr>
          <w:rFonts w:ascii="Times New Roman" w:hAnsi="Times New Roman"/>
          <w:sz w:val="28"/>
          <w:szCs w:val="28"/>
          <w:lang w:val="es-ES"/>
        </w:rPr>
        <w:t>De conformidad con las consideraciones expuestas, la Corte declarará constitucional el artículo 9</w:t>
      </w:r>
      <w:r w:rsidRPr="007C57D2">
        <w:rPr>
          <w:rFonts w:ascii="Times New Roman" w:hAnsi="Times New Roman"/>
          <w:sz w:val="28"/>
          <w:szCs w:val="28"/>
          <w:lang w:val="es-ES"/>
        </w:rPr>
        <w:t xml:space="preserve"> del PLE, salvo la expresión “entre 0 y 12 años” contenida en su literal a), que se declarará inconstitucional y se sustituirá por la expresión “menos de 18 años de edad”.</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Ttulo3"/>
        <w:spacing w:before="0" w:after="0" w:line="240" w:lineRule="auto"/>
        <w:rPr>
          <w:rFonts w:ascii="Times New Roman" w:hAnsi="Times New Roman"/>
          <w:b/>
          <w:bCs/>
          <w:color w:val="000000"/>
          <w:lang w:val="es-ES_tradnl"/>
        </w:rPr>
      </w:pPr>
      <w:bookmarkStart w:id="53" w:name="_Toc222728038"/>
      <w:r w:rsidRPr="007C57D2">
        <w:rPr>
          <w:rFonts w:ascii="Times New Roman" w:hAnsi="Times New Roman"/>
          <w:b/>
          <w:bCs/>
          <w:color w:val="000000"/>
          <w:lang w:val="es-ES_tradnl"/>
        </w:rPr>
        <w:t>5.5.5. Sistema nacional de reporte virtual (Examen de constitucionalidad del artícu</w:t>
      </w:r>
      <w:r w:rsidRPr="007C57D2">
        <w:rPr>
          <w:rFonts w:ascii="Times New Roman" w:hAnsi="Times New Roman"/>
          <w:b/>
          <w:bCs/>
          <w:color w:val="000000"/>
          <w:lang w:val="es-ES_tradnl"/>
        </w:rPr>
        <w:t>lo 5 del PLE)</w:t>
      </w:r>
      <w:bookmarkEnd w:id="53"/>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1"/>
          <w:numId w:val="3"/>
        </w:numPr>
        <w:tabs>
          <w:tab w:val="left" w:pos="1134"/>
        </w:tabs>
        <w:ind w:left="567" w:firstLine="0"/>
        <w:jc w:val="both"/>
        <w:rPr>
          <w:rFonts w:ascii="Times New Roman" w:hAnsi="Times New Roman"/>
          <w:b/>
          <w:bCs/>
          <w:sz w:val="28"/>
          <w:szCs w:val="28"/>
          <w:lang w:val="es-ES_tradnl"/>
        </w:rPr>
      </w:pPr>
      <w:r w:rsidRPr="007C57D2">
        <w:rPr>
          <w:rFonts w:ascii="Times New Roman" w:hAnsi="Times New Roman"/>
          <w:b/>
          <w:bCs/>
          <w:sz w:val="28"/>
          <w:szCs w:val="28"/>
          <w:lang w:val="es-ES_tradnl"/>
        </w:rPr>
        <w:t>Transcripción de la norma objeto de control</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 continuación, se transcriben las normas contenidas en el artículo 5 del PLE: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5. Sistema Nacional de Reporte Virtual.</w:t>
      </w:r>
      <w:r w:rsidRPr="007C57D2">
        <w:rPr>
          <w:rFonts w:ascii="Times New Roman" w:hAnsi="Times New Roman"/>
          <w:sz w:val="28"/>
          <w:szCs w:val="26"/>
        </w:rPr>
        <w:t xml:space="preserve"> El Instituto Colombiano de bienestar Familiar dispondrá de una ventana especial de alerta en su página web oficial para que las personas puedan realizar de manera sencilla el respectivo reporte del niño o niña extraviado, incluyendo el consentimiento info</w:t>
      </w:r>
      <w:r w:rsidRPr="007C57D2">
        <w:rPr>
          <w:rFonts w:ascii="Times New Roman" w:hAnsi="Times New Roman"/>
          <w:sz w:val="28"/>
          <w:szCs w:val="26"/>
        </w:rPr>
        <w:t xml:space="preserve">rmado para el tratamiento de los datos biométricos y personales. La ventana virtual tendrá el instructivo para poder realizar el reporte y brindar toda la información necesaria para activar la alerta en caso de riesgo inminente.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El Instituto Colombiano d</w:t>
      </w:r>
      <w:r w:rsidRPr="007C57D2">
        <w:rPr>
          <w:rFonts w:ascii="Times New Roman" w:hAnsi="Times New Roman"/>
          <w:sz w:val="28"/>
          <w:szCs w:val="26"/>
        </w:rPr>
        <w:t>e Bienestar Familiar garantizará el acceso al Sistema Nacional de Reporte Virtual a la Policía Nacional, con el fin de consultar el reporte y generar la alerta.</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Cuando se haga uso de la plataforma virtual deberá indicarse expresamente el nombre e identifi</w:t>
      </w:r>
      <w:r w:rsidRPr="007C57D2">
        <w:rPr>
          <w:rFonts w:ascii="Times New Roman" w:hAnsi="Times New Roman"/>
          <w:sz w:val="28"/>
          <w:szCs w:val="26"/>
        </w:rPr>
        <w:t xml:space="preserve">cación de la persona que realiza el reporte.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Lo anterior no impedirá que, en aquellos casos en que no se cuente con los medios tecnológicos disponibles para interponer el reporte por medio de la página web oficial, el reporte del niño o niña extraviado s</w:t>
      </w:r>
      <w:r w:rsidRPr="007C57D2">
        <w:rPr>
          <w:rFonts w:ascii="Times New Roman" w:hAnsi="Times New Roman"/>
          <w:sz w:val="28"/>
          <w:szCs w:val="26"/>
        </w:rPr>
        <w:t>e pueda realizar de manera presencial ante la defensoría de familia, comisaría de familia o inspección de policía más cercano al lugar de la pérdida del niño o niña o la Policía Nacional en cualquiera de sus instalaciones, donde se dispondrán de los medios</w:t>
      </w:r>
      <w:r w:rsidRPr="007C57D2">
        <w:rPr>
          <w:rFonts w:ascii="Times New Roman" w:hAnsi="Times New Roman"/>
          <w:sz w:val="28"/>
          <w:szCs w:val="26"/>
        </w:rPr>
        <w:t xml:space="preserve"> necesarios para que se realice el trámite relacionado con la autorización para el tratamiento de datos biométricos y personales.</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Transcurridas (24) horas de realizar el reporte en la plataforma virtual o de manera personal y de no encontrarse el niño o n</w:t>
      </w:r>
      <w:r w:rsidRPr="007C57D2">
        <w:rPr>
          <w:rFonts w:ascii="Times New Roman" w:hAnsi="Times New Roman"/>
          <w:sz w:val="28"/>
          <w:szCs w:val="26"/>
        </w:rPr>
        <w:t>iña extraviado, el Instituto Colombiano de Bienestar Familiar deberá presentar la denuncia ante la Fiscalía General de la Nación, quien deberá actuar en el marco de sus competencias”.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17"/>
        </w:numPr>
        <w:tabs>
          <w:tab w:val="left" w:pos="1134"/>
        </w:tabs>
        <w:jc w:val="both"/>
        <w:rPr>
          <w:rFonts w:ascii="Times New Roman" w:hAnsi="Times New Roman"/>
          <w:b/>
          <w:bCs/>
          <w:sz w:val="28"/>
          <w:szCs w:val="28"/>
          <w:lang w:val="es-ES_tradnl"/>
        </w:rPr>
      </w:pPr>
      <w:r w:rsidRPr="007C57D2">
        <w:rPr>
          <w:rFonts w:ascii="Times New Roman" w:hAnsi="Times New Roman"/>
          <w:b/>
          <w:bCs/>
          <w:sz w:val="28"/>
          <w:szCs w:val="28"/>
          <w:lang w:val="es-ES_tradnl"/>
        </w:rPr>
        <w:t>Problema jurídico e intervenciones.</w:t>
      </w:r>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Corresponde a la Corte establecer </w:t>
      </w:r>
      <w:r w:rsidRPr="007C57D2">
        <w:rPr>
          <w:rFonts w:ascii="Times New Roman" w:hAnsi="Times New Roman"/>
          <w:sz w:val="28"/>
          <w:szCs w:val="28"/>
        </w:rPr>
        <w:t>si el Sistema Nacional de Reporte Virtual establecido en el artículo 5 se ajusta a la Constitución y al bloque de constitucionalidad. En particular, analizar si el procedimiento dispuesto para efectuar el reporte de un NNA extraviado garantiza el principio</w:t>
      </w:r>
      <w:r w:rsidRPr="007C57D2">
        <w:rPr>
          <w:rFonts w:ascii="Times New Roman" w:hAnsi="Times New Roman"/>
          <w:sz w:val="28"/>
          <w:szCs w:val="28"/>
        </w:rPr>
        <w:t xml:space="preserve"> del interés superior del menor de edad y los derechos fundamentales prevalentes de los NNA establecidos en el artículo 44 de la Constitución Política y en los artículos 6, 10, 11 de la Convención sobre los derechos del Niño</w:t>
      </w:r>
      <w:r w:rsidRPr="007C57D2">
        <w:rPr>
          <w:rFonts w:ascii="Times New Roman" w:hAnsi="Times New Roman"/>
          <w:sz w:val="28"/>
          <w:vertAlign w:val="superscript"/>
        </w:rPr>
        <w:footnoteReference w:id="559"/>
      </w:r>
      <w:r w:rsidRPr="007C57D2">
        <w:rPr>
          <w:rFonts w:ascii="Times New Roman" w:hAnsi="Times New Roman"/>
          <w:sz w:val="28"/>
          <w:szCs w:val="28"/>
        </w:rPr>
        <w:t xml:space="preserve"> y los artículos 10 y 25 de la Convención para la protección de todas las personas contra la desaparición forzada</w:t>
      </w:r>
      <w:r w:rsidRPr="007C57D2">
        <w:rPr>
          <w:rFonts w:ascii="Times New Roman" w:hAnsi="Times New Roman"/>
          <w:sz w:val="28"/>
          <w:vertAlign w:val="superscript"/>
        </w:rPr>
        <w:footnoteReference w:id="560"/>
      </w:r>
      <w:r w:rsidRPr="007C57D2">
        <w:rPr>
          <w:rFonts w:ascii="Times New Roman" w:hAnsi="Times New Roman"/>
          <w:sz w:val="28"/>
          <w:szCs w:val="28"/>
        </w:rPr>
        <w:t>. Así mismo, se estudiará si el límite temporal contemplado en la disposición para que el ICBF cumpla con su deber de presentar la denuncia an</w:t>
      </w:r>
      <w:r w:rsidRPr="007C57D2">
        <w:rPr>
          <w:rFonts w:ascii="Times New Roman" w:hAnsi="Times New Roman"/>
          <w:sz w:val="28"/>
          <w:szCs w:val="28"/>
        </w:rPr>
        <w:t>te la FGN en caso de no encontrarse al NNA extraviado, se ajusta a las normas constitucionales y convencionales señaladas.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El Ministerio de Justicia y la Defensoría del Pueblo se refirieron al Sistema Nacional de Reporte Virtual establecido en el artículo</w:t>
      </w:r>
      <w:r w:rsidRPr="007C57D2">
        <w:rPr>
          <w:rFonts w:ascii="Times New Roman" w:hAnsi="Times New Roman"/>
          <w:sz w:val="28"/>
          <w:szCs w:val="28"/>
        </w:rPr>
        <w:t xml:space="preserve"> 5 del PLE. Para el Ministerio de Justicia la disposición es exequible en tanto  establece la plataforma para realizar el reporte junto con el instructivo respectivo, lo que facilita el acceso a la justicia y permite al Estado responder de manera efectiva,</w:t>
      </w:r>
      <w:r w:rsidRPr="007C57D2">
        <w:rPr>
          <w:rFonts w:ascii="Times New Roman" w:hAnsi="Times New Roman"/>
          <w:sz w:val="28"/>
          <w:szCs w:val="28"/>
        </w:rPr>
        <w:t xml:space="preserve"> garantizando el interés prevalente de los NNA conforme al artículo 44 de la Constitución.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Por su parte, el Defensor para Asuntos Constitucionales y Legales de la Defensoría del Pueblo solicitó declarar la inconstitucionalidad de la expresión “[t]ranscur</w:t>
      </w:r>
      <w:r w:rsidRPr="007C57D2">
        <w:rPr>
          <w:rFonts w:ascii="Times New Roman" w:hAnsi="Times New Roman"/>
          <w:sz w:val="28"/>
          <w:szCs w:val="28"/>
        </w:rPr>
        <w:t>ridas (24) horas de realizar el reporte en la plataforma virtual o de manera personal y de no encontrarse el niño o niña extraviado”, contemplada en el último inciso del artículo 5 bajo estudio. Considera que la expresión referida desconoce lo previsto art</w:t>
      </w:r>
      <w:r w:rsidRPr="007C57D2">
        <w:rPr>
          <w:rFonts w:ascii="Times New Roman" w:hAnsi="Times New Roman"/>
          <w:sz w:val="28"/>
          <w:szCs w:val="28"/>
        </w:rPr>
        <w:t xml:space="preserve">ículo 10.2 de la Convención Internacional para la protección de todas las personas contra la desaparición forzada, que hace parte del bloque de constitucionalidad. En su criterio, esta norma establece el deber del Estado Parte de proceder inmediatamente a </w:t>
      </w:r>
      <w:r w:rsidRPr="007C57D2">
        <w:rPr>
          <w:rFonts w:ascii="Times New Roman" w:hAnsi="Times New Roman"/>
          <w:sz w:val="28"/>
          <w:szCs w:val="28"/>
        </w:rPr>
        <w:t>una investigación preliminar o averiguación de los hechos debido a que “las primeras horas después de una desaparición son fundamentales para encontrar la persona”</w:t>
      </w:r>
      <w:r w:rsidRPr="007C57D2">
        <w:rPr>
          <w:rFonts w:ascii="Times New Roman" w:hAnsi="Times New Roman"/>
          <w:sz w:val="28"/>
          <w:szCs w:val="28"/>
          <w:vertAlign w:val="superscript"/>
        </w:rPr>
        <w:t xml:space="preserve"> </w:t>
      </w:r>
      <w:r w:rsidRPr="007C57D2">
        <w:rPr>
          <w:rFonts w:ascii="Times New Roman" w:hAnsi="Times New Roman"/>
          <w:sz w:val="28"/>
          <w:vertAlign w:val="superscript"/>
        </w:rPr>
        <w:footnoteReference w:id="561"/>
      </w:r>
      <w:r w:rsidRPr="007C57D2">
        <w:rPr>
          <w:rFonts w:ascii="Times New Roman" w:hAnsi="Times New Roman"/>
          <w:sz w:val="28"/>
          <w:szCs w:val="28"/>
        </w:rPr>
        <w:t>. Concluye que esperar 24 horas para presentar la denuncia ante la FGN es una dilación inju</w:t>
      </w:r>
      <w:r w:rsidRPr="007C57D2">
        <w:rPr>
          <w:rFonts w:ascii="Times New Roman" w:hAnsi="Times New Roman"/>
          <w:sz w:val="28"/>
          <w:szCs w:val="28"/>
        </w:rPr>
        <w:t>stificada que podría atentar contra de la integridad física y la vida del niño o niña extraviado por no adoptarse acciones inmediatas para ubicarlo, incluyendo las actuaciones judiciales.</w:t>
      </w:r>
    </w:p>
    <w:p w:rsidR="001E19D5" w:rsidRPr="007C57D2" w:rsidRDefault="007C57D2" w:rsidP="008F3DAB">
      <w:pPr>
        <w:spacing w:after="0" w:line="240" w:lineRule="auto"/>
        <w:rPr>
          <w:rFonts w:ascii="Times New Roman" w:hAnsi="Times New Roman"/>
          <w:sz w:val="28"/>
        </w:rPr>
      </w:pPr>
    </w:p>
    <w:p w:rsidR="001E19D5" w:rsidRPr="007C57D2" w:rsidRDefault="007C57D2" w:rsidP="008F3DAB">
      <w:pPr>
        <w:pStyle w:val="Prrafodelista"/>
        <w:numPr>
          <w:ilvl w:val="0"/>
          <w:numId w:val="17"/>
        </w:numPr>
        <w:rPr>
          <w:rFonts w:ascii="Times New Roman" w:hAnsi="Times New Roman"/>
          <w:b/>
          <w:bCs/>
          <w:color w:val="000000"/>
          <w:sz w:val="28"/>
          <w:szCs w:val="28"/>
          <w:lang w:val="es-ES_tradnl"/>
        </w:rPr>
      </w:pPr>
      <w:r w:rsidRPr="007C57D2">
        <w:rPr>
          <w:rFonts w:ascii="Times New Roman" w:hAnsi="Times New Roman"/>
          <w:b/>
          <w:bCs/>
          <w:color w:val="000000"/>
          <w:sz w:val="28"/>
          <w:szCs w:val="28"/>
          <w:lang w:val="es-ES_tradnl"/>
        </w:rPr>
        <w:t xml:space="preserve">Consideraciones de la Corte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i/>
          <w:iCs/>
          <w:sz w:val="28"/>
          <w:szCs w:val="28"/>
        </w:rPr>
        <w:t>Alcance del artículo 5</w:t>
      </w:r>
      <w:r w:rsidRPr="007C57D2">
        <w:rPr>
          <w:rFonts w:ascii="Times New Roman" w:hAnsi="Times New Roman"/>
          <w:sz w:val="28"/>
          <w:szCs w:val="28"/>
        </w:rPr>
        <w:t>. Esta disposic</w:t>
      </w:r>
      <w:r w:rsidRPr="007C57D2">
        <w:rPr>
          <w:rFonts w:ascii="Times New Roman" w:hAnsi="Times New Roman"/>
          <w:sz w:val="28"/>
          <w:szCs w:val="28"/>
        </w:rPr>
        <w:t>ión establece el acceso a la Alerta Colombia, mediante el mecanismo denominado Sistema Nacional de Reporte Virtual de niños o niñas extraviados. El artículo 5 atribuye al ICBF tres funciones, tareas o deberes: (i) crear una ventana especial de alerta en su</w:t>
      </w:r>
      <w:r w:rsidRPr="007C57D2">
        <w:rPr>
          <w:rFonts w:ascii="Times New Roman" w:hAnsi="Times New Roman"/>
          <w:sz w:val="28"/>
          <w:szCs w:val="28"/>
        </w:rPr>
        <w:t xml:space="preserve"> página web oficial para realizar los reportes sobre NNA extraviados, con su instructivo para ingresar la información que permita activar dicha alerta y con el consentimiento informado para el tratamiento de datos biométricos y personales; (ii) garantizar </w:t>
      </w:r>
      <w:r w:rsidRPr="007C57D2">
        <w:rPr>
          <w:rFonts w:ascii="Times New Roman" w:hAnsi="Times New Roman"/>
          <w:sz w:val="28"/>
          <w:szCs w:val="28"/>
        </w:rPr>
        <w:t>a la Policía Nacional el acceso para consultar el reporte y generar la alerta; y (iii) presentar a la FGN la denuncia del NNA extraviado y no encontrado, transcurridas 24 horas de haberse realizado el reporte virtual o personal.</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La norma establece la obli</w:t>
      </w:r>
      <w:r w:rsidRPr="007C57D2">
        <w:rPr>
          <w:rFonts w:ascii="Times New Roman" w:hAnsi="Times New Roman"/>
          <w:sz w:val="28"/>
          <w:szCs w:val="28"/>
        </w:rPr>
        <w:t>gación de los padres, representantes legales, quienes tengan la custodia, los cuidadores o los familiares</w:t>
      </w:r>
      <w:r w:rsidRPr="007C57D2">
        <w:rPr>
          <w:rFonts w:ascii="Times New Roman" w:hAnsi="Times New Roman"/>
          <w:sz w:val="28"/>
          <w:vertAlign w:val="superscript"/>
        </w:rPr>
        <w:footnoteReference w:id="562"/>
      </w:r>
      <w:r w:rsidRPr="007C57D2">
        <w:rPr>
          <w:rFonts w:ascii="Times New Roman" w:hAnsi="Times New Roman"/>
          <w:sz w:val="28"/>
          <w:szCs w:val="28"/>
        </w:rPr>
        <w:t xml:space="preserve"> del NNA extraviado, de indicar expresamente su nombre e identificación al momento de realizar el reporte virtual. </w:t>
      </w:r>
      <w:r w:rsidRPr="007C57D2">
        <w:rPr>
          <w:rFonts w:ascii="Times New Roman" w:eastAsia="Segoe UI" w:hAnsi="Times New Roman"/>
          <w:sz w:val="28"/>
          <w:szCs w:val="28"/>
        </w:rPr>
        <w:t>Se entiende por identificación, cua</w:t>
      </w:r>
      <w:r w:rsidRPr="007C57D2">
        <w:rPr>
          <w:rFonts w:ascii="Times New Roman" w:eastAsia="Segoe UI" w:hAnsi="Times New Roman"/>
          <w:sz w:val="28"/>
          <w:szCs w:val="28"/>
        </w:rPr>
        <w:t>lquier documento válido como la cédula de ciudadanía, el registro civil de nacimiento o el pasaporte. En el caso de migrantes o extranjeros, son documentos de identificación, el pasaporte, visas, salvoconductos, permisos temporales o cualquier otro documen</w:t>
      </w:r>
      <w:r w:rsidRPr="007C57D2">
        <w:rPr>
          <w:rFonts w:ascii="Times New Roman" w:eastAsia="Segoe UI" w:hAnsi="Times New Roman"/>
          <w:sz w:val="28"/>
          <w:szCs w:val="28"/>
        </w:rPr>
        <w:t xml:space="preserve">to equivalente expedido por las autoridades competentes. </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Además, el artículo también atribuye a otras autoridades la función de recibir reportes presenciales cuando no se disponga de los medios tecnológicos necesarios para hacerlo de manera virtual en la</w:t>
      </w:r>
      <w:r w:rsidRPr="007C57D2">
        <w:rPr>
          <w:rFonts w:ascii="Times New Roman" w:hAnsi="Times New Roman"/>
          <w:sz w:val="28"/>
          <w:szCs w:val="28"/>
        </w:rPr>
        <w:t xml:space="preserve"> página oficial del ICBF. Son estas, la defensoría de familia, la comisaria de familia o la inspección de policía más cercana al lugar donde se haya perdido el NNA o cualquier instalación de la Policía Nacional, autoridades que deberán facilitar el trámite</w:t>
      </w:r>
      <w:r w:rsidRPr="007C57D2">
        <w:rPr>
          <w:rFonts w:ascii="Times New Roman" w:hAnsi="Times New Roman"/>
          <w:sz w:val="28"/>
          <w:szCs w:val="28"/>
        </w:rPr>
        <w:t xml:space="preserve"> del consentimiento informado para el tratamiento de datos biométricos y personales, de acuerdo con lo dispuesto en esta ley.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i/>
          <w:iCs/>
          <w:sz w:val="28"/>
          <w:szCs w:val="28"/>
        </w:rPr>
        <w:t xml:space="preserve">Sobre los deberes atribuidos al ICBF y a otras autoridades públicas en esta disposición. </w:t>
      </w:r>
      <w:r w:rsidRPr="007C57D2">
        <w:rPr>
          <w:rFonts w:ascii="Times New Roman" w:hAnsi="Times New Roman"/>
          <w:sz w:val="28"/>
          <w:szCs w:val="28"/>
        </w:rPr>
        <w:t>La Corte observa que los primeros dos i</w:t>
      </w:r>
      <w:r w:rsidRPr="007C57D2">
        <w:rPr>
          <w:rFonts w:ascii="Times New Roman" w:hAnsi="Times New Roman"/>
          <w:sz w:val="28"/>
          <w:szCs w:val="28"/>
        </w:rPr>
        <w:t>ncisos del artículo 5 son constitucionales porque su objetivo es establecer el mecanismo virtual mediante el cual las personas autorizadas podrán efectuar el reporte en el ICBF y otorgar el consentimiento informado para el tratamiento de datos de los NNA e</w:t>
      </w:r>
      <w:r w:rsidRPr="007C57D2">
        <w:rPr>
          <w:rFonts w:ascii="Times New Roman" w:hAnsi="Times New Roman"/>
          <w:sz w:val="28"/>
          <w:szCs w:val="28"/>
        </w:rPr>
        <w:t>xtraviados. Dicho mecanismo incluye el deber de la entidad de diseñar un instructivo que facilite la tarea de registro a los padres y demás personas autorizadas en el artículo 3 con el fin de hacer efectivo el acceso para activar la Alerta Colombia. La Cor</w:t>
      </w:r>
      <w:r w:rsidRPr="007C57D2">
        <w:rPr>
          <w:rFonts w:ascii="Times New Roman" w:hAnsi="Times New Roman"/>
          <w:sz w:val="28"/>
          <w:szCs w:val="28"/>
        </w:rPr>
        <w:t xml:space="preserve">te llama la atención sobre la importancia de hacer un uso razonable de este mecanismo, de manera que se eviten abusos que se traduzcan en un uso desmedido o despilfarro de recursos y que impidan a las autoridades actuar de diligentemente.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Por su parte, e</w:t>
      </w:r>
      <w:r w:rsidRPr="007C57D2">
        <w:rPr>
          <w:rFonts w:ascii="Times New Roman" w:hAnsi="Times New Roman"/>
          <w:sz w:val="28"/>
          <w:szCs w:val="28"/>
        </w:rPr>
        <w:t>l inciso segundo, al ordenar al ICBF garantizar el acceso a la Policía Nacional a esta ventana virtual donde se ha efectuado el reporte, solo está indicando un deber de coordinación de la entidad con la Policía Nacional. Esto con el fin de permitir a la Po</w:t>
      </w:r>
      <w:r w:rsidRPr="007C57D2">
        <w:rPr>
          <w:rFonts w:ascii="Times New Roman" w:hAnsi="Times New Roman"/>
          <w:sz w:val="28"/>
          <w:szCs w:val="28"/>
        </w:rPr>
        <w:t>licía Nacional cumplir con su obligación de activar la alerta para iniciar la búsqueda del NNA extraviado, conforme con lo establecido en los artículos 3 y 4 para cumplir con el objetivo del PLE bajo estudio.</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En cuanto al inciso tercero, esto es la </w:t>
      </w:r>
      <w:r w:rsidRPr="007C57D2">
        <w:rPr>
          <w:rFonts w:ascii="Times New Roman" w:hAnsi="Times New Roman"/>
          <w:sz w:val="28"/>
          <w:szCs w:val="28"/>
        </w:rPr>
        <w:t>exigencia de identificación para las personas que realizan el reporte virtual, se trata de un requisito razonable para activar la alerta. En efecto, así se asegura la seriedad del reporte efectuado, pero además y lo más importante, se garantiza la posibili</w:t>
      </w:r>
      <w:r w:rsidRPr="007C57D2">
        <w:rPr>
          <w:rFonts w:ascii="Times New Roman" w:hAnsi="Times New Roman"/>
          <w:sz w:val="28"/>
          <w:szCs w:val="28"/>
        </w:rPr>
        <w:t>dad de comunicación con los padres, representantes legales, tutores o cuidadores, para dar seguimiento al proceso de búsqueda, obtener su colaboración con la Policía Nacional y demás autoridades responsables.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i/>
          <w:iCs/>
          <w:sz w:val="28"/>
          <w:szCs w:val="28"/>
        </w:rPr>
        <w:t>Deberes de otras autoridades de recibir el rep</w:t>
      </w:r>
      <w:r w:rsidRPr="007C57D2">
        <w:rPr>
          <w:rFonts w:ascii="Times New Roman" w:hAnsi="Times New Roman"/>
          <w:i/>
          <w:iCs/>
          <w:sz w:val="28"/>
          <w:szCs w:val="28"/>
        </w:rPr>
        <w:t>orte presencial</w:t>
      </w:r>
      <w:r w:rsidRPr="007C57D2">
        <w:rPr>
          <w:rFonts w:ascii="Times New Roman" w:hAnsi="Times New Roman"/>
          <w:sz w:val="28"/>
          <w:szCs w:val="28"/>
        </w:rPr>
        <w:t>. Por su parte, el inciso cuarto tiene por objeto asegurar que sea posible efectuar el reporte presencial junto con la autorización del tratamiento de datos, en aquellos casos en que las personas responsables de los NNA extraviados, no cuent</w:t>
      </w:r>
      <w:r w:rsidRPr="007C57D2">
        <w:rPr>
          <w:rFonts w:ascii="Times New Roman" w:hAnsi="Times New Roman"/>
          <w:sz w:val="28"/>
          <w:szCs w:val="28"/>
        </w:rPr>
        <w:t xml:space="preserve">en con los medios tecnológicos necesarios para hacer el reporte virtual en la página web del ICBF.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Esta disposición parte de reconocer la brecha digital</w:t>
      </w:r>
      <w:r w:rsidRPr="007C57D2">
        <w:rPr>
          <w:rFonts w:ascii="Times New Roman" w:hAnsi="Times New Roman"/>
          <w:sz w:val="28"/>
          <w:vertAlign w:val="superscript"/>
        </w:rPr>
        <w:footnoteReference w:id="563"/>
      </w:r>
      <w:r w:rsidRPr="007C57D2">
        <w:rPr>
          <w:rFonts w:ascii="Times New Roman" w:hAnsi="Times New Roman"/>
          <w:sz w:val="28"/>
          <w:szCs w:val="28"/>
        </w:rPr>
        <w:t xml:space="preserve"> en las zonas rurales, donde la falta de infraestructura y altos costos impiden a los hogares que hab</w:t>
      </w:r>
      <w:r w:rsidRPr="007C57D2">
        <w:rPr>
          <w:rFonts w:ascii="Times New Roman" w:hAnsi="Times New Roman"/>
          <w:sz w:val="28"/>
          <w:szCs w:val="28"/>
        </w:rPr>
        <w:t>itan en estas regionales tener conectividad. Lo mismo sucede con la brecha socioeconómica estrechamente ligada a la brecha digital, que impide a hogares de bajos ingresos, representados en los estratos 1 y 2, acceder a los dispositivos y servicios de inter</w:t>
      </w:r>
      <w:r w:rsidRPr="007C57D2">
        <w:rPr>
          <w:rFonts w:ascii="Times New Roman" w:hAnsi="Times New Roman"/>
          <w:sz w:val="28"/>
          <w:szCs w:val="28"/>
        </w:rPr>
        <w:t xml:space="preserve">net.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El reconocimiento de esta realidad en materia digital se une a la necesidad de reconocer las graves violaciones de derechos que enfrenan los NNA ante fenómenos como la trata de personas con fines de explotación, desapariciones forzadas y el reclutam</w:t>
      </w:r>
      <w:r w:rsidRPr="007C57D2">
        <w:rPr>
          <w:rFonts w:ascii="Times New Roman" w:hAnsi="Times New Roman"/>
          <w:sz w:val="28"/>
          <w:szCs w:val="28"/>
        </w:rPr>
        <w:t xml:space="preserve">iento entre otros como se evidenció en las consideraciones generales de esta providencia. Particularmente, es importante llamar de nuevo la atención sobre el aumento del reclutamiento de </w:t>
      </w:r>
      <w:r w:rsidRPr="007C57D2">
        <w:rPr>
          <w:rFonts w:ascii="Times New Roman" w:hAnsi="Times New Roman"/>
          <w:sz w:val="28"/>
          <w:szCs w:val="28"/>
        </w:rPr>
        <w:t xml:space="preserve">menores de 18 años </w:t>
      </w:r>
      <w:r w:rsidRPr="007C57D2">
        <w:rPr>
          <w:rFonts w:ascii="Times New Roman" w:hAnsi="Times New Roman"/>
          <w:sz w:val="28"/>
          <w:szCs w:val="28"/>
        </w:rPr>
        <w:t xml:space="preserve"> por parte de grupos armados al margen de la ley d</w:t>
      </w:r>
      <w:r w:rsidRPr="007C57D2">
        <w:rPr>
          <w:rFonts w:ascii="Times New Roman" w:hAnsi="Times New Roman"/>
          <w:sz w:val="28"/>
          <w:szCs w:val="28"/>
        </w:rPr>
        <w:t>e variada procedencia. que se disputan el control territorial en el país y que afecta principalmente a los grupos más vulnerables como son las comunidades indígenas y afrocolombianas</w:t>
      </w:r>
      <w:r w:rsidRPr="007C57D2">
        <w:rPr>
          <w:rFonts w:ascii="Times New Roman" w:hAnsi="Times New Roman"/>
          <w:sz w:val="28"/>
          <w:vertAlign w:val="superscript"/>
        </w:rPr>
        <w:footnoteReference w:id="564"/>
      </w:r>
      <w:r w:rsidRPr="007C57D2">
        <w:rPr>
          <w:rFonts w:ascii="Times New Roman" w:hAnsi="Times New Roman"/>
          <w:sz w:val="28"/>
          <w:szCs w:val="28"/>
        </w:rPr>
        <w:t xml:space="preserv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Para la Corte es inadmisible constitucionalmente esta gravísima reali</w:t>
      </w:r>
      <w:r w:rsidRPr="007C57D2">
        <w:rPr>
          <w:rFonts w:ascii="Times New Roman" w:hAnsi="Times New Roman"/>
          <w:sz w:val="28"/>
          <w:szCs w:val="28"/>
        </w:rPr>
        <w:t>dad de vulneración continua de los derechos fundamentales de los NNA pertenecientes a las comunidades más vulnerables del país. Frente a esta incomprensible pero innegable realidad del país, es previsible que el legislador haya dispuesto un mecanismo prese</w:t>
      </w:r>
      <w:r w:rsidRPr="007C57D2">
        <w:rPr>
          <w:rFonts w:ascii="Times New Roman" w:hAnsi="Times New Roman"/>
          <w:sz w:val="28"/>
          <w:szCs w:val="28"/>
        </w:rPr>
        <w:t>ncial para activar la Alerta Colombia ante las autoridades competentes cuando las personas responsables de los NNA extraviados, no tengan acceso a la ventana virtual de la página web del ICBF.</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En esta línea, es razonable que la disposición señale las auto</w:t>
      </w:r>
      <w:r w:rsidRPr="007C57D2">
        <w:rPr>
          <w:rFonts w:ascii="Times New Roman" w:hAnsi="Times New Roman"/>
          <w:sz w:val="28"/>
          <w:szCs w:val="28"/>
        </w:rPr>
        <w:t>ridades ante las cuales se puede efectuar el reporte presencial de un NNA extraviado. Estas autoridades no son otras que aquellas responsables a nivel municipal de proteger y garantizar los derechos de NNA en el país, así: (i) las Defensorías de Familia, c</w:t>
      </w:r>
      <w:r w:rsidRPr="007C57D2">
        <w:rPr>
          <w:rFonts w:ascii="Times New Roman" w:hAnsi="Times New Roman"/>
          <w:sz w:val="28"/>
          <w:szCs w:val="28"/>
        </w:rPr>
        <w:t>omo dependencias del ICBF, de acuerdo con las funciones establecidas en el artículo 82 de la Ley 1098 de 2006; (ii) las Comisarías de Familia cuando los NNA puedan estar en riesgo o haber sido víctimas de violencia intrafamiliar, conforme a los dispuesto e</w:t>
      </w:r>
      <w:r w:rsidRPr="007C57D2">
        <w:rPr>
          <w:rFonts w:ascii="Times New Roman" w:hAnsi="Times New Roman"/>
          <w:sz w:val="28"/>
          <w:szCs w:val="28"/>
        </w:rPr>
        <w:t>n la Ley 2126 de 2021; (iii) las Inspecciones de Policía, de conformidad con lo establecido en la Ley 1801 de 2016</w:t>
      </w:r>
      <w:r w:rsidRPr="007C57D2">
        <w:rPr>
          <w:rFonts w:ascii="Times New Roman" w:hAnsi="Times New Roman"/>
          <w:sz w:val="28"/>
          <w:vertAlign w:val="superscript"/>
        </w:rPr>
        <w:footnoteReference w:id="565"/>
      </w:r>
      <w:r w:rsidRPr="007C57D2">
        <w:rPr>
          <w:rFonts w:ascii="Times New Roman" w:hAnsi="Times New Roman"/>
          <w:sz w:val="28"/>
          <w:szCs w:val="28"/>
        </w:rPr>
        <w:t>, que consagra como principio rector “la prevalencia de los derechos de niños niñas y adolescentes y su protección integral”; y (iv) cualquie</w:t>
      </w:r>
      <w:r w:rsidRPr="007C57D2">
        <w:rPr>
          <w:rFonts w:ascii="Times New Roman" w:hAnsi="Times New Roman"/>
          <w:sz w:val="28"/>
          <w:szCs w:val="28"/>
        </w:rPr>
        <w:t>r instalación de la Policía Nacional, de acuerdo a lo previsto en el artículo 89 de la Ley 1098 de 2006.</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rPr>
        <w:t xml:space="preserve">478. </w:t>
      </w:r>
      <w:r w:rsidRPr="007C57D2">
        <w:rPr>
          <w:rFonts w:ascii="Times New Roman" w:hAnsi="Times New Roman"/>
          <w:sz w:val="28"/>
          <w:szCs w:val="28"/>
        </w:rPr>
        <w:t>E</w:t>
      </w:r>
      <w:r w:rsidRPr="007C57D2">
        <w:rPr>
          <w:rFonts w:ascii="Times New Roman" w:hAnsi="Times New Roman"/>
          <w:sz w:val="28"/>
          <w:szCs w:val="28"/>
        </w:rPr>
        <w:t xml:space="preserve">s relevante señalar que </w:t>
      </w:r>
      <w:r w:rsidRPr="007C57D2">
        <w:rPr>
          <w:rFonts w:ascii="Times New Roman" w:hAnsi="Times New Roman"/>
          <w:sz w:val="28"/>
          <w:szCs w:val="28"/>
        </w:rPr>
        <w:t xml:space="preserve">las autoridades </w:t>
      </w:r>
      <w:r w:rsidRPr="007C57D2">
        <w:rPr>
          <w:rFonts w:ascii="Times New Roman" w:hAnsi="Times New Roman"/>
          <w:sz w:val="28"/>
          <w:szCs w:val="28"/>
        </w:rPr>
        <w:t>receptoras de</w:t>
      </w:r>
      <w:r w:rsidRPr="007C57D2">
        <w:rPr>
          <w:rFonts w:ascii="Times New Roman" w:hAnsi="Times New Roman"/>
          <w:sz w:val="28"/>
          <w:szCs w:val="28"/>
        </w:rPr>
        <w:t xml:space="preserve"> los reportes presenciales, deben obrar de manera armónica y coordinada para evitar denuncias dobles y múltiples activaciones de la alerta respecto del mismo niño, de conformidad con el artículo 209 de la Constitución.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i/>
          <w:iCs/>
          <w:sz w:val="28"/>
          <w:szCs w:val="28"/>
        </w:rPr>
        <w:t>Plazo para efectuar la denuncia ant</w:t>
      </w:r>
      <w:r w:rsidRPr="007C57D2">
        <w:rPr>
          <w:rFonts w:ascii="Times New Roman" w:hAnsi="Times New Roman"/>
          <w:i/>
          <w:iCs/>
          <w:sz w:val="28"/>
          <w:szCs w:val="28"/>
        </w:rPr>
        <w:t>e la Fiscalía General de la Nación</w:t>
      </w:r>
      <w:r w:rsidRPr="007C57D2">
        <w:rPr>
          <w:rFonts w:ascii="Times New Roman" w:hAnsi="Times New Roman"/>
          <w:sz w:val="28"/>
          <w:szCs w:val="28"/>
        </w:rPr>
        <w:t>. Finalmente, en lo que respecta al inciso quinto, que otorga un margen de tiempo de 24 horas al ICBF desde el momento en que se haya efectuado el reporte virtual, para presentar la respectiva denuncia ante la FGN, la Cort</w:t>
      </w:r>
      <w:r w:rsidRPr="007C57D2">
        <w:rPr>
          <w:rFonts w:ascii="Times New Roman" w:hAnsi="Times New Roman"/>
          <w:sz w:val="28"/>
          <w:szCs w:val="28"/>
        </w:rPr>
        <w:t>e considera que la disposición es inconstitucional.</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Sobre este enunciado, debe advertirse que, si bien la disposición establece un término máximo para la presentación de la denuncia ante la FGN, ello no impide que el ICBF presente dicho reporte ante el en</w:t>
      </w:r>
      <w:r w:rsidRPr="007C57D2">
        <w:rPr>
          <w:rFonts w:ascii="Times New Roman" w:hAnsi="Times New Roman"/>
          <w:sz w:val="28"/>
          <w:szCs w:val="28"/>
        </w:rPr>
        <w:t xml:space="preserve">te fiscal de manera anterior al cumplimiento del plazo señalado. </w:t>
      </w:r>
    </w:p>
    <w:p w:rsidR="001E19D5" w:rsidRPr="007C57D2" w:rsidRDefault="007C57D2" w:rsidP="008F3DAB">
      <w:pPr>
        <w:pStyle w:val="Prrafodelista"/>
        <w:ind w:left="0"/>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De otro lado, es cierto que en principio podría pensarse que es un plazo razonable de espera para que el NNA extraviado sea ubicado por la Policía Nacional, en virtud de las múltiples situa</w:t>
      </w:r>
      <w:r w:rsidRPr="007C57D2">
        <w:rPr>
          <w:rFonts w:ascii="Times New Roman" w:hAnsi="Times New Roman"/>
          <w:sz w:val="28"/>
          <w:szCs w:val="28"/>
        </w:rPr>
        <w:t>ciones que pueden presentarse en las cuales los menores de edad podrían no haber estado en riesgo, como encontrarse con otros familiares o amigos. Así mismo, puede suceder también que los NNA literalmente se hayan extraviado o perdido y sean encontrados po</w:t>
      </w:r>
      <w:r w:rsidRPr="007C57D2">
        <w:rPr>
          <w:rFonts w:ascii="Times New Roman" w:hAnsi="Times New Roman"/>
          <w:sz w:val="28"/>
          <w:szCs w:val="28"/>
        </w:rPr>
        <w:t>r la Policía Nacional en cumplimiento de su labor de ubicarlos durante las 24 horas previstas en la disposición.</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No obstante,  la Corte Constitucional debe analizar la disposición a la luz del deber de garantizar la prevalencia y protección efectiva de lo</w:t>
      </w:r>
      <w:r w:rsidRPr="007C57D2">
        <w:rPr>
          <w:rFonts w:ascii="Times New Roman" w:hAnsi="Times New Roman"/>
          <w:sz w:val="28"/>
          <w:szCs w:val="28"/>
        </w:rPr>
        <w:t>s derechos de los niños NNA en cualquier circunstancia, en su condición de sujetos de especial protección constitucional reforzada, de acuerdo con la jurisprudencia constitucional.</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El término de 24 horas previsto en la disposición para presentar la denunc</w:t>
      </w:r>
      <w:r w:rsidRPr="007C57D2">
        <w:rPr>
          <w:rFonts w:ascii="Times New Roman" w:hAnsi="Times New Roman"/>
          <w:sz w:val="28"/>
          <w:szCs w:val="28"/>
        </w:rPr>
        <w:t>ia por parte del ICBF o de cualquiera de las autoridades responsables de los reportes de NNA extraviados, ante la Fiscalía General de la Nación, desconoce el artículo 44 de la Constitución Política, que reconoce de manera expresa los derechos fundamentales</w:t>
      </w:r>
      <w:r w:rsidRPr="007C57D2">
        <w:rPr>
          <w:rFonts w:ascii="Times New Roman" w:hAnsi="Times New Roman"/>
          <w:sz w:val="28"/>
          <w:szCs w:val="28"/>
        </w:rPr>
        <w:t xml:space="preserve"> de los niños, niñas y adolescentes, incluyendo su derecho a ser protegidos “contra toda forma de abandono, violencia física o moral, secuestro, venta, abuso sexual, explotación laboral o económica y trabajos riesgosos”. De esta cláusula, además, se deriva</w:t>
      </w:r>
      <w:r w:rsidRPr="007C57D2">
        <w:rPr>
          <w:rFonts w:ascii="Times New Roman" w:hAnsi="Times New Roman"/>
          <w:sz w:val="28"/>
          <w:szCs w:val="28"/>
        </w:rPr>
        <w:t xml:space="preserve"> el principio pro infans, “un instrumento jurídico valioso para la ponderación de derechos de rango constitucional, frente a eventuales tensiones, debiendo escogerse la interpretación que brinde la mayor protección a los derechos de los niños, las niñas y </w:t>
      </w:r>
      <w:r w:rsidRPr="007C57D2">
        <w:rPr>
          <w:rFonts w:ascii="Times New Roman" w:hAnsi="Times New Roman"/>
          <w:sz w:val="28"/>
          <w:szCs w:val="28"/>
        </w:rPr>
        <w:t>los adolescentes”</w:t>
      </w:r>
      <w:r w:rsidRPr="007C57D2">
        <w:rPr>
          <w:rStyle w:val="Refdenotaalpie"/>
          <w:rFonts w:ascii="Times New Roman" w:hAnsi="Times New Roman"/>
          <w:sz w:val="28"/>
          <w:szCs w:val="28"/>
        </w:rPr>
        <w:footnoteReference w:id="566"/>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Adicionalmente, el término de 24 horas también vulnera los artículos 3 y 19 de la Convención sobre los Derechos del Niño, que imponen el principio del interés superior del niño como consideración primordial en toda actuación estatal, </w:t>
      </w:r>
      <w:r w:rsidRPr="007C57D2">
        <w:rPr>
          <w:rFonts w:ascii="Times New Roman" w:hAnsi="Times New Roman"/>
          <w:sz w:val="28"/>
          <w:szCs w:val="28"/>
        </w:rPr>
        <w:t>puesto que el establecimiento de un plazo de 24 horas constituye una dilación injustificada que desconoce el deber de reacción inmediata y la prioridad de protección de los derechos fundamentales de los NNA.</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Como lo advierte la Defensoría del Pueblo en su</w:t>
      </w:r>
      <w:r w:rsidRPr="007C57D2">
        <w:rPr>
          <w:rFonts w:ascii="Times New Roman" w:hAnsi="Times New Roman"/>
          <w:sz w:val="28"/>
          <w:szCs w:val="28"/>
        </w:rPr>
        <w:t xml:space="preserve"> intervención, las primeras horas luego de una desaparición son definitivas para encontrar a las personas, de manera que esperar 24 horas para presentar la denuncia ante la FGN constituye una dilación grave e injustificada que pueden atentar contra la inte</w:t>
      </w:r>
      <w:r w:rsidRPr="007C57D2">
        <w:rPr>
          <w:rFonts w:ascii="Times New Roman" w:hAnsi="Times New Roman"/>
          <w:sz w:val="28"/>
          <w:szCs w:val="28"/>
        </w:rPr>
        <w:t>gridad y la vida de los NNA. Admitir este término, significaría aceptar un incumplimiento de la debida diligencia de las autoridades administrativas y judiciales responsables de la protección de NNA, cuando ellos pueden estar siendo víctimas de los más var</w:t>
      </w:r>
      <w:r w:rsidRPr="007C57D2">
        <w:rPr>
          <w:rFonts w:ascii="Times New Roman" w:hAnsi="Times New Roman"/>
          <w:sz w:val="28"/>
          <w:szCs w:val="28"/>
        </w:rPr>
        <w:t>iados abusos que como ya se ha visto, van desde la trata con fines de explotación hasta el reclutamiento forzado por parte de grupos armados al margen de la ley.</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w:t>
      </w:r>
      <w:r w:rsidRPr="007C57D2">
        <w:rPr>
          <w:rFonts w:ascii="Times New Roman" w:hAnsi="Times New Roman"/>
          <w:sz w:val="28"/>
          <w:szCs w:val="28"/>
        </w:rPr>
        <w:t>a Corte concluye que, ante el más mínimo riesgo de vulneración de los derechos a la vida e i</w:t>
      </w:r>
      <w:r w:rsidRPr="007C57D2">
        <w:rPr>
          <w:rFonts w:ascii="Times New Roman" w:hAnsi="Times New Roman"/>
          <w:sz w:val="28"/>
          <w:szCs w:val="28"/>
        </w:rPr>
        <w:t>ntegridad de los NNA, las autoridades administrativas y judiciales tienen el deber de máxima precaución y diligencia. Las autoridades están obligadas a actuar de manera célere e inmediata para asegurar en la medida de los posible el éxito en la ubicación d</w:t>
      </w:r>
      <w:r w:rsidRPr="007C57D2">
        <w:rPr>
          <w:rFonts w:ascii="Times New Roman" w:hAnsi="Times New Roman"/>
          <w:sz w:val="28"/>
          <w:szCs w:val="28"/>
        </w:rPr>
        <w:t>e los NNA sanos y salvos, y en su defecto, ubicar a los responsables para llevarlos ante la justicia y aplicarles las condenas respectivas.</w:t>
      </w:r>
    </w:p>
    <w:p w:rsidR="00345210" w:rsidRPr="007C57D2" w:rsidRDefault="007C57D2" w:rsidP="008F3DAB">
      <w:pPr>
        <w:pStyle w:val="Prrafodelista"/>
        <w:rPr>
          <w:rFonts w:ascii="Times New Roman" w:hAnsi="Times New Roman"/>
          <w:sz w:val="28"/>
          <w:szCs w:val="28"/>
        </w:rPr>
      </w:pPr>
    </w:p>
    <w:p w:rsidR="00345210"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Finalmente, la Corte pone de presente el eventual riesgo de duplicidad de denuncias por los mismos hechos cuando el</w:t>
      </w:r>
      <w:r w:rsidRPr="007C57D2">
        <w:rPr>
          <w:rFonts w:ascii="Times New Roman" w:hAnsi="Times New Roman"/>
          <w:sz w:val="28"/>
          <w:szCs w:val="28"/>
        </w:rPr>
        <w:t xml:space="preserve"> ICBF, en cumplimiento de su deber, denuncia ante la Fiscalía el extravío de </w:t>
      </w:r>
      <w:r w:rsidRPr="007C57D2">
        <w:rPr>
          <w:rFonts w:ascii="Times New Roman" w:hAnsi="Times New Roman"/>
          <w:sz w:val="28"/>
          <w:szCs w:val="28"/>
        </w:rPr>
        <w:t xml:space="preserve">NNA </w:t>
      </w:r>
      <w:r w:rsidRPr="007C57D2">
        <w:rPr>
          <w:rFonts w:ascii="Times New Roman" w:hAnsi="Times New Roman"/>
          <w:sz w:val="28"/>
          <w:szCs w:val="28"/>
        </w:rPr>
        <w:t xml:space="preserve">y, al mismo tiempo, familiares u otras personas presentan la misma noticia criminal por cuenta propia; tal concurrencia puede generar trámites paralelos, retrasos y confusión </w:t>
      </w:r>
      <w:r w:rsidRPr="007C57D2">
        <w:rPr>
          <w:rFonts w:ascii="Times New Roman" w:hAnsi="Times New Roman"/>
          <w:sz w:val="28"/>
          <w:szCs w:val="28"/>
        </w:rPr>
        <w:t xml:space="preserve">investigativa. </w:t>
      </w:r>
      <w:r w:rsidRPr="007C57D2">
        <w:rPr>
          <w:rFonts w:ascii="Times New Roman" w:hAnsi="Times New Roman"/>
          <w:sz w:val="28"/>
          <w:szCs w:val="28"/>
        </w:rPr>
        <w:t xml:space="preserve">Por eso, </w:t>
      </w:r>
      <w:r w:rsidRPr="007C57D2">
        <w:rPr>
          <w:rFonts w:ascii="Times New Roman" w:hAnsi="Times New Roman"/>
          <w:sz w:val="28"/>
          <w:szCs w:val="28"/>
        </w:rPr>
        <w:t xml:space="preserve">corresponde a la Fiscalía General de la Nación adoptar medidas </w:t>
      </w:r>
      <w:r w:rsidRPr="007C57D2">
        <w:rPr>
          <w:rFonts w:ascii="Times New Roman" w:hAnsi="Times New Roman"/>
          <w:sz w:val="28"/>
          <w:szCs w:val="28"/>
        </w:rPr>
        <w:t>que detecten y coordinen las denuncias duplicadas</w:t>
      </w:r>
      <w:r w:rsidRPr="007C57D2">
        <w:rPr>
          <w:rFonts w:ascii="Times New Roman" w:hAnsi="Times New Roman"/>
          <w:sz w:val="28"/>
          <w:szCs w:val="28"/>
        </w:rPr>
        <w:t xml:space="preserve"> de manera que no generen </w:t>
      </w:r>
      <w:r w:rsidRPr="007C57D2">
        <w:rPr>
          <w:rFonts w:ascii="Times New Roman" w:hAnsi="Times New Roman"/>
          <w:sz w:val="28"/>
          <w:szCs w:val="28"/>
        </w:rPr>
        <w:t xml:space="preserve">demoras o desgastes administrativos que impidan actuar con </w:t>
      </w:r>
      <w:r w:rsidRPr="007C57D2">
        <w:rPr>
          <w:rFonts w:ascii="Times New Roman" w:hAnsi="Times New Roman"/>
          <w:sz w:val="28"/>
          <w:szCs w:val="28"/>
        </w:rPr>
        <w:t xml:space="preserve">celeridad </w:t>
      </w:r>
      <w:r w:rsidRPr="007C57D2">
        <w:rPr>
          <w:rFonts w:ascii="Times New Roman" w:hAnsi="Times New Roman"/>
          <w:sz w:val="28"/>
          <w:szCs w:val="28"/>
        </w:rPr>
        <w:t>frente a las denuncias pe</w:t>
      </w:r>
      <w:r w:rsidRPr="007C57D2">
        <w:rPr>
          <w:rFonts w:ascii="Times New Roman" w:hAnsi="Times New Roman"/>
          <w:sz w:val="28"/>
          <w:szCs w:val="28"/>
        </w:rPr>
        <w:t xml:space="preserve">nales </w:t>
      </w:r>
      <w:r w:rsidRPr="007C57D2">
        <w:rPr>
          <w:rFonts w:ascii="Times New Roman" w:hAnsi="Times New Roman"/>
          <w:sz w:val="28"/>
          <w:szCs w:val="28"/>
        </w:rPr>
        <w:t>relacionadas con la desaparición del menor</w:t>
      </w:r>
      <w:r w:rsidRPr="007C57D2">
        <w:rPr>
          <w:rFonts w:ascii="Times New Roman" w:hAnsi="Times New Roman"/>
          <w:sz w:val="28"/>
          <w:szCs w:val="28"/>
        </w:rPr>
        <w:t xml:space="preserve"> de edad</w:t>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17"/>
        </w:numPr>
        <w:rPr>
          <w:rFonts w:ascii="Times New Roman" w:hAnsi="Times New Roman"/>
          <w:b/>
          <w:bCs/>
          <w:sz w:val="28"/>
          <w:lang w:val="es-ES_tradnl"/>
        </w:rPr>
      </w:pPr>
      <w:r w:rsidRPr="007C57D2">
        <w:rPr>
          <w:rFonts w:ascii="Times New Roman" w:hAnsi="Times New Roman"/>
          <w:b/>
          <w:bCs/>
          <w:color w:val="000000"/>
          <w:sz w:val="28"/>
          <w:szCs w:val="28"/>
          <w:lang w:val="es-ES_tradnl"/>
        </w:rPr>
        <w:t>Decisión sobre la constitucionalidad del artículo 5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En los términos anteriores, en aplicación del principio </w:t>
      </w:r>
      <w:r w:rsidRPr="007C57D2">
        <w:rPr>
          <w:rFonts w:ascii="Times New Roman" w:hAnsi="Times New Roman"/>
          <w:i/>
          <w:iCs/>
          <w:sz w:val="28"/>
          <w:szCs w:val="28"/>
          <w:lang w:val="es-ES"/>
        </w:rPr>
        <w:t>pro infans</w:t>
      </w:r>
      <w:r w:rsidRPr="007C57D2">
        <w:rPr>
          <w:rFonts w:ascii="Times New Roman" w:hAnsi="Times New Roman"/>
          <w:sz w:val="28"/>
          <w:szCs w:val="28"/>
          <w:lang w:val="es-ES"/>
        </w:rPr>
        <w:t xml:space="preserve"> y del contenido de los artículos 44 C.P. y </w:t>
      </w:r>
      <w:r w:rsidRPr="007C57D2">
        <w:rPr>
          <w:rFonts w:ascii="Times New Roman" w:hAnsi="Times New Roman"/>
          <w:sz w:val="28"/>
          <w:szCs w:val="28"/>
        </w:rPr>
        <w:t xml:space="preserve">3 y 19 de la Convención </w:t>
      </w:r>
      <w:r w:rsidRPr="007C57D2">
        <w:rPr>
          <w:rFonts w:ascii="Times New Roman" w:hAnsi="Times New Roman"/>
          <w:sz w:val="28"/>
          <w:szCs w:val="28"/>
        </w:rPr>
        <w:t>sobre los Derechos del Niño</w:t>
      </w:r>
      <w:r w:rsidRPr="007C57D2">
        <w:rPr>
          <w:rFonts w:ascii="Times New Roman" w:hAnsi="Times New Roman"/>
          <w:sz w:val="28"/>
          <w:szCs w:val="28"/>
          <w:lang w:val="es-ES"/>
        </w:rPr>
        <w:t xml:space="preserve">, se procederá con la declaratoria de constitucionalidad del artículo 5º del Proyecto de Ley Estatutaria, salvo por la expresión “Transcurridas (24) horas de realizar el reporte en la plataforma virtual o de manera personal y de </w:t>
      </w:r>
      <w:r w:rsidRPr="007C57D2">
        <w:rPr>
          <w:rFonts w:ascii="Times New Roman" w:hAnsi="Times New Roman"/>
          <w:sz w:val="28"/>
          <w:szCs w:val="28"/>
          <w:lang w:val="es-ES"/>
        </w:rPr>
        <w:t>no encontrarse el niño o niña extraviado” contenida en el último inciso del mencionado artículo, la cual se declarará inconstitucional, y que se sustituye por la expresión “inmediatamente después”.</w:t>
      </w:r>
    </w:p>
    <w:p w:rsidR="009A1890" w:rsidRPr="007C57D2" w:rsidRDefault="007C57D2" w:rsidP="008F3DAB">
      <w:pPr>
        <w:pStyle w:val="Prrafodelista"/>
        <w:ind w:left="0"/>
        <w:jc w:val="both"/>
        <w:rPr>
          <w:rFonts w:ascii="Times New Roman" w:hAnsi="Times New Roman"/>
          <w:sz w:val="28"/>
          <w:szCs w:val="28"/>
          <w:lang w:val="es-ES"/>
        </w:rPr>
      </w:pPr>
    </w:p>
    <w:p w:rsidR="009A1890"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Para el efecto, la Sala, en línea con lo planteado por la</w:t>
      </w:r>
      <w:r w:rsidRPr="007C57D2">
        <w:rPr>
          <w:rFonts w:ascii="Times New Roman" w:hAnsi="Times New Roman"/>
          <w:sz w:val="28"/>
          <w:szCs w:val="28"/>
          <w:lang w:val="es-ES"/>
        </w:rPr>
        <w:t xml:space="preserve"> Defensoría del Pueblo sobre este tema, argumentó que las primeras horas luego de una desaparición son definitivas para encontrar a las personas, de manera que esperar 24 horas para presentar la denuncia ante la Fiscalía General de la Nación (FGN) constitu</w:t>
      </w:r>
      <w:r w:rsidRPr="007C57D2">
        <w:rPr>
          <w:rFonts w:ascii="Times New Roman" w:hAnsi="Times New Roman"/>
          <w:sz w:val="28"/>
          <w:szCs w:val="28"/>
          <w:lang w:val="es-ES"/>
        </w:rPr>
        <w:t>ye una dilación grave e injustificada que pueden atentar contra la integridad y la vida de los NNA. Admitir este término, significaría aceptar un incumplimiento de la debida diligencia de las autoridades administrativas y judiciales responsables de la prot</w:t>
      </w:r>
      <w:r w:rsidRPr="007C57D2">
        <w:rPr>
          <w:rFonts w:ascii="Times New Roman" w:hAnsi="Times New Roman"/>
          <w:sz w:val="28"/>
          <w:szCs w:val="28"/>
          <w:lang w:val="es-ES"/>
        </w:rPr>
        <w:t>ección de NNA, cuando ellos pueden estar siendo víctimas de los más variados abusos que van desde la trata con fines de explotación hasta el reclutamiento forzado por parte de grupos armados al margen de la ley.</w:t>
      </w:r>
    </w:p>
    <w:p w:rsidR="009A1890" w:rsidRPr="007C57D2" w:rsidRDefault="007C57D2" w:rsidP="008F3DAB">
      <w:pPr>
        <w:pStyle w:val="Prrafodelista"/>
        <w:ind w:left="0"/>
        <w:rPr>
          <w:rFonts w:ascii="Times New Roman" w:hAnsi="Times New Roman"/>
          <w:sz w:val="28"/>
          <w:szCs w:val="28"/>
          <w:lang w:val="es-ES"/>
        </w:rPr>
      </w:pPr>
    </w:p>
    <w:p w:rsidR="009A1890"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Dado lo anterior, ante el más mínimo riesgo</w:t>
      </w:r>
      <w:r w:rsidRPr="007C57D2">
        <w:rPr>
          <w:rFonts w:ascii="Times New Roman" w:hAnsi="Times New Roman"/>
          <w:sz w:val="28"/>
          <w:szCs w:val="28"/>
          <w:lang w:val="es-ES"/>
        </w:rPr>
        <w:t xml:space="preserve"> de vulneración de los derechos a la vida e integridad de los NNA las autoridades administrativas y judiciales tienen el deber de máxima precaución y diligencia, actuando de manera célere e inmediata para asegurar en la medida de lo posible el éxito en la </w:t>
      </w:r>
      <w:r w:rsidRPr="007C57D2">
        <w:rPr>
          <w:rFonts w:ascii="Times New Roman" w:hAnsi="Times New Roman"/>
          <w:sz w:val="28"/>
          <w:szCs w:val="28"/>
          <w:lang w:val="es-ES"/>
        </w:rPr>
        <w:t>ubicación de los NNA sanos y salvos.</w:t>
      </w:r>
    </w:p>
    <w:p w:rsidR="00345210" w:rsidRPr="007C57D2" w:rsidRDefault="007C57D2" w:rsidP="008F3DAB">
      <w:pPr>
        <w:pStyle w:val="Prrafodelista"/>
        <w:ind w:left="0"/>
        <w:jc w:val="both"/>
        <w:rPr>
          <w:rFonts w:ascii="Times New Roman" w:hAnsi="Times New Roman"/>
          <w:sz w:val="28"/>
          <w:szCs w:val="28"/>
          <w:lang w:val="es-ES"/>
        </w:rPr>
      </w:pPr>
    </w:p>
    <w:p w:rsidR="001E19D5" w:rsidRPr="007C57D2" w:rsidRDefault="007C57D2" w:rsidP="008F3DAB">
      <w:pPr>
        <w:pStyle w:val="Ttulo3"/>
        <w:spacing w:before="0" w:after="0" w:line="240" w:lineRule="auto"/>
        <w:jc w:val="both"/>
        <w:rPr>
          <w:rFonts w:ascii="Times New Roman" w:hAnsi="Times New Roman"/>
          <w:b/>
          <w:bCs/>
          <w:color w:val="000000"/>
          <w:lang w:val="es-ES_tradnl"/>
        </w:rPr>
      </w:pPr>
      <w:bookmarkStart w:id="54" w:name="_Toc222728039"/>
      <w:r w:rsidRPr="007C57D2">
        <w:rPr>
          <w:rFonts w:ascii="Times New Roman" w:hAnsi="Times New Roman"/>
          <w:b/>
          <w:bCs/>
          <w:color w:val="000000"/>
          <w:lang w:val="es-ES_tradnl"/>
        </w:rPr>
        <w:t>5.5.6. Divulgación de la “Alerta Colombia” (Examen de constitucionalidad de los artículos 6, 10 y 11 del PLE)</w:t>
      </w:r>
      <w:bookmarkEnd w:id="54"/>
    </w:p>
    <w:p w:rsidR="00747AA3" w:rsidRPr="007C57D2" w:rsidRDefault="007C57D2" w:rsidP="008F3DAB">
      <w:pPr>
        <w:spacing w:after="0" w:line="240" w:lineRule="auto"/>
        <w:jc w:val="both"/>
        <w:rPr>
          <w:rFonts w:ascii="Times New Roman" w:hAnsi="Times New Roman"/>
          <w:sz w:val="28"/>
          <w:szCs w:val="28"/>
          <w:lang w:val="es-ES_tradnl"/>
        </w:rPr>
      </w:pPr>
    </w:p>
    <w:p w:rsidR="00747AA3"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i/>
          <w:iCs/>
          <w:sz w:val="28"/>
          <w:szCs w:val="28"/>
          <w:lang w:val="es-ES_tradnl"/>
        </w:rPr>
        <w:t>Nota metodológica.</w:t>
      </w:r>
      <w:r w:rsidRPr="007C57D2">
        <w:rPr>
          <w:rFonts w:ascii="Times New Roman" w:hAnsi="Times New Roman"/>
          <w:sz w:val="28"/>
          <w:szCs w:val="28"/>
          <w:lang w:val="es-ES_tradnl"/>
        </w:rPr>
        <w:t xml:space="preserve"> La Sala Plena agrupará el análisis de los artículos 6, 10 y 11 del PLE en esta sección, en atención a que se refieren a los criterios que rigen la divulgación de la Alerta Colombia. Se trata de disposiciones complejas, en el sentido de que sus incisos, nu</w:t>
      </w:r>
      <w:r w:rsidRPr="007C57D2">
        <w:rPr>
          <w:rFonts w:ascii="Times New Roman" w:hAnsi="Times New Roman"/>
          <w:sz w:val="28"/>
          <w:szCs w:val="28"/>
          <w:lang w:val="es-ES_tradnl"/>
        </w:rPr>
        <w:t xml:space="preserve">merales y parágrafos se refieren a diversos temas relacionados con el funcionamiento de los mensajes masivos que deben enviarse en los casos de extravío de niños, niñas y adolescentes. </w:t>
      </w:r>
    </w:p>
    <w:p w:rsidR="00747AA3" w:rsidRPr="007C57D2" w:rsidRDefault="007C57D2" w:rsidP="008F3DAB">
      <w:pPr>
        <w:pStyle w:val="Prrafodelista"/>
        <w:ind w:left="0"/>
        <w:jc w:val="both"/>
        <w:rPr>
          <w:rFonts w:ascii="Times New Roman" w:hAnsi="Times New Roman"/>
          <w:sz w:val="28"/>
          <w:szCs w:val="28"/>
          <w:lang w:val="es-ES"/>
        </w:rPr>
      </w:pPr>
    </w:p>
    <w:p w:rsidR="00747AA3"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_tradnl"/>
        </w:rPr>
        <w:t>Con el propósito de facilitar su estudio y evitar consideraciones redundantes, que podrían tener lugar al analizar los artículos por separado, el control material de estas normas se realizará a partir de cinco bloques temáticos, que corresponden a los dist</w:t>
      </w:r>
      <w:r w:rsidRPr="007C57D2">
        <w:rPr>
          <w:rFonts w:ascii="Times New Roman" w:hAnsi="Times New Roman"/>
          <w:sz w:val="28"/>
          <w:szCs w:val="28"/>
          <w:lang w:val="es-ES_tradnl"/>
        </w:rPr>
        <w:t xml:space="preserve">intos temas que regulan: </w:t>
      </w:r>
      <w:r w:rsidRPr="007C57D2">
        <w:rPr>
          <w:rFonts w:ascii="Times New Roman" w:hAnsi="Times New Roman"/>
          <w:sz w:val="28"/>
          <w:szCs w:val="28"/>
          <w:lang w:val="es-ES"/>
        </w:rPr>
        <w:t>(i) el deber de difundir y de divulgar la Alerta Colombia de forma gratuita e inmediata</w:t>
      </w:r>
      <w:r w:rsidRPr="007C57D2">
        <w:rPr>
          <w:rFonts w:ascii="Times New Roman" w:hAnsi="Times New Roman"/>
          <w:sz w:val="28"/>
          <w:szCs w:val="28"/>
        </w:rPr>
        <w:t>; (ii) la divulgación de datos personales de niños; (iii) la divulgación de datos personales del presunto secuestrador; (iv) las responsabilidad</w:t>
      </w:r>
      <w:r w:rsidRPr="007C57D2">
        <w:rPr>
          <w:rFonts w:ascii="Times New Roman" w:hAnsi="Times New Roman"/>
          <w:sz w:val="28"/>
          <w:szCs w:val="28"/>
        </w:rPr>
        <w:t>es del funcionario que no active la alerta Colombia; y (v) la integración de la alerta Colombia en el sistema de alertas tempranas.</w:t>
      </w:r>
    </w:p>
    <w:p w:rsidR="00747AA3" w:rsidRPr="007C57D2" w:rsidRDefault="007C57D2" w:rsidP="008F3DAB">
      <w:pPr>
        <w:pStyle w:val="Prrafodelista"/>
        <w:rPr>
          <w:rFonts w:ascii="Times New Roman" w:hAnsi="Times New Roman"/>
          <w:sz w:val="28"/>
          <w:szCs w:val="28"/>
          <w:lang w:val="es-ES_tradnl"/>
        </w:rPr>
      </w:pPr>
    </w:p>
    <w:p w:rsidR="00747AA3"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Esta sección comienza con una transcripción de las disposiciones analizadas. Luego se formulará el problema jurídico e incl</w:t>
      </w:r>
      <w:r w:rsidRPr="007C57D2">
        <w:rPr>
          <w:rFonts w:ascii="Times New Roman" w:hAnsi="Times New Roman"/>
          <w:sz w:val="28"/>
          <w:szCs w:val="28"/>
          <w:lang w:val="es-ES"/>
        </w:rPr>
        <w:t>uirá una síntesis de los principales argumentos de los intervinientes respecto de cada uno de ellos. Finalmente, se desarrollará el análisis de fondo de los anteriores seis bloques temáticos, que contiene la decisión de la Sala Plena sobre su constituciona</w:t>
      </w:r>
      <w:r w:rsidRPr="007C57D2">
        <w:rPr>
          <w:rFonts w:ascii="Times New Roman" w:hAnsi="Times New Roman"/>
          <w:sz w:val="28"/>
          <w:szCs w:val="28"/>
          <w:lang w:val="es-ES"/>
        </w:rPr>
        <w:t>lidad</w:t>
      </w:r>
      <w:r w:rsidRPr="007C57D2">
        <w:rPr>
          <w:rFonts w:ascii="Times New Roman" w:hAnsi="Times New Roman"/>
          <w:sz w:val="28"/>
          <w:szCs w:val="28"/>
          <w:lang w:val="es-ES_tradnl"/>
        </w:rPr>
        <w:t>.</w:t>
      </w:r>
    </w:p>
    <w:p w:rsidR="00747AA3" w:rsidRPr="007C57D2" w:rsidRDefault="007C57D2" w:rsidP="008F3DAB">
      <w:pPr>
        <w:spacing w:after="0" w:line="240" w:lineRule="auto"/>
        <w:rPr>
          <w:rFonts w:ascii="Times New Roman" w:hAnsi="Times New Roman"/>
          <w:sz w:val="28"/>
          <w:lang w:val="es-ES_tradnl" w:eastAsia="zh-CN"/>
        </w:rPr>
      </w:pPr>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pStyle w:val="Prrafodelista"/>
        <w:numPr>
          <w:ilvl w:val="1"/>
          <w:numId w:val="3"/>
        </w:numPr>
        <w:tabs>
          <w:tab w:val="left" w:pos="1134"/>
        </w:tabs>
        <w:ind w:left="567" w:firstLine="0"/>
        <w:jc w:val="both"/>
        <w:rPr>
          <w:rFonts w:ascii="Times New Roman" w:hAnsi="Times New Roman"/>
          <w:b/>
          <w:bCs/>
          <w:sz w:val="28"/>
          <w:szCs w:val="28"/>
          <w:lang w:val="es-ES_tradnl"/>
        </w:rPr>
      </w:pPr>
      <w:r w:rsidRPr="007C57D2">
        <w:rPr>
          <w:rFonts w:ascii="Times New Roman" w:hAnsi="Times New Roman"/>
          <w:b/>
          <w:bCs/>
          <w:sz w:val="28"/>
          <w:szCs w:val="28"/>
          <w:lang w:val="es-ES_tradnl"/>
        </w:rPr>
        <w:t>Transcripción de la norma objeto de control</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A continuación, se transcriben las normas contenidas en </w:t>
      </w:r>
      <w:r w:rsidRPr="007C57D2">
        <w:rPr>
          <w:rFonts w:ascii="Times New Roman" w:hAnsi="Times New Roman"/>
          <w:sz w:val="28"/>
          <w:szCs w:val="28"/>
          <w:lang w:val="es-ES_tradnl"/>
        </w:rPr>
        <w:t>los artículos 6, 10 y 11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6. Divulgación.</w:t>
      </w:r>
      <w:r w:rsidRPr="007C57D2">
        <w:rPr>
          <w:rFonts w:ascii="Times New Roman" w:hAnsi="Times New Roman"/>
          <w:sz w:val="28"/>
          <w:szCs w:val="26"/>
        </w:rPr>
        <w:t xml:space="preserve"> Fundamentado en los principios constitucionales de solidaridad, responsabilidad social y empresarial, los proveedores de redes y servicios de telecomunicaciones móviles deberán garantizar la divulgación, de forma gratuita e inmediata de la Alerta Colombia</w:t>
      </w:r>
      <w:r w:rsidRPr="007C57D2">
        <w:rPr>
          <w:rFonts w:ascii="Times New Roman" w:hAnsi="Times New Roman"/>
          <w:sz w:val="28"/>
          <w:szCs w:val="26"/>
        </w:rPr>
        <w:t xml:space="preserve">. La alerta será enviada a todos los teléfonos móviles que se encuentren en la zona donde se extravió el niño o niña, la cual deberá contener los datos señalados en el artículo 4 y los siguientes en caso de tenerlos: </w:t>
      </w: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a. Fecha exacta en la que se extravió </w:t>
      </w:r>
      <w:r w:rsidRPr="007C57D2">
        <w:rPr>
          <w:rFonts w:ascii="Times New Roman" w:hAnsi="Times New Roman"/>
          <w:sz w:val="28"/>
          <w:szCs w:val="26"/>
        </w:rPr>
        <w:t xml:space="preserve">el niño o niña.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b. Número telefónico dispuesto por las autoridades.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c. Número telefónico de los familiares.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d. Ciudad o municipio, localidad, departamento o distrito.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e. Zona donde se extravió el niño o niña.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f. Vestimenta del niño o niña extraviado.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g. Fotografía actualizada del niño o niña que permita su individualización.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h. Cualquier otra información que sirva para identificar y localizar al niño o niña extraviado, o a la persona que lo secuestró si se </w:t>
      </w:r>
      <w:r w:rsidRPr="007C57D2">
        <w:rPr>
          <w:rFonts w:ascii="Times New Roman" w:hAnsi="Times New Roman"/>
          <w:sz w:val="28"/>
          <w:szCs w:val="26"/>
        </w:rPr>
        <w:t>tiene certeza de su identidad o por lo menos la descripción física, so pena de los delitos cometidos si resultara dolosamente falsa la información.</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1.</w:t>
      </w:r>
      <w:r w:rsidRPr="007C57D2">
        <w:rPr>
          <w:rFonts w:ascii="Times New Roman" w:hAnsi="Times New Roman"/>
          <w:sz w:val="28"/>
          <w:szCs w:val="26"/>
        </w:rPr>
        <w:t xml:space="preserve"> La alerta que emitan los proveedores de redes y servicios de telecomunicaciones móviles deberá</w:t>
      </w:r>
      <w:r w:rsidRPr="007C57D2">
        <w:rPr>
          <w:rFonts w:ascii="Times New Roman" w:hAnsi="Times New Roman"/>
          <w:sz w:val="28"/>
          <w:szCs w:val="26"/>
        </w:rPr>
        <w:t xml:space="preserve"> ser gratuita e inmediata una vez recepcionen la información de la niña o niño por parte del Instituto Colombiano de Bienestar Familiar. La Alerta Colombia deberá llegar a la pantalla principal de los teléfonos móviles cumpliendo los requisitos del present</w:t>
      </w:r>
      <w:r w:rsidRPr="007C57D2">
        <w:rPr>
          <w:rFonts w:ascii="Times New Roman" w:hAnsi="Times New Roman"/>
          <w:sz w:val="28"/>
          <w:szCs w:val="26"/>
        </w:rPr>
        <w:t xml:space="preserve">e artículo. En caso de tratarse de dispositivos cuya reproducción de la alerta en la pantalla principal no sea posible, esta deberá realizarse a través de mensajes de texto de notificación especial.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2.</w:t>
      </w:r>
      <w:r w:rsidRPr="007C57D2">
        <w:rPr>
          <w:rFonts w:ascii="Times New Roman" w:hAnsi="Times New Roman"/>
          <w:sz w:val="28"/>
          <w:szCs w:val="26"/>
        </w:rPr>
        <w:t xml:space="preserve"> La alerta que emitan los proveedores de re</w:t>
      </w:r>
      <w:r w:rsidRPr="007C57D2">
        <w:rPr>
          <w:rFonts w:ascii="Times New Roman" w:hAnsi="Times New Roman"/>
          <w:sz w:val="28"/>
          <w:szCs w:val="26"/>
        </w:rPr>
        <w:t xml:space="preserve">des y servicios de telecomunicaciones móviles deberá realizarse tres (3) veces al día desde el reporte de la desaparición y mínimo durante la semana siguiente a la alerta inicial, salvo que antes de este término el niño o niña sea encontrado.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3</w:t>
      </w:r>
      <w:r w:rsidRPr="007C57D2">
        <w:rPr>
          <w:rFonts w:ascii="Times New Roman" w:hAnsi="Times New Roman"/>
          <w:b/>
          <w:bCs/>
          <w:sz w:val="28"/>
          <w:szCs w:val="26"/>
        </w:rPr>
        <w:t>.</w:t>
      </w:r>
      <w:r w:rsidRPr="007C57D2">
        <w:rPr>
          <w:rFonts w:ascii="Times New Roman" w:hAnsi="Times New Roman"/>
          <w:sz w:val="28"/>
          <w:szCs w:val="26"/>
        </w:rPr>
        <w:t xml:space="preserve"> El Instituto Colombiano de Bienestar Familiar, dentro de los seis (6) meses contados a partir de la entrada en vigencia de la presente ley, dispondrá en su página web oficial una ventana denominada Alerta Colombia, a fin que los ciudadanos tengan acceso </w:t>
      </w:r>
      <w:r w:rsidRPr="007C57D2">
        <w:rPr>
          <w:rFonts w:ascii="Times New Roman" w:hAnsi="Times New Roman"/>
          <w:sz w:val="28"/>
          <w:szCs w:val="26"/>
        </w:rPr>
        <w:t xml:space="preserve">a la misma y puedan verificar las alertas activas.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4.</w:t>
      </w:r>
      <w:r w:rsidRPr="007C57D2">
        <w:rPr>
          <w:rFonts w:ascii="Times New Roman" w:hAnsi="Times New Roman"/>
          <w:sz w:val="28"/>
          <w:szCs w:val="26"/>
        </w:rPr>
        <w:t xml:space="preserve"> El funcionario que recepcione el reporte y no active la Alerta Colombia será objeto de las investigaciones de acuerdo con el régimen disciplinario que le sea aplicable.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10. Proced</w:t>
      </w:r>
      <w:r w:rsidRPr="007C57D2">
        <w:rPr>
          <w:rFonts w:ascii="Times New Roman" w:hAnsi="Times New Roman"/>
          <w:b/>
          <w:bCs/>
          <w:sz w:val="28"/>
          <w:szCs w:val="26"/>
        </w:rPr>
        <w:t>imiento para la difusión de la alerta.</w:t>
      </w:r>
      <w:r w:rsidRPr="007C57D2">
        <w:rPr>
          <w:rFonts w:ascii="Times New Roman" w:hAnsi="Times New Roman"/>
          <w:sz w:val="28"/>
          <w:szCs w:val="26"/>
        </w:rPr>
        <w:t xml:space="preserve"> El procedimiento para la difusión de la Alerta Colombia deberá regirse por los principios de celeridad, eficacia y publicidad. Esto significa que no debe existir ningún tipo de dilaciones por parte de las autoridades </w:t>
      </w:r>
      <w:r w:rsidRPr="007C57D2">
        <w:rPr>
          <w:rFonts w:ascii="Times New Roman" w:hAnsi="Times New Roman"/>
          <w:sz w:val="28"/>
          <w:szCs w:val="26"/>
        </w:rPr>
        <w:t xml:space="preserve">competentes. Los procedimientos de difusión serán los siguientes: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a. Los proveedores de redes y servicios de telecomunicaciones móviles deberán emitir la Alerta Colombia difundiendo la información del niño o niña extraviado de manera gratuita y oportuna </w:t>
      </w:r>
      <w:r w:rsidRPr="007C57D2">
        <w:rPr>
          <w:rFonts w:ascii="Times New Roman" w:hAnsi="Times New Roman"/>
          <w:sz w:val="28"/>
          <w:szCs w:val="26"/>
        </w:rPr>
        <w:t xml:space="preserve">conforme al artículo 6 de la presente ley.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b. Los proveedores de redes y servicios de telecomunicaciones móviles que prestan sus servicios en el país deberán, en un tiempo máximo de una (1) hora posterior a la activación de la Alerta Colombia, difundir d</w:t>
      </w:r>
      <w:r w:rsidRPr="007C57D2">
        <w:rPr>
          <w:rFonts w:ascii="Times New Roman" w:hAnsi="Times New Roman"/>
          <w:sz w:val="28"/>
          <w:szCs w:val="26"/>
        </w:rPr>
        <w:t>icha alerta a todos los usuarios que se encuentren registrados en la zona en la cual el niño o niña se extravió. En todo caso, si existen indicios de que el niño o niña ha sido trasladado a otra ciudad o municipio, la alerta deberá ampliarse progresivament</w:t>
      </w:r>
      <w:r w:rsidRPr="007C57D2">
        <w:rPr>
          <w:rFonts w:ascii="Times New Roman" w:hAnsi="Times New Roman"/>
          <w:sz w:val="28"/>
          <w:szCs w:val="26"/>
        </w:rPr>
        <w:t xml:space="preserve">e.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c. Dicha alerta deberá ser emitida de manera ágil e inmediata al Ministerio de Relaciones Exteriores, Migración Colombia y a todas las demás autoridades en las fronteras, puertos y aeropuertos con el propósito de evitar que el niño o niña extraviado s</w:t>
      </w:r>
      <w:r w:rsidRPr="007C57D2">
        <w:rPr>
          <w:rFonts w:ascii="Times New Roman" w:hAnsi="Times New Roman"/>
          <w:sz w:val="28"/>
          <w:szCs w:val="26"/>
        </w:rPr>
        <w:t xml:space="preserve">alga del país. Los operadores logísticos de los aeropuertos internacionales deberán difundir la alerta en sus instalaciones cuando un niño o niña se haya extraviado en su ciudad o municipio.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d. Así mismo, se deberá comunicar e informar a los países front</w:t>
      </w:r>
      <w:r w:rsidRPr="007C57D2">
        <w:rPr>
          <w:rFonts w:ascii="Times New Roman" w:hAnsi="Times New Roman"/>
          <w:sz w:val="28"/>
          <w:szCs w:val="26"/>
        </w:rPr>
        <w:t xml:space="preserve">erizos con Colombia sobre la alerta emitida, con el fin de articular esfuerzos para recuperar al niño o niña.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e. La Alerta deberá cubrir toda la pantalla mínimo por 10 segundos en donde estará la información del niño o niña. La fotografía deberá ocupar por lo menos el 70% de la pantalla del dispositivo celular y deberá vibrar. La señal de alerta será en color rojo</w:t>
      </w:r>
      <w:r w:rsidRPr="007C57D2">
        <w:rPr>
          <w:rFonts w:ascii="Times New Roman" w:hAnsi="Times New Roman"/>
          <w:sz w:val="28"/>
          <w:szCs w:val="26"/>
        </w:rPr>
        <w:t xml:space="preserve"> de peligro y no se permitirá que el usuario del dispositivo móvil elimine la alerta antes de cumplido dicho tiempo de duración.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 xml:space="preserve">f. Además de la difusión mediante dispositivos móviles, se implementará la difusión de la alerta a través de otros medios de </w:t>
      </w:r>
      <w:r w:rsidRPr="007C57D2">
        <w:rPr>
          <w:rFonts w:ascii="Times New Roman" w:hAnsi="Times New Roman"/>
          <w:sz w:val="28"/>
          <w:szCs w:val="26"/>
        </w:rPr>
        <w:t xml:space="preserve">comunicación de amplia cobertura, como la radio, la televisión y los medios digitales, con el fin de alcanzar la mayor cantidad posible de personas en el menor tiempo posible.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1.</w:t>
      </w:r>
      <w:r w:rsidRPr="007C57D2">
        <w:rPr>
          <w:rFonts w:ascii="Times New Roman" w:hAnsi="Times New Roman"/>
          <w:sz w:val="28"/>
          <w:szCs w:val="26"/>
        </w:rPr>
        <w:t xml:space="preserve"> En cualquier momento, el contenido de la alerta podrá variar conf</w:t>
      </w:r>
      <w:r w:rsidRPr="007C57D2">
        <w:rPr>
          <w:rFonts w:ascii="Times New Roman" w:hAnsi="Times New Roman"/>
          <w:sz w:val="28"/>
          <w:szCs w:val="26"/>
        </w:rPr>
        <w:t xml:space="preserve">orme a la información que reciban las autoridades y que sirva para localizar y recuperar al niño o niña extraviado.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2.</w:t>
      </w:r>
      <w:r w:rsidRPr="007C57D2">
        <w:rPr>
          <w:rFonts w:ascii="Times New Roman" w:hAnsi="Times New Roman"/>
          <w:sz w:val="28"/>
          <w:szCs w:val="26"/>
        </w:rPr>
        <w:t xml:space="preserve"> La Alerta Colombia integrará también el gran Sistema de Alertas Tempranas sobre la niñez colombiana creado por el artículo 4 </w:t>
      </w:r>
      <w:r w:rsidRPr="007C57D2">
        <w:rPr>
          <w:rFonts w:ascii="Times New Roman" w:hAnsi="Times New Roman"/>
          <w:sz w:val="28"/>
          <w:szCs w:val="26"/>
        </w:rPr>
        <w:t xml:space="preserve">de la Ley 2242 de 2022 con el apoyo de la Agencia Nacional Digital, o cualquier Ley que la sustituya, modifique o adicione, sin perder su autonomía en su modalidad.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3.</w:t>
      </w:r>
      <w:r w:rsidRPr="007C57D2">
        <w:rPr>
          <w:rFonts w:ascii="Times New Roman" w:hAnsi="Times New Roman"/>
          <w:sz w:val="28"/>
          <w:szCs w:val="26"/>
        </w:rPr>
        <w:t xml:space="preserve"> La Alerta deberá ser activada de conformidad con el juicio razonable de las </w:t>
      </w:r>
      <w:r w:rsidRPr="007C57D2">
        <w:rPr>
          <w:rFonts w:ascii="Times New Roman" w:hAnsi="Times New Roman"/>
          <w:sz w:val="28"/>
          <w:szCs w:val="26"/>
        </w:rPr>
        <w:t>instancias competentes, según el lugar donde se reportó el niño o niña extraviado, y deberá atender al interés superior de los niños y niñas involucrados. La activación se realizará sin anteponer prejuicios y valores personales, o cualquier otro acto de di</w:t>
      </w:r>
      <w:r w:rsidRPr="007C57D2">
        <w:rPr>
          <w:rFonts w:ascii="Times New Roman" w:hAnsi="Times New Roman"/>
          <w:sz w:val="28"/>
          <w:szCs w:val="26"/>
        </w:rPr>
        <w:t xml:space="preserve">scriminación que pueda impedir u obstaculizar la búsqueda del niño o niña. La información sobre los niños y niñas extraviados, será administrada bajo las condiciones de seguridad necesarias para impedir su consulta, uso o acceso no autorizado.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1</w:t>
      </w:r>
      <w:r w:rsidRPr="007C57D2">
        <w:rPr>
          <w:rFonts w:ascii="Times New Roman" w:hAnsi="Times New Roman"/>
          <w:b/>
          <w:bCs/>
          <w:sz w:val="28"/>
          <w:szCs w:val="26"/>
        </w:rPr>
        <w:t>1. Zona de difusión.</w:t>
      </w:r>
      <w:r w:rsidRPr="007C57D2">
        <w:rPr>
          <w:rFonts w:ascii="Times New Roman" w:hAnsi="Times New Roman"/>
          <w:sz w:val="28"/>
          <w:szCs w:val="26"/>
        </w:rPr>
        <w:t xml:space="preserve"> Conforme a la situación particular de cada caso de niños o niñas extraviados, la zona de difusión podrá ser local, municipal, departamental, regional o nacional. De no aparecer el niño o niña, ésta se irá ampliando progresivamente.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color w:val="000000"/>
          <w:sz w:val="28"/>
          <w:szCs w:val="26"/>
        </w:rPr>
        <w:t>P</w:t>
      </w:r>
      <w:r w:rsidRPr="007C57D2">
        <w:rPr>
          <w:rFonts w:ascii="Times New Roman" w:hAnsi="Times New Roman"/>
          <w:b/>
          <w:bCs/>
          <w:color w:val="000000"/>
          <w:sz w:val="28"/>
          <w:szCs w:val="26"/>
        </w:rPr>
        <w:t>arágrafo.</w:t>
      </w:r>
      <w:r w:rsidRPr="007C57D2">
        <w:rPr>
          <w:rFonts w:ascii="Times New Roman" w:hAnsi="Times New Roman"/>
          <w:color w:val="000000"/>
          <w:sz w:val="28"/>
          <w:szCs w:val="26"/>
        </w:rPr>
        <w:t xml:space="preserve"> El Ministerio de las Tecnologías de la Información y las Comunicaciones en coordinación con el Institución Colombiano de Bienestar Familiar y la Policía Nacional deberá articular con los sujetos descritos en el artículo 6 de esta ley el protocolo</w:t>
      </w:r>
      <w:r w:rsidRPr="007C57D2">
        <w:rPr>
          <w:rFonts w:ascii="Times New Roman" w:hAnsi="Times New Roman"/>
          <w:color w:val="000000"/>
          <w:sz w:val="28"/>
          <w:szCs w:val="26"/>
        </w:rPr>
        <w:t xml:space="preserve"> de difusión de la Alerta Colombia en el país</w:t>
      </w:r>
      <w:r w:rsidRPr="007C57D2">
        <w:rPr>
          <w:rFonts w:ascii="Times New Roman" w:hAnsi="Times New Roman"/>
          <w:sz w:val="28"/>
          <w:szCs w:val="26"/>
        </w:rPr>
        <w:t>”.</w:t>
      </w:r>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spacing w:after="0" w:line="240" w:lineRule="auto"/>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 xml:space="preserve">b. Problema jurídico e intervenciones </w:t>
      </w:r>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 xml:space="preserve">Para decidir definitivamente sobre la constitucionalidad del PLE, respecto del contenido material del artículo 6, le corresponde a la Corte establecer lo siguiente: </w:t>
      </w:r>
      <w:r w:rsidRPr="007C57D2">
        <w:rPr>
          <w:rFonts w:ascii="Times New Roman" w:hAnsi="Times New Roman"/>
          <w:sz w:val="28"/>
          <w:szCs w:val="28"/>
          <w:lang w:val="es-ES_tradnl"/>
        </w:rPr>
        <w:t>¿Se ajustan los artículos 6, 10 y 11 del PLE a lo dispuesto en los preceptos constitucionales?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Corte recibió once intervenciones que se relacionan con las materias reguladas por los artículos 6, 10 y 11 del PLE, que se resumen a continuación y se clasi</w:t>
      </w:r>
      <w:r w:rsidRPr="007C57D2">
        <w:rPr>
          <w:rFonts w:ascii="Times New Roman" w:hAnsi="Times New Roman"/>
          <w:sz w:val="28"/>
          <w:szCs w:val="28"/>
        </w:rPr>
        <w:t>fican de la siguiente forma:</w:t>
      </w:r>
    </w:p>
    <w:p w:rsidR="001E19D5" w:rsidRPr="007C57D2" w:rsidRDefault="007C57D2" w:rsidP="008F3DAB">
      <w:pPr>
        <w:spacing w:after="0" w:line="240" w:lineRule="auto"/>
        <w:jc w:val="both"/>
        <w:rPr>
          <w:rFonts w:ascii="Times New Roman" w:hAnsi="Times New Roman"/>
          <w:sz w:val="28"/>
          <w:szCs w:val="28"/>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565"/>
      </w:tblGrid>
      <w:tr w:rsidR="001E19D5" w:rsidRPr="007C57D2" w:rsidTr="007C57D2">
        <w:tc>
          <w:tcPr>
            <w:tcW w:w="2263" w:type="dxa"/>
            <w:shd w:val="clear" w:color="auto" w:fill="auto"/>
          </w:tcPr>
          <w:p w:rsidR="001E19D5" w:rsidRPr="007C57D2" w:rsidRDefault="007C57D2" w:rsidP="007C57D2">
            <w:pPr>
              <w:spacing w:after="0" w:line="240" w:lineRule="auto"/>
              <w:jc w:val="center"/>
              <w:rPr>
                <w:rFonts w:ascii="Times New Roman" w:hAnsi="Times New Roman"/>
                <w:b/>
                <w:bCs/>
                <w:sz w:val="28"/>
                <w:lang w:val="es-ES"/>
              </w:rPr>
            </w:pPr>
            <w:r w:rsidRPr="007C57D2">
              <w:rPr>
                <w:rFonts w:ascii="Times New Roman" w:hAnsi="Times New Roman"/>
                <w:b/>
                <w:bCs/>
                <w:sz w:val="28"/>
                <w:lang w:val="es-ES"/>
              </w:rPr>
              <w:t>Exequibilidad simple</w:t>
            </w:r>
          </w:p>
        </w:tc>
        <w:tc>
          <w:tcPr>
            <w:tcW w:w="6565" w:type="dxa"/>
            <w:shd w:val="clear" w:color="auto" w:fill="auto"/>
          </w:tcPr>
          <w:p w:rsidR="001E19D5" w:rsidRPr="007C57D2" w:rsidRDefault="007C57D2" w:rsidP="007C57D2">
            <w:pPr>
              <w:pStyle w:val="Prrafodelista"/>
              <w:ind w:left="0"/>
              <w:jc w:val="both"/>
              <w:rPr>
                <w:rFonts w:ascii="Times New Roman" w:hAnsi="Times New Roman"/>
                <w:sz w:val="28"/>
                <w:lang w:val="es-ES"/>
              </w:rPr>
            </w:pPr>
            <w:r w:rsidRPr="007C57D2">
              <w:rPr>
                <w:rFonts w:ascii="Times New Roman" w:hAnsi="Times New Roman"/>
                <w:sz w:val="28"/>
                <w:lang w:val="es-ES"/>
              </w:rPr>
              <w:t>Procuraduría General de la Nación</w:t>
            </w:r>
          </w:p>
        </w:tc>
      </w:tr>
      <w:tr w:rsidR="001E19D5" w:rsidRPr="007C57D2" w:rsidTr="007C57D2">
        <w:tc>
          <w:tcPr>
            <w:tcW w:w="2263" w:type="dxa"/>
            <w:shd w:val="clear" w:color="auto" w:fill="auto"/>
          </w:tcPr>
          <w:p w:rsidR="001E19D5" w:rsidRPr="007C57D2" w:rsidRDefault="007C57D2" w:rsidP="007C57D2">
            <w:pPr>
              <w:spacing w:after="0" w:line="240" w:lineRule="auto"/>
              <w:jc w:val="center"/>
              <w:rPr>
                <w:rFonts w:ascii="Times New Roman" w:hAnsi="Times New Roman"/>
                <w:b/>
                <w:bCs/>
                <w:sz w:val="28"/>
                <w:lang w:val="es-ES"/>
              </w:rPr>
            </w:pPr>
            <w:r w:rsidRPr="007C57D2">
              <w:rPr>
                <w:rFonts w:ascii="Times New Roman" w:hAnsi="Times New Roman"/>
                <w:b/>
                <w:bCs/>
                <w:sz w:val="28"/>
                <w:lang w:val="es-ES"/>
              </w:rPr>
              <w:t>Exequibilidad con ciertos reparos</w:t>
            </w:r>
          </w:p>
        </w:tc>
        <w:tc>
          <w:tcPr>
            <w:tcW w:w="6565" w:type="dxa"/>
            <w:shd w:val="clear" w:color="auto" w:fill="auto"/>
          </w:tcPr>
          <w:p w:rsidR="001E19D5" w:rsidRPr="007C57D2" w:rsidRDefault="007C57D2" w:rsidP="007C57D2">
            <w:pPr>
              <w:pStyle w:val="Prrafodelista"/>
              <w:ind w:left="0"/>
              <w:jc w:val="both"/>
              <w:rPr>
                <w:rFonts w:ascii="Times New Roman" w:hAnsi="Times New Roman"/>
                <w:sz w:val="28"/>
                <w:lang w:val="es-ES"/>
              </w:rPr>
            </w:pPr>
            <w:r w:rsidRPr="007C57D2">
              <w:rPr>
                <w:rFonts w:ascii="Times New Roman" w:hAnsi="Times New Roman"/>
                <w:sz w:val="28"/>
                <w:lang w:val="es-ES"/>
              </w:rPr>
              <w:t xml:space="preserve">Fiscalía General de la Nación, Defensoría del Pueblo, Ministerio de Justicia y del Derecho, Unidad de Búsqueda de Personas dadas por </w:t>
            </w:r>
            <w:r w:rsidRPr="007C57D2">
              <w:rPr>
                <w:rFonts w:ascii="Times New Roman" w:hAnsi="Times New Roman"/>
                <w:sz w:val="28"/>
                <w:lang w:val="es-ES"/>
              </w:rPr>
              <w:t>Desaparecidas, Universidad Industrial de Santander y Universidad del Norte</w:t>
            </w:r>
          </w:p>
        </w:tc>
      </w:tr>
      <w:tr w:rsidR="001E19D5" w:rsidRPr="007C57D2" w:rsidTr="007C57D2">
        <w:tc>
          <w:tcPr>
            <w:tcW w:w="2263" w:type="dxa"/>
            <w:shd w:val="clear" w:color="auto" w:fill="auto"/>
          </w:tcPr>
          <w:p w:rsidR="001E19D5" w:rsidRPr="007C57D2" w:rsidRDefault="007C57D2" w:rsidP="007C57D2">
            <w:pPr>
              <w:spacing w:after="0" w:line="240" w:lineRule="auto"/>
              <w:jc w:val="center"/>
              <w:rPr>
                <w:rFonts w:ascii="Times New Roman" w:hAnsi="Times New Roman"/>
                <w:b/>
                <w:bCs/>
                <w:sz w:val="28"/>
                <w:lang w:val="es-ES"/>
              </w:rPr>
            </w:pPr>
            <w:r w:rsidRPr="007C57D2">
              <w:rPr>
                <w:rFonts w:ascii="Times New Roman" w:hAnsi="Times New Roman"/>
                <w:b/>
                <w:bCs/>
                <w:sz w:val="28"/>
                <w:lang w:val="es-ES"/>
              </w:rPr>
              <w:t>Inexequibilidad</w:t>
            </w:r>
          </w:p>
        </w:tc>
        <w:tc>
          <w:tcPr>
            <w:tcW w:w="6565" w:type="dxa"/>
            <w:shd w:val="clear" w:color="auto" w:fill="auto"/>
          </w:tcPr>
          <w:p w:rsidR="001E19D5" w:rsidRPr="007C57D2" w:rsidRDefault="007C57D2" w:rsidP="007C57D2">
            <w:pPr>
              <w:pStyle w:val="Prrafodelista"/>
              <w:ind w:left="0"/>
              <w:jc w:val="both"/>
              <w:rPr>
                <w:rFonts w:ascii="Times New Roman" w:hAnsi="Times New Roman"/>
                <w:sz w:val="28"/>
                <w:lang w:val="es-ES"/>
              </w:rPr>
            </w:pPr>
            <w:r w:rsidRPr="007C57D2">
              <w:rPr>
                <w:rFonts w:ascii="Times New Roman" w:hAnsi="Times New Roman"/>
                <w:sz w:val="28"/>
                <w:lang w:val="es-ES"/>
              </w:rPr>
              <w:t>Comisión de Regulación de Comunicaciones</w:t>
            </w:r>
            <w:r w:rsidRPr="007C57D2">
              <w:rPr>
                <w:rFonts w:ascii="Times New Roman" w:hAnsi="Times New Roman"/>
                <w:sz w:val="28"/>
                <w:vertAlign w:val="superscript"/>
                <w:lang w:val="es-ES"/>
              </w:rPr>
              <w:footnoteReference w:id="567"/>
            </w:r>
            <w:r w:rsidRPr="007C57D2">
              <w:rPr>
                <w:rFonts w:ascii="Times New Roman" w:hAnsi="Times New Roman"/>
                <w:sz w:val="28"/>
                <w:lang w:val="es-ES"/>
              </w:rPr>
              <w:t>, Asociación de la Industria Móvil de Colombia y Universidad Católica de Colombia</w:t>
            </w:r>
          </w:p>
        </w:tc>
      </w:tr>
      <w:tr w:rsidR="001E19D5" w:rsidRPr="007C57D2" w:rsidTr="007C57D2">
        <w:tc>
          <w:tcPr>
            <w:tcW w:w="2263" w:type="dxa"/>
            <w:shd w:val="clear" w:color="auto" w:fill="auto"/>
          </w:tcPr>
          <w:p w:rsidR="001E19D5" w:rsidRPr="007C57D2" w:rsidRDefault="007C57D2" w:rsidP="007C57D2">
            <w:pPr>
              <w:spacing w:after="0" w:line="240" w:lineRule="auto"/>
              <w:jc w:val="center"/>
              <w:rPr>
                <w:rFonts w:ascii="Times New Roman" w:hAnsi="Times New Roman"/>
                <w:b/>
                <w:bCs/>
                <w:sz w:val="28"/>
                <w:lang w:val="es-ES"/>
              </w:rPr>
            </w:pPr>
            <w:r w:rsidRPr="007C57D2">
              <w:rPr>
                <w:rFonts w:ascii="Times New Roman" w:hAnsi="Times New Roman"/>
                <w:b/>
                <w:bCs/>
                <w:sz w:val="28"/>
                <w:lang w:val="es-ES"/>
              </w:rPr>
              <w:t>Inconveniencia</w:t>
            </w:r>
          </w:p>
        </w:tc>
        <w:tc>
          <w:tcPr>
            <w:tcW w:w="6565" w:type="dxa"/>
            <w:shd w:val="clear" w:color="auto" w:fill="auto"/>
          </w:tcPr>
          <w:p w:rsidR="001E19D5" w:rsidRPr="007C57D2" w:rsidRDefault="007C57D2" w:rsidP="007C57D2">
            <w:pPr>
              <w:pStyle w:val="Prrafodelista"/>
              <w:ind w:left="0"/>
              <w:jc w:val="both"/>
              <w:rPr>
                <w:rFonts w:ascii="Times New Roman" w:hAnsi="Times New Roman"/>
                <w:sz w:val="28"/>
                <w:lang w:val="es-ES"/>
              </w:rPr>
            </w:pPr>
            <w:r w:rsidRPr="007C57D2">
              <w:rPr>
                <w:rFonts w:ascii="Times New Roman" w:hAnsi="Times New Roman"/>
                <w:sz w:val="28"/>
                <w:lang w:val="es-ES"/>
              </w:rPr>
              <w:t>Ministerio de las Tecnolo</w:t>
            </w:r>
            <w:r w:rsidRPr="007C57D2">
              <w:rPr>
                <w:rFonts w:ascii="Times New Roman" w:hAnsi="Times New Roman"/>
                <w:sz w:val="28"/>
                <w:lang w:val="es-ES"/>
              </w:rPr>
              <w:t>gías de la Información y las Telecomunicaciones</w:t>
            </w:r>
          </w:p>
        </w:tc>
      </w:tr>
    </w:tbl>
    <w:p w:rsidR="001E19D5" w:rsidRPr="007C57D2" w:rsidRDefault="007C57D2" w:rsidP="008F3DAB">
      <w:pPr>
        <w:spacing w:after="0" w:line="240" w:lineRule="auto"/>
        <w:jc w:val="center"/>
        <w:rPr>
          <w:rFonts w:ascii="Times New Roman" w:hAnsi="Times New Roman"/>
          <w:i/>
          <w:iCs/>
          <w:sz w:val="28"/>
          <w:lang w:val="es-ES"/>
        </w:rPr>
      </w:pPr>
      <w:r w:rsidRPr="007C57D2">
        <w:rPr>
          <w:rFonts w:ascii="Times New Roman" w:hAnsi="Times New Roman"/>
          <w:sz w:val="28"/>
          <w:lang w:val="es-ES"/>
        </w:rPr>
        <w:t>Tabla 2</w:t>
      </w:r>
      <w:r w:rsidRPr="007C57D2">
        <w:rPr>
          <w:rFonts w:ascii="Times New Roman" w:hAnsi="Times New Roman"/>
          <w:sz w:val="28"/>
          <w:lang w:val="es-ES"/>
        </w:rPr>
        <w:t>3</w:t>
      </w:r>
      <w:r w:rsidRPr="007C57D2">
        <w:rPr>
          <w:rFonts w:ascii="Times New Roman" w:hAnsi="Times New Roman"/>
          <w:sz w:val="28"/>
          <w:lang w:val="es-ES"/>
        </w:rPr>
        <w:t xml:space="preserve">. </w:t>
      </w:r>
      <w:r w:rsidRPr="007C57D2">
        <w:rPr>
          <w:rFonts w:ascii="Times New Roman" w:hAnsi="Times New Roman"/>
          <w:i/>
          <w:iCs/>
          <w:sz w:val="28"/>
          <w:lang w:val="es-ES"/>
        </w:rPr>
        <w:t>Intervenciones frente a los artículos 6, 10 y 11 del PLE</w:t>
      </w:r>
    </w:p>
    <w:p w:rsidR="001E19D5" w:rsidRPr="007C57D2" w:rsidRDefault="007C57D2" w:rsidP="008F3DAB">
      <w:pPr>
        <w:spacing w:after="0" w:line="240" w:lineRule="auto"/>
        <w:jc w:val="both"/>
        <w:rPr>
          <w:rFonts w:ascii="Times New Roman" w:hAnsi="Times New Roman"/>
          <w:i/>
          <w:iCs/>
          <w:sz w:val="28"/>
          <w:szCs w:val="28"/>
          <w:lang w:val="es-ES"/>
        </w:rPr>
      </w:pPr>
    </w:p>
    <w:p w:rsidR="001E19D5" w:rsidRPr="007C57D2" w:rsidRDefault="007C57D2" w:rsidP="008F3DAB">
      <w:pPr>
        <w:numPr>
          <w:ilvl w:val="0"/>
          <w:numId w:val="3"/>
        </w:numPr>
        <w:tabs>
          <w:tab w:val="left" w:pos="709"/>
        </w:tabs>
        <w:spacing w:after="0" w:line="240" w:lineRule="auto"/>
        <w:ind w:left="0" w:firstLine="0"/>
        <w:jc w:val="both"/>
        <w:rPr>
          <w:rFonts w:ascii="Times New Roman" w:hAnsi="Times New Roman"/>
          <w:sz w:val="28"/>
          <w:szCs w:val="28"/>
          <w:lang w:val="es-ES"/>
        </w:rPr>
      </w:pPr>
      <w:r w:rsidRPr="007C57D2">
        <w:rPr>
          <w:rFonts w:ascii="Times New Roman" w:hAnsi="Times New Roman"/>
          <w:i/>
          <w:iCs/>
          <w:sz w:val="28"/>
          <w:szCs w:val="28"/>
        </w:rPr>
        <w:t xml:space="preserve">Exequibilidad simple. </w:t>
      </w:r>
      <w:r w:rsidRPr="007C57D2">
        <w:rPr>
          <w:rFonts w:ascii="Times New Roman" w:hAnsi="Times New Roman"/>
          <w:sz w:val="28"/>
          <w:szCs w:val="28"/>
        </w:rPr>
        <w:t>La Procuraduría General de la Nación</w:t>
      </w:r>
      <w:r w:rsidRPr="007C57D2">
        <w:rPr>
          <w:rFonts w:ascii="Times New Roman" w:hAnsi="Times New Roman"/>
          <w:sz w:val="28"/>
          <w:szCs w:val="28"/>
          <w:vertAlign w:val="superscript"/>
        </w:rPr>
        <w:footnoteReference w:id="568"/>
      </w:r>
      <w:r w:rsidRPr="007C57D2">
        <w:rPr>
          <w:rFonts w:ascii="Times New Roman" w:hAnsi="Times New Roman"/>
          <w:i/>
          <w:iCs/>
          <w:sz w:val="28"/>
          <w:szCs w:val="28"/>
        </w:rPr>
        <w:t xml:space="preserve"> </w:t>
      </w:r>
      <w:r w:rsidRPr="007C57D2">
        <w:rPr>
          <w:rFonts w:ascii="Times New Roman" w:hAnsi="Times New Roman"/>
          <w:sz w:val="28"/>
          <w:szCs w:val="28"/>
        </w:rPr>
        <w:t xml:space="preserve">considera que los artículos 6, 10 y 11 del PLE son exequibles. En su criterio, </w:t>
      </w:r>
      <w:r w:rsidRPr="007C57D2">
        <w:rPr>
          <w:rFonts w:ascii="Times New Roman" w:hAnsi="Times New Roman"/>
          <w:sz w:val="28"/>
          <w:szCs w:val="28"/>
        </w:rPr>
        <w:t>la exigencia impuesta a los prestadores de telecomunicaciones y redes móviles de difundir de forma masiva la alerta se fundamenta en el interés superior de la niñez y en la función social inherente a los servicios que prestan. Aduce que la especificación d</w:t>
      </w:r>
      <w:r w:rsidRPr="007C57D2">
        <w:rPr>
          <w:rFonts w:ascii="Times New Roman" w:hAnsi="Times New Roman"/>
          <w:sz w:val="28"/>
          <w:szCs w:val="28"/>
        </w:rPr>
        <w:t>e datos y zonas geográficas también es razonable, y que no tiene reparos frente a la responsabilidad disciplinaria del funcionario público que omita su deber de activar la alerta. Del mismo modo, sostiene que el procedimiento se inspira en los principios d</w:t>
      </w:r>
      <w:r w:rsidRPr="007C57D2">
        <w:rPr>
          <w:rFonts w:ascii="Times New Roman" w:hAnsi="Times New Roman"/>
          <w:sz w:val="28"/>
          <w:szCs w:val="28"/>
        </w:rPr>
        <w:t>e celeridad, eficacia y publicidad, por lo que concuerda con los mandatos constitucionales sobre la prevalencia y el deber de protección de los derechos de los niños; y que se inspira en la corresponsabilidad del Estado, la sociedad y la familia, porque bu</w:t>
      </w:r>
      <w:r w:rsidRPr="007C57D2">
        <w:rPr>
          <w:rFonts w:ascii="Times New Roman" w:hAnsi="Times New Roman"/>
          <w:sz w:val="28"/>
          <w:szCs w:val="28"/>
        </w:rPr>
        <w:t>sca garantizar una adecuada articulación entre las autoridades y la ciudadanía cuando suceda una desaparición.</w:t>
      </w:r>
    </w:p>
    <w:p w:rsidR="001E19D5" w:rsidRPr="007C57D2" w:rsidRDefault="007C57D2" w:rsidP="008F3DAB">
      <w:pPr>
        <w:tabs>
          <w:tab w:val="left" w:pos="709"/>
        </w:tabs>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tabs>
          <w:tab w:val="left" w:pos="709"/>
        </w:tabs>
        <w:spacing w:after="0" w:line="240" w:lineRule="auto"/>
        <w:ind w:left="0" w:firstLine="0"/>
        <w:jc w:val="both"/>
        <w:rPr>
          <w:rFonts w:ascii="Times New Roman" w:hAnsi="Times New Roman"/>
          <w:sz w:val="28"/>
          <w:szCs w:val="28"/>
          <w:lang w:val="es-ES"/>
        </w:rPr>
      </w:pPr>
      <w:r w:rsidRPr="007C57D2">
        <w:rPr>
          <w:rFonts w:ascii="Times New Roman" w:hAnsi="Times New Roman"/>
          <w:i/>
          <w:iCs/>
          <w:sz w:val="28"/>
          <w:szCs w:val="28"/>
          <w:lang w:val="es-ES"/>
        </w:rPr>
        <w:t>Exequibilidad con ciertos reparos</w:t>
      </w:r>
      <w:r w:rsidRPr="007C57D2">
        <w:rPr>
          <w:rFonts w:ascii="Times New Roman" w:hAnsi="Times New Roman"/>
          <w:sz w:val="28"/>
          <w:szCs w:val="28"/>
          <w:lang w:val="es-ES"/>
        </w:rPr>
        <w:t xml:space="preserve">. </w:t>
      </w:r>
      <w:r w:rsidRPr="007C57D2">
        <w:rPr>
          <w:rFonts w:ascii="Times New Roman" w:hAnsi="Times New Roman"/>
          <w:sz w:val="28"/>
          <w:szCs w:val="28"/>
        </w:rPr>
        <w:t>La Fiscalía General de la Nación</w:t>
      </w:r>
      <w:r w:rsidRPr="007C57D2">
        <w:rPr>
          <w:rFonts w:ascii="Times New Roman" w:hAnsi="Times New Roman"/>
          <w:sz w:val="28"/>
          <w:szCs w:val="28"/>
          <w:vertAlign w:val="superscript"/>
        </w:rPr>
        <w:footnoteReference w:id="569"/>
      </w:r>
      <w:r w:rsidRPr="007C57D2">
        <w:rPr>
          <w:rFonts w:ascii="Times New Roman" w:hAnsi="Times New Roman"/>
          <w:sz w:val="28"/>
          <w:szCs w:val="28"/>
        </w:rPr>
        <w:t xml:space="preserve"> considera que el PLE es constitucional, pero que resulta necesario conminar</w:t>
      </w:r>
      <w:r w:rsidRPr="007C57D2">
        <w:rPr>
          <w:rFonts w:ascii="Times New Roman" w:hAnsi="Times New Roman"/>
          <w:sz w:val="28"/>
          <w:szCs w:val="28"/>
        </w:rPr>
        <w:t xml:space="preserve"> al ejecutivo para que reglamente la futura ley en torno a la unificación de procedimientos y competencias institucionales sobre la materia. Sostiene que la Alerta Colombia se relaciona con la intención de continuar la política estatal para el fortalecimie</w:t>
      </w:r>
      <w:r w:rsidRPr="007C57D2">
        <w:rPr>
          <w:rFonts w:ascii="Times New Roman" w:hAnsi="Times New Roman"/>
          <w:sz w:val="28"/>
          <w:szCs w:val="28"/>
        </w:rPr>
        <w:t>nto de los mecanismos legales y operativos para la búsqueda de personas desaparecidas. La Fiscalía resalta que el PLE contempla procedimientos y lineamientos que están desarrollados en otras normas que persiguen propósitos similares, como la alerta naciona</w:t>
      </w:r>
      <w:r w:rsidRPr="007C57D2">
        <w:rPr>
          <w:rFonts w:ascii="Times New Roman" w:hAnsi="Times New Roman"/>
          <w:sz w:val="28"/>
          <w:szCs w:val="28"/>
        </w:rPr>
        <w:t>l establecida por la Comisión de Regulación de Comunicaciones y el Mecanismo de Búsqueda Urgente</w:t>
      </w:r>
      <w:r w:rsidRPr="007C57D2">
        <w:rPr>
          <w:rFonts w:ascii="Times New Roman" w:hAnsi="Times New Roman"/>
          <w:sz w:val="28"/>
          <w:szCs w:val="28"/>
          <w:vertAlign w:val="superscript"/>
        </w:rPr>
        <w:footnoteReference w:id="570"/>
      </w:r>
      <w:r w:rsidRPr="007C57D2">
        <w:rPr>
          <w:rFonts w:ascii="Times New Roman" w:hAnsi="Times New Roman"/>
          <w:sz w:val="28"/>
          <w:szCs w:val="28"/>
        </w:rPr>
        <w:t>. Manifiesta que es necesario unificarlos, para no afectar las competencias constitucionales vigentes.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Defensoría del Pueblo</w:t>
      </w:r>
      <w:r w:rsidRPr="007C57D2">
        <w:rPr>
          <w:rFonts w:ascii="Times New Roman" w:hAnsi="Times New Roman"/>
          <w:sz w:val="28"/>
          <w:szCs w:val="28"/>
          <w:vertAlign w:val="superscript"/>
        </w:rPr>
        <w:footnoteReference w:id="571"/>
      </w:r>
      <w:r w:rsidRPr="007C57D2">
        <w:rPr>
          <w:rFonts w:ascii="Times New Roman" w:hAnsi="Times New Roman"/>
          <w:sz w:val="28"/>
          <w:szCs w:val="28"/>
        </w:rPr>
        <w:t xml:space="preserve"> destaca que el PLE guarda una</w:t>
      </w:r>
      <w:r w:rsidRPr="007C57D2">
        <w:rPr>
          <w:rFonts w:ascii="Times New Roman" w:hAnsi="Times New Roman"/>
          <w:sz w:val="28"/>
          <w:szCs w:val="28"/>
        </w:rPr>
        <w:t xml:space="preserve"> gran similitud con la Ley 2326 de 2023, por lo que resulta repetitivo e incluso inconveniente. Sin embargo, no lo considera inconstitucional porque no implica necesariamente la afectación del goce efectivo de derechos. En todo caso, resalta que es una nor</w:t>
      </w:r>
      <w:r w:rsidRPr="007C57D2">
        <w:rPr>
          <w:rFonts w:ascii="Times New Roman" w:hAnsi="Times New Roman"/>
          <w:sz w:val="28"/>
          <w:szCs w:val="28"/>
        </w:rPr>
        <w:t>ma que puede impedir alcanzar los grados de mayor protección posible, por la utilización de recursos humanos y presupuestales para la puesta en funcionamiento de ambos mecanismos; y que puede confundir a la ciudadanía y las autoridades, así como desarticul</w:t>
      </w:r>
      <w:r w:rsidRPr="007C57D2">
        <w:rPr>
          <w:rFonts w:ascii="Times New Roman" w:hAnsi="Times New Roman"/>
          <w:sz w:val="28"/>
          <w:szCs w:val="28"/>
        </w:rPr>
        <w:t>ar los espacios creados. Como puede generarse una tensión con la Alerta Rosa, la Defensoría considera que debe adoptarse una decisión política sobre los aspectos que deberían desarrollarse, o incluso unificarlas.</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Frente al artículo 6, la Defensoría advier</w:t>
      </w:r>
      <w:r w:rsidRPr="007C57D2">
        <w:rPr>
          <w:rFonts w:ascii="Times New Roman" w:hAnsi="Times New Roman"/>
          <w:sz w:val="28"/>
          <w:szCs w:val="28"/>
        </w:rPr>
        <w:t>te que no se prevén límites precisos en la forma, frecuencia y alcance de la divulgación de la información de los niños o niñas extraviados, y que esto puede afectar desproporcionadamente su intimidad e imagen. Solicita que la divulgación se ajuste a los p</w:t>
      </w:r>
      <w:r w:rsidRPr="007C57D2">
        <w:rPr>
          <w:rFonts w:ascii="Times New Roman" w:hAnsi="Times New Roman"/>
          <w:sz w:val="28"/>
          <w:szCs w:val="28"/>
        </w:rPr>
        <w:t>rincipios de necesidad, proporcionalidad y finalidad, en virtud de los cuales (i) únicamente los datos indispensables para la identificación y localización pueden ser difundidos; (ii) la información debe manejarse con criterios que eviten la revictimizació</w:t>
      </w:r>
      <w:r w:rsidRPr="007C57D2">
        <w:rPr>
          <w:rFonts w:ascii="Times New Roman" w:hAnsi="Times New Roman"/>
          <w:sz w:val="28"/>
          <w:szCs w:val="28"/>
        </w:rPr>
        <w:t>n o estigmatización; y (iii) que los canales de difusión masiva estén sujetos a protocolos técnicos previamente definidos por las autoridades competentes.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Defensoría pide la precisión del concepto de juicio razonable previsto en el artículo 10 del PLE.</w:t>
      </w:r>
      <w:r w:rsidRPr="007C57D2">
        <w:rPr>
          <w:rFonts w:ascii="Times New Roman" w:hAnsi="Times New Roman"/>
          <w:sz w:val="28"/>
          <w:szCs w:val="28"/>
        </w:rPr>
        <w:t xml:space="preserve"> Afirma que es ambiguo, por lo que debe entenderse a la luz de criterios objetivos, similares a los previstos en el Decreto 1428 de 2024. También argumenta que los mecanismos de difusión de la alerta deben respetar el principio de proporcionalidad, para ev</w:t>
      </w:r>
      <w:r w:rsidRPr="007C57D2">
        <w:rPr>
          <w:rFonts w:ascii="Times New Roman" w:hAnsi="Times New Roman"/>
          <w:sz w:val="28"/>
          <w:szCs w:val="28"/>
        </w:rPr>
        <w:t>itar impactos desproporcionados en la intimidad y bienestar de los NNA. La Defensoría considera que el uso intensivo de notificaciones no se debe aplicar de manera uniforme, sino ajustarse a la naturaleza de cada caso, y solicita que la implementación de e</w:t>
      </w:r>
      <w:r w:rsidRPr="007C57D2">
        <w:rPr>
          <w:rFonts w:ascii="Times New Roman" w:hAnsi="Times New Roman"/>
          <w:sz w:val="28"/>
          <w:szCs w:val="28"/>
        </w:rPr>
        <w:t>stas medidas esté sujeta a protocolos técnicos diferenciados y regidos por criterios de razonabilidad, proporcionalidad y protección de la niñez</w:t>
      </w:r>
      <w:r w:rsidRPr="007C57D2">
        <w:rPr>
          <w:rFonts w:ascii="Times New Roman" w:hAnsi="Times New Roman"/>
          <w:sz w:val="28"/>
          <w:szCs w:val="28"/>
          <w:vertAlign w:val="superscript"/>
        </w:rPr>
        <w:footnoteReference w:id="572"/>
      </w:r>
      <w:r w:rsidRPr="007C57D2">
        <w:rPr>
          <w:rFonts w:ascii="Times New Roman" w:hAnsi="Times New Roman"/>
          <w:sz w:val="28"/>
          <w:szCs w:val="28"/>
        </w:rPr>
        <w:t>. Aduce que estas medidas se derivan del contenido mínimo del derecho al hábeas data reconocido en la Sentencia</w:t>
      </w:r>
      <w:r w:rsidRPr="007C57D2">
        <w:rPr>
          <w:rFonts w:ascii="Times New Roman" w:hAnsi="Times New Roman"/>
          <w:sz w:val="28"/>
          <w:szCs w:val="28"/>
        </w:rPr>
        <w:t xml:space="preserve"> SU-139 de 2021.</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El Ministerio de Justicia y del Derecho</w:t>
      </w:r>
      <w:r w:rsidRPr="007C57D2">
        <w:rPr>
          <w:rFonts w:ascii="Times New Roman" w:hAnsi="Times New Roman"/>
          <w:sz w:val="28"/>
          <w:szCs w:val="28"/>
          <w:vertAlign w:val="superscript"/>
        </w:rPr>
        <w:footnoteReference w:id="573"/>
      </w:r>
      <w:r w:rsidRPr="007C57D2">
        <w:rPr>
          <w:rFonts w:ascii="Times New Roman" w:hAnsi="Times New Roman"/>
          <w:sz w:val="28"/>
          <w:szCs w:val="28"/>
        </w:rPr>
        <w:t xml:space="preserve"> considera que la exigencia de difundir la información sobre niños desaparecidos prevista en el artículo 6 del PLE es constitucional, porque se dirige a proteger sus derechos prevalentes y es cohere</w:t>
      </w:r>
      <w:r w:rsidRPr="007C57D2">
        <w:rPr>
          <w:rFonts w:ascii="Times New Roman" w:hAnsi="Times New Roman"/>
          <w:sz w:val="28"/>
          <w:szCs w:val="28"/>
        </w:rPr>
        <w:t>nte con la función social inherente a los servicios públicos de telecomunicaciones. Estima que el procedimiento de difusión desarrollado en el artículo 10 es coherente con el interés superior de la niñez, por su énfasis en la celeridad, eficacia y publicid</w:t>
      </w:r>
      <w:r w:rsidRPr="007C57D2">
        <w:rPr>
          <w:rFonts w:ascii="Times New Roman" w:hAnsi="Times New Roman"/>
          <w:sz w:val="28"/>
          <w:szCs w:val="28"/>
        </w:rPr>
        <w:t>ad. También sostiene que el ajuste del área de difusión contenido en el artículo 11 asegura que la alerta sea específica y efectiva.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Aunque considera que el PLE es constitucional, el Ministerio resalta que la Ley 2326 de 2023 guarda similitudes a sus herr</w:t>
      </w:r>
      <w:r w:rsidRPr="007C57D2">
        <w:rPr>
          <w:rFonts w:ascii="Times New Roman" w:hAnsi="Times New Roman"/>
          <w:sz w:val="28"/>
          <w:szCs w:val="28"/>
        </w:rPr>
        <w:t>amientas y finalidades, y que ya fue reglamentada</w:t>
      </w:r>
      <w:r w:rsidRPr="007C57D2">
        <w:rPr>
          <w:rFonts w:ascii="Times New Roman" w:hAnsi="Times New Roman"/>
          <w:sz w:val="28"/>
          <w:szCs w:val="28"/>
          <w:vertAlign w:val="superscript"/>
        </w:rPr>
        <w:footnoteReference w:id="574"/>
      </w:r>
      <w:r w:rsidRPr="007C57D2">
        <w:rPr>
          <w:rFonts w:ascii="Times New Roman" w:hAnsi="Times New Roman"/>
          <w:sz w:val="28"/>
          <w:szCs w:val="28"/>
        </w:rPr>
        <w:t xml:space="preserve">. Pone de presente que le genera preocupación la duplicidad, desgaste y carga presupuestal que puede generarse la operativización de ambos mecanismos para las entidades, al igual de las confusiones para la </w:t>
      </w:r>
      <w:r w:rsidRPr="007C57D2">
        <w:rPr>
          <w:rFonts w:ascii="Times New Roman" w:hAnsi="Times New Roman"/>
          <w:sz w:val="28"/>
          <w:szCs w:val="28"/>
        </w:rPr>
        <w:t>ciudadanía y los atrasos en los procesos de reporte y búsqueda que pueden surgir de dicha situación. Considera que su articulación es necesaria para evitar estos problemas.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Unidad de Búsqueda de personas dadas por Desaparecidas</w:t>
      </w:r>
      <w:r w:rsidRPr="007C57D2">
        <w:rPr>
          <w:rFonts w:ascii="Times New Roman" w:hAnsi="Times New Roman"/>
          <w:sz w:val="28"/>
          <w:szCs w:val="28"/>
          <w:vertAlign w:val="superscript"/>
        </w:rPr>
        <w:footnoteReference w:id="575"/>
      </w:r>
      <w:r w:rsidRPr="007C57D2">
        <w:rPr>
          <w:rFonts w:ascii="Times New Roman" w:hAnsi="Times New Roman"/>
          <w:sz w:val="28"/>
          <w:szCs w:val="28"/>
        </w:rPr>
        <w:t xml:space="preserve"> manifiesta que el PLE e</w:t>
      </w:r>
      <w:r w:rsidRPr="007C57D2">
        <w:rPr>
          <w:rFonts w:ascii="Times New Roman" w:hAnsi="Times New Roman"/>
          <w:sz w:val="28"/>
          <w:szCs w:val="28"/>
        </w:rPr>
        <w:t>s constitucional, pero que debe revisarse la importancia de precisar y delimitar las acciones coordinadas, planificadas y articuladas de las autoridades para la activación de la Alerta Colombia, porque existen otros mecanismos de búsqueda que pueden activa</w:t>
      </w:r>
      <w:r w:rsidRPr="007C57D2">
        <w:rPr>
          <w:rFonts w:ascii="Times New Roman" w:hAnsi="Times New Roman"/>
          <w:sz w:val="28"/>
          <w:szCs w:val="28"/>
        </w:rPr>
        <w:t>rse</w:t>
      </w:r>
      <w:r w:rsidRPr="007C57D2">
        <w:rPr>
          <w:rFonts w:ascii="Times New Roman" w:hAnsi="Times New Roman"/>
          <w:sz w:val="28"/>
          <w:szCs w:val="28"/>
          <w:vertAlign w:val="superscript"/>
        </w:rPr>
        <w:footnoteReference w:id="576"/>
      </w:r>
      <w:r w:rsidRPr="007C57D2">
        <w:rPr>
          <w:rFonts w:ascii="Times New Roman" w:hAnsi="Times New Roman"/>
          <w:sz w:val="28"/>
          <w:szCs w:val="28"/>
        </w:rPr>
        <w:t xml:space="preserve">. Argumenta que es necesario unificar y delimitar los procedimientos vigentes para contar con herramientas más eficaces y pertinentes. Propone una plataforma única de difusión multicanal, protocolos integrados, bases de datos unificadas y coordinación </w:t>
      </w:r>
      <w:r w:rsidRPr="007C57D2">
        <w:rPr>
          <w:rFonts w:ascii="Times New Roman" w:hAnsi="Times New Roman"/>
          <w:sz w:val="28"/>
          <w:szCs w:val="28"/>
        </w:rPr>
        <w:t>institucional.</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Universidad Industrial de Santander</w:t>
      </w:r>
      <w:r w:rsidRPr="007C57D2">
        <w:rPr>
          <w:rFonts w:ascii="Times New Roman" w:hAnsi="Times New Roman"/>
          <w:sz w:val="28"/>
          <w:szCs w:val="28"/>
          <w:vertAlign w:val="superscript"/>
        </w:rPr>
        <w:footnoteReference w:id="577"/>
      </w:r>
      <w:r w:rsidRPr="007C57D2">
        <w:rPr>
          <w:rFonts w:ascii="Times New Roman" w:hAnsi="Times New Roman"/>
          <w:sz w:val="28"/>
          <w:szCs w:val="28"/>
        </w:rPr>
        <w:t xml:space="preserve"> no se refiere en particular a los artículos 6, 10 y 11 del PLE, pero manifiesta que la activación y difusión de la Alerta Colombia cumple con el objetivo de protección urgente, coordinada y efectiva y</w:t>
      </w:r>
      <w:r w:rsidRPr="007C57D2">
        <w:rPr>
          <w:rFonts w:ascii="Times New Roman" w:hAnsi="Times New Roman"/>
          <w:sz w:val="28"/>
          <w:szCs w:val="28"/>
        </w:rPr>
        <w:t xml:space="preserve"> solicita que se declare su constitucionalidad. Considera que las exigencias de cobertura de la pantalla y la incorporación de elementos visuales y sonoros refuerzan la efectividad del sistema, porque captan la atención inmediata de la ciudadanía. Sin emba</w:t>
      </w:r>
      <w:r w:rsidRPr="007C57D2">
        <w:rPr>
          <w:rFonts w:ascii="Times New Roman" w:hAnsi="Times New Roman"/>
          <w:sz w:val="28"/>
          <w:szCs w:val="28"/>
        </w:rPr>
        <w:t>rgo, advierte sobre los riesgos a la intimidad de los niños y niñas por la divulgación masiva de datos personales. A juicio de la Universidad, la norma debe prever salvaguardas técnicas y administrativas rigurosas para impedir usos indebidos de dicha infor</w:t>
      </w:r>
      <w:r w:rsidRPr="007C57D2">
        <w:rPr>
          <w:rFonts w:ascii="Times New Roman" w:hAnsi="Times New Roman"/>
          <w:sz w:val="28"/>
          <w:szCs w:val="28"/>
        </w:rPr>
        <w:t>mación, y que se requieren protocolos claros y mecanismos de control que impidan arbitrariedades en la coordinación interinstitucional.</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Universidad del Norte</w:t>
      </w:r>
      <w:r w:rsidRPr="007C57D2">
        <w:rPr>
          <w:rFonts w:ascii="Times New Roman" w:hAnsi="Times New Roman"/>
          <w:sz w:val="28"/>
          <w:szCs w:val="28"/>
          <w:vertAlign w:val="superscript"/>
        </w:rPr>
        <w:footnoteReference w:id="578"/>
      </w:r>
      <w:r w:rsidRPr="007C57D2">
        <w:rPr>
          <w:rFonts w:ascii="Times New Roman" w:hAnsi="Times New Roman"/>
          <w:sz w:val="28"/>
          <w:szCs w:val="28"/>
        </w:rPr>
        <w:t xml:space="preserve"> considera que el PLE estatutaria es constitucional. Sin embargo, estima que la Corte debe examinar con cuidado la proporcionalidad de las medidas que implican el tratamiento de datos personales y biométricos de NNA, y establecer garantías reforzadas para </w:t>
      </w:r>
      <w:r w:rsidRPr="007C57D2">
        <w:rPr>
          <w:rFonts w:ascii="Times New Roman" w:hAnsi="Times New Roman"/>
          <w:sz w:val="28"/>
          <w:szCs w:val="28"/>
        </w:rPr>
        <w:t>proteger sus derechos a la intimidad y al hábeas data.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i/>
          <w:iCs/>
          <w:sz w:val="28"/>
          <w:szCs w:val="28"/>
        </w:rPr>
        <w:t xml:space="preserve">Inexequibilidad. </w:t>
      </w:r>
      <w:r w:rsidRPr="007C57D2">
        <w:rPr>
          <w:rFonts w:ascii="Times New Roman" w:hAnsi="Times New Roman"/>
          <w:sz w:val="28"/>
          <w:szCs w:val="28"/>
        </w:rPr>
        <w:t>La Comisión de Regulación de Comunicaciones</w:t>
      </w:r>
      <w:r w:rsidRPr="007C57D2">
        <w:rPr>
          <w:rFonts w:ascii="Times New Roman" w:hAnsi="Times New Roman"/>
          <w:sz w:val="28"/>
          <w:szCs w:val="28"/>
          <w:vertAlign w:val="superscript"/>
        </w:rPr>
        <w:footnoteReference w:id="579"/>
      </w:r>
      <w:r w:rsidRPr="007C57D2">
        <w:rPr>
          <w:rFonts w:ascii="Times New Roman" w:hAnsi="Times New Roman"/>
          <w:sz w:val="28"/>
          <w:szCs w:val="28"/>
        </w:rPr>
        <w:t xml:space="preserve"> considera que el PLE es inconstitucional. Aunque persigue un objetivo legítimo, propone un medio técnicamente inviable para alcanzarlo, y que puede llegar a la ineficacia del sistema y a la vulneración de principios constitucionales.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 xml:space="preserve">La Comisión explica </w:t>
      </w:r>
      <w:r w:rsidRPr="007C57D2">
        <w:rPr>
          <w:rFonts w:ascii="Times New Roman" w:hAnsi="Times New Roman"/>
          <w:sz w:val="28"/>
          <w:szCs w:val="28"/>
        </w:rPr>
        <w:t>que realizó un proyecto regulatorio para implementar una alerta nacional ante la desaparición de NNA</w:t>
      </w:r>
      <w:r w:rsidRPr="007C57D2">
        <w:rPr>
          <w:rFonts w:ascii="Times New Roman" w:hAnsi="Times New Roman"/>
          <w:sz w:val="28"/>
          <w:szCs w:val="28"/>
          <w:vertAlign w:val="superscript"/>
        </w:rPr>
        <w:footnoteReference w:id="580"/>
      </w:r>
      <w:r w:rsidRPr="007C57D2">
        <w:rPr>
          <w:rFonts w:ascii="Times New Roman" w:hAnsi="Times New Roman"/>
          <w:sz w:val="28"/>
          <w:szCs w:val="28"/>
        </w:rPr>
        <w:t xml:space="preserve"> mediante la metodología de análisis de impacto normativo, donde abordó diferentes alternativas en busca de la solución técnica más eficiente. Con base en </w:t>
      </w:r>
      <w:r w:rsidRPr="007C57D2">
        <w:rPr>
          <w:rFonts w:ascii="Times New Roman" w:hAnsi="Times New Roman"/>
          <w:sz w:val="28"/>
          <w:szCs w:val="28"/>
        </w:rPr>
        <w:t>recomendaciones internacionales</w:t>
      </w:r>
      <w:r w:rsidRPr="007C57D2">
        <w:rPr>
          <w:rFonts w:ascii="Times New Roman" w:hAnsi="Times New Roman"/>
          <w:sz w:val="28"/>
          <w:szCs w:val="28"/>
          <w:vertAlign w:val="superscript"/>
        </w:rPr>
        <w:footnoteReference w:id="581"/>
      </w:r>
      <w:r w:rsidRPr="007C57D2">
        <w:rPr>
          <w:rFonts w:ascii="Times New Roman" w:hAnsi="Times New Roman"/>
          <w:sz w:val="28"/>
          <w:szCs w:val="28"/>
        </w:rPr>
        <w:t>, concluyó que debía basarse en el Protocolo de Alerta Común</w:t>
      </w:r>
      <w:r w:rsidRPr="007C57D2">
        <w:rPr>
          <w:rFonts w:ascii="Times New Roman" w:hAnsi="Times New Roman"/>
          <w:sz w:val="28"/>
          <w:szCs w:val="28"/>
          <w:vertAlign w:val="superscript"/>
        </w:rPr>
        <w:footnoteReference w:id="582"/>
      </w:r>
      <w:r w:rsidRPr="007C57D2">
        <w:rPr>
          <w:rFonts w:ascii="Times New Roman" w:hAnsi="Times New Roman"/>
          <w:sz w:val="28"/>
          <w:szCs w:val="28"/>
        </w:rPr>
        <w:t>, que facilita la inclusión de información y difusión de la alerta en distintos medios de información</w:t>
      </w:r>
      <w:r w:rsidRPr="007C57D2">
        <w:rPr>
          <w:rFonts w:ascii="Times New Roman" w:hAnsi="Times New Roman"/>
          <w:sz w:val="28"/>
          <w:szCs w:val="28"/>
          <w:vertAlign w:val="superscript"/>
        </w:rPr>
        <w:footnoteReference w:id="583"/>
      </w:r>
      <w:r w:rsidRPr="007C57D2">
        <w:rPr>
          <w:rFonts w:ascii="Times New Roman" w:hAnsi="Times New Roman"/>
          <w:sz w:val="28"/>
          <w:szCs w:val="28"/>
        </w:rPr>
        <w:t>. La implementación del sistema depende de la existencia de u</w:t>
      </w:r>
      <w:r w:rsidRPr="007C57D2">
        <w:rPr>
          <w:rFonts w:ascii="Times New Roman" w:hAnsi="Times New Roman"/>
          <w:sz w:val="28"/>
          <w:szCs w:val="28"/>
        </w:rPr>
        <w:t xml:space="preserve">n </w:t>
      </w:r>
      <w:r w:rsidRPr="007C57D2">
        <w:rPr>
          <w:rFonts w:ascii="Times New Roman" w:hAnsi="Times New Roman"/>
          <w:i/>
          <w:iCs/>
          <w:sz w:val="28"/>
          <w:szCs w:val="28"/>
        </w:rPr>
        <w:t>agregador de alertas</w:t>
      </w:r>
      <w:r w:rsidRPr="007C57D2">
        <w:rPr>
          <w:rFonts w:ascii="Times New Roman" w:hAnsi="Times New Roman"/>
          <w:sz w:val="28"/>
          <w:szCs w:val="28"/>
        </w:rPr>
        <w:t>, que transmite la información a los operadores mediante una plataforma de difusión, tras la orden de activación emitida por la autoridad competente: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ind w:left="0"/>
        <w:jc w:val="center"/>
        <w:rPr>
          <w:rFonts w:ascii="Times New Roman" w:hAnsi="Times New Roman"/>
          <w:sz w:val="28"/>
          <w:szCs w:val="28"/>
          <w:lang w:val="es-ES"/>
        </w:rPr>
      </w:pPr>
      <w:r w:rsidRPr="007C57D2">
        <w:rPr>
          <w:rFonts w:ascii="Times New Roman" w:hAnsi="Times New Roman"/>
          <w:noProof/>
          <w:sz w:val="28"/>
          <w:lang w:eastAsia="es-CO"/>
        </w:rPr>
        <w:pict>
          <v:shape id="Imagen 1" o:spid="_x0000_i1028" type="#_x0000_t75" alt="Diagrama&#10;&#10;El contenido generado por IA puede ser incorrecto." style="width:369pt;height:207pt;visibility:visible;mso-wrap-style:square">
            <v:imagedata r:id="rId8" o:title="Diagrama&#10;&#10;El contenido generado por IA puede ser incorrecto"/>
          </v:shape>
        </w:pict>
      </w:r>
    </w:p>
    <w:p w:rsidR="001E19D5" w:rsidRPr="007C57D2" w:rsidRDefault="007C57D2" w:rsidP="008F3DAB">
      <w:pPr>
        <w:pStyle w:val="Prrafodelista"/>
        <w:ind w:left="0"/>
        <w:jc w:val="center"/>
        <w:rPr>
          <w:rFonts w:ascii="Times New Roman" w:hAnsi="Times New Roman"/>
          <w:sz w:val="28"/>
          <w:lang w:val="es-ES"/>
        </w:rPr>
      </w:pPr>
      <w:r w:rsidRPr="007C57D2">
        <w:rPr>
          <w:rFonts w:ascii="Times New Roman" w:hAnsi="Times New Roman"/>
          <w:b/>
          <w:bCs/>
          <w:sz w:val="28"/>
          <w:lang w:val="es-ES"/>
        </w:rPr>
        <w:t xml:space="preserve">Gráfica 1. </w:t>
      </w:r>
      <w:r w:rsidRPr="007C57D2">
        <w:rPr>
          <w:rFonts w:ascii="Times New Roman" w:hAnsi="Times New Roman"/>
          <w:sz w:val="28"/>
          <w:lang w:val="es-ES"/>
        </w:rPr>
        <w:t>Esquema de Alerta Nacional</w:t>
      </w:r>
    </w:p>
    <w:p w:rsidR="001E19D5" w:rsidRPr="007C57D2" w:rsidRDefault="007C57D2" w:rsidP="008F3DAB">
      <w:pPr>
        <w:pStyle w:val="Prrafodelista"/>
        <w:ind w:left="0"/>
        <w:jc w:val="center"/>
        <w:rPr>
          <w:rFonts w:ascii="Times New Roman" w:hAnsi="Times New Roman"/>
          <w:sz w:val="28"/>
          <w:szCs w:val="28"/>
          <w:lang w:val="es-ES"/>
        </w:rPr>
      </w:pPr>
      <w:r w:rsidRPr="007C57D2">
        <w:rPr>
          <w:rFonts w:ascii="Times New Roman" w:hAnsi="Times New Roman"/>
          <w:b/>
          <w:bCs/>
          <w:sz w:val="28"/>
          <w:lang w:val="es-ES"/>
        </w:rPr>
        <w:t>Fuente.</w:t>
      </w:r>
      <w:r w:rsidRPr="007C57D2">
        <w:rPr>
          <w:rFonts w:ascii="Times New Roman" w:hAnsi="Times New Roman"/>
          <w:sz w:val="28"/>
          <w:lang w:val="es-ES"/>
        </w:rPr>
        <w:t xml:space="preserve"> Comisión de Regulación de Comunicac</w:t>
      </w:r>
      <w:r w:rsidRPr="007C57D2">
        <w:rPr>
          <w:rFonts w:ascii="Times New Roman" w:hAnsi="Times New Roman"/>
          <w:sz w:val="28"/>
          <w:lang w:val="es-ES"/>
        </w:rPr>
        <w:t>iones</w:t>
      </w:r>
      <w:r w:rsidRPr="007C57D2">
        <w:rPr>
          <w:rFonts w:ascii="Times New Roman" w:hAnsi="Times New Roman"/>
          <w:sz w:val="28"/>
          <w:vertAlign w:val="superscript"/>
          <w:lang w:val="es-ES"/>
        </w:rPr>
        <w:footnoteReference w:id="584"/>
      </w:r>
    </w:p>
    <w:p w:rsidR="001E19D5" w:rsidRPr="007C57D2" w:rsidRDefault="007C57D2" w:rsidP="00FD0700">
      <w:pPr>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jc w:val="both"/>
        <w:rPr>
          <w:rFonts w:ascii="Times New Roman" w:hAnsi="Times New Roman"/>
          <w:sz w:val="28"/>
          <w:szCs w:val="28"/>
          <w:lang w:val="es-ES"/>
        </w:rPr>
      </w:pPr>
    </w:p>
    <w:p w:rsidR="00FD0700" w:rsidRPr="007C57D2" w:rsidRDefault="007C57D2" w:rsidP="008F3DAB">
      <w:pPr>
        <w:numPr>
          <w:ilvl w:val="0"/>
          <w:numId w:val="3"/>
        </w:numPr>
        <w:spacing w:after="0" w:line="240" w:lineRule="auto"/>
        <w:ind w:left="0"/>
        <w:jc w:val="both"/>
        <w:rPr>
          <w:rFonts w:ascii="Times New Roman" w:hAnsi="Times New Roman"/>
          <w:sz w:val="28"/>
          <w:szCs w:val="28"/>
          <w:lang w:val="es-ES"/>
        </w:rPr>
      </w:pPr>
      <w:r w:rsidRPr="007C57D2">
        <w:rPr>
          <w:rFonts w:ascii="Times New Roman" w:hAnsi="Times New Roman"/>
          <w:sz w:val="28"/>
          <w:szCs w:val="28"/>
          <w:lang w:val="es-ES"/>
        </w:rPr>
        <w:t xml:space="preserve">La Comisión manifiesta que la Resolución CRC 6141 de 2021 fue expedida como resultado de aquel proyecto regulatorio, donde se adoptó un sistema de alerta nacional basado en el Sistema de Difusión de Celda , que permite enviar mensajes de texto a </w:t>
      </w:r>
      <w:r w:rsidRPr="007C57D2">
        <w:rPr>
          <w:rFonts w:ascii="Times New Roman" w:hAnsi="Times New Roman"/>
          <w:sz w:val="28"/>
          <w:szCs w:val="28"/>
          <w:lang w:val="es-ES"/>
        </w:rPr>
        <w:t>todos los dispositivos móviles en una zona determinada. Indica que la Alerta Rosa está articulada con dicha regulación, a diferencia del PLE bajo estudio.</w:t>
      </w:r>
    </w:p>
    <w:p w:rsidR="00FD0700" w:rsidRPr="007C57D2" w:rsidRDefault="007C57D2" w:rsidP="00FD0700">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jc w:val="both"/>
        <w:rPr>
          <w:rFonts w:ascii="Times New Roman" w:hAnsi="Times New Roman"/>
          <w:sz w:val="28"/>
          <w:szCs w:val="28"/>
          <w:lang w:val="es-ES"/>
        </w:rPr>
      </w:pPr>
      <w:r w:rsidRPr="007C57D2">
        <w:rPr>
          <w:rFonts w:ascii="Times New Roman" w:hAnsi="Times New Roman"/>
          <w:sz w:val="28"/>
          <w:szCs w:val="28"/>
        </w:rPr>
        <w:t>La Comisión argumenta que el PLE implica la creación de una nueva alerta que no puede suplirse con l</w:t>
      </w:r>
      <w:r w:rsidRPr="007C57D2">
        <w:rPr>
          <w:rFonts w:ascii="Times New Roman" w:hAnsi="Times New Roman"/>
          <w:sz w:val="28"/>
          <w:szCs w:val="28"/>
        </w:rPr>
        <w:t>a Alerta Rosa</w:t>
      </w:r>
      <w:r w:rsidRPr="007C57D2">
        <w:rPr>
          <w:rFonts w:ascii="Times New Roman" w:hAnsi="Times New Roman"/>
          <w:sz w:val="28"/>
          <w:szCs w:val="28"/>
          <w:vertAlign w:val="superscript"/>
        </w:rPr>
        <w:footnoteReference w:id="585"/>
      </w:r>
      <w:r w:rsidRPr="007C57D2">
        <w:rPr>
          <w:rFonts w:ascii="Times New Roman" w:hAnsi="Times New Roman"/>
          <w:sz w:val="28"/>
          <w:szCs w:val="28"/>
        </w:rPr>
        <w:t>, que no consultó las condiciones técnicas y jurídicas, y que genera una duplicidad normativa y diferentes desafíos para su implementación. A su juicio, la Alerta Colombia genera confusiones, porque no resulta claro identificar la autoridad a</w:t>
      </w:r>
      <w:r w:rsidRPr="007C57D2">
        <w:rPr>
          <w:rFonts w:ascii="Times New Roman" w:hAnsi="Times New Roman"/>
          <w:sz w:val="28"/>
          <w:szCs w:val="28"/>
        </w:rPr>
        <w:t xml:space="preserve"> cargo de recibir los reportes o denuncias, ni cuál de las distintas alertas sería la aplicable, o si se deben activar varias para el mismo evento. Todo esto genera reprocesos, que implican mayor complejidad, carga operativa y gasto de recursos financieros</w:t>
      </w:r>
      <w:r w:rsidRPr="007C57D2">
        <w:rPr>
          <w:rFonts w:ascii="Times New Roman" w:hAnsi="Times New Roman"/>
          <w:sz w:val="28"/>
          <w:szCs w:val="28"/>
          <w:vertAlign w:val="superscript"/>
        </w:rPr>
        <w:footnoteReference w:id="586"/>
      </w:r>
      <w:r w:rsidRPr="007C57D2">
        <w:rPr>
          <w:rFonts w:ascii="Times New Roman" w:hAnsi="Times New Roman"/>
          <w:sz w:val="28"/>
          <w:szCs w:val="28"/>
        </w:rPr>
        <w:t>, de tiempo y personal en cabeza de la administración y los proveedores de redes móviles. Además, resulta innecesario porque se dirige a dos alertas que buscan el mismo propósito. También afirma que esto hace más difícil el cierre, el seguimiento y los re</w:t>
      </w:r>
      <w:r w:rsidRPr="007C57D2">
        <w:rPr>
          <w:rFonts w:ascii="Times New Roman" w:hAnsi="Times New Roman"/>
          <w:sz w:val="28"/>
          <w:szCs w:val="28"/>
        </w:rPr>
        <w:t>portes exigidos por las normas.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Para la Comisión, las condiciones mínimas para la difusión previstas en el artículo 10 del PLE</w:t>
      </w:r>
      <w:r w:rsidRPr="007C57D2">
        <w:rPr>
          <w:rFonts w:ascii="Times New Roman" w:hAnsi="Times New Roman"/>
          <w:sz w:val="28"/>
          <w:szCs w:val="28"/>
          <w:vertAlign w:val="superscript"/>
        </w:rPr>
        <w:footnoteReference w:id="587"/>
      </w:r>
      <w:r w:rsidRPr="007C57D2">
        <w:rPr>
          <w:rFonts w:ascii="Times New Roman" w:hAnsi="Times New Roman"/>
          <w:sz w:val="28"/>
          <w:szCs w:val="28"/>
        </w:rPr>
        <w:t xml:space="preserve"> no pueden implementarse por limitaciones técnicas. Señala que actualmente no se conocen experiencias ni tecnologías alrededor d</w:t>
      </w:r>
      <w:r w:rsidRPr="007C57D2">
        <w:rPr>
          <w:rFonts w:ascii="Times New Roman" w:hAnsi="Times New Roman"/>
          <w:sz w:val="28"/>
          <w:szCs w:val="28"/>
        </w:rPr>
        <w:t>el mundo que permitan el envío de fotografías en los mensajes de alerta, y mucho menos en un tamaño determinado. Por el contrario, dichas experiencias muestran que los mensajes de texto pueden incorporar enlaces hacia páginas web donde puedan consultar tod</w:t>
      </w:r>
      <w:r w:rsidRPr="007C57D2">
        <w:rPr>
          <w:rFonts w:ascii="Times New Roman" w:hAnsi="Times New Roman"/>
          <w:sz w:val="28"/>
          <w:szCs w:val="28"/>
        </w:rPr>
        <w:t xml:space="preserve">a la información relevante. La Comisión también explica que, a diferencia del </w:t>
      </w:r>
      <w:r w:rsidRPr="007C57D2">
        <w:rPr>
          <w:rFonts w:ascii="Times New Roman" w:hAnsi="Times New Roman"/>
          <w:i/>
          <w:iCs/>
          <w:sz w:val="28"/>
          <w:szCs w:val="28"/>
        </w:rPr>
        <w:t>Sistema de Difusión de Celda</w:t>
      </w:r>
      <w:r w:rsidRPr="007C57D2">
        <w:rPr>
          <w:rFonts w:ascii="Times New Roman" w:hAnsi="Times New Roman"/>
          <w:sz w:val="28"/>
          <w:szCs w:val="28"/>
        </w:rPr>
        <w:t>, el modelo planteado para la Alerta Colombia no está estandarizado por ningún organismo internacional. Por lo tanto, supondría grandes dificultades e</w:t>
      </w:r>
      <w:r w:rsidRPr="007C57D2">
        <w:rPr>
          <w:rFonts w:ascii="Times New Roman" w:hAnsi="Times New Roman"/>
          <w:sz w:val="28"/>
          <w:szCs w:val="28"/>
        </w:rPr>
        <w:t>n su implementación por el gobierno y las empresas de redes y servicios de telecomunicaciones, principalmente por la carencia de proveedores de esta solución tecnológica.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En el criterio de la Comisión, si en el futuro llegara a existir una solución tecnol</w:t>
      </w:r>
      <w:r w:rsidRPr="007C57D2">
        <w:rPr>
          <w:rFonts w:ascii="Times New Roman" w:hAnsi="Times New Roman"/>
          <w:sz w:val="28"/>
          <w:szCs w:val="28"/>
        </w:rPr>
        <w:t>ógica que permitiera enviar fotografías con el mensaje de alerta, su envío masivo podría generar la congestión de las redes de telecomunicaciones móviles, debido a la gran cantidad de datos a transmitir a los usuarios por el tamaño de la imagen. De este mo</w:t>
      </w:r>
      <w:r w:rsidRPr="007C57D2">
        <w:rPr>
          <w:rFonts w:ascii="Times New Roman" w:hAnsi="Times New Roman"/>
          <w:sz w:val="28"/>
          <w:szCs w:val="28"/>
        </w:rPr>
        <w:t>do, se iría en contra del objetivo principal de este tipo de alertas, que es llegar a la mayor cantidad de personas en el menor tiempo posible, lo que restaría eficacia a los esfuerzos de búsqueda. La Comisión también resalta que aún hay una base de usuari</w:t>
      </w:r>
      <w:r w:rsidRPr="007C57D2">
        <w:rPr>
          <w:rFonts w:ascii="Times New Roman" w:hAnsi="Times New Roman"/>
          <w:sz w:val="28"/>
          <w:szCs w:val="28"/>
        </w:rPr>
        <w:t>os que solo tiene acceso al servicio de telecomunicaciones mediante tecnologías 2G y 3G, cuyas limitaciones técnicas no permiten la recepción de este tipo de mensajes multimedia. Aduce que, por tal razón, la Resolución CRC 6141 de 2021 adoptó un sistema qu</w:t>
      </w:r>
      <w:r w:rsidRPr="007C57D2">
        <w:rPr>
          <w:rFonts w:ascii="Times New Roman" w:hAnsi="Times New Roman"/>
          <w:sz w:val="28"/>
          <w:szCs w:val="28"/>
        </w:rPr>
        <w:t>e permite difundir mensajes de texto a todos los dispositivos móviles en una determinada área de cobertura, sin afectar la calidad del servicio.</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Con base en la anterior exposición, la Comisión argumenta que el PLE vulnera las siguientes disposiciones cons</w:t>
      </w:r>
      <w:r w:rsidRPr="007C57D2">
        <w:rPr>
          <w:rFonts w:ascii="Times New Roman" w:hAnsi="Times New Roman"/>
          <w:sz w:val="28"/>
          <w:szCs w:val="28"/>
        </w:rPr>
        <w:t xml:space="preserve">titucionales: (i) el </w:t>
      </w:r>
      <w:r w:rsidRPr="007C57D2">
        <w:rPr>
          <w:rFonts w:ascii="Times New Roman" w:hAnsi="Times New Roman"/>
          <w:i/>
          <w:iCs/>
          <w:sz w:val="28"/>
          <w:szCs w:val="28"/>
        </w:rPr>
        <w:t>artículo 365</w:t>
      </w:r>
      <w:r w:rsidRPr="007C57D2">
        <w:rPr>
          <w:rFonts w:ascii="Times New Roman" w:hAnsi="Times New Roman"/>
          <w:sz w:val="28"/>
          <w:szCs w:val="28"/>
        </w:rPr>
        <w:t>, porque impone obligaciones a los operadores sin considerar su viabilidad técnica, lo que incrementa los costos para la administración y los operadores, y afecta la prestación eficiente del servicio público de telecomunica</w:t>
      </w:r>
      <w:r w:rsidRPr="007C57D2">
        <w:rPr>
          <w:rFonts w:ascii="Times New Roman" w:hAnsi="Times New Roman"/>
          <w:sz w:val="28"/>
          <w:szCs w:val="28"/>
        </w:rPr>
        <w:t xml:space="preserve">ciones; (ii) el </w:t>
      </w:r>
      <w:r w:rsidRPr="007C57D2">
        <w:rPr>
          <w:rFonts w:ascii="Times New Roman" w:hAnsi="Times New Roman"/>
          <w:i/>
          <w:iCs/>
          <w:sz w:val="28"/>
          <w:szCs w:val="28"/>
        </w:rPr>
        <w:t>artículo 334</w:t>
      </w:r>
      <w:r w:rsidRPr="007C57D2">
        <w:rPr>
          <w:rFonts w:ascii="Times New Roman" w:hAnsi="Times New Roman"/>
          <w:sz w:val="28"/>
          <w:szCs w:val="28"/>
        </w:rPr>
        <w:t>, porque es una intervención del Estado en la economía que no cumple los requisitos de razonabilidad y proporcionalidad</w:t>
      </w:r>
      <w:r w:rsidRPr="007C57D2">
        <w:rPr>
          <w:rFonts w:ascii="Times New Roman" w:hAnsi="Times New Roman"/>
          <w:sz w:val="28"/>
          <w:szCs w:val="28"/>
          <w:vertAlign w:val="superscript"/>
        </w:rPr>
        <w:footnoteReference w:id="588"/>
      </w:r>
      <w:r w:rsidRPr="007C57D2">
        <w:rPr>
          <w:rFonts w:ascii="Times New Roman" w:hAnsi="Times New Roman"/>
          <w:sz w:val="28"/>
          <w:szCs w:val="28"/>
        </w:rPr>
        <w:t>. La Alerta Colombia no es adecuada para alcanzar el objetivo propuesto, ya que existen mecanismos con espec</w:t>
      </w:r>
      <w:r w:rsidRPr="007C57D2">
        <w:rPr>
          <w:rFonts w:ascii="Times New Roman" w:hAnsi="Times New Roman"/>
          <w:sz w:val="28"/>
          <w:szCs w:val="28"/>
        </w:rPr>
        <w:t xml:space="preserve">ificaciones técnicas que cumplen su mismo propósito; (iii) el </w:t>
      </w:r>
      <w:r w:rsidRPr="007C57D2">
        <w:rPr>
          <w:rFonts w:ascii="Times New Roman" w:hAnsi="Times New Roman"/>
          <w:i/>
          <w:iCs/>
          <w:sz w:val="28"/>
          <w:szCs w:val="28"/>
        </w:rPr>
        <w:t>principio de protección del patrimonio público</w:t>
      </w:r>
      <w:r w:rsidRPr="007C57D2">
        <w:rPr>
          <w:rFonts w:ascii="Times New Roman" w:hAnsi="Times New Roman"/>
          <w:sz w:val="28"/>
          <w:szCs w:val="28"/>
        </w:rPr>
        <w:t xml:space="preserve">, porque implica costos operativos y de inversión sustanciales, al igual que recursos administrativos y humanos para su operación; y (iv) el </w:t>
      </w:r>
      <w:r w:rsidRPr="007C57D2">
        <w:rPr>
          <w:rFonts w:ascii="Times New Roman" w:hAnsi="Times New Roman"/>
          <w:i/>
          <w:iCs/>
          <w:sz w:val="28"/>
          <w:szCs w:val="28"/>
        </w:rPr>
        <w:t>artícul</w:t>
      </w:r>
      <w:r w:rsidRPr="007C57D2">
        <w:rPr>
          <w:rFonts w:ascii="Times New Roman" w:hAnsi="Times New Roman"/>
          <w:i/>
          <w:iCs/>
          <w:sz w:val="28"/>
          <w:szCs w:val="28"/>
        </w:rPr>
        <w:t>o 209 de la Constitución</w:t>
      </w:r>
      <w:r w:rsidRPr="007C57D2">
        <w:rPr>
          <w:rFonts w:ascii="Times New Roman" w:hAnsi="Times New Roman"/>
          <w:sz w:val="28"/>
          <w:szCs w:val="28"/>
        </w:rPr>
        <w:t>, porque el funcionamiento de la Alerta Colombia implica el ejercicio de función administrativa, y la duplicidad de sistemas incumple los principios que la rigen, porque genera ineficiencia, falta de celeridad y un gasto innecesario</w:t>
      </w:r>
      <w:r w:rsidRPr="007C57D2">
        <w:rPr>
          <w:rFonts w:ascii="Times New Roman" w:hAnsi="Times New Roman"/>
          <w:sz w:val="28"/>
          <w:szCs w:val="28"/>
        </w:rPr>
        <w:t xml:space="preserve"> de recursos. Además, la obligación de difundir fotografías es de imposible cumplimiento.</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Comisión solicita que se declare la inconstitucionalidad total del PLE o, en subsidio, la constitucionalidad condicionada de sus artículos 6 y 10, en el entendido</w:t>
      </w:r>
      <w:r w:rsidRPr="007C57D2">
        <w:rPr>
          <w:rFonts w:ascii="Times New Roman" w:hAnsi="Times New Roman"/>
          <w:sz w:val="28"/>
          <w:szCs w:val="28"/>
        </w:rPr>
        <w:t xml:space="preserve"> de que los requisitos son ejecutables cuando sean técnicamente viables en consideración de los principios de la función administrativa.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Asociación de la Industria Móvil de Colombia</w:t>
      </w:r>
      <w:r w:rsidRPr="007C57D2">
        <w:rPr>
          <w:rFonts w:ascii="Times New Roman" w:hAnsi="Times New Roman"/>
          <w:sz w:val="28"/>
          <w:szCs w:val="28"/>
          <w:vertAlign w:val="superscript"/>
        </w:rPr>
        <w:footnoteReference w:id="589"/>
      </w:r>
      <w:r w:rsidRPr="007C57D2">
        <w:rPr>
          <w:rFonts w:ascii="Times New Roman" w:hAnsi="Times New Roman"/>
          <w:sz w:val="28"/>
          <w:szCs w:val="28"/>
        </w:rPr>
        <w:t xml:space="preserve"> considera que el PLE es inconstitucional. Señala que impone obligacio</w:t>
      </w:r>
      <w:r w:rsidRPr="007C57D2">
        <w:rPr>
          <w:rFonts w:ascii="Times New Roman" w:hAnsi="Times New Roman"/>
          <w:sz w:val="28"/>
          <w:szCs w:val="28"/>
        </w:rPr>
        <w:t>nes que ya están contenidas en las disposiciones vigentes</w:t>
      </w:r>
      <w:r w:rsidRPr="007C57D2">
        <w:rPr>
          <w:rFonts w:ascii="Times New Roman" w:hAnsi="Times New Roman"/>
          <w:sz w:val="28"/>
          <w:szCs w:val="28"/>
          <w:vertAlign w:val="superscript"/>
        </w:rPr>
        <w:footnoteReference w:id="590"/>
      </w:r>
      <w:r w:rsidRPr="007C57D2">
        <w:rPr>
          <w:rFonts w:ascii="Times New Roman" w:hAnsi="Times New Roman"/>
          <w:sz w:val="28"/>
          <w:szCs w:val="28"/>
        </w:rPr>
        <w:t>, por lo que genera riesgos de duplicidad, superposición normativa y falta de claridad en su aplicación, por lo que deben analizarse sus implicaciones y proponer soluciones de armonización.</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Asoc</w:t>
      </w:r>
      <w:r w:rsidRPr="007C57D2">
        <w:rPr>
          <w:rFonts w:ascii="Times New Roman" w:hAnsi="Times New Roman"/>
          <w:sz w:val="28"/>
          <w:szCs w:val="28"/>
        </w:rPr>
        <w:t xml:space="preserve">iación explica que, como consecuencia del PLE, los proveedores de redes y servicios de telecomunicaciones móviles quedarían con dos requerimientos legales idénticos, que podrían generar confusión administrativa, conflictos de coordinación y complicaciones </w:t>
      </w:r>
      <w:r w:rsidRPr="007C57D2">
        <w:rPr>
          <w:rFonts w:ascii="Times New Roman" w:hAnsi="Times New Roman"/>
          <w:sz w:val="28"/>
          <w:szCs w:val="28"/>
        </w:rPr>
        <w:t>técnicas. Por lo tanto, estima que vulnera los principios de eficiencia, economía y coordinación en la función pública, que demandan optimizar los recursos y evitar trámites o cargas innecesarias. Resalta que si las alertas Rosa y Colombia funcionan por ca</w:t>
      </w:r>
      <w:r w:rsidRPr="007C57D2">
        <w:rPr>
          <w:rFonts w:ascii="Times New Roman" w:hAnsi="Times New Roman"/>
          <w:sz w:val="28"/>
          <w:szCs w:val="28"/>
        </w:rPr>
        <w:t>rriles separados</w:t>
      </w:r>
      <w:r w:rsidRPr="007C57D2">
        <w:rPr>
          <w:rFonts w:ascii="Times New Roman" w:hAnsi="Times New Roman"/>
          <w:sz w:val="28"/>
          <w:szCs w:val="28"/>
          <w:vertAlign w:val="superscript"/>
        </w:rPr>
        <w:footnoteReference w:id="591"/>
      </w:r>
      <w:r w:rsidRPr="007C57D2">
        <w:rPr>
          <w:rFonts w:ascii="Times New Roman" w:hAnsi="Times New Roman"/>
          <w:sz w:val="28"/>
          <w:szCs w:val="28"/>
        </w:rPr>
        <w:t xml:space="preserve"> se pierde la unidad de propósito, se dificulta la trazabilidad de acciones. Esta falta de integración con los mecanismos preexistentes implica, a su juicio, un problema de razonabilidad por la reproducción de mandatos vigentes sin prever </w:t>
      </w:r>
      <w:r w:rsidRPr="007C57D2">
        <w:rPr>
          <w:rFonts w:ascii="Times New Roman" w:hAnsi="Times New Roman"/>
          <w:sz w:val="28"/>
          <w:szCs w:val="28"/>
        </w:rPr>
        <w:t>una interacción adecuada, que produce un aumento de cargas regulatorias en el sector de las telecomunicaciones.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La Asociación sostiene que la unificación de alertas garantizaría una mayor efectividad en la búsqueda de desaparecidos porque evitaría dilacio</w:t>
      </w:r>
      <w:r w:rsidRPr="007C57D2">
        <w:rPr>
          <w:rFonts w:ascii="Times New Roman" w:hAnsi="Times New Roman"/>
          <w:sz w:val="28"/>
          <w:szCs w:val="28"/>
        </w:rPr>
        <w:t>nes y confusiones. Destaca que este enfoque tiene una mayor razonabilidad tecnológica, evita conflictos normativos, y la duplicación de sistemas, gastos y esfuerzos redundantes para el Estado y los proveedores de redes y servicios de telecomunicaciones móv</w:t>
      </w:r>
      <w:r w:rsidRPr="007C57D2">
        <w:rPr>
          <w:rFonts w:ascii="Times New Roman" w:hAnsi="Times New Roman"/>
          <w:sz w:val="28"/>
          <w:szCs w:val="28"/>
        </w:rPr>
        <w:t>iles. Enfatiza que, a diferencia de la regulación preexistente</w:t>
      </w:r>
      <w:r w:rsidRPr="007C57D2">
        <w:rPr>
          <w:rFonts w:ascii="Times New Roman" w:hAnsi="Times New Roman"/>
          <w:sz w:val="28"/>
          <w:szCs w:val="28"/>
          <w:vertAlign w:val="superscript"/>
        </w:rPr>
        <w:footnoteReference w:id="592"/>
      </w:r>
      <w:r w:rsidRPr="007C57D2">
        <w:rPr>
          <w:rFonts w:ascii="Times New Roman" w:hAnsi="Times New Roman"/>
          <w:sz w:val="28"/>
          <w:szCs w:val="28"/>
        </w:rPr>
        <w:t>, la Alerta Colombia enfrenta numerosas limitaciones técnicas, como la imposibilidad de enviar imágenes</w:t>
      </w:r>
      <w:r w:rsidRPr="007C57D2">
        <w:rPr>
          <w:rFonts w:ascii="Times New Roman" w:hAnsi="Times New Roman"/>
          <w:sz w:val="28"/>
          <w:szCs w:val="28"/>
          <w:vertAlign w:val="superscript"/>
        </w:rPr>
        <w:footnoteReference w:id="593"/>
      </w:r>
      <w:r w:rsidRPr="007C57D2">
        <w:rPr>
          <w:rFonts w:ascii="Times New Roman" w:hAnsi="Times New Roman"/>
          <w:sz w:val="28"/>
          <w:szCs w:val="28"/>
        </w:rPr>
        <w:t>, la extensión de los mensajes</w:t>
      </w:r>
      <w:r w:rsidRPr="007C57D2">
        <w:rPr>
          <w:rFonts w:ascii="Times New Roman" w:hAnsi="Times New Roman"/>
          <w:sz w:val="28"/>
          <w:szCs w:val="28"/>
          <w:vertAlign w:val="superscript"/>
        </w:rPr>
        <w:footnoteReference w:id="594"/>
      </w:r>
      <w:r w:rsidRPr="007C57D2">
        <w:rPr>
          <w:rFonts w:ascii="Times New Roman" w:hAnsi="Times New Roman"/>
          <w:sz w:val="28"/>
          <w:szCs w:val="28"/>
        </w:rPr>
        <w:t xml:space="preserve">, la existencia de dispositivos móviles e infraestructura </w:t>
      </w:r>
      <w:r w:rsidRPr="007C57D2">
        <w:rPr>
          <w:rFonts w:ascii="Times New Roman" w:hAnsi="Times New Roman"/>
          <w:sz w:val="28"/>
          <w:szCs w:val="28"/>
        </w:rPr>
        <w:t>con distintas capacidades</w:t>
      </w:r>
      <w:r w:rsidRPr="007C57D2">
        <w:rPr>
          <w:rFonts w:ascii="Times New Roman" w:hAnsi="Times New Roman"/>
          <w:sz w:val="28"/>
          <w:szCs w:val="28"/>
          <w:vertAlign w:val="superscript"/>
        </w:rPr>
        <w:footnoteReference w:id="595"/>
      </w:r>
      <w:r w:rsidRPr="007C57D2">
        <w:rPr>
          <w:rFonts w:ascii="Times New Roman" w:hAnsi="Times New Roman"/>
          <w:sz w:val="28"/>
          <w:szCs w:val="28"/>
        </w:rPr>
        <w:t xml:space="preserve"> y la inexistencia de las funcionalidades exigidas a la red móvil para el cumplimiento de lo planteado en el PLE</w:t>
      </w:r>
      <w:r w:rsidRPr="007C57D2">
        <w:rPr>
          <w:rFonts w:ascii="Times New Roman" w:hAnsi="Times New Roman"/>
          <w:sz w:val="28"/>
          <w:szCs w:val="28"/>
          <w:vertAlign w:val="superscript"/>
        </w:rPr>
        <w:footnoteReference w:id="596"/>
      </w:r>
      <w:r w:rsidRPr="007C57D2">
        <w:rPr>
          <w:rFonts w:ascii="Times New Roman" w:hAnsi="Times New Roman"/>
          <w:sz w:val="28"/>
          <w:szCs w:val="28"/>
        </w:rPr>
        <w:t>. La Asociación propone, para hacerle frente a estas dificultades, que la alerta se genere por un mensaje de texto co</w:t>
      </w:r>
      <w:r w:rsidRPr="007C57D2">
        <w:rPr>
          <w:rFonts w:ascii="Times New Roman" w:hAnsi="Times New Roman"/>
          <w:sz w:val="28"/>
          <w:szCs w:val="28"/>
        </w:rPr>
        <w:t>n un enlace que dirija a la plataforma donde se pueda identificar toda la información especificada en la norma bajo estudio.</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 xml:space="preserve">Finalmente, la Asociación solicita un exhorto al Congreso para unificar los sistemas de alerta para casos de desaparición de NNA, </w:t>
      </w:r>
      <w:r w:rsidRPr="007C57D2">
        <w:rPr>
          <w:rFonts w:ascii="Times New Roman" w:hAnsi="Times New Roman"/>
          <w:sz w:val="28"/>
          <w:szCs w:val="28"/>
        </w:rPr>
        <w:t>y la coordinación interinstitucional bajo un protocolo unificado para que las autoridades competentes se articulen.</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 xml:space="preserve">La </w:t>
      </w:r>
      <w:r w:rsidRPr="007C57D2">
        <w:rPr>
          <w:rFonts w:ascii="Times New Roman" w:hAnsi="Times New Roman"/>
          <w:i/>
          <w:iCs/>
          <w:sz w:val="28"/>
          <w:szCs w:val="28"/>
        </w:rPr>
        <w:t>Universidad Católica de Colombia</w:t>
      </w:r>
      <w:r w:rsidRPr="007C57D2">
        <w:rPr>
          <w:rFonts w:ascii="Times New Roman" w:hAnsi="Times New Roman"/>
          <w:sz w:val="28"/>
          <w:szCs w:val="28"/>
          <w:vertAlign w:val="superscript"/>
        </w:rPr>
        <w:footnoteReference w:id="597"/>
      </w:r>
      <w:r w:rsidRPr="007C57D2">
        <w:rPr>
          <w:rFonts w:ascii="Times New Roman" w:hAnsi="Times New Roman"/>
          <w:sz w:val="28"/>
          <w:szCs w:val="28"/>
        </w:rPr>
        <w:t xml:space="preserve"> solicita que se declare la inconstitucionalidad total del PLE, y se refiere a la divulgación de la Ale</w:t>
      </w:r>
      <w:r w:rsidRPr="007C57D2">
        <w:rPr>
          <w:rFonts w:ascii="Times New Roman" w:hAnsi="Times New Roman"/>
          <w:sz w:val="28"/>
          <w:szCs w:val="28"/>
        </w:rPr>
        <w:t>rta Colombia regulada en su artículo 6. Aunque considera que la Alerta Colombia persigue un fin legítimo, no contempla de forma clara y suficiente las medidas necesarias para garantizar el control de la información personal divulgada. Señala omisiones norm</w:t>
      </w:r>
      <w:r w:rsidRPr="007C57D2">
        <w:rPr>
          <w:rFonts w:ascii="Times New Roman" w:hAnsi="Times New Roman"/>
          <w:sz w:val="28"/>
          <w:szCs w:val="28"/>
        </w:rPr>
        <w:t>ativas que vulneran el hábeas data de NNA, como la inexistencia de mecanismos de control efectivo sobre la información personal divulgada, su trazabilidad y su eliminación completa y efectiva; y de una evaluación previa de impacto sobre los datos utilizado</w:t>
      </w:r>
      <w:r w:rsidRPr="007C57D2">
        <w:rPr>
          <w:rFonts w:ascii="Times New Roman" w:hAnsi="Times New Roman"/>
          <w:sz w:val="28"/>
          <w:szCs w:val="28"/>
        </w:rPr>
        <w:t>s.</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Para la Universidad Católica, el PLE tiene vacíos conceptuales y operativos</w:t>
      </w:r>
      <w:r w:rsidRPr="007C57D2">
        <w:rPr>
          <w:rFonts w:ascii="Times New Roman" w:hAnsi="Times New Roman"/>
          <w:sz w:val="28"/>
          <w:szCs w:val="28"/>
          <w:vertAlign w:val="superscript"/>
        </w:rPr>
        <w:footnoteReference w:id="598"/>
      </w:r>
      <w:r w:rsidRPr="007C57D2">
        <w:rPr>
          <w:rFonts w:ascii="Times New Roman" w:hAnsi="Times New Roman"/>
          <w:sz w:val="28"/>
          <w:szCs w:val="28"/>
        </w:rPr>
        <w:t>, que pueden llevar a respuestas desproporcionadas o insuficientes por parte de las autoridades, y derivar en una revictimización institucional. Sostiene que su redacción actua</w:t>
      </w:r>
      <w:r w:rsidRPr="007C57D2">
        <w:rPr>
          <w:rFonts w:ascii="Times New Roman" w:hAnsi="Times New Roman"/>
          <w:sz w:val="28"/>
          <w:szCs w:val="28"/>
        </w:rPr>
        <w:t>l no supera un test de razonabilidad, porque los medios empleados no son idóneos ni necesarios, ya que existen mecanismos menos lesivos</w:t>
      </w:r>
      <w:r w:rsidRPr="007C57D2">
        <w:rPr>
          <w:rFonts w:ascii="Times New Roman" w:hAnsi="Times New Roman"/>
          <w:sz w:val="28"/>
          <w:szCs w:val="28"/>
          <w:vertAlign w:val="superscript"/>
        </w:rPr>
        <w:footnoteReference w:id="599"/>
      </w:r>
      <w:r w:rsidRPr="007C57D2">
        <w:rPr>
          <w:rFonts w:ascii="Times New Roman" w:hAnsi="Times New Roman"/>
          <w:sz w:val="28"/>
          <w:szCs w:val="28"/>
        </w:rPr>
        <w:t xml:space="preserve"> frente a los derechos a la intimidad, la honra y la dignidad de los niños y niñas desaparecidos; y que desconoce el deb</w:t>
      </w:r>
      <w:r w:rsidRPr="007C57D2">
        <w:rPr>
          <w:rFonts w:ascii="Times New Roman" w:hAnsi="Times New Roman"/>
          <w:sz w:val="28"/>
          <w:szCs w:val="28"/>
        </w:rPr>
        <w:t>er estatal de adoptar un enfoque diferenciado e inclusivo.</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i/>
          <w:iCs/>
          <w:sz w:val="28"/>
          <w:szCs w:val="28"/>
          <w:lang w:val="es-ES"/>
        </w:rPr>
        <w:t xml:space="preserve">Inconveniencia. </w:t>
      </w:r>
      <w:r w:rsidRPr="007C57D2">
        <w:rPr>
          <w:rFonts w:ascii="Times New Roman" w:hAnsi="Times New Roman"/>
          <w:sz w:val="28"/>
          <w:szCs w:val="28"/>
        </w:rPr>
        <w:t>El Ministerio de las Tecnologías de la Información y las Comunicaciones</w:t>
      </w:r>
      <w:r w:rsidRPr="007C57D2">
        <w:rPr>
          <w:rFonts w:ascii="Times New Roman" w:hAnsi="Times New Roman"/>
          <w:sz w:val="28"/>
          <w:szCs w:val="28"/>
          <w:vertAlign w:val="superscript"/>
        </w:rPr>
        <w:footnoteReference w:id="600"/>
      </w:r>
      <w:r w:rsidRPr="007C57D2">
        <w:rPr>
          <w:rFonts w:ascii="Times New Roman" w:hAnsi="Times New Roman"/>
          <w:sz w:val="28"/>
          <w:szCs w:val="28"/>
        </w:rPr>
        <w:t xml:space="preserve"> manifestó que resulta inconveniente suscribir una ley con propósitos similares a los de la Ley 2362 de 2023</w:t>
      </w:r>
      <w:r w:rsidRPr="007C57D2">
        <w:rPr>
          <w:rFonts w:ascii="Times New Roman" w:hAnsi="Times New Roman"/>
          <w:sz w:val="28"/>
          <w:szCs w:val="28"/>
        </w:rPr>
        <w:t>, que consagra la Alerta Rosa. Propone que se realice un trabajo articulado con el Comité de Coordinación Nacional de la Alerta Rosa</w:t>
      </w:r>
      <w:r w:rsidRPr="007C57D2">
        <w:rPr>
          <w:rFonts w:ascii="Times New Roman" w:hAnsi="Times New Roman"/>
          <w:sz w:val="28"/>
          <w:szCs w:val="28"/>
          <w:vertAlign w:val="superscript"/>
        </w:rPr>
        <w:footnoteReference w:id="601"/>
      </w:r>
      <w:r w:rsidRPr="007C57D2">
        <w:rPr>
          <w:rFonts w:ascii="Times New Roman" w:hAnsi="Times New Roman"/>
          <w:sz w:val="28"/>
          <w:szCs w:val="28"/>
        </w:rPr>
        <w:t xml:space="preserve">. Resalta que expuso esta misma posición a los ponentes del PLE durante su trámite en el Congreso.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 xml:space="preserve">b. Consideraciones de </w:t>
      </w:r>
      <w:r w:rsidRPr="007C57D2">
        <w:rPr>
          <w:rFonts w:ascii="Times New Roman" w:hAnsi="Times New Roman"/>
          <w:b/>
          <w:bCs/>
          <w:color w:val="000000"/>
          <w:sz w:val="28"/>
          <w:szCs w:val="40"/>
          <w:lang w:val="es-ES_tradnl"/>
        </w:rPr>
        <w:t xml:space="preserve">la Corte </w:t>
      </w:r>
    </w:p>
    <w:p w:rsidR="001E19D5" w:rsidRPr="007C57D2" w:rsidRDefault="007C57D2" w:rsidP="008F3DAB">
      <w:pPr>
        <w:spacing w:after="0" w:line="240" w:lineRule="auto"/>
        <w:jc w:val="both"/>
        <w:rPr>
          <w:rFonts w:ascii="Times New Roman" w:hAnsi="Times New Roman"/>
          <w:sz w:val="28"/>
          <w:szCs w:val="28"/>
          <w:lang w:val="es-ES_tradnl"/>
        </w:rPr>
      </w:pPr>
    </w:p>
    <w:p w:rsidR="00404AD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rPr>
        <w:t>Como se explicó en la nota metodológica con la que comienza este acápite, los artículos 6, 10 y 11 del PLE contienen los criterios que rigen la divulgación de la Alerta Colombia, y su complejidad requiere su organización a partir de cinco bloque</w:t>
      </w:r>
      <w:r w:rsidRPr="007C57D2">
        <w:rPr>
          <w:rFonts w:ascii="Times New Roman" w:hAnsi="Times New Roman"/>
          <w:sz w:val="28"/>
          <w:szCs w:val="28"/>
        </w:rPr>
        <w:t xml:space="preserve">s temáticos. </w:t>
      </w:r>
      <w:r w:rsidRPr="007C57D2">
        <w:rPr>
          <w:rFonts w:ascii="Times New Roman" w:hAnsi="Times New Roman"/>
          <w:sz w:val="28"/>
          <w:szCs w:val="28"/>
          <w:lang w:val="es-ES_tradnl"/>
        </w:rPr>
        <w:t>Debe tenerse en cuenta que se trata de materias que responden a parámetros constitucionales distintos por los principios y derechos que involucran</w:t>
      </w:r>
      <w:r w:rsidRPr="007C57D2">
        <w:rPr>
          <w:rFonts w:ascii="Times New Roman" w:hAnsi="Times New Roman"/>
          <w:sz w:val="28"/>
          <w:szCs w:val="28"/>
          <w:lang w:val="es-ES"/>
        </w:rPr>
        <w:t xml:space="preserve">, por lo que la Sala Plena utilizará diferentes metodologías para determinar si respetan las </w:t>
      </w:r>
      <w:r w:rsidRPr="007C57D2">
        <w:rPr>
          <w:rFonts w:ascii="Times New Roman" w:hAnsi="Times New Roman"/>
          <w:sz w:val="28"/>
          <w:szCs w:val="28"/>
          <w:lang w:val="es-ES"/>
        </w:rPr>
        <w:t>normas superiores. Con esto en mente, el control material de estas disposiciones se realizará de la siguiente manera.</w:t>
      </w:r>
    </w:p>
    <w:p w:rsidR="00404AD9" w:rsidRPr="007C57D2" w:rsidRDefault="007C57D2" w:rsidP="008F3DAB">
      <w:pPr>
        <w:pStyle w:val="Prrafodelista"/>
        <w:ind w:left="0"/>
        <w:jc w:val="both"/>
        <w:rPr>
          <w:rFonts w:ascii="Times New Roman" w:hAnsi="Times New Roman"/>
          <w:sz w:val="28"/>
          <w:szCs w:val="28"/>
          <w:lang w:val="es-ES"/>
        </w:rPr>
      </w:pPr>
    </w:p>
    <w:p w:rsidR="00404AD9"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En primer lugar, se abordará el deber de difundir y de divulgar la Alerta Colombia de forma gratuita e inmediata que el PLE les impone a los proveedores de redes y servicios de telecomunicaciones, a los operadores de aeropuertos internacionales y a los tit</w:t>
      </w:r>
      <w:r w:rsidRPr="007C57D2">
        <w:rPr>
          <w:rFonts w:ascii="Times New Roman" w:hAnsi="Times New Roman"/>
          <w:sz w:val="28"/>
          <w:szCs w:val="28"/>
          <w:lang w:val="es-ES"/>
        </w:rPr>
        <w:t xml:space="preserve">ulares de medios de comunicación de amplia cobertura. La Sala Plena realizará un test de proporcionalidad </w:t>
      </w:r>
      <w:r w:rsidRPr="007C57D2">
        <w:rPr>
          <w:rFonts w:ascii="Times New Roman" w:hAnsi="Times New Roman"/>
          <w:i/>
          <w:iCs/>
          <w:sz w:val="28"/>
          <w:szCs w:val="28"/>
          <w:lang w:val="es-ES"/>
        </w:rPr>
        <w:t>leve</w:t>
      </w:r>
      <w:r w:rsidRPr="007C57D2">
        <w:rPr>
          <w:rFonts w:ascii="Times New Roman" w:hAnsi="Times New Roman"/>
          <w:sz w:val="28"/>
          <w:szCs w:val="28"/>
          <w:lang w:val="es-ES"/>
        </w:rPr>
        <w:t>, por tratarse de una medida que impacta las libertades económicas de estos agentes. En atención a los reproches técnicos formulados por algunos d</w:t>
      </w:r>
      <w:r w:rsidRPr="007C57D2">
        <w:rPr>
          <w:rFonts w:ascii="Times New Roman" w:hAnsi="Times New Roman"/>
          <w:sz w:val="28"/>
          <w:szCs w:val="28"/>
          <w:lang w:val="es-ES"/>
        </w:rPr>
        <w:t xml:space="preserve">e los intervinientes respecto del funcionamiento de la Alerta Colombia, en esta sección también se incluyen unos </w:t>
      </w:r>
      <w:r w:rsidRPr="007C57D2">
        <w:rPr>
          <w:rFonts w:ascii="Times New Roman" w:eastAsia="Calibri" w:hAnsi="Times New Roman"/>
          <w:sz w:val="28"/>
          <w:szCs w:val="28"/>
        </w:rPr>
        <w:t>lineamientos de carácter orientador y no obligatorio, cuya observancia puede tomarse como un referente de interpretación constitucional para la</w:t>
      </w:r>
      <w:r w:rsidRPr="007C57D2">
        <w:rPr>
          <w:rFonts w:ascii="Times New Roman" w:eastAsia="Calibri" w:hAnsi="Times New Roman"/>
          <w:sz w:val="28"/>
          <w:szCs w:val="28"/>
        </w:rPr>
        <w:t xml:space="preserve">s autoridades encargadas de su </w:t>
      </w:r>
      <w:r w:rsidRPr="007C57D2">
        <w:rPr>
          <w:rFonts w:ascii="Times New Roman" w:eastAsia="Calibri" w:hAnsi="Times New Roman"/>
          <w:sz w:val="28"/>
          <w:szCs w:val="28"/>
        </w:rPr>
        <w:t>reglamentación.</w:t>
      </w:r>
    </w:p>
    <w:p w:rsidR="00404AD9" w:rsidRPr="007C57D2" w:rsidRDefault="007C57D2" w:rsidP="008F3DAB">
      <w:pPr>
        <w:spacing w:after="0" w:line="240" w:lineRule="auto"/>
        <w:jc w:val="both"/>
        <w:rPr>
          <w:rFonts w:ascii="Times New Roman" w:hAnsi="Times New Roman"/>
          <w:sz w:val="28"/>
          <w:szCs w:val="28"/>
        </w:rPr>
      </w:pPr>
    </w:p>
    <w:p w:rsidR="00404AD9"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segundo lugar, se estudiará el deber de divulgar ciertos datos personales de los niños, niñas y adolescentes extraviados, que las referidas normas exigen como parte del contenido mínimo que deben tener los</w:t>
      </w:r>
      <w:r w:rsidRPr="007C57D2">
        <w:rPr>
          <w:rFonts w:ascii="Times New Roman" w:hAnsi="Times New Roman"/>
          <w:sz w:val="28"/>
          <w:szCs w:val="28"/>
        </w:rPr>
        <w:t xml:space="preserve"> mensajes masivos que se difundan en el marco de la Alerta Colombia. Como es una medida que involucra los derechos fundamentales a la integridad personal, a la intimidad, a la imagen y al </w:t>
      </w:r>
      <w:r w:rsidRPr="007C57D2">
        <w:rPr>
          <w:rFonts w:ascii="Times New Roman" w:hAnsi="Times New Roman"/>
          <w:i/>
          <w:iCs/>
          <w:sz w:val="28"/>
          <w:szCs w:val="28"/>
        </w:rPr>
        <w:t>hábeas data</w:t>
      </w:r>
      <w:r w:rsidRPr="007C57D2">
        <w:rPr>
          <w:rFonts w:ascii="Times New Roman" w:hAnsi="Times New Roman"/>
          <w:sz w:val="28"/>
          <w:szCs w:val="28"/>
        </w:rPr>
        <w:t xml:space="preserve"> de estos sujetos de especial protección constitucional, </w:t>
      </w:r>
      <w:r w:rsidRPr="007C57D2">
        <w:rPr>
          <w:rFonts w:ascii="Times New Roman" w:hAnsi="Times New Roman"/>
          <w:sz w:val="28"/>
          <w:szCs w:val="28"/>
        </w:rPr>
        <w:t xml:space="preserve">la Corte aplicará un test de proporcionalidad estricto. En tercer lugar, se analizará del deber de divulgar los datos del </w:t>
      </w:r>
      <w:r w:rsidRPr="007C57D2">
        <w:rPr>
          <w:rFonts w:ascii="Times New Roman" w:hAnsi="Times New Roman"/>
          <w:i/>
          <w:iCs/>
          <w:sz w:val="28"/>
          <w:szCs w:val="28"/>
        </w:rPr>
        <w:t>presunto secuestrador</w:t>
      </w:r>
      <w:r w:rsidRPr="007C57D2">
        <w:rPr>
          <w:rFonts w:ascii="Times New Roman" w:hAnsi="Times New Roman"/>
          <w:sz w:val="28"/>
          <w:szCs w:val="28"/>
        </w:rPr>
        <w:t xml:space="preserve"> de los niños, niñas y adolescentes desaparecidos, contenido en el artículo 6.h del PLE. La Sala Plena también ut</w:t>
      </w:r>
      <w:r w:rsidRPr="007C57D2">
        <w:rPr>
          <w:rFonts w:ascii="Times New Roman" w:hAnsi="Times New Roman"/>
          <w:sz w:val="28"/>
          <w:szCs w:val="28"/>
        </w:rPr>
        <w:t>ilizará un test de proporcionalidad estricto, dado que dicha disposición afecta los derechos fundamentales a la presunción de inocencia, el buen nombre y la honra.</w:t>
      </w:r>
    </w:p>
    <w:p w:rsidR="00404AD9" w:rsidRPr="007C57D2" w:rsidRDefault="007C57D2" w:rsidP="008F3DAB">
      <w:pPr>
        <w:spacing w:after="0" w:line="240" w:lineRule="auto"/>
        <w:jc w:val="both"/>
        <w:rPr>
          <w:rFonts w:ascii="Times New Roman" w:hAnsi="Times New Roman"/>
          <w:sz w:val="28"/>
          <w:szCs w:val="28"/>
        </w:rPr>
      </w:pPr>
    </w:p>
    <w:p w:rsidR="00404AD9"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cuarto lugar, se hará referencia a las responsabilidades que el PLE le atribuye a los fu</w:t>
      </w:r>
      <w:r w:rsidRPr="007C57D2">
        <w:rPr>
          <w:rFonts w:ascii="Times New Roman" w:hAnsi="Times New Roman"/>
          <w:sz w:val="28"/>
          <w:szCs w:val="28"/>
        </w:rPr>
        <w:t>ncionarios que no activen la Alerta Colombia. La Corte aplicará un test de proporcionalidad leve, en atención al amplio margen de configuración normativa que el legislador tiene en materia disciplinaria. Por último, la Sala Plena evaluará el mandato de int</w:t>
      </w:r>
      <w:r w:rsidRPr="007C57D2">
        <w:rPr>
          <w:rFonts w:ascii="Times New Roman" w:hAnsi="Times New Roman"/>
          <w:sz w:val="28"/>
          <w:szCs w:val="28"/>
        </w:rPr>
        <w:t>egración de la Alerta Colombia en el sistema de alertas tempranas sobre la niñes colombiana, frente al que no se advierte la transgresión de ningún derecho o principio constitucional.</w:t>
      </w:r>
    </w:p>
    <w:p w:rsidR="001E19D5" w:rsidRPr="007C57D2" w:rsidRDefault="007C57D2" w:rsidP="008F3DAB">
      <w:pPr>
        <w:spacing w:after="0" w:line="240" w:lineRule="auto"/>
        <w:jc w:val="both"/>
        <w:rPr>
          <w:rFonts w:ascii="Times New Roman" w:hAnsi="Times New Roman"/>
          <w:b/>
          <w:bCs/>
          <w:sz w:val="28"/>
          <w:szCs w:val="28"/>
        </w:rPr>
      </w:pPr>
    </w:p>
    <w:p w:rsidR="001E19D5" w:rsidRPr="007C57D2" w:rsidRDefault="007C57D2" w:rsidP="008F3DAB">
      <w:pPr>
        <w:pStyle w:val="Prrafodelista"/>
        <w:numPr>
          <w:ilvl w:val="0"/>
          <w:numId w:val="18"/>
        </w:numPr>
        <w:tabs>
          <w:tab w:val="left" w:pos="1134"/>
        </w:tabs>
        <w:ind w:left="567" w:firstLine="0"/>
        <w:jc w:val="both"/>
        <w:rPr>
          <w:rFonts w:ascii="Times New Roman" w:hAnsi="Times New Roman"/>
          <w:b/>
          <w:bCs/>
          <w:sz w:val="28"/>
          <w:szCs w:val="28"/>
        </w:rPr>
      </w:pPr>
      <w:r w:rsidRPr="007C57D2">
        <w:rPr>
          <w:rFonts w:ascii="Times New Roman" w:hAnsi="Times New Roman"/>
          <w:b/>
          <w:sz w:val="28"/>
          <w:szCs w:val="28"/>
        </w:rPr>
        <w:t>El deber de difundir y de divulgar la Alerta Colombia de forma gratuita</w:t>
      </w:r>
      <w:r w:rsidRPr="007C57D2">
        <w:rPr>
          <w:rFonts w:ascii="Times New Roman" w:hAnsi="Times New Roman"/>
          <w:b/>
          <w:sz w:val="28"/>
          <w:szCs w:val="28"/>
        </w:rPr>
        <w:t xml:space="preserve"> e inmediata</w:t>
      </w:r>
    </w:p>
    <w:p w:rsidR="001E19D5" w:rsidRPr="007C57D2" w:rsidRDefault="007C57D2" w:rsidP="008F3DAB">
      <w:pPr>
        <w:spacing w:after="0" w:line="240" w:lineRule="auto"/>
        <w:jc w:val="both"/>
        <w:rPr>
          <w:rFonts w:ascii="Times New Roman" w:hAnsi="Times New Roman"/>
          <w:sz w:val="28"/>
          <w:szCs w:val="32"/>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rPr>
      </w:pPr>
      <w:r w:rsidRPr="007C57D2">
        <w:rPr>
          <w:rFonts w:ascii="Times New Roman" w:hAnsi="Times New Roman"/>
          <w:i/>
          <w:iCs/>
          <w:sz w:val="28"/>
          <w:szCs w:val="28"/>
        </w:rPr>
        <w:t>Alcance de las normas analizadas</w:t>
      </w:r>
      <w:r w:rsidRPr="007C57D2">
        <w:rPr>
          <w:rFonts w:ascii="Times New Roman" w:hAnsi="Times New Roman"/>
          <w:sz w:val="28"/>
          <w:szCs w:val="28"/>
        </w:rPr>
        <w:t xml:space="preserve">. Los artículos 6, 10 y 11 del PLE tienen una especial relevancia, porque regulan la forma en la que la Alerta Colombia debe difundirse y divulgarse tras su activación. Estas disposiciones establecen los </w:t>
      </w:r>
      <w:r w:rsidRPr="007C57D2">
        <w:rPr>
          <w:rFonts w:ascii="Times New Roman" w:hAnsi="Times New Roman"/>
          <w:sz w:val="28"/>
          <w:szCs w:val="28"/>
        </w:rPr>
        <w:t>sujetos encargados de llevar a cabo esta actividad, y definen los requisitos y procedimientos que deben observar para dicho propósito. El PLE fundamenta esta obligación de difusión y divulgación y sus requisitos específicos en los principios de solidaridad</w:t>
      </w:r>
      <w:r w:rsidRPr="007C57D2">
        <w:rPr>
          <w:rFonts w:ascii="Times New Roman" w:hAnsi="Times New Roman"/>
          <w:sz w:val="28"/>
          <w:szCs w:val="28"/>
        </w:rPr>
        <w:t xml:space="preserve"> y responsabilidad social y empresarial, y somete su cumplimiento a algunos de los principios que rigen la función administrativa.</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Con base en las normas antes referidas, los sujetos obligados a la difusión y divulgación de la Alerta Colombia son los sigu</w:t>
      </w:r>
      <w:r w:rsidRPr="007C57D2">
        <w:rPr>
          <w:rFonts w:ascii="Times New Roman" w:eastAsia="Calibri" w:hAnsi="Times New Roman"/>
          <w:sz w:val="28"/>
          <w:szCs w:val="28"/>
        </w:rPr>
        <w:t xml:space="preserve">ientes: </w:t>
      </w:r>
    </w:p>
    <w:p w:rsidR="001E19D5" w:rsidRPr="007C57D2" w:rsidRDefault="007C57D2" w:rsidP="008F3DAB">
      <w:pPr>
        <w:pStyle w:val="Sinespaciado"/>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gridCol w:w="2598"/>
      </w:tblGrid>
      <w:tr w:rsidR="001E19D5" w:rsidRPr="007C57D2" w:rsidTr="007C57D2">
        <w:tc>
          <w:tcPr>
            <w:tcW w:w="6232" w:type="dxa"/>
            <w:shd w:val="clear" w:color="auto" w:fill="auto"/>
            <w:vAlign w:val="center"/>
          </w:tcPr>
          <w:p w:rsidR="001E19D5" w:rsidRPr="007C57D2" w:rsidRDefault="007C57D2" w:rsidP="007C57D2">
            <w:pPr>
              <w:pStyle w:val="Sinespaciado"/>
              <w:jc w:val="center"/>
              <w:rPr>
                <w:rFonts w:ascii="Times New Roman" w:hAnsi="Times New Roman"/>
                <w:b/>
                <w:szCs w:val="24"/>
              </w:rPr>
            </w:pPr>
            <w:r w:rsidRPr="007C57D2">
              <w:rPr>
                <w:rFonts w:ascii="Times New Roman" w:hAnsi="Times New Roman"/>
                <w:b/>
                <w:szCs w:val="24"/>
              </w:rPr>
              <w:t>Responsables de difundir y divulgar la Alerta Colombia</w:t>
            </w:r>
          </w:p>
        </w:tc>
        <w:tc>
          <w:tcPr>
            <w:tcW w:w="2598" w:type="dxa"/>
            <w:shd w:val="clear" w:color="auto" w:fill="auto"/>
            <w:vAlign w:val="center"/>
          </w:tcPr>
          <w:p w:rsidR="001E19D5" w:rsidRPr="007C57D2" w:rsidRDefault="007C57D2" w:rsidP="007C57D2">
            <w:pPr>
              <w:pStyle w:val="Sinespaciado"/>
              <w:jc w:val="center"/>
              <w:rPr>
                <w:rFonts w:ascii="Times New Roman" w:hAnsi="Times New Roman"/>
                <w:b/>
                <w:bCs/>
                <w:szCs w:val="24"/>
              </w:rPr>
            </w:pPr>
            <w:r w:rsidRPr="007C57D2">
              <w:rPr>
                <w:rFonts w:ascii="Times New Roman" w:hAnsi="Times New Roman"/>
                <w:b/>
                <w:bCs/>
                <w:szCs w:val="24"/>
              </w:rPr>
              <w:t>Disposición</w:t>
            </w:r>
          </w:p>
        </w:tc>
      </w:tr>
      <w:tr w:rsidR="001E19D5" w:rsidRPr="007C57D2" w:rsidTr="007C57D2">
        <w:tc>
          <w:tcPr>
            <w:tcW w:w="6232" w:type="dxa"/>
            <w:shd w:val="clear" w:color="auto" w:fill="auto"/>
            <w:vAlign w:val="center"/>
          </w:tcPr>
          <w:p w:rsidR="001E19D5" w:rsidRPr="007C57D2" w:rsidRDefault="007C57D2" w:rsidP="007C57D2">
            <w:pPr>
              <w:pStyle w:val="Sinespaciado"/>
              <w:jc w:val="center"/>
              <w:rPr>
                <w:rFonts w:ascii="Times New Roman" w:hAnsi="Times New Roman"/>
                <w:bCs/>
                <w:szCs w:val="24"/>
              </w:rPr>
            </w:pPr>
            <w:r w:rsidRPr="007C57D2">
              <w:rPr>
                <w:rFonts w:ascii="Times New Roman" w:hAnsi="Times New Roman"/>
                <w:bCs/>
                <w:szCs w:val="24"/>
              </w:rPr>
              <w:t>Los proveedores de redes y servicios de telecomunicaciones</w:t>
            </w:r>
          </w:p>
        </w:tc>
        <w:tc>
          <w:tcPr>
            <w:tcW w:w="2598" w:type="dxa"/>
            <w:shd w:val="clear" w:color="auto" w:fill="auto"/>
            <w:vAlign w:val="center"/>
          </w:tcPr>
          <w:p w:rsidR="001E19D5" w:rsidRPr="007C57D2" w:rsidRDefault="007C57D2" w:rsidP="007C57D2">
            <w:pPr>
              <w:pStyle w:val="Sinespaciado"/>
              <w:jc w:val="center"/>
              <w:rPr>
                <w:rFonts w:ascii="Times New Roman" w:hAnsi="Times New Roman"/>
                <w:bCs/>
                <w:szCs w:val="24"/>
              </w:rPr>
            </w:pPr>
            <w:r w:rsidRPr="007C57D2">
              <w:rPr>
                <w:rFonts w:ascii="Times New Roman" w:hAnsi="Times New Roman"/>
                <w:bCs/>
                <w:szCs w:val="24"/>
              </w:rPr>
              <w:t>Art. 6 y Art. 10 literales a y b</w:t>
            </w:r>
          </w:p>
        </w:tc>
      </w:tr>
      <w:tr w:rsidR="001E19D5" w:rsidRPr="007C57D2" w:rsidTr="007C57D2">
        <w:tc>
          <w:tcPr>
            <w:tcW w:w="6232" w:type="dxa"/>
            <w:shd w:val="clear" w:color="auto" w:fill="auto"/>
            <w:vAlign w:val="center"/>
          </w:tcPr>
          <w:p w:rsidR="001E19D5" w:rsidRPr="007C57D2" w:rsidRDefault="007C57D2" w:rsidP="007C57D2">
            <w:pPr>
              <w:pStyle w:val="Sinespaciado"/>
              <w:jc w:val="center"/>
              <w:rPr>
                <w:rFonts w:ascii="Times New Roman" w:hAnsi="Times New Roman"/>
                <w:szCs w:val="24"/>
              </w:rPr>
            </w:pPr>
            <w:r w:rsidRPr="007C57D2">
              <w:rPr>
                <w:rFonts w:ascii="Times New Roman" w:hAnsi="Times New Roman"/>
                <w:szCs w:val="24"/>
              </w:rPr>
              <w:t xml:space="preserve">Los operadores logísticos de los aeropuertos internacionales ubicados en municipios </w:t>
            </w:r>
            <w:r w:rsidRPr="007C57D2">
              <w:rPr>
                <w:rFonts w:ascii="Times New Roman" w:hAnsi="Times New Roman"/>
                <w:szCs w:val="24"/>
              </w:rPr>
              <w:t>donde se haya extraviado un niño o niña deben difundir la alerta en sus instalaciones</w:t>
            </w:r>
          </w:p>
        </w:tc>
        <w:tc>
          <w:tcPr>
            <w:tcW w:w="2598" w:type="dxa"/>
            <w:shd w:val="clear" w:color="auto" w:fill="auto"/>
            <w:vAlign w:val="center"/>
          </w:tcPr>
          <w:p w:rsidR="001E19D5" w:rsidRPr="007C57D2" w:rsidRDefault="007C57D2" w:rsidP="007C57D2">
            <w:pPr>
              <w:pStyle w:val="Sinespaciado"/>
              <w:jc w:val="center"/>
              <w:rPr>
                <w:rFonts w:ascii="Times New Roman" w:hAnsi="Times New Roman"/>
                <w:szCs w:val="24"/>
              </w:rPr>
            </w:pPr>
            <w:r w:rsidRPr="007C57D2">
              <w:rPr>
                <w:rFonts w:ascii="Times New Roman" w:hAnsi="Times New Roman"/>
                <w:szCs w:val="24"/>
              </w:rPr>
              <w:t>Art. 10.c</w:t>
            </w:r>
          </w:p>
        </w:tc>
      </w:tr>
      <w:tr w:rsidR="001E19D5" w:rsidRPr="007C57D2" w:rsidTr="007C57D2">
        <w:tc>
          <w:tcPr>
            <w:tcW w:w="6232" w:type="dxa"/>
            <w:shd w:val="clear" w:color="auto" w:fill="auto"/>
            <w:vAlign w:val="center"/>
          </w:tcPr>
          <w:p w:rsidR="001E19D5" w:rsidRPr="007C57D2" w:rsidRDefault="007C57D2" w:rsidP="007C57D2">
            <w:pPr>
              <w:pStyle w:val="Sinespaciado"/>
              <w:jc w:val="center"/>
              <w:rPr>
                <w:rFonts w:ascii="Times New Roman" w:hAnsi="Times New Roman"/>
                <w:szCs w:val="24"/>
              </w:rPr>
            </w:pPr>
            <w:r w:rsidRPr="007C57D2">
              <w:rPr>
                <w:rFonts w:ascii="Times New Roman" w:hAnsi="Times New Roman"/>
                <w:szCs w:val="24"/>
              </w:rPr>
              <w:t xml:space="preserve">Debe implementarse la difusión de la Alerta Colombia a través de otros medios de comunicación de amplia cobertura, como la radio, la televisión y los medios </w:t>
            </w:r>
            <w:r w:rsidRPr="007C57D2">
              <w:rPr>
                <w:rFonts w:ascii="Times New Roman" w:hAnsi="Times New Roman"/>
                <w:szCs w:val="24"/>
              </w:rPr>
              <w:t>digitales</w:t>
            </w:r>
          </w:p>
        </w:tc>
        <w:tc>
          <w:tcPr>
            <w:tcW w:w="2598" w:type="dxa"/>
            <w:shd w:val="clear" w:color="auto" w:fill="auto"/>
            <w:vAlign w:val="center"/>
          </w:tcPr>
          <w:p w:rsidR="001E19D5" w:rsidRPr="007C57D2" w:rsidRDefault="007C57D2" w:rsidP="007C57D2">
            <w:pPr>
              <w:pStyle w:val="Sinespaciado"/>
              <w:jc w:val="center"/>
              <w:rPr>
                <w:rFonts w:ascii="Times New Roman" w:hAnsi="Times New Roman"/>
                <w:szCs w:val="24"/>
              </w:rPr>
            </w:pPr>
            <w:r w:rsidRPr="007C57D2">
              <w:rPr>
                <w:rFonts w:ascii="Times New Roman" w:hAnsi="Times New Roman"/>
                <w:szCs w:val="24"/>
              </w:rPr>
              <w:t>Art. 10.f</w:t>
            </w:r>
          </w:p>
        </w:tc>
      </w:tr>
    </w:tbl>
    <w:p w:rsidR="001E19D5" w:rsidRPr="007C57D2" w:rsidRDefault="007C57D2" w:rsidP="008F3DAB">
      <w:pPr>
        <w:pStyle w:val="Sinespaciado"/>
        <w:jc w:val="center"/>
        <w:rPr>
          <w:rFonts w:ascii="Times New Roman" w:hAnsi="Times New Roman"/>
          <w:szCs w:val="22"/>
        </w:rPr>
      </w:pPr>
      <w:r w:rsidRPr="007C57D2">
        <w:rPr>
          <w:rFonts w:ascii="Times New Roman" w:hAnsi="Times New Roman"/>
          <w:szCs w:val="22"/>
        </w:rPr>
        <w:t>Tabla 2</w:t>
      </w:r>
      <w:r w:rsidRPr="007C57D2">
        <w:rPr>
          <w:rFonts w:ascii="Times New Roman" w:hAnsi="Times New Roman"/>
          <w:szCs w:val="22"/>
        </w:rPr>
        <w:t>4</w:t>
      </w:r>
      <w:r w:rsidRPr="007C57D2">
        <w:rPr>
          <w:rFonts w:ascii="Times New Roman" w:hAnsi="Times New Roman"/>
          <w:szCs w:val="22"/>
        </w:rPr>
        <w:t xml:space="preserve">. </w:t>
      </w:r>
      <w:r w:rsidRPr="007C57D2">
        <w:rPr>
          <w:rFonts w:ascii="Times New Roman" w:hAnsi="Times New Roman"/>
          <w:bCs/>
          <w:i/>
          <w:iCs/>
          <w:szCs w:val="22"/>
        </w:rPr>
        <w:t>Responsables de difundir y divulgar la Alerta Colombia</w:t>
      </w:r>
    </w:p>
    <w:p w:rsidR="001E19D5" w:rsidRPr="007C57D2" w:rsidRDefault="007C57D2" w:rsidP="008F3DAB">
      <w:pPr>
        <w:pStyle w:val="Sinespaciado"/>
        <w:rPr>
          <w:rFonts w:ascii="Times New Roman" w:hAnsi="Times New Roman"/>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Los requisitos establecidos en los artículos 6, 10 y 11 del PLE para la difusión y divulgación de la Alerta Colombia se sintetizan a continuación:</w:t>
      </w:r>
    </w:p>
    <w:p w:rsidR="001E19D5" w:rsidRPr="007C57D2" w:rsidRDefault="007C57D2" w:rsidP="008F3DAB">
      <w:pPr>
        <w:tabs>
          <w:tab w:val="left" w:pos="567"/>
        </w:tabs>
        <w:spacing w:after="0" w:line="240" w:lineRule="auto"/>
        <w:jc w:val="both"/>
        <w:rPr>
          <w:rFonts w:ascii="Times New Roman" w:eastAsia="Calibri" w:hAnsi="Times New Roman"/>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26"/>
        <w:gridCol w:w="1322"/>
      </w:tblGrid>
      <w:tr w:rsidR="007C57D2" w:rsidRPr="007C57D2" w:rsidTr="007C57D2">
        <w:trPr>
          <w:trHeight w:val="300"/>
        </w:trPr>
        <w:tc>
          <w:tcPr>
            <w:tcW w:w="1980" w:type="dxa"/>
            <w:shd w:val="clear" w:color="auto" w:fill="auto"/>
            <w:vAlign w:val="center"/>
          </w:tcPr>
          <w:p w:rsidR="001E19D5" w:rsidRPr="007C57D2" w:rsidRDefault="007C57D2" w:rsidP="007C57D2">
            <w:pPr>
              <w:pStyle w:val="Sinespaciado"/>
              <w:jc w:val="center"/>
              <w:rPr>
                <w:rFonts w:ascii="Times New Roman" w:hAnsi="Times New Roman"/>
                <w:b/>
                <w:szCs w:val="22"/>
              </w:rPr>
            </w:pPr>
            <w:r w:rsidRPr="007C57D2">
              <w:rPr>
                <w:rFonts w:ascii="Times New Roman" w:hAnsi="Times New Roman"/>
                <w:b/>
                <w:szCs w:val="22"/>
              </w:rPr>
              <w:t>Condiciones</w:t>
            </w:r>
          </w:p>
        </w:tc>
        <w:tc>
          <w:tcPr>
            <w:tcW w:w="5526" w:type="dxa"/>
            <w:shd w:val="clear" w:color="auto" w:fill="auto"/>
            <w:vAlign w:val="center"/>
          </w:tcPr>
          <w:p w:rsidR="001E19D5" w:rsidRPr="007C57D2" w:rsidRDefault="007C57D2" w:rsidP="007C57D2">
            <w:pPr>
              <w:pStyle w:val="Sinespaciado"/>
              <w:jc w:val="center"/>
              <w:rPr>
                <w:rFonts w:ascii="Times New Roman" w:hAnsi="Times New Roman"/>
                <w:b/>
                <w:szCs w:val="22"/>
              </w:rPr>
            </w:pPr>
            <w:r w:rsidRPr="007C57D2">
              <w:rPr>
                <w:rFonts w:ascii="Times New Roman" w:hAnsi="Times New Roman"/>
                <w:b/>
                <w:szCs w:val="22"/>
              </w:rPr>
              <w:t>Requisitos y procedimientos</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b/>
                <w:szCs w:val="22"/>
              </w:rPr>
            </w:pPr>
            <w:r w:rsidRPr="007C57D2">
              <w:rPr>
                <w:rFonts w:ascii="Times New Roman" w:hAnsi="Times New Roman"/>
                <w:b/>
                <w:szCs w:val="22"/>
              </w:rPr>
              <w:t>Disposición</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Principios que rigen la difusión de la alerta</w:t>
            </w:r>
          </w:p>
        </w:tc>
        <w:tc>
          <w:tcPr>
            <w:tcW w:w="5526"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Celeridad, eficacia y publicidad.</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Art. 10</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Contenido mínimo</w:t>
            </w:r>
          </w:p>
        </w:tc>
        <w:tc>
          <w:tcPr>
            <w:tcW w:w="5526" w:type="dxa"/>
            <w:shd w:val="clear" w:color="auto" w:fill="auto"/>
            <w:vAlign w:val="center"/>
          </w:tcPr>
          <w:p w:rsidR="001E19D5" w:rsidRPr="007C57D2" w:rsidRDefault="007C57D2" w:rsidP="007C57D2">
            <w:pPr>
              <w:pStyle w:val="Sinespaciado"/>
              <w:numPr>
                <w:ilvl w:val="0"/>
                <w:numId w:val="19"/>
              </w:numPr>
              <w:ind w:left="0" w:firstLine="0"/>
              <w:jc w:val="center"/>
              <w:rPr>
                <w:rFonts w:ascii="Times New Roman" w:hAnsi="Times New Roman"/>
                <w:szCs w:val="22"/>
              </w:rPr>
            </w:pPr>
            <w:r w:rsidRPr="007C57D2">
              <w:rPr>
                <w:rFonts w:ascii="Times New Roman" w:hAnsi="Times New Roman"/>
                <w:szCs w:val="22"/>
              </w:rPr>
              <w:t>Datos personales y biométricos, información</w:t>
            </w:r>
            <w:r w:rsidRPr="007C57D2">
              <w:rPr>
                <w:rStyle w:val="Refdenotaalpie"/>
                <w:rFonts w:ascii="Times New Roman" w:hAnsi="Times New Roman"/>
                <w:szCs w:val="22"/>
              </w:rPr>
              <w:footnoteReference w:id="602"/>
            </w:r>
            <w:r w:rsidRPr="007C57D2">
              <w:rPr>
                <w:rFonts w:ascii="Times New Roman" w:hAnsi="Times New Roman"/>
                <w:szCs w:val="22"/>
              </w:rPr>
              <w:t xml:space="preserve"> y fotografía del niño o niña extraviado.</w:t>
            </w:r>
          </w:p>
          <w:p w:rsidR="001E19D5" w:rsidRPr="007C57D2" w:rsidRDefault="007C57D2" w:rsidP="007C57D2">
            <w:pPr>
              <w:pStyle w:val="Sinespaciado"/>
              <w:numPr>
                <w:ilvl w:val="0"/>
                <w:numId w:val="19"/>
              </w:numPr>
              <w:ind w:left="0" w:firstLine="0"/>
              <w:jc w:val="center"/>
              <w:rPr>
                <w:rFonts w:ascii="Times New Roman" w:hAnsi="Times New Roman"/>
                <w:szCs w:val="22"/>
              </w:rPr>
            </w:pPr>
            <w:r w:rsidRPr="007C57D2">
              <w:rPr>
                <w:rFonts w:ascii="Times New Roman" w:hAnsi="Times New Roman"/>
                <w:szCs w:val="22"/>
              </w:rPr>
              <w:t>Datos de contacto de su</w:t>
            </w:r>
            <w:r w:rsidRPr="007C57D2">
              <w:rPr>
                <w:rFonts w:ascii="Times New Roman" w:hAnsi="Times New Roman"/>
                <w:szCs w:val="22"/>
              </w:rPr>
              <w:t xml:space="preserve"> familia o cuidadores</w:t>
            </w:r>
          </w:p>
          <w:p w:rsidR="001E19D5" w:rsidRPr="007C57D2" w:rsidRDefault="007C57D2" w:rsidP="007C57D2">
            <w:pPr>
              <w:pStyle w:val="Sinespaciado"/>
              <w:numPr>
                <w:ilvl w:val="0"/>
                <w:numId w:val="19"/>
              </w:numPr>
              <w:ind w:left="0" w:firstLine="0"/>
              <w:jc w:val="center"/>
              <w:rPr>
                <w:rFonts w:ascii="Times New Roman" w:hAnsi="Times New Roman"/>
                <w:szCs w:val="22"/>
              </w:rPr>
            </w:pPr>
            <w:r w:rsidRPr="007C57D2">
              <w:rPr>
                <w:rFonts w:ascii="Times New Roman" w:hAnsi="Times New Roman"/>
                <w:szCs w:val="22"/>
              </w:rPr>
              <w:t>El contenido de la alerta puede variar según la información que reciban las autoridades</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lang w:val="pt-BR"/>
              </w:rPr>
            </w:pPr>
            <w:r w:rsidRPr="007C57D2">
              <w:rPr>
                <w:rFonts w:ascii="Times New Roman" w:hAnsi="Times New Roman"/>
                <w:szCs w:val="22"/>
                <w:lang w:val="pt-BR"/>
              </w:rPr>
              <w:t>Art. 6, literales a, b, c, d, e, f, g, h; parágrafo 1 del art. 10</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Características de la alerta</w:t>
            </w:r>
          </w:p>
        </w:tc>
        <w:tc>
          <w:tcPr>
            <w:tcW w:w="5526" w:type="dxa"/>
            <w:shd w:val="clear" w:color="auto" w:fill="auto"/>
            <w:vAlign w:val="center"/>
          </w:tcPr>
          <w:p w:rsidR="001E19D5" w:rsidRPr="007C57D2" w:rsidRDefault="007C57D2" w:rsidP="007C57D2">
            <w:pPr>
              <w:pStyle w:val="Sinespaciado"/>
              <w:numPr>
                <w:ilvl w:val="0"/>
                <w:numId w:val="20"/>
              </w:numPr>
              <w:ind w:left="0" w:firstLine="0"/>
              <w:jc w:val="center"/>
              <w:rPr>
                <w:rFonts w:ascii="Times New Roman" w:hAnsi="Times New Roman"/>
                <w:szCs w:val="22"/>
              </w:rPr>
            </w:pPr>
            <w:r w:rsidRPr="007C57D2">
              <w:rPr>
                <w:rFonts w:ascii="Times New Roman" w:hAnsi="Times New Roman"/>
                <w:szCs w:val="22"/>
              </w:rPr>
              <w:t>La alerta debe llegar a la pantalla principal de l</w:t>
            </w:r>
            <w:r w:rsidRPr="007C57D2">
              <w:rPr>
                <w:rFonts w:ascii="Times New Roman" w:hAnsi="Times New Roman"/>
                <w:szCs w:val="22"/>
              </w:rPr>
              <w:t>os teléfonos móviles, o, cuando no sea posible, por mensaje de texto de notificación especial.</w:t>
            </w:r>
          </w:p>
          <w:p w:rsidR="001E19D5" w:rsidRPr="007C57D2" w:rsidRDefault="007C57D2" w:rsidP="007C57D2">
            <w:pPr>
              <w:pStyle w:val="Sinespaciado"/>
              <w:numPr>
                <w:ilvl w:val="0"/>
                <w:numId w:val="20"/>
              </w:numPr>
              <w:ind w:left="0" w:firstLine="0"/>
              <w:jc w:val="center"/>
              <w:rPr>
                <w:rFonts w:ascii="Times New Roman" w:hAnsi="Times New Roman"/>
                <w:szCs w:val="22"/>
              </w:rPr>
            </w:pPr>
            <w:r w:rsidRPr="007C57D2">
              <w:rPr>
                <w:rFonts w:ascii="Times New Roman" w:hAnsi="Times New Roman"/>
                <w:szCs w:val="22"/>
              </w:rPr>
              <w:t>La alerta debe cubrir toda la pantalla mínimo por diez segundos. Debe impedirse que el usuario la elimine durante este tiempo.</w:t>
            </w:r>
          </w:p>
          <w:p w:rsidR="001E19D5" w:rsidRPr="007C57D2" w:rsidRDefault="007C57D2" w:rsidP="007C57D2">
            <w:pPr>
              <w:pStyle w:val="Sinespaciado"/>
              <w:numPr>
                <w:ilvl w:val="0"/>
                <w:numId w:val="20"/>
              </w:numPr>
              <w:ind w:left="0" w:firstLine="0"/>
              <w:jc w:val="center"/>
              <w:rPr>
                <w:rFonts w:ascii="Times New Roman" w:hAnsi="Times New Roman"/>
                <w:szCs w:val="22"/>
              </w:rPr>
            </w:pPr>
            <w:r w:rsidRPr="007C57D2">
              <w:rPr>
                <w:rFonts w:ascii="Times New Roman" w:hAnsi="Times New Roman"/>
                <w:szCs w:val="22"/>
              </w:rPr>
              <w:t>La fotografía debe ocupar el 70% d</w:t>
            </w:r>
            <w:r w:rsidRPr="007C57D2">
              <w:rPr>
                <w:rFonts w:ascii="Times New Roman" w:hAnsi="Times New Roman"/>
                <w:szCs w:val="22"/>
              </w:rPr>
              <w:t>e la pantalla del celular.</w:t>
            </w:r>
          </w:p>
          <w:p w:rsidR="001E19D5" w:rsidRPr="007C57D2" w:rsidRDefault="007C57D2" w:rsidP="007C57D2">
            <w:pPr>
              <w:pStyle w:val="Sinespaciado"/>
              <w:numPr>
                <w:ilvl w:val="0"/>
                <w:numId w:val="20"/>
              </w:numPr>
              <w:ind w:left="0" w:firstLine="0"/>
              <w:jc w:val="center"/>
              <w:rPr>
                <w:rFonts w:ascii="Times New Roman" w:hAnsi="Times New Roman"/>
                <w:szCs w:val="22"/>
              </w:rPr>
            </w:pPr>
            <w:r w:rsidRPr="007C57D2">
              <w:rPr>
                <w:rFonts w:ascii="Times New Roman" w:hAnsi="Times New Roman"/>
                <w:szCs w:val="22"/>
              </w:rPr>
              <w:t>El celular debe vibrar.</w:t>
            </w:r>
          </w:p>
          <w:p w:rsidR="001E19D5" w:rsidRPr="007C57D2" w:rsidRDefault="007C57D2" w:rsidP="007C57D2">
            <w:pPr>
              <w:pStyle w:val="Sinespaciado"/>
              <w:numPr>
                <w:ilvl w:val="0"/>
                <w:numId w:val="20"/>
              </w:numPr>
              <w:ind w:left="0" w:firstLine="0"/>
              <w:jc w:val="center"/>
              <w:rPr>
                <w:rFonts w:ascii="Times New Roman" w:hAnsi="Times New Roman"/>
                <w:szCs w:val="22"/>
              </w:rPr>
            </w:pPr>
            <w:r w:rsidRPr="007C57D2">
              <w:rPr>
                <w:rFonts w:ascii="Times New Roman" w:hAnsi="Times New Roman"/>
                <w:szCs w:val="22"/>
              </w:rPr>
              <w:t>La señal de alerta será “en color rojo de peligro”.</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Parágrafo 1 del art. 6</w:t>
            </w:r>
          </w:p>
        </w:tc>
      </w:tr>
      <w:tr w:rsidR="001E19D5" w:rsidRPr="007C57D2" w:rsidTr="007C57D2">
        <w:trPr>
          <w:trHeight w:val="169"/>
        </w:trPr>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Plazo para la difusión</w:t>
            </w:r>
          </w:p>
        </w:tc>
        <w:tc>
          <w:tcPr>
            <w:tcW w:w="5526"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Envío de la alerta en un tiempo máximo de una hora desde su activación</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Art. 10.b</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Periodicidad</w:t>
            </w:r>
          </w:p>
        </w:tc>
        <w:tc>
          <w:tcPr>
            <w:tcW w:w="5526"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 xml:space="preserve">La alerta </w:t>
            </w:r>
            <w:r w:rsidRPr="007C57D2">
              <w:rPr>
                <w:rFonts w:ascii="Times New Roman" w:hAnsi="Times New Roman"/>
                <w:szCs w:val="22"/>
              </w:rPr>
              <w:t>debe enviarse tres veces al día desde el reporte de la desaparición, y debe realizarse mínimo durante la semana siguiente a la alerta inicial.</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Parágrafo 2 del art. 6</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Zona de difusión</w:t>
            </w:r>
          </w:p>
        </w:tc>
        <w:tc>
          <w:tcPr>
            <w:tcW w:w="5526" w:type="dxa"/>
            <w:shd w:val="clear" w:color="auto" w:fill="auto"/>
            <w:vAlign w:val="center"/>
          </w:tcPr>
          <w:p w:rsidR="001E19D5" w:rsidRPr="007C57D2" w:rsidRDefault="007C57D2" w:rsidP="007C57D2">
            <w:pPr>
              <w:pStyle w:val="Sinespaciado"/>
              <w:numPr>
                <w:ilvl w:val="0"/>
                <w:numId w:val="21"/>
              </w:numPr>
              <w:ind w:left="0" w:firstLine="0"/>
              <w:jc w:val="center"/>
              <w:rPr>
                <w:rFonts w:ascii="Times New Roman" w:hAnsi="Times New Roman"/>
                <w:szCs w:val="22"/>
              </w:rPr>
            </w:pPr>
            <w:r w:rsidRPr="007C57D2">
              <w:rPr>
                <w:rFonts w:ascii="Times New Roman" w:hAnsi="Times New Roman"/>
                <w:szCs w:val="22"/>
              </w:rPr>
              <w:t>Envío de la alerta a todos los teléfonos móviles que se encuentren en la</w:t>
            </w:r>
            <w:r w:rsidRPr="007C57D2">
              <w:rPr>
                <w:rFonts w:ascii="Times New Roman" w:hAnsi="Times New Roman"/>
                <w:szCs w:val="22"/>
              </w:rPr>
              <w:t xml:space="preserve"> zona donde desapareció el niño o la niña.</w:t>
            </w:r>
          </w:p>
          <w:p w:rsidR="001E19D5" w:rsidRPr="007C57D2" w:rsidRDefault="007C57D2" w:rsidP="007C57D2">
            <w:pPr>
              <w:pStyle w:val="Sinespaciado"/>
              <w:numPr>
                <w:ilvl w:val="0"/>
                <w:numId w:val="21"/>
              </w:numPr>
              <w:ind w:left="0" w:firstLine="0"/>
              <w:jc w:val="center"/>
              <w:rPr>
                <w:rFonts w:ascii="Times New Roman" w:hAnsi="Times New Roman"/>
                <w:szCs w:val="22"/>
              </w:rPr>
            </w:pPr>
            <w:r w:rsidRPr="007C57D2">
              <w:rPr>
                <w:rFonts w:ascii="Times New Roman" w:hAnsi="Times New Roman"/>
                <w:szCs w:val="22"/>
              </w:rPr>
              <w:t>Si hay indicios del traslado a otro lugar, la alerta debe ampliarse progresivamente.</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lang w:val="da-DK"/>
              </w:rPr>
            </w:pPr>
            <w:r w:rsidRPr="007C57D2">
              <w:rPr>
                <w:rFonts w:ascii="Times New Roman" w:hAnsi="Times New Roman"/>
                <w:szCs w:val="22"/>
                <w:lang w:val="da-DK"/>
              </w:rPr>
              <w:t>Art. 6, parágrafo 1 del art. 6, art. 10.b, art. 11</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Envío a otros destinatarios de la alerta</w:t>
            </w:r>
          </w:p>
        </w:tc>
        <w:tc>
          <w:tcPr>
            <w:tcW w:w="5526"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 xml:space="preserve">Remisión al Ministerio de </w:t>
            </w:r>
            <w:r w:rsidRPr="007C57D2">
              <w:rPr>
                <w:rFonts w:ascii="Times New Roman" w:hAnsi="Times New Roman"/>
                <w:szCs w:val="22"/>
              </w:rPr>
              <w:t>Relaciones Exteriores, Migración Colombia y todas las autoridades en las fronteras puertos y aeropuertos. Información a países fronterizos.</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Art. 10, literales c y d</w:t>
            </w:r>
          </w:p>
        </w:tc>
      </w:tr>
      <w:tr w:rsidR="001E19D5" w:rsidRPr="007C57D2" w:rsidTr="007C57D2">
        <w:tc>
          <w:tcPr>
            <w:tcW w:w="1980"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Integración y articulación de la alerta a las demás existentes</w:t>
            </w:r>
          </w:p>
        </w:tc>
        <w:tc>
          <w:tcPr>
            <w:tcW w:w="5526" w:type="dxa"/>
            <w:shd w:val="clear" w:color="auto" w:fill="auto"/>
            <w:vAlign w:val="center"/>
          </w:tcPr>
          <w:p w:rsidR="001E19D5" w:rsidRPr="007C57D2" w:rsidRDefault="007C57D2" w:rsidP="007C57D2">
            <w:pPr>
              <w:pStyle w:val="Sinespaciado"/>
              <w:numPr>
                <w:ilvl w:val="0"/>
                <w:numId w:val="22"/>
              </w:numPr>
              <w:ind w:left="0" w:firstLine="0"/>
              <w:jc w:val="center"/>
              <w:rPr>
                <w:rFonts w:ascii="Times New Roman" w:hAnsi="Times New Roman"/>
                <w:szCs w:val="22"/>
              </w:rPr>
            </w:pPr>
            <w:r w:rsidRPr="007C57D2">
              <w:rPr>
                <w:rFonts w:ascii="Times New Roman" w:hAnsi="Times New Roman"/>
                <w:szCs w:val="22"/>
              </w:rPr>
              <w:t>Integración al Sistema de A</w:t>
            </w:r>
            <w:r w:rsidRPr="007C57D2">
              <w:rPr>
                <w:rFonts w:ascii="Times New Roman" w:hAnsi="Times New Roman"/>
                <w:szCs w:val="22"/>
              </w:rPr>
              <w:t>lertas Tempranas sobre la niñez colombiana (art. 4 Ley 2242 de 2022</w:t>
            </w:r>
            <w:r w:rsidRPr="007C57D2">
              <w:rPr>
                <w:rStyle w:val="Refdenotaalpie"/>
                <w:rFonts w:ascii="Times New Roman" w:hAnsi="Times New Roman"/>
                <w:szCs w:val="22"/>
              </w:rPr>
              <w:footnoteReference w:id="603"/>
            </w:r>
            <w:r w:rsidRPr="007C57D2">
              <w:rPr>
                <w:rFonts w:ascii="Times New Roman" w:hAnsi="Times New Roman"/>
                <w:szCs w:val="22"/>
              </w:rPr>
              <w:t>) sin perder autonomía en su modalidad</w:t>
            </w:r>
          </w:p>
          <w:p w:rsidR="001E19D5" w:rsidRPr="007C57D2" w:rsidRDefault="007C57D2" w:rsidP="007C57D2">
            <w:pPr>
              <w:pStyle w:val="Sinespaciado"/>
              <w:numPr>
                <w:ilvl w:val="0"/>
                <w:numId w:val="22"/>
              </w:numPr>
              <w:ind w:left="0" w:firstLine="0"/>
              <w:jc w:val="center"/>
              <w:rPr>
                <w:rFonts w:ascii="Times New Roman" w:hAnsi="Times New Roman"/>
                <w:szCs w:val="22"/>
              </w:rPr>
            </w:pPr>
            <w:r w:rsidRPr="007C57D2">
              <w:rPr>
                <w:rFonts w:ascii="Times New Roman" w:hAnsi="Times New Roman"/>
                <w:szCs w:val="22"/>
              </w:rPr>
              <w:t xml:space="preserve">Articulación del protocolo de difusión de la alerta por parte de las autoridades y los proveedores de redes y servicios de telecomunicaciones </w:t>
            </w:r>
          </w:p>
        </w:tc>
        <w:tc>
          <w:tcPr>
            <w:tcW w:w="1322" w:type="dxa"/>
            <w:shd w:val="clear" w:color="auto" w:fill="auto"/>
            <w:vAlign w:val="center"/>
          </w:tcPr>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Parágr</w:t>
            </w:r>
            <w:r w:rsidRPr="007C57D2">
              <w:rPr>
                <w:rFonts w:ascii="Times New Roman" w:hAnsi="Times New Roman"/>
                <w:szCs w:val="22"/>
              </w:rPr>
              <w:t>afo 1 del art. 10,</w:t>
            </w:r>
          </w:p>
          <w:p w:rsidR="001E19D5" w:rsidRPr="007C57D2" w:rsidRDefault="007C57D2" w:rsidP="007C57D2">
            <w:pPr>
              <w:pStyle w:val="Sinespaciado"/>
              <w:jc w:val="center"/>
              <w:rPr>
                <w:rFonts w:ascii="Times New Roman" w:hAnsi="Times New Roman"/>
                <w:szCs w:val="22"/>
              </w:rPr>
            </w:pPr>
            <w:r w:rsidRPr="007C57D2">
              <w:rPr>
                <w:rFonts w:ascii="Times New Roman" w:hAnsi="Times New Roman"/>
                <w:szCs w:val="22"/>
              </w:rPr>
              <w:t>Parágrafo del art. 11</w:t>
            </w:r>
          </w:p>
        </w:tc>
      </w:tr>
    </w:tbl>
    <w:p w:rsidR="001E19D5" w:rsidRPr="007C57D2" w:rsidRDefault="007C57D2" w:rsidP="008F3DAB">
      <w:pPr>
        <w:pStyle w:val="Sinespaciado"/>
        <w:jc w:val="center"/>
        <w:rPr>
          <w:rFonts w:ascii="Times New Roman" w:hAnsi="Times New Roman"/>
          <w:szCs w:val="22"/>
        </w:rPr>
      </w:pPr>
      <w:r w:rsidRPr="007C57D2">
        <w:rPr>
          <w:rFonts w:ascii="Times New Roman" w:hAnsi="Times New Roman"/>
          <w:szCs w:val="22"/>
        </w:rPr>
        <w:t>Tabla 2</w:t>
      </w:r>
      <w:r w:rsidRPr="007C57D2">
        <w:rPr>
          <w:rFonts w:ascii="Times New Roman" w:hAnsi="Times New Roman"/>
          <w:szCs w:val="22"/>
        </w:rPr>
        <w:t>5</w:t>
      </w:r>
      <w:r w:rsidRPr="007C57D2">
        <w:rPr>
          <w:rFonts w:ascii="Times New Roman" w:hAnsi="Times New Roman"/>
          <w:szCs w:val="22"/>
        </w:rPr>
        <w:t xml:space="preserve">. </w:t>
      </w:r>
      <w:r w:rsidRPr="007C57D2">
        <w:rPr>
          <w:rFonts w:ascii="Times New Roman" w:hAnsi="Times New Roman"/>
          <w:i/>
          <w:iCs/>
          <w:szCs w:val="22"/>
        </w:rPr>
        <w:t>Requisitos para la difusión y divulgación de la Alerta Colombia</w:t>
      </w:r>
      <w:r w:rsidRPr="007C57D2">
        <w:rPr>
          <w:rFonts w:ascii="Times New Roman" w:hAnsi="Times New Roman"/>
          <w:szCs w:val="22"/>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i/>
          <w:iCs/>
          <w:sz w:val="28"/>
          <w:szCs w:val="28"/>
        </w:rPr>
        <w:t xml:space="preserve">Consideraciones de la Corte. </w:t>
      </w:r>
      <w:r w:rsidRPr="007C57D2">
        <w:rPr>
          <w:rFonts w:ascii="Times New Roman" w:eastAsia="Calibri" w:hAnsi="Times New Roman"/>
          <w:sz w:val="28"/>
          <w:szCs w:val="28"/>
        </w:rPr>
        <w:t xml:space="preserve">A la Corte le corresponde analizar si el deber de difundir la Alerta Colombia de forma gratuita, inmediata y </w:t>
      </w:r>
      <w:r w:rsidRPr="007C57D2">
        <w:rPr>
          <w:rFonts w:ascii="Times New Roman" w:eastAsia="Calibri" w:hAnsi="Times New Roman"/>
          <w:sz w:val="28"/>
          <w:szCs w:val="28"/>
        </w:rPr>
        <w:t>con el cumplimiento de los criterios establecidos en los artículos 6, 10 y 11 del PLE es compatible con la Constitución Política. Por lo tanto, debe determinar si el legislador actuó dentro de los márgenes establecidos por las normas superiores para el eje</w:t>
      </w:r>
      <w:r w:rsidRPr="007C57D2">
        <w:rPr>
          <w:rFonts w:ascii="Times New Roman" w:eastAsia="Calibri" w:hAnsi="Times New Roman"/>
          <w:sz w:val="28"/>
          <w:szCs w:val="28"/>
        </w:rPr>
        <w:t>rcicio de su potestad de configuración normativa, o si incurrió en la transgresión de alguno de dichos criterios.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La Sala Plena aplicará la metodología del </w:t>
      </w:r>
      <w:r w:rsidRPr="007C57D2">
        <w:rPr>
          <w:rFonts w:ascii="Times New Roman" w:eastAsia="Calibri" w:hAnsi="Times New Roman"/>
          <w:i/>
          <w:iCs/>
          <w:sz w:val="28"/>
          <w:szCs w:val="28"/>
        </w:rPr>
        <w:t>test de proporcionalidad</w:t>
      </w:r>
      <w:r w:rsidRPr="007C57D2">
        <w:rPr>
          <w:rFonts w:ascii="Times New Roman" w:eastAsia="Calibri" w:hAnsi="Times New Roman"/>
          <w:sz w:val="28"/>
          <w:szCs w:val="28"/>
        </w:rPr>
        <w:t>, por tratarse de la herramienta argumentativa que permite saber, en concre</w:t>
      </w:r>
      <w:r w:rsidRPr="007C57D2">
        <w:rPr>
          <w:rFonts w:ascii="Times New Roman" w:eastAsia="Calibri" w:hAnsi="Times New Roman"/>
          <w:sz w:val="28"/>
          <w:szCs w:val="28"/>
        </w:rPr>
        <w:t>to, si una medida regulatoria contenida en una norma viola derechos o la Constitución</w:t>
      </w:r>
      <w:r w:rsidRPr="007C57D2">
        <w:rPr>
          <w:rStyle w:val="Refdenotaalpie"/>
          <w:rFonts w:ascii="Times New Roman" w:eastAsia="Calibri" w:hAnsi="Times New Roman"/>
          <w:sz w:val="28"/>
          <w:szCs w:val="28"/>
        </w:rPr>
        <w:footnoteReference w:id="604"/>
      </w:r>
      <w:r w:rsidRPr="007C57D2">
        <w:rPr>
          <w:rFonts w:ascii="Times New Roman" w:eastAsia="Calibri" w:hAnsi="Times New Roman"/>
          <w:sz w:val="28"/>
          <w:szCs w:val="28"/>
        </w:rPr>
        <w:t>. Esta forma de análisis involucra cuatro pasos, que corresponden a identificar si la medida adoptada por el legislador constituye un mandato, una autorización o una proh</w:t>
      </w:r>
      <w:r w:rsidRPr="007C57D2">
        <w:rPr>
          <w:rFonts w:ascii="Times New Roman" w:eastAsia="Calibri" w:hAnsi="Times New Roman"/>
          <w:sz w:val="28"/>
          <w:szCs w:val="28"/>
        </w:rPr>
        <w:t>ibición; escoger la clase de test que se debe utilizar según su intensidad; aplicar el test que corresponda en cada uno de sus pasos; y concluir a partir del trabajo realizado si dicha medida supera el test</w:t>
      </w:r>
      <w:r w:rsidRPr="007C57D2">
        <w:rPr>
          <w:rStyle w:val="Refdenotaalpie"/>
          <w:rFonts w:ascii="Times New Roman" w:eastAsia="Calibri" w:hAnsi="Times New Roman"/>
          <w:sz w:val="28"/>
          <w:szCs w:val="28"/>
        </w:rPr>
        <w:footnoteReference w:id="605"/>
      </w:r>
      <w:r w:rsidRPr="007C57D2">
        <w:rPr>
          <w:rFonts w:ascii="Times New Roman" w:eastAsia="Calibri" w:hAnsi="Times New Roman"/>
          <w:sz w:val="28"/>
          <w:szCs w:val="28"/>
        </w:rPr>
        <w:t>.</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Debe tenerse en cuenta que el </w:t>
      </w:r>
      <w:r w:rsidRPr="007C57D2">
        <w:rPr>
          <w:rFonts w:ascii="Times New Roman" w:eastAsia="Calibri" w:hAnsi="Times New Roman"/>
          <w:i/>
          <w:iCs/>
          <w:sz w:val="28"/>
          <w:szCs w:val="28"/>
        </w:rPr>
        <w:t>test de proporci</w:t>
      </w:r>
      <w:r w:rsidRPr="007C57D2">
        <w:rPr>
          <w:rFonts w:ascii="Times New Roman" w:eastAsia="Calibri" w:hAnsi="Times New Roman"/>
          <w:i/>
          <w:iCs/>
          <w:sz w:val="28"/>
          <w:szCs w:val="28"/>
        </w:rPr>
        <w:t>onalidad</w:t>
      </w:r>
      <w:r w:rsidRPr="007C57D2">
        <w:rPr>
          <w:rFonts w:ascii="Times New Roman" w:eastAsia="Calibri" w:hAnsi="Times New Roman"/>
          <w:sz w:val="28"/>
          <w:szCs w:val="28"/>
        </w:rPr>
        <w:t xml:space="preserve"> es tan solo una herramienta de análisis que le permite al juez constitucional argumentar los motivos que justifican sus decisiones de manera clara y adecuada. Por lo tanto, la definición de los estándares aplicados y el estudio de constitucionalid</w:t>
      </w:r>
      <w:r w:rsidRPr="007C57D2">
        <w:rPr>
          <w:rFonts w:ascii="Times New Roman" w:eastAsia="Calibri" w:hAnsi="Times New Roman"/>
          <w:sz w:val="28"/>
          <w:szCs w:val="28"/>
        </w:rPr>
        <w:t>ad concreto deben estar guiados por el deber de motivación suficiente</w:t>
      </w:r>
      <w:r w:rsidRPr="007C57D2">
        <w:rPr>
          <w:rStyle w:val="Refdenotaalpie"/>
          <w:rFonts w:ascii="Times New Roman" w:eastAsia="Calibri" w:hAnsi="Times New Roman"/>
          <w:sz w:val="28"/>
          <w:szCs w:val="28"/>
        </w:rPr>
        <w:footnoteReference w:id="606"/>
      </w:r>
      <w:r w:rsidRPr="007C57D2">
        <w:rPr>
          <w:rFonts w:ascii="Times New Roman" w:eastAsia="Calibri" w:hAnsi="Times New Roman"/>
          <w:sz w:val="28"/>
          <w:szCs w:val="28"/>
        </w:rPr>
        <w:t>.</w:t>
      </w:r>
    </w:p>
    <w:p w:rsidR="001E19D5" w:rsidRPr="007C57D2" w:rsidRDefault="007C57D2" w:rsidP="008F3DAB">
      <w:pPr>
        <w:pStyle w:val="Prrafodelista"/>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i/>
          <w:iCs/>
          <w:sz w:val="28"/>
          <w:szCs w:val="28"/>
        </w:rPr>
        <w:t>Identificación de la medida</w:t>
      </w:r>
      <w:r w:rsidRPr="007C57D2">
        <w:rPr>
          <w:rFonts w:ascii="Times New Roman" w:eastAsia="Calibri" w:hAnsi="Times New Roman"/>
          <w:sz w:val="28"/>
          <w:szCs w:val="28"/>
        </w:rPr>
        <w:t xml:space="preserve">. La medida que será evaluada mediante el test de proporcionalidad es un </w:t>
      </w:r>
      <w:r w:rsidRPr="007C57D2">
        <w:rPr>
          <w:rFonts w:ascii="Times New Roman" w:eastAsia="Calibri" w:hAnsi="Times New Roman"/>
          <w:i/>
          <w:iCs/>
          <w:sz w:val="28"/>
          <w:szCs w:val="28"/>
        </w:rPr>
        <w:t>mandato</w:t>
      </w:r>
      <w:r w:rsidRPr="007C57D2">
        <w:rPr>
          <w:rFonts w:ascii="Times New Roman" w:eastAsia="Calibri" w:hAnsi="Times New Roman"/>
          <w:sz w:val="28"/>
          <w:szCs w:val="28"/>
        </w:rPr>
        <w:t>, en virtud del cual el legislador impuso la obligación de difundir la Alert</w:t>
      </w:r>
      <w:r w:rsidRPr="007C57D2">
        <w:rPr>
          <w:rFonts w:ascii="Times New Roman" w:eastAsia="Calibri" w:hAnsi="Times New Roman"/>
          <w:sz w:val="28"/>
          <w:szCs w:val="28"/>
        </w:rPr>
        <w:t xml:space="preserve">a Colombia de forma gratuita, inmediata y con los requisitos y procedimientos establecidos en los artículos 6, 10 y 11 del PLE a tres categorías de sujetos: (i) </w:t>
      </w:r>
      <w:r w:rsidRPr="007C57D2">
        <w:rPr>
          <w:rFonts w:ascii="Times New Roman" w:hAnsi="Times New Roman"/>
          <w:sz w:val="28"/>
          <w:szCs w:val="28"/>
        </w:rPr>
        <w:t>las empresas proveedoras de redes y servicios de telecomunicaciones</w:t>
      </w:r>
      <w:r w:rsidRPr="007C57D2">
        <w:rPr>
          <w:rStyle w:val="Refdenotaalpie"/>
          <w:rFonts w:ascii="Times New Roman" w:hAnsi="Times New Roman"/>
          <w:sz w:val="28"/>
          <w:szCs w:val="28"/>
        </w:rPr>
        <w:footnoteReference w:id="607"/>
      </w:r>
      <w:r w:rsidRPr="007C57D2">
        <w:rPr>
          <w:rFonts w:ascii="Times New Roman" w:hAnsi="Times New Roman"/>
          <w:sz w:val="28"/>
          <w:szCs w:val="28"/>
        </w:rPr>
        <w:t>; (ii) los operadores logís</w:t>
      </w:r>
      <w:r w:rsidRPr="007C57D2">
        <w:rPr>
          <w:rFonts w:ascii="Times New Roman" w:hAnsi="Times New Roman"/>
          <w:sz w:val="28"/>
          <w:szCs w:val="28"/>
        </w:rPr>
        <w:t>ticos de aeropuertos internacionales; y (iii) los titulares de medios de comunicación de amplia cobertura.</w:t>
      </w:r>
    </w:p>
    <w:p w:rsidR="001E19D5" w:rsidRPr="007C57D2" w:rsidRDefault="007C57D2" w:rsidP="008F3DAB">
      <w:pPr>
        <w:pStyle w:val="Prrafodelista"/>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i/>
          <w:iCs/>
          <w:sz w:val="28"/>
          <w:szCs w:val="28"/>
        </w:rPr>
        <w:t>Intensidad del escrutinio</w:t>
      </w:r>
      <w:r w:rsidRPr="007C57D2">
        <w:rPr>
          <w:rFonts w:ascii="Times New Roman" w:eastAsia="Calibri" w:hAnsi="Times New Roman"/>
          <w:sz w:val="28"/>
          <w:szCs w:val="28"/>
        </w:rPr>
        <w:t>. El Congreso de la República es el principal titular de la facultad de expedir leyes, y sus actuaciones como legislador se</w:t>
      </w:r>
      <w:r w:rsidRPr="007C57D2">
        <w:rPr>
          <w:rFonts w:ascii="Times New Roman" w:eastAsia="Calibri" w:hAnsi="Times New Roman"/>
          <w:sz w:val="28"/>
          <w:szCs w:val="28"/>
        </w:rPr>
        <w:t xml:space="preserve"> presumen ejercidas con sujeción a los parámetros procedimentales y sustanciales aplicables. Esto implica una tensión entre el principio de separación de poderes y el compromiso estatal de respetar las normas superiores</w:t>
      </w:r>
      <w:r w:rsidRPr="007C57D2">
        <w:rPr>
          <w:rStyle w:val="Refdenotaalpie"/>
          <w:rFonts w:ascii="Times New Roman" w:eastAsia="Calibri" w:hAnsi="Times New Roman"/>
          <w:sz w:val="28"/>
          <w:szCs w:val="28"/>
        </w:rPr>
        <w:footnoteReference w:id="608"/>
      </w:r>
      <w:r w:rsidRPr="007C57D2">
        <w:rPr>
          <w:rFonts w:ascii="Times New Roman" w:eastAsia="Calibri" w:hAnsi="Times New Roman"/>
          <w:sz w:val="28"/>
          <w:szCs w:val="28"/>
        </w:rPr>
        <w:t xml:space="preserve">.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Para resolver esta tensión, el c</w:t>
      </w:r>
      <w:r w:rsidRPr="007C57D2">
        <w:rPr>
          <w:rFonts w:ascii="Times New Roman" w:eastAsia="Calibri" w:hAnsi="Times New Roman"/>
          <w:sz w:val="28"/>
          <w:szCs w:val="28"/>
        </w:rPr>
        <w:t>ontrol de constitucionalidad debe armonizar el margen de configuración legislativa con la competencia de la Corte de actuar como la guardiana de la integridad y supremacía de la Constitución Política. Por lo tanto, debe tener en cuenta que el legislador ti</w:t>
      </w:r>
      <w:r w:rsidRPr="007C57D2">
        <w:rPr>
          <w:rFonts w:ascii="Times New Roman" w:eastAsia="Calibri" w:hAnsi="Times New Roman"/>
          <w:sz w:val="28"/>
          <w:szCs w:val="28"/>
        </w:rPr>
        <w:t>ene mayor discrecionalidad en ciertas materias, en las que las posibilidades de injerencia del juez constitucional son menores</w:t>
      </w:r>
      <w:r w:rsidRPr="007C57D2">
        <w:rPr>
          <w:rStyle w:val="Refdenotaalpie"/>
          <w:rFonts w:ascii="Times New Roman" w:eastAsia="Calibri" w:hAnsi="Times New Roman"/>
          <w:sz w:val="28"/>
          <w:szCs w:val="28"/>
        </w:rPr>
        <w:footnoteReference w:id="609"/>
      </w:r>
      <w:r w:rsidRPr="007C57D2">
        <w:rPr>
          <w:rFonts w:ascii="Times New Roman" w:eastAsia="Calibri" w:hAnsi="Times New Roman"/>
          <w:sz w:val="28"/>
          <w:szCs w:val="28"/>
        </w:rPr>
        <w:t>. Para preservar el equilibrio entre las funciones de las ramas ejecutiva y judicial, la jurisprudencia constitucional estableció</w:t>
      </w:r>
      <w:r w:rsidRPr="007C57D2">
        <w:rPr>
          <w:rFonts w:ascii="Times New Roman" w:eastAsia="Calibri" w:hAnsi="Times New Roman"/>
          <w:sz w:val="28"/>
          <w:szCs w:val="28"/>
        </w:rPr>
        <w:t xml:space="preserve"> diferentes niveles de intensidad para el escrutinio de las normas sometidas a control, que varían según el asunto objeto de la norma revisada.</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La Sala Plena considera que en el presente caso se debe aplicar el test de proporcionalidad en su intensidad </w:t>
      </w:r>
      <w:r w:rsidRPr="007C57D2">
        <w:rPr>
          <w:rFonts w:ascii="Times New Roman" w:eastAsia="Calibri" w:hAnsi="Times New Roman"/>
          <w:i/>
          <w:iCs/>
          <w:sz w:val="28"/>
          <w:szCs w:val="28"/>
        </w:rPr>
        <w:t>le</w:t>
      </w:r>
      <w:r w:rsidRPr="007C57D2">
        <w:rPr>
          <w:rFonts w:ascii="Times New Roman" w:eastAsia="Calibri" w:hAnsi="Times New Roman"/>
          <w:i/>
          <w:iCs/>
          <w:sz w:val="28"/>
          <w:szCs w:val="28"/>
        </w:rPr>
        <w:t>ve</w:t>
      </w:r>
      <w:r w:rsidRPr="007C57D2">
        <w:rPr>
          <w:rFonts w:ascii="Times New Roman" w:eastAsia="Calibri" w:hAnsi="Times New Roman"/>
          <w:sz w:val="28"/>
          <w:szCs w:val="28"/>
        </w:rPr>
        <w:t xml:space="preserve">. Este ha sido utilizado por la Corte Constitucional </w:t>
      </w:r>
      <w:r w:rsidRPr="007C57D2">
        <w:rPr>
          <w:rFonts w:ascii="Times New Roman" w:hAnsi="Times New Roman"/>
          <w:sz w:val="28"/>
          <w:szCs w:val="28"/>
        </w:rPr>
        <w:t>para el análisis de disposiciones proferidas en escenarios con un amplio margen de configuración legislativa, como las materias económicas y tributarias</w:t>
      </w:r>
      <w:r w:rsidRPr="007C57D2">
        <w:rPr>
          <w:rStyle w:val="Refdenotaalpie"/>
          <w:rFonts w:ascii="Times New Roman" w:hAnsi="Times New Roman"/>
          <w:sz w:val="28"/>
          <w:szCs w:val="28"/>
        </w:rPr>
        <w:footnoteReference w:id="610"/>
      </w:r>
      <w:r w:rsidRPr="007C57D2">
        <w:rPr>
          <w:rFonts w:ascii="Times New Roman" w:hAnsi="Times New Roman"/>
          <w:sz w:val="28"/>
          <w:szCs w:val="28"/>
        </w:rPr>
        <w:t>.</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Desde la perspectiva de los sujetos obligados</w:t>
      </w:r>
      <w:r w:rsidRPr="007C57D2">
        <w:rPr>
          <w:rFonts w:ascii="Times New Roman" w:eastAsia="Calibri" w:hAnsi="Times New Roman"/>
          <w:sz w:val="28"/>
          <w:szCs w:val="28"/>
        </w:rPr>
        <w:t xml:space="preserve"> a difundir la Alerta Colombia, los artículos 6, 10 y 11 del PLE contienen una intromisión estatal en sus libertades económicas. La Corte ha explicado que la Constitución reconoce principalmente dos tipos de libertades económicas: (i) la libertad de inicia</w:t>
      </w:r>
      <w:r w:rsidRPr="007C57D2">
        <w:rPr>
          <w:rFonts w:ascii="Times New Roman" w:eastAsia="Calibri" w:hAnsi="Times New Roman"/>
          <w:sz w:val="28"/>
          <w:szCs w:val="28"/>
        </w:rPr>
        <w:t>tiva privada y de empresa (ii) y la libertad de competencia</w:t>
      </w:r>
      <w:r w:rsidRPr="007C57D2">
        <w:rPr>
          <w:rFonts w:ascii="Times New Roman" w:eastAsia="Calibri" w:hAnsi="Times New Roman"/>
          <w:sz w:val="28"/>
          <w:szCs w:val="28"/>
          <w:vertAlign w:val="superscript"/>
        </w:rPr>
        <w:footnoteReference w:id="611"/>
      </w:r>
      <w:r w:rsidRPr="007C57D2">
        <w:rPr>
          <w:rFonts w:ascii="Times New Roman" w:eastAsia="Calibri" w:hAnsi="Times New Roman"/>
          <w:sz w:val="28"/>
          <w:szCs w:val="28"/>
        </w:rPr>
        <w:t xml:space="preserve">.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La iniciativa privada es la potestad que las personas tienen para “elegir libremente realizar una actividad económica lícita, a partir de la cual pueda adquirir bienes o factores de producció</w:t>
      </w:r>
      <w:r w:rsidRPr="007C57D2">
        <w:rPr>
          <w:rFonts w:ascii="Times New Roman" w:eastAsia="Calibri" w:hAnsi="Times New Roman"/>
          <w:sz w:val="28"/>
          <w:szCs w:val="28"/>
        </w:rPr>
        <w:t>n, ya sea para crear bienes o para prestar servicios con el fin de satisfacer las necesidades de los demás”</w:t>
      </w:r>
      <w:r w:rsidRPr="007C57D2">
        <w:rPr>
          <w:rFonts w:ascii="Times New Roman" w:eastAsia="Calibri" w:hAnsi="Times New Roman"/>
          <w:sz w:val="28"/>
          <w:szCs w:val="28"/>
          <w:vertAlign w:val="superscript"/>
        </w:rPr>
        <w:footnoteReference w:id="612"/>
      </w:r>
      <w:r w:rsidRPr="007C57D2">
        <w:rPr>
          <w:rFonts w:ascii="Times New Roman" w:eastAsia="Calibri" w:hAnsi="Times New Roman"/>
          <w:sz w:val="28"/>
          <w:szCs w:val="28"/>
        </w:rPr>
        <w:t>. Corresponde al “derecho subjetivo de realizar actividades de carácter económico, según sus preferencias y habilidades, con el propósito de generar</w:t>
      </w:r>
      <w:r w:rsidRPr="007C57D2">
        <w:rPr>
          <w:rFonts w:ascii="Times New Roman" w:eastAsia="Calibri" w:hAnsi="Times New Roman"/>
          <w:sz w:val="28"/>
          <w:szCs w:val="28"/>
        </w:rPr>
        <w:t>, mantener o aumentar su patrimonio, mediante la obtención de ganancias”</w:t>
      </w:r>
      <w:r w:rsidRPr="007C57D2">
        <w:rPr>
          <w:rStyle w:val="Refdenotaalpie"/>
          <w:rFonts w:ascii="Times New Roman" w:eastAsia="Calibri" w:hAnsi="Times New Roman"/>
          <w:sz w:val="28"/>
          <w:szCs w:val="28"/>
        </w:rPr>
        <w:footnoteReference w:id="613"/>
      </w:r>
      <w:r w:rsidRPr="007C57D2">
        <w:rPr>
          <w:rFonts w:ascii="Times New Roman" w:eastAsia="Calibri" w:hAnsi="Times New Roman"/>
          <w:sz w:val="28"/>
          <w:szCs w:val="28"/>
        </w:rPr>
        <w:t xml:space="preserve">. Por su parte, la libertad de empresa “garantiza que, una vez escogida la actividad económica, los agentes del mercado puedan desarrollarla de forma autónoma, conforme a los modelos </w:t>
      </w:r>
      <w:r w:rsidRPr="007C57D2">
        <w:rPr>
          <w:rFonts w:ascii="Times New Roman" w:eastAsia="Calibri" w:hAnsi="Times New Roman"/>
          <w:sz w:val="28"/>
          <w:szCs w:val="28"/>
        </w:rPr>
        <w:t>de organización y gestión, así como las técnicas de producción de los bienes y servicios que consideran apropiados para la obtención de un beneficio o ganancia”</w:t>
      </w:r>
      <w:r w:rsidRPr="007C57D2">
        <w:rPr>
          <w:rFonts w:ascii="Times New Roman" w:eastAsia="Calibri" w:hAnsi="Times New Roman"/>
          <w:sz w:val="28"/>
          <w:szCs w:val="28"/>
          <w:vertAlign w:val="superscript"/>
        </w:rPr>
        <w:footnoteReference w:id="614"/>
      </w:r>
      <w:r w:rsidRPr="007C57D2">
        <w:rPr>
          <w:rFonts w:ascii="Times New Roman" w:eastAsia="Calibri" w:hAnsi="Times New Roman"/>
          <w:sz w:val="28"/>
          <w:szCs w:val="28"/>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El derecho a la libertad de competencia es una manifestación del principio de igualdad en el</w:t>
      </w:r>
      <w:r w:rsidRPr="007C57D2">
        <w:rPr>
          <w:rFonts w:ascii="Times New Roman" w:eastAsia="Calibri" w:hAnsi="Times New Roman"/>
          <w:sz w:val="28"/>
          <w:szCs w:val="28"/>
        </w:rPr>
        <w:t xml:space="preserve"> ejercicio de las libertades económicas, porque pretende garantizar el equilibrio entre las acciones individuales de los competidores al interior de un determinado mercado de bienes y servicios</w:t>
      </w:r>
      <w:r w:rsidRPr="007C57D2">
        <w:rPr>
          <w:rFonts w:ascii="Times New Roman" w:eastAsia="Calibri" w:hAnsi="Times New Roman"/>
          <w:sz w:val="28"/>
          <w:szCs w:val="28"/>
          <w:vertAlign w:val="superscript"/>
        </w:rPr>
        <w:footnoteReference w:id="615"/>
      </w:r>
      <w:r w:rsidRPr="007C57D2">
        <w:rPr>
          <w:rFonts w:ascii="Times New Roman" w:eastAsia="Calibri" w:hAnsi="Times New Roman"/>
          <w:sz w:val="28"/>
          <w:szCs w:val="28"/>
        </w:rPr>
        <w:t>. Su protección comprende la facultad de concurrir de forma li</w:t>
      </w:r>
      <w:r w:rsidRPr="007C57D2">
        <w:rPr>
          <w:rFonts w:ascii="Times New Roman" w:eastAsia="Calibri" w:hAnsi="Times New Roman"/>
          <w:sz w:val="28"/>
          <w:szCs w:val="28"/>
        </w:rPr>
        <w:t>bre al mercado sin barreras injustificadas, y la prerrogativa de participar en el mercado en igualdad de condiciones con los demás competidores</w:t>
      </w:r>
      <w:r w:rsidRPr="007C57D2">
        <w:rPr>
          <w:rFonts w:ascii="Times New Roman" w:eastAsia="Calibri" w:hAnsi="Times New Roman"/>
          <w:sz w:val="28"/>
          <w:szCs w:val="28"/>
          <w:vertAlign w:val="superscript"/>
        </w:rPr>
        <w:footnoteReference w:id="616"/>
      </w:r>
      <w:r w:rsidRPr="007C57D2">
        <w:rPr>
          <w:rFonts w:ascii="Times New Roman" w:eastAsia="Calibri" w:hAnsi="Times New Roman"/>
          <w:sz w:val="28"/>
          <w:szCs w:val="28"/>
        </w:rPr>
        <w:t xml:space="preserve">. Esto exige la existencia de pautas o reglas de juego generales e impersonales que sean aplicables a todos los </w:t>
      </w:r>
      <w:r w:rsidRPr="007C57D2">
        <w:rPr>
          <w:rFonts w:ascii="Times New Roman" w:eastAsia="Calibri" w:hAnsi="Times New Roman"/>
          <w:sz w:val="28"/>
          <w:szCs w:val="28"/>
        </w:rPr>
        <w:t>competidores, y la prohibición de que la ley imponga ventajas competitivas, privilegios injustificados, beneficios ilegítimos o cargas diferenciadas irrazonables que sitúen a uno de los competidores en una posición de inferioridad o superioridad para forma</w:t>
      </w:r>
      <w:r w:rsidRPr="007C57D2">
        <w:rPr>
          <w:rFonts w:ascii="Times New Roman" w:eastAsia="Calibri" w:hAnsi="Times New Roman"/>
          <w:sz w:val="28"/>
          <w:szCs w:val="28"/>
        </w:rPr>
        <w:t>r y mantener una clientela</w:t>
      </w:r>
      <w:r w:rsidRPr="007C57D2">
        <w:rPr>
          <w:rFonts w:ascii="Times New Roman" w:eastAsia="Calibri" w:hAnsi="Times New Roman"/>
          <w:sz w:val="28"/>
          <w:szCs w:val="28"/>
          <w:vertAlign w:val="superscript"/>
        </w:rPr>
        <w:footnoteReference w:id="617"/>
      </w:r>
      <w:r w:rsidRPr="007C57D2">
        <w:rPr>
          <w:rFonts w:ascii="Times New Roman" w:eastAsia="Calibri" w:hAnsi="Times New Roman"/>
          <w:sz w:val="28"/>
          <w:szCs w:val="28"/>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Con base en lo anterior, la Sala Plena identifica que los artículos 6, 10 y 11 del PLE constituyen una intervención legislativa en la iniciativa privada y en la libertad de empresa. Esto se debe a que el legislador impuso la c</w:t>
      </w:r>
      <w:r w:rsidRPr="007C57D2">
        <w:rPr>
          <w:rFonts w:ascii="Times New Roman" w:eastAsia="Calibri" w:hAnsi="Times New Roman"/>
          <w:sz w:val="28"/>
          <w:szCs w:val="28"/>
        </w:rPr>
        <w:t>arga de difundir la Alerta Colombia con el cumplimiento de unos requisitos específicos a unas empresas determinadas: los proveedores de redes y servicios de telecomunicaciones, los operadores de aeropuertos internacionales y los titulares de medios de comu</w:t>
      </w:r>
      <w:r w:rsidRPr="007C57D2">
        <w:rPr>
          <w:rFonts w:ascii="Times New Roman" w:eastAsia="Calibri" w:hAnsi="Times New Roman"/>
          <w:sz w:val="28"/>
          <w:szCs w:val="28"/>
        </w:rPr>
        <w:t>nicación de amplia difusión. El cumplimiento de dicha carga implica la destinación de recursos humanos y materiales y la realización de esfuerzos operativos</w:t>
      </w:r>
      <w:r w:rsidRPr="007C57D2">
        <w:rPr>
          <w:rFonts w:ascii="Times New Roman" w:hAnsi="Times New Roman"/>
          <w:sz w:val="28"/>
          <w:szCs w:val="28"/>
          <w:vertAlign w:val="superscript"/>
        </w:rPr>
        <w:t>556</w:t>
      </w:r>
      <w:r w:rsidRPr="007C57D2">
        <w:rPr>
          <w:rFonts w:ascii="Times New Roman" w:eastAsia="Calibri" w:hAnsi="Times New Roman"/>
          <w:sz w:val="28"/>
          <w:szCs w:val="28"/>
        </w:rPr>
        <w:t xml:space="preserve"> por ministerio de la ley, por lo que se traduce en una interferencia en su autonomía para adelantar sus actividades económicas y en los lucros que podrían obtener de ellas. Sin embargo, constituye una medida legítima a la luz de la Constitución.</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Como se </w:t>
      </w:r>
      <w:r w:rsidRPr="007C57D2">
        <w:rPr>
          <w:rFonts w:ascii="Times New Roman" w:eastAsia="Calibri" w:hAnsi="Times New Roman"/>
          <w:sz w:val="28"/>
          <w:szCs w:val="28"/>
        </w:rPr>
        <w:t>abordará al aplicar el test leve</w:t>
      </w:r>
      <w:r w:rsidRPr="007C57D2">
        <w:rPr>
          <w:rFonts w:ascii="Times New Roman" w:eastAsia="Calibri" w:hAnsi="Times New Roman"/>
          <w:i/>
          <w:iCs/>
          <w:sz w:val="28"/>
          <w:szCs w:val="28"/>
        </w:rPr>
        <w:t>,</w:t>
      </w:r>
      <w:r w:rsidRPr="007C57D2">
        <w:rPr>
          <w:rFonts w:ascii="Times New Roman" w:eastAsia="Calibri" w:hAnsi="Times New Roman"/>
          <w:sz w:val="28"/>
          <w:szCs w:val="28"/>
        </w:rPr>
        <w:t xml:space="preserve"> este deber de difundir la Alerta Colombia no solo puede tomarse como una afectación de la libertad económica de ciertas empresas. Es una carga que se fundamenta en los principios constitucionales de solidaridad y de especi</w:t>
      </w:r>
      <w:r w:rsidRPr="007C57D2">
        <w:rPr>
          <w:rFonts w:ascii="Times New Roman" w:eastAsia="Calibri" w:hAnsi="Times New Roman"/>
          <w:sz w:val="28"/>
          <w:szCs w:val="28"/>
        </w:rPr>
        <w:t xml:space="preserve">al protección de la niñez, por lo que su análisis </w:t>
      </w:r>
      <w:r w:rsidRPr="007C57D2">
        <w:rPr>
          <w:rFonts w:ascii="Times New Roman" w:eastAsia="Calibri" w:hAnsi="Times New Roman"/>
          <w:sz w:val="28"/>
          <w:szCs w:val="28"/>
        </w:rPr>
        <w:t xml:space="preserve">de </w:t>
      </w:r>
      <w:r w:rsidRPr="007C57D2">
        <w:rPr>
          <w:rFonts w:ascii="Times New Roman" w:eastAsia="Calibri" w:hAnsi="Times New Roman"/>
          <w:sz w:val="28"/>
          <w:szCs w:val="28"/>
        </w:rPr>
        <w:t xml:space="preserve">constitucionalidad debe ponderarlos.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El test </w:t>
      </w:r>
      <w:r w:rsidRPr="007C57D2">
        <w:rPr>
          <w:rFonts w:ascii="Times New Roman" w:eastAsia="Calibri" w:hAnsi="Times New Roman"/>
          <w:i/>
          <w:iCs/>
          <w:sz w:val="28"/>
          <w:szCs w:val="28"/>
        </w:rPr>
        <w:t>leve</w:t>
      </w:r>
      <w:r w:rsidRPr="007C57D2">
        <w:rPr>
          <w:rFonts w:ascii="Times New Roman" w:eastAsia="Calibri" w:hAnsi="Times New Roman"/>
          <w:sz w:val="28"/>
          <w:szCs w:val="28"/>
        </w:rPr>
        <w:t xml:space="preserve"> tiene como fundamento el principio democrático, así como la presunción de legalidad de las decisiones legislativas. Su finalidad es exigir que el legislador no adopte decisiones arbitrarias y caprichosas, sino fundadas en un mínimo de racionalidad</w:t>
      </w:r>
      <w:r w:rsidRPr="007C57D2">
        <w:rPr>
          <w:rStyle w:val="Refdenotaalpie"/>
          <w:rFonts w:ascii="Times New Roman" w:eastAsia="Calibri" w:hAnsi="Times New Roman"/>
          <w:sz w:val="28"/>
          <w:szCs w:val="28"/>
        </w:rPr>
        <w:footnoteReference w:id="618"/>
      </w:r>
      <w:r w:rsidRPr="007C57D2">
        <w:rPr>
          <w:rFonts w:ascii="Times New Roman" w:eastAsia="Calibri" w:hAnsi="Times New Roman"/>
          <w:sz w:val="28"/>
          <w:szCs w:val="28"/>
        </w:rPr>
        <w:t xml:space="preserve">. </w:t>
      </w:r>
      <w:r w:rsidRPr="007C57D2">
        <w:rPr>
          <w:rFonts w:ascii="Times New Roman" w:hAnsi="Times New Roman"/>
          <w:sz w:val="28"/>
          <w:szCs w:val="28"/>
        </w:rPr>
        <w:t xml:space="preserve">Esta </w:t>
      </w:r>
      <w:r w:rsidRPr="007C57D2">
        <w:rPr>
          <w:rFonts w:ascii="Times New Roman" w:hAnsi="Times New Roman"/>
          <w:sz w:val="28"/>
          <w:szCs w:val="28"/>
        </w:rPr>
        <w:t xml:space="preserve">herramienta metodológica se orienta a establecer la </w:t>
      </w:r>
      <w:r w:rsidRPr="007C57D2">
        <w:rPr>
          <w:rFonts w:ascii="Times New Roman" w:hAnsi="Times New Roman"/>
          <w:i/>
          <w:iCs/>
          <w:sz w:val="28"/>
          <w:szCs w:val="28"/>
        </w:rPr>
        <w:t>legitimidad</w:t>
      </w:r>
      <w:r w:rsidRPr="007C57D2">
        <w:rPr>
          <w:rFonts w:ascii="Times New Roman" w:hAnsi="Times New Roman"/>
          <w:sz w:val="28"/>
          <w:szCs w:val="28"/>
        </w:rPr>
        <w:t xml:space="preserve"> del fin y de la medida analizada, y la </w:t>
      </w:r>
      <w:r w:rsidRPr="007C57D2">
        <w:rPr>
          <w:rFonts w:ascii="Times New Roman" w:hAnsi="Times New Roman"/>
          <w:i/>
          <w:iCs/>
          <w:sz w:val="28"/>
          <w:szCs w:val="28"/>
        </w:rPr>
        <w:t>idoneidad</w:t>
      </w:r>
      <w:r w:rsidRPr="007C57D2">
        <w:rPr>
          <w:rFonts w:ascii="Times New Roman" w:hAnsi="Times New Roman"/>
          <w:sz w:val="28"/>
          <w:szCs w:val="28"/>
        </w:rPr>
        <w:t xml:space="preserve"> de esta última</w:t>
      </w:r>
      <w:r w:rsidRPr="007C57D2">
        <w:rPr>
          <w:rFonts w:ascii="Times New Roman" w:hAnsi="Times New Roman"/>
          <w:i/>
          <w:iCs/>
          <w:sz w:val="28"/>
          <w:szCs w:val="28"/>
        </w:rPr>
        <w:t xml:space="preserve"> </w:t>
      </w:r>
      <w:r w:rsidRPr="007C57D2">
        <w:rPr>
          <w:rFonts w:ascii="Times New Roman" w:hAnsi="Times New Roman"/>
          <w:sz w:val="28"/>
          <w:szCs w:val="28"/>
        </w:rPr>
        <w:t>para alcanzar el fin propuesto. Por lo tanto, se limita a determinar si el fin buscado y el medio empleado no están constitucion</w:t>
      </w:r>
      <w:r w:rsidRPr="007C57D2">
        <w:rPr>
          <w:rFonts w:ascii="Times New Roman" w:hAnsi="Times New Roman"/>
          <w:sz w:val="28"/>
          <w:szCs w:val="28"/>
        </w:rPr>
        <w:t xml:space="preserve">almente prohibidos y, por otra, a establecer si el medio escogido es </w:t>
      </w:r>
      <w:r w:rsidRPr="007C57D2">
        <w:rPr>
          <w:rFonts w:ascii="Times New Roman" w:hAnsi="Times New Roman"/>
          <w:i/>
          <w:iCs/>
          <w:sz w:val="28"/>
          <w:szCs w:val="28"/>
        </w:rPr>
        <w:t>potencialmente adecuado</w:t>
      </w:r>
      <w:r w:rsidRPr="007C57D2">
        <w:rPr>
          <w:rFonts w:ascii="Times New Roman" w:hAnsi="Times New Roman"/>
          <w:sz w:val="28"/>
          <w:szCs w:val="28"/>
        </w:rPr>
        <w:t xml:space="preserve"> para alcanzar el fin propuesto</w:t>
      </w:r>
      <w:r w:rsidRPr="007C57D2">
        <w:rPr>
          <w:rStyle w:val="Refdenotaalpie"/>
          <w:rFonts w:ascii="Times New Roman" w:hAnsi="Times New Roman"/>
          <w:sz w:val="28"/>
          <w:szCs w:val="28"/>
        </w:rPr>
        <w:footnoteReference w:id="619"/>
      </w:r>
      <w:r w:rsidRPr="007C57D2">
        <w:rPr>
          <w:rFonts w:ascii="Times New Roman" w:hAnsi="Times New Roman"/>
          <w:sz w:val="28"/>
          <w:szCs w:val="28"/>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La Sala Plena considera que el deber de divulgar la Alerta Colombia en los términos de los artículos 6, 10 y 11 del PLE satisface</w:t>
      </w:r>
      <w:r w:rsidRPr="007C57D2">
        <w:rPr>
          <w:rFonts w:ascii="Times New Roman" w:eastAsia="Calibri" w:hAnsi="Times New Roman"/>
          <w:sz w:val="28"/>
          <w:szCs w:val="28"/>
        </w:rPr>
        <w:t xml:space="preserve"> los requisitos del test </w:t>
      </w:r>
      <w:r w:rsidRPr="007C57D2">
        <w:rPr>
          <w:rFonts w:ascii="Times New Roman" w:eastAsia="Calibri" w:hAnsi="Times New Roman"/>
          <w:i/>
          <w:iCs/>
          <w:sz w:val="28"/>
          <w:szCs w:val="28"/>
        </w:rPr>
        <w:t>leve</w:t>
      </w:r>
      <w:r w:rsidRPr="007C57D2">
        <w:rPr>
          <w:rFonts w:ascii="Times New Roman" w:eastAsia="Calibri" w:hAnsi="Times New Roman"/>
          <w:sz w:val="28"/>
          <w:szCs w:val="28"/>
        </w:rPr>
        <w:t xml:space="preserve"> de proporcionalidad, en los siguientes términos.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i/>
          <w:iCs/>
          <w:sz w:val="28"/>
          <w:szCs w:val="28"/>
        </w:rPr>
        <w:t>Legitimidad del fin y de la medida</w:t>
      </w:r>
      <w:r w:rsidRPr="007C57D2">
        <w:rPr>
          <w:rFonts w:ascii="Times New Roman" w:eastAsia="Calibri" w:hAnsi="Times New Roman"/>
          <w:i/>
          <w:iCs/>
          <w:sz w:val="28"/>
          <w:szCs w:val="28"/>
        </w:rPr>
        <w:t>.</w:t>
      </w:r>
      <w:r w:rsidRPr="007C57D2">
        <w:rPr>
          <w:rFonts w:ascii="Times New Roman" w:eastAsia="Calibri" w:hAnsi="Times New Roman"/>
          <w:sz w:val="28"/>
          <w:szCs w:val="28"/>
        </w:rPr>
        <w:t xml:space="preserve"> La difusión de la Alerta Colombia tiene una finalidad de alta relevancia constitucional, pues se </w:t>
      </w:r>
      <w:r w:rsidRPr="007C57D2">
        <w:rPr>
          <w:rFonts w:ascii="Times New Roman" w:hAnsi="Times New Roman"/>
          <w:sz w:val="28"/>
          <w:szCs w:val="28"/>
        </w:rPr>
        <w:t xml:space="preserve">orienta a la protección y seguridad de los </w:t>
      </w:r>
      <w:r w:rsidRPr="007C57D2">
        <w:rPr>
          <w:rFonts w:ascii="Times New Roman" w:hAnsi="Times New Roman"/>
          <w:sz w:val="28"/>
          <w:szCs w:val="28"/>
        </w:rPr>
        <w:t>niños y niñas extraviados o desaparecidos</w:t>
      </w:r>
      <w:r w:rsidRPr="007C57D2">
        <w:rPr>
          <w:rStyle w:val="Refdenotaalpie"/>
          <w:rFonts w:ascii="Times New Roman" w:hAnsi="Times New Roman"/>
          <w:sz w:val="28"/>
          <w:szCs w:val="28"/>
        </w:rPr>
        <w:footnoteReference w:id="620"/>
      </w:r>
      <w:r w:rsidRPr="007C57D2">
        <w:rPr>
          <w:rFonts w:ascii="Times New Roman" w:hAnsi="Times New Roman"/>
          <w:sz w:val="28"/>
          <w:szCs w:val="28"/>
        </w:rPr>
        <w:t>. Por lo tanto, no solamente es legítimo. La jurisprudencia ha reconocido que, además de importante, es imperiosa</w:t>
      </w:r>
      <w:r w:rsidRPr="007C57D2">
        <w:rPr>
          <w:rStyle w:val="Refdenotaalpie"/>
          <w:rFonts w:ascii="Times New Roman" w:hAnsi="Times New Roman"/>
          <w:sz w:val="28"/>
          <w:szCs w:val="28"/>
        </w:rPr>
        <w:footnoteReference w:id="621"/>
      </w:r>
      <w:r w:rsidRPr="007C57D2">
        <w:rPr>
          <w:rFonts w:ascii="Times New Roman" w:hAnsi="Times New Roman"/>
          <w:sz w:val="28"/>
          <w:szCs w:val="28"/>
        </w:rPr>
        <w:t>, por lo que superaría incluso las exigencias del nivel más estricto de escrutinio en un juicio de p</w:t>
      </w:r>
      <w:r w:rsidRPr="007C57D2">
        <w:rPr>
          <w:rFonts w:ascii="Times New Roman" w:hAnsi="Times New Roman"/>
          <w:sz w:val="28"/>
          <w:szCs w:val="28"/>
        </w:rPr>
        <w:t>roporcionalidad.</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De igual modo, la imposición de la obligación de difundir la Alerta Colombia en los términos de los artículos 6, 10 y 11 del PLE es una medida que no está prohibida por la Constitución. Aunque involucra una intromisión en las libertades e</w:t>
      </w:r>
      <w:r w:rsidRPr="007C57D2">
        <w:rPr>
          <w:rFonts w:ascii="Times New Roman" w:eastAsia="Calibri" w:hAnsi="Times New Roman"/>
          <w:sz w:val="28"/>
          <w:szCs w:val="28"/>
        </w:rPr>
        <w:t>conómicas de los proveedores de redes y servicios de telecomunicaciones, de los operadores de aeropuertos internacionales y de los titulares de medios de comunicación de amplia cobertura, se trata de una intervención legítima del Estado.</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Si bien la Consti</w:t>
      </w:r>
      <w:r w:rsidRPr="007C57D2">
        <w:rPr>
          <w:rFonts w:ascii="Times New Roman" w:eastAsia="Calibri" w:hAnsi="Times New Roman"/>
          <w:sz w:val="28"/>
          <w:szCs w:val="28"/>
        </w:rPr>
        <w:t>tución protege la iniciativa privada y las libertades económicas, no son derechos absolutos. También implican deberes. Los artículos 58 y 333 superiores establecen, respectivamente, que la propiedad y la empresa tienen una función social, que conlleva la a</w:t>
      </w:r>
      <w:r w:rsidRPr="007C57D2">
        <w:rPr>
          <w:rFonts w:ascii="Times New Roman" w:eastAsia="Calibri" w:hAnsi="Times New Roman"/>
          <w:sz w:val="28"/>
          <w:szCs w:val="28"/>
        </w:rPr>
        <w:t>tribución de obligaciones que exceden el ánimo de lucro particular</w:t>
      </w:r>
      <w:r w:rsidRPr="007C57D2">
        <w:rPr>
          <w:rStyle w:val="Refdenotaalpie"/>
          <w:rFonts w:ascii="Times New Roman" w:eastAsia="Calibri" w:hAnsi="Times New Roman"/>
          <w:sz w:val="28"/>
          <w:szCs w:val="28"/>
        </w:rPr>
        <w:footnoteReference w:id="622"/>
      </w:r>
      <w:r w:rsidRPr="007C57D2">
        <w:rPr>
          <w:rFonts w:ascii="Times New Roman" w:eastAsia="Calibri" w:hAnsi="Times New Roman"/>
          <w:sz w:val="28"/>
          <w:szCs w:val="28"/>
        </w:rPr>
        <w:t>. Esto se debe al impacto trascendental que tiene el actuar empresarial en el conglomerado social, que se refleja en el reconocimiento que la Constitución misma le dio a este tipo de organi</w:t>
      </w:r>
      <w:r w:rsidRPr="007C57D2">
        <w:rPr>
          <w:rFonts w:ascii="Times New Roman" w:eastAsia="Calibri" w:hAnsi="Times New Roman"/>
          <w:sz w:val="28"/>
          <w:szCs w:val="28"/>
        </w:rPr>
        <w:t>zaciones como base del desarrollo del país</w:t>
      </w:r>
      <w:r w:rsidRPr="007C57D2">
        <w:rPr>
          <w:rStyle w:val="Refdenotaalpie"/>
          <w:rFonts w:ascii="Times New Roman" w:eastAsia="Calibri" w:hAnsi="Times New Roman"/>
          <w:sz w:val="28"/>
          <w:szCs w:val="28"/>
        </w:rPr>
        <w:footnoteReference w:id="623"/>
      </w:r>
      <w:r w:rsidRPr="007C57D2">
        <w:rPr>
          <w:rFonts w:ascii="Times New Roman" w:eastAsia="Calibri" w:hAnsi="Times New Roman"/>
          <w:sz w:val="28"/>
          <w:szCs w:val="28"/>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La jurisprudencia constitucional ha reconocido que el legislador puede delimitar el alcance de la libertad económica cuando así lo exijan el interés social, el ambiente y el patrimonio cultural de la Nación</w:t>
      </w:r>
      <w:r w:rsidRPr="007C57D2">
        <w:rPr>
          <w:rStyle w:val="Refdenotaalpie"/>
          <w:rFonts w:ascii="Times New Roman" w:eastAsia="Calibri" w:hAnsi="Times New Roman"/>
          <w:sz w:val="28"/>
          <w:szCs w:val="28"/>
        </w:rPr>
        <w:footnoteReference w:id="624"/>
      </w:r>
      <w:r w:rsidRPr="007C57D2">
        <w:rPr>
          <w:rFonts w:ascii="Times New Roman" w:eastAsia="Calibri" w:hAnsi="Times New Roman"/>
          <w:sz w:val="28"/>
          <w:szCs w:val="28"/>
        </w:rPr>
        <w:t>. P</w:t>
      </w:r>
      <w:r w:rsidRPr="007C57D2">
        <w:rPr>
          <w:rFonts w:ascii="Times New Roman" w:eastAsia="Calibri" w:hAnsi="Times New Roman"/>
          <w:sz w:val="28"/>
          <w:szCs w:val="28"/>
        </w:rPr>
        <w:t>or lo tanto, su ejercicio se garantiza dentro de los límites del bien común y del interés general teniendo en cuenta que el Estado debe intervenir y crear condiciones necesarias para su materialización en armonía con los valores previstos en la Constitució</w:t>
      </w:r>
      <w:r w:rsidRPr="007C57D2">
        <w:rPr>
          <w:rFonts w:ascii="Times New Roman" w:eastAsia="Calibri" w:hAnsi="Times New Roman"/>
          <w:sz w:val="28"/>
          <w:szCs w:val="28"/>
        </w:rPr>
        <w:t>n</w:t>
      </w:r>
      <w:r w:rsidRPr="007C57D2">
        <w:rPr>
          <w:rStyle w:val="Refdenotaalpie"/>
          <w:rFonts w:ascii="Times New Roman" w:eastAsia="Calibri" w:hAnsi="Times New Roman"/>
          <w:sz w:val="28"/>
          <w:szCs w:val="28"/>
        </w:rPr>
        <w:footnoteReference w:id="625"/>
      </w:r>
      <w:r w:rsidRPr="007C57D2">
        <w:rPr>
          <w:rFonts w:ascii="Times New Roman" w:eastAsia="Calibri" w:hAnsi="Times New Roman"/>
          <w:sz w:val="28"/>
          <w:szCs w:val="28"/>
        </w:rPr>
        <w:t>. Sin embargo, esta potestad no es ilimitada.</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La restricción de las libertades económicas exige el cumplimiento de cuatro requisitos</w:t>
      </w:r>
      <w:r w:rsidRPr="007C57D2">
        <w:rPr>
          <w:rStyle w:val="Refdenotaalpie"/>
          <w:rFonts w:ascii="Times New Roman" w:eastAsia="Calibri" w:hAnsi="Times New Roman"/>
          <w:sz w:val="28"/>
          <w:szCs w:val="28"/>
        </w:rPr>
        <w:footnoteReference w:id="626"/>
      </w:r>
      <w:r w:rsidRPr="007C57D2">
        <w:rPr>
          <w:rFonts w:ascii="Times New Roman" w:eastAsia="Calibri" w:hAnsi="Times New Roman"/>
          <w:sz w:val="28"/>
          <w:szCs w:val="28"/>
        </w:rPr>
        <w:t>: (i) debe llevarse a cabo por ministerio de la ley, (ii) debe respetar el núcleo esencial de la libertad de empresa</w:t>
      </w:r>
      <w:r w:rsidRPr="007C57D2">
        <w:rPr>
          <w:rStyle w:val="Refdenotaalpie"/>
          <w:rFonts w:ascii="Times New Roman" w:eastAsia="Calibri" w:hAnsi="Times New Roman"/>
          <w:sz w:val="28"/>
          <w:szCs w:val="28"/>
        </w:rPr>
        <w:footnoteReference w:id="627"/>
      </w:r>
      <w:r w:rsidRPr="007C57D2">
        <w:rPr>
          <w:rFonts w:ascii="Times New Roman" w:eastAsia="Calibri" w:hAnsi="Times New Roman"/>
          <w:sz w:val="28"/>
          <w:szCs w:val="28"/>
        </w:rPr>
        <w:t xml:space="preserve">, </w:t>
      </w:r>
      <w:r w:rsidRPr="007C57D2">
        <w:rPr>
          <w:rFonts w:ascii="Times New Roman" w:eastAsia="Calibri" w:hAnsi="Times New Roman"/>
          <w:sz w:val="28"/>
          <w:szCs w:val="28"/>
        </w:rPr>
        <w:t xml:space="preserve">(iii) debe obedecer al principio de solidaridad o a alguna de las finalidades expresamente señaladas por la Constitución, y (iv) debe responder a criterios de razonabilidad y proporcionalidad en sentido amplio. La obligación de difundir la Alerta Colombia </w:t>
      </w:r>
      <w:r w:rsidRPr="007C57D2">
        <w:rPr>
          <w:rFonts w:ascii="Times New Roman" w:eastAsia="Calibri" w:hAnsi="Times New Roman"/>
          <w:sz w:val="28"/>
          <w:szCs w:val="28"/>
        </w:rPr>
        <w:t>satisface estos requisitos.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En primer lugar, la fuente de esta carga para los proveedores de redes y servicios de telecomunicaciones, de los operadores de aeropuertos internacionales y de los titulares de medios de comunicación de amplia cobertura se deri</w:t>
      </w:r>
      <w:r w:rsidRPr="007C57D2">
        <w:rPr>
          <w:rFonts w:ascii="Times New Roman" w:eastAsia="Calibri" w:hAnsi="Times New Roman"/>
          <w:sz w:val="28"/>
          <w:szCs w:val="28"/>
        </w:rPr>
        <w:t>va de una decisión del legislador. En segundo lugar, tampoco implica una vulneración del núcleo esencial de la libertad de empresa. No afecta a los empresarios o competidores que están en una misma posición, ni les impide concurrir o retirarse del mercado,</w:t>
      </w:r>
      <w:r w:rsidRPr="007C57D2">
        <w:rPr>
          <w:rFonts w:ascii="Times New Roman" w:eastAsia="Calibri" w:hAnsi="Times New Roman"/>
          <w:sz w:val="28"/>
          <w:szCs w:val="28"/>
        </w:rPr>
        <w:t xml:space="preserve"> ni interfiere en su forma de organización y toma de decisiones, ni limita su libre iniciativa económica, ni les impide crear establecimientos de comercio o recibir un lucro razonable por su actividad económica</w:t>
      </w:r>
      <w:r w:rsidRPr="007C57D2">
        <w:rPr>
          <w:rStyle w:val="Refdenotaalpie"/>
          <w:rFonts w:ascii="Times New Roman" w:eastAsia="Calibri" w:hAnsi="Times New Roman"/>
          <w:sz w:val="28"/>
          <w:szCs w:val="28"/>
        </w:rPr>
        <w:footnoteReference w:id="628"/>
      </w:r>
      <w:r w:rsidRPr="007C57D2">
        <w:rPr>
          <w:rFonts w:ascii="Times New Roman" w:eastAsia="Calibri" w:hAnsi="Times New Roman"/>
          <w:sz w:val="28"/>
          <w:szCs w:val="28"/>
        </w:rPr>
        <w:t>. Aunque se trata de una intromisión legislat</w:t>
      </w:r>
      <w:r w:rsidRPr="007C57D2">
        <w:rPr>
          <w:rFonts w:ascii="Times New Roman" w:eastAsia="Calibri" w:hAnsi="Times New Roman"/>
          <w:sz w:val="28"/>
          <w:szCs w:val="28"/>
        </w:rPr>
        <w:t xml:space="preserve">iva en la autonomía de los sujetos obligados y puede implicar costos, no se trata de una medida desproporcionada, como se explicará al analizar su </w:t>
      </w:r>
      <w:r w:rsidRPr="007C57D2">
        <w:rPr>
          <w:rFonts w:ascii="Times New Roman" w:eastAsia="Calibri" w:hAnsi="Times New Roman"/>
          <w:i/>
          <w:iCs/>
          <w:sz w:val="28"/>
          <w:szCs w:val="28"/>
        </w:rPr>
        <w:t>idoneidad potencial</w:t>
      </w:r>
      <w:r w:rsidRPr="007C57D2">
        <w:rPr>
          <w:rFonts w:ascii="Times New Roman" w:eastAsia="Calibri" w:hAnsi="Times New Roman"/>
          <w:sz w:val="28"/>
          <w:szCs w:val="28"/>
        </w:rPr>
        <w:t xml:space="preserve"> en el siguiente paso del test. En tercer lugar, la divulgación de la Alerta Colombia es u</w:t>
      </w:r>
      <w:r w:rsidRPr="007C57D2">
        <w:rPr>
          <w:rFonts w:ascii="Times New Roman" w:eastAsia="Calibri" w:hAnsi="Times New Roman"/>
          <w:sz w:val="28"/>
          <w:szCs w:val="28"/>
        </w:rPr>
        <w:t>na expresión de los principios de solidaridad y del interés superior del niño.</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El principio de solidaridad es uno de los elementos esenciales del Estado Social de Derecho, previsto en el artículo 1 de la Constitución. La jurisprudencia</w:t>
      </w:r>
      <w:r w:rsidRPr="007C57D2">
        <w:rPr>
          <w:rStyle w:val="Refdenotaalpie"/>
          <w:rFonts w:ascii="Times New Roman" w:eastAsia="Calibri" w:hAnsi="Times New Roman"/>
          <w:sz w:val="28"/>
          <w:szCs w:val="28"/>
        </w:rPr>
        <w:footnoteReference w:id="629"/>
      </w:r>
      <w:r w:rsidRPr="007C57D2">
        <w:rPr>
          <w:rFonts w:ascii="Times New Roman" w:eastAsia="Calibri" w:hAnsi="Times New Roman"/>
          <w:sz w:val="28"/>
          <w:szCs w:val="28"/>
        </w:rPr>
        <w:t xml:space="preserve"> también lo entiend</w:t>
      </w:r>
      <w:r w:rsidRPr="007C57D2">
        <w:rPr>
          <w:rFonts w:ascii="Times New Roman" w:eastAsia="Calibri" w:hAnsi="Times New Roman"/>
          <w:sz w:val="28"/>
          <w:szCs w:val="28"/>
        </w:rPr>
        <w:t>e como un deber impuesto a toda persona por el solo hecho de su pertenencia al conglomerado social, consistente en la vinculación del propio esfuerzo y actividad en beneficio o apoyo de otros asociados o en interés colectivo. Esta dimensión como deber obli</w:t>
      </w:r>
      <w:r w:rsidRPr="007C57D2">
        <w:rPr>
          <w:rFonts w:ascii="Times New Roman" w:eastAsia="Calibri" w:hAnsi="Times New Roman"/>
          <w:sz w:val="28"/>
          <w:szCs w:val="28"/>
        </w:rPr>
        <w:t>ga a que los miembros de la sociedad ayuden a sus congéneres para hacer efectivos sus derechos, en especial cuando se trata de personas en situación de vulnerabilidad o debilidad manifiesta, como los NNA</w:t>
      </w:r>
      <w:r w:rsidRPr="007C57D2">
        <w:rPr>
          <w:rStyle w:val="Refdenotaalpie"/>
          <w:rFonts w:ascii="Times New Roman" w:eastAsia="Calibri" w:hAnsi="Times New Roman"/>
          <w:sz w:val="28"/>
          <w:szCs w:val="28"/>
        </w:rPr>
        <w:footnoteReference w:id="630"/>
      </w:r>
      <w:r w:rsidRPr="007C57D2">
        <w:rPr>
          <w:rFonts w:ascii="Times New Roman" w:eastAsia="Calibri" w:hAnsi="Times New Roman"/>
          <w:sz w:val="28"/>
          <w:szCs w:val="28"/>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La jurisprudencia constitucional ha explicado que</w:t>
      </w:r>
      <w:r w:rsidRPr="007C57D2">
        <w:rPr>
          <w:rFonts w:ascii="Times New Roman" w:eastAsia="Calibri" w:hAnsi="Times New Roman"/>
          <w:sz w:val="28"/>
          <w:szCs w:val="28"/>
        </w:rPr>
        <w:t xml:space="preserve"> la solidaridad tiene tres ámbitos de protección</w:t>
      </w:r>
      <w:r w:rsidRPr="007C57D2">
        <w:rPr>
          <w:rStyle w:val="Refdenotaalpie"/>
          <w:rFonts w:ascii="Times New Roman" w:eastAsia="Calibri" w:hAnsi="Times New Roman"/>
          <w:sz w:val="28"/>
          <w:szCs w:val="28"/>
        </w:rPr>
        <w:footnoteReference w:id="631"/>
      </w:r>
      <w:r w:rsidRPr="007C57D2">
        <w:rPr>
          <w:rFonts w:ascii="Times New Roman" w:eastAsia="Calibri" w:hAnsi="Times New Roman"/>
          <w:sz w:val="28"/>
          <w:szCs w:val="28"/>
        </w:rPr>
        <w:t>: (i) es una pauta de comportamiento conforme a la cual deben obrar las personas en determinadas ocasiones, (ii) es un criterio de interpretación en el análisis de las acciones u omisiones de los particulare</w:t>
      </w:r>
      <w:r w:rsidRPr="007C57D2">
        <w:rPr>
          <w:rFonts w:ascii="Times New Roman" w:eastAsia="Calibri" w:hAnsi="Times New Roman"/>
          <w:sz w:val="28"/>
          <w:szCs w:val="28"/>
        </w:rPr>
        <w:t>s que vulneren o amenacen los derechos fundamentales, y (iii) es un límite a los derechos propios, como las libertades económicas.</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Por su parte, el artículo 95.2 de la Constitución establece el deber de “[o]brar conforme al principio de solidaridad social</w:t>
      </w:r>
      <w:r w:rsidRPr="007C57D2">
        <w:rPr>
          <w:rFonts w:ascii="Times New Roman" w:eastAsia="Calibri" w:hAnsi="Times New Roman"/>
          <w:sz w:val="28"/>
          <w:szCs w:val="28"/>
        </w:rPr>
        <w:t>, respondiendo con acciones humanitarias ante situaciones que pongan en peligro la vida o la salud de las personas”. Este mandato permite exigirle a cualquier individuo el ejercicio de acciones positivas a favor de sus semejantes, en situaciones en las que</w:t>
      </w:r>
      <w:r w:rsidRPr="007C57D2">
        <w:rPr>
          <w:rFonts w:ascii="Times New Roman" w:eastAsia="Calibri" w:hAnsi="Times New Roman"/>
          <w:sz w:val="28"/>
          <w:szCs w:val="28"/>
        </w:rPr>
        <w:t xml:space="preserve"> la falta de ayud</w:t>
      </w:r>
      <w:r w:rsidRPr="007C57D2">
        <w:rPr>
          <w:rFonts w:ascii="Times New Roman" w:eastAsia="Calibri" w:hAnsi="Times New Roman"/>
          <w:sz w:val="28"/>
          <w:szCs w:val="28"/>
        </w:rPr>
        <w:t>a</w:t>
      </w:r>
      <w:r w:rsidRPr="007C57D2">
        <w:rPr>
          <w:rFonts w:ascii="Times New Roman" w:eastAsia="Calibri" w:hAnsi="Times New Roman"/>
          <w:sz w:val="28"/>
          <w:szCs w:val="28"/>
        </w:rPr>
        <w:t xml:space="preserve"> implique exponerlos a un perjuicio irremediable</w:t>
      </w:r>
      <w:r w:rsidRPr="007C57D2">
        <w:rPr>
          <w:rStyle w:val="Refdenotaalpie"/>
          <w:rFonts w:ascii="Times New Roman" w:eastAsia="Calibri" w:hAnsi="Times New Roman"/>
          <w:sz w:val="28"/>
          <w:szCs w:val="28"/>
        </w:rPr>
        <w:footnoteReference w:id="632"/>
      </w:r>
      <w:r w:rsidRPr="007C57D2">
        <w:rPr>
          <w:rFonts w:ascii="Times New Roman" w:eastAsia="Calibri" w:hAnsi="Times New Roman"/>
          <w:sz w:val="28"/>
          <w:szCs w:val="28"/>
        </w:rPr>
        <w:t xml:space="preserve">.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La solidaridad “se concreta en una serie de obligaciones exigidas a los distintos componentes de la sociedad, orientadas hacia la consecución de los fines esenciales de la organización </w:t>
      </w:r>
      <w:r w:rsidRPr="007C57D2">
        <w:rPr>
          <w:rFonts w:ascii="Times New Roman" w:eastAsia="Calibri" w:hAnsi="Times New Roman"/>
          <w:sz w:val="28"/>
          <w:szCs w:val="28"/>
        </w:rPr>
        <w:t>política”</w:t>
      </w:r>
      <w:r w:rsidRPr="007C57D2">
        <w:rPr>
          <w:rStyle w:val="Refdenotaalpie"/>
          <w:rFonts w:ascii="Times New Roman" w:eastAsia="Calibri" w:hAnsi="Times New Roman"/>
          <w:sz w:val="28"/>
          <w:szCs w:val="28"/>
        </w:rPr>
        <w:footnoteReference w:id="633"/>
      </w:r>
      <w:r w:rsidRPr="007C57D2">
        <w:rPr>
          <w:rFonts w:ascii="Times New Roman" w:eastAsia="Calibri" w:hAnsi="Times New Roman"/>
          <w:sz w:val="28"/>
          <w:szCs w:val="28"/>
        </w:rPr>
        <w:t>. Esto implica que “este principio tiene aplicación frente a diversas situaciones cuya enunciación no viene tasada por el legislador, sino que acompaña los cambios sociales según se produzcan”</w:t>
      </w:r>
      <w:r w:rsidRPr="007C57D2">
        <w:rPr>
          <w:rStyle w:val="Refdenotaalpie"/>
          <w:rFonts w:ascii="Times New Roman" w:eastAsia="Calibri" w:hAnsi="Times New Roman"/>
          <w:sz w:val="28"/>
          <w:szCs w:val="28"/>
        </w:rPr>
        <w:footnoteReference w:id="634"/>
      </w:r>
      <w:r w:rsidRPr="007C57D2">
        <w:rPr>
          <w:rFonts w:ascii="Times New Roman" w:eastAsia="Calibri" w:hAnsi="Times New Roman"/>
          <w:sz w:val="28"/>
          <w:szCs w:val="28"/>
        </w:rPr>
        <w:t>. Aunque tiene un alcance amplio, la jurisprudencia h</w:t>
      </w:r>
      <w:r w:rsidRPr="007C57D2">
        <w:rPr>
          <w:rFonts w:ascii="Times New Roman" w:eastAsia="Calibri" w:hAnsi="Times New Roman"/>
          <w:sz w:val="28"/>
          <w:szCs w:val="28"/>
        </w:rPr>
        <w:t>a explicado que no admite la imposición de cualquier medida. Por lo tanto, es necesario “determinar los alcances del deber de solidaridad y de tal modo establecer qué cargas es razonable que el Estado imponga a los particulares. (…) La prevalencia del inte</w:t>
      </w:r>
      <w:r w:rsidRPr="007C57D2">
        <w:rPr>
          <w:rFonts w:ascii="Times New Roman" w:eastAsia="Calibri" w:hAnsi="Times New Roman"/>
          <w:sz w:val="28"/>
          <w:szCs w:val="28"/>
        </w:rPr>
        <w:t>rés general no es una regla constitucional de la cual se derive una consecuencia jurídica única, sino un principio que, como tal, es susceptible de ponderación”</w:t>
      </w:r>
      <w:r w:rsidRPr="007C57D2">
        <w:rPr>
          <w:rStyle w:val="Refdenotaalpie"/>
          <w:rFonts w:ascii="Times New Roman" w:eastAsia="Calibri" w:hAnsi="Times New Roman"/>
          <w:sz w:val="28"/>
          <w:szCs w:val="28"/>
        </w:rPr>
        <w:footnoteReference w:id="635"/>
      </w:r>
      <w:r w:rsidRPr="007C57D2">
        <w:rPr>
          <w:rFonts w:ascii="Times New Roman" w:eastAsia="Calibri" w:hAnsi="Times New Roman"/>
          <w:sz w:val="28"/>
          <w:szCs w:val="28"/>
        </w:rPr>
        <w:t>.</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En distintas oportunidades, la Corte ha analizado medidas adoptadas con fundamento en el </w:t>
      </w:r>
      <w:r w:rsidRPr="007C57D2">
        <w:rPr>
          <w:rFonts w:ascii="Times New Roman" w:eastAsia="Calibri" w:hAnsi="Times New Roman"/>
          <w:sz w:val="28"/>
          <w:szCs w:val="28"/>
        </w:rPr>
        <w:t>principio de solidaridad que implican afectaciones de libertades económicas. Entre ellas, se ha pronunciado sobre la validez de la obligación de pagar tributos</w:t>
      </w:r>
      <w:r w:rsidRPr="007C57D2">
        <w:rPr>
          <w:rStyle w:val="Refdenotaalpie"/>
          <w:rFonts w:ascii="Times New Roman" w:eastAsia="Calibri" w:hAnsi="Times New Roman"/>
          <w:sz w:val="28"/>
          <w:szCs w:val="28"/>
        </w:rPr>
        <w:footnoteReference w:id="636"/>
      </w:r>
      <w:r w:rsidRPr="007C57D2">
        <w:rPr>
          <w:rFonts w:ascii="Times New Roman" w:eastAsia="Calibri" w:hAnsi="Times New Roman"/>
          <w:sz w:val="28"/>
          <w:szCs w:val="28"/>
        </w:rPr>
        <w:t>, la imposición de las funciones de agente retenedor</w:t>
      </w:r>
      <w:r w:rsidRPr="007C57D2">
        <w:rPr>
          <w:rStyle w:val="Refdenotaalpie"/>
          <w:rFonts w:ascii="Times New Roman" w:eastAsia="Calibri" w:hAnsi="Times New Roman"/>
          <w:sz w:val="28"/>
          <w:szCs w:val="28"/>
        </w:rPr>
        <w:footnoteReference w:id="637"/>
      </w:r>
      <w:r w:rsidRPr="007C57D2">
        <w:rPr>
          <w:rFonts w:ascii="Times New Roman" w:eastAsia="Calibri" w:hAnsi="Times New Roman"/>
          <w:sz w:val="28"/>
          <w:szCs w:val="28"/>
        </w:rPr>
        <w:t xml:space="preserve">, el deber de los empleadores de continuar </w:t>
      </w:r>
      <w:r w:rsidRPr="007C57D2">
        <w:rPr>
          <w:rFonts w:ascii="Times New Roman" w:eastAsia="Calibri" w:hAnsi="Times New Roman"/>
          <w:sz w:val="28"/>
          <w:szCs w:val="28"/>
        </w:rPr>
        <w:t>pagando los salarios de los trabajadores víctimas de secuestro</w:t>
      </w:r>
      <w:r w:rsidRPr="007C57D2">
        <w:rPr>
          <w:rStyle w:val="Refdenotaalpie"/>
          <w:rFonts w:ascii="Times New Roman" w:eastAsia="Calibri" w:hAnsi="Times New Roman"/>
          <w:sz w:val="28"/>
          <w:szCs w:val="28"/>
        </w:rPr>
        <w:footnoteReference w:id="638"/>
      </w:r>
      <w:r w:rsidRPr="007C57D2">
        <w:rPr>
          <w:rFonts w:ascii="Times New Roman" w:eastAsia="Calibri" w:hAnsi="Times New Roman"/>
          <w:sz w:val="28"/>
          <w:szCs w:val="28"/>
        </w:rPr>
        <w:t>, la refinanciación de créditos y suspensión de procesos ejecutivos para deudores afectados por una situación de desastre</w:t>
      </w:r>
      <w:r w:rsidRPr="007C57D2">
        <w:rPr>
          <w:rStyle w:val="Refdenotaalpie"/>
          <w:rFonts w:ascii="Times New Roman" w:eastAsia="Calibri" w:hAnsi="Times New Roman"/>
          <w:sz w:val="28"/>
          <w:szCs w:val="28"/>
        </w:rPr>
        <w:footnoteReference w:id="639"/>
      </w:r>
      <w:r w:rsidRPr="007C57D2">
        <w:rPr>
          <w:rFonts w:ascii="Times New Roman" w:eastAsia="Calibri" w:hAnsi="Times New Roman"/>
          <w:sz w:val="28"/>
          <w:szCs w:val="28"/>
        </w:rPr>
        <w:t>, los cargos de defensor de oficio en el proceso penal</w:t>
      </w:r>
      <w:r w:rsidRPr="007C57D2">
        <w:rPr>
          <w:rStyle w:val="Refdenotaalpie"/>
          <w:rFonts w:ascii="Times New Roman" w:eastAsia="Calibri" w:hAnsi="Times New Roman"/>
          <w:sz w:val="28"/>
          <w:szCs w:val="28"/>
        </w:rPr>
        <w:footnoteReference w:id="640"/>
      </w:r>
      <w:r w:rsidRPr="007C57D2">
        <w:rPr>
          <w:rFonts w:ascii="Times New Roman" w:eastAsia="Calibri" w:hAnsi="Times New Roman"/>
          <w:sz w:val="28"/>
          <w:szCs w:val="28"/>
        </w:rPr>
        <w:t xml:space="preserve"> y de auxiliar </w:t>
      </w:r>
      <w:r w:rsidRPr="007C57D2">
        <w:rPr>
          <w:rFonts w:ascii="Times New Roman" w:eastAsia="Calibri" w:hAnsi="Times New Roman"/>
          <w:i/>
          <w:iCs/>
          <w:sz w:val="28"/>
          <w:szCs w:val="28"/>
        </w:rPr>
        <w:t>a</w:t>
      </w:r>
      <w:r w:rsidRPr="007C57D2">
        <w:rPr>
          <w:rFonts w:ascii="Times New Roman" w:eastAsia="Calibri" w:hAnsi="Times New Roman"/>
          <w:i/>
          <w:iCs/>
          <w:sz w:val="28"/>
          <w:szCs w:val="28"/>
        </w:rPr>
        <w:t>d honorem</w:t>
      </w:r>
      <w:r w:rsidRPr="007C57D2">
        <w:rPr>
          <w:rFonts w:ascii="Times New Roman" w:eastAsia="Calibri" w:hAnsi="Times New Roman"/>
          <w:sz w:val="28"/>
          <w:szCs w:val="28"/>
        </w:rPr>
        <w:t xml:space="preserve"> en los despachos de defensores de familia</w:t>
      </w:r>
      <w:r w:rsidRPr="007C57D2">
        <w:rPr>
          <w:rStyle w:val="Refdenotaalpie"/>
          <w:rFonts w:ascii="Times New Roman" w:eastAsia="Calibri" w:hAnsi="Times New Roman"/>
          <w:sz w:val="28"/>
          <w:szCs w:val="28"/>
        </w:rPr>
        <w:footnoteReference w:id="641"/>
      </w:r>
      <w:r w:rsidRPr="007C57D2">
        <w:rPr>
          <w:rFonts w:ascii="Times New Roman" w:eastAsia="Calibri" w:hAnsi="Times New Roman"/>
          <w:sz w:val="28"/>
          <w:szCs w:val="28"/>
        </w:rPr>
        <w:t xml:space="preserve">, la designación de abogados como curadores </w:t>
      </w:r>
      <w:r w:rsidRPr="007C57D2">
        <w:rPr>
          <w:rFonts w:ascii="Times New Roman" w:eastAsia="Calibri" w:hAnsi="Times New Roman"/>
          <w:i/>
          <w:iCs/>
          <w:sz w:val="28"/>
          <w:szCs w:val="28"/>
        </w:rPr>
        <w:t>ad litem</w:t>
      </w:r>
      <w:r w:rsidRPr="007C57D2">
        <w:rPr>
          <w:rFonts w:ascii="Times New Roman" w:eastAsia="Calibri" w:hAnsi="Times New Roman"/>
          <w:sz w:val="28"/>
          <w:szCs w:val="28"/>
        </w:rPr>
        <w:t xml:space="preserve"> sin remuneración</w:t>
      </w:r>
      <w:r w:rsidRPr="007C57D2">
        <w:rPr>
          <w:rStyle w:val="Refdenotaalpie"/>
          <w:rFonts w:ascii="Times New Roman" w:eastAsia="Calibri" w:hAnsi="Times New Roman"/>
          <w:sz w:val="28"/>
          <w:szCs w:val="28"/>
        </w:rPr>
        <w:footnoteReference w:id="642"/>
      </w:r>
      <w:r w:rsidRPr="007C57D2">
        <w:rPr>
          <w:rFonts w:ascii="Times New Roman" w:eastAsia="Calibri" w:hAnsi="Times New Roman"/>
          <w:sz w:val="28"/>
          <w:szCs w:val="28"/>
        </w:rPr>
        <w:t>, y la destinación de maquinaria, equipo y personal de los contratistas y concesionarios del Estado para atender desastres y emergenci</w:t>
      </w:r>
      <w:r w:rsidRPr="007C57D2">
        <w:rPr>
          <w:rFonts w:ascii="Times New Roman" w:eastAsia="Calibri" w:hAnsi="Times New Roman"/>
          <w:sz w:val="28"/>
          <w:szCs w:val="28"/>
        </w:rPr>
        <w:t>as viales</w:t>
      </w:r>
      <w:r w:rsidRPr="007C57D2">
        <w:rPr>
          <w:rStyle w:val="Refdenotaalpie"/>
          <w:rFonts w:ascii="Times New Roman" w:eastAsia="Calibri" w:hAnsi="Times New Roman"/>
          <w:sz w:val="28"/>
          <w:szCs w:val="28"/>
        </w:rPr>
        <w:footnoteReference w:id="643"/>
      </w:r>
      <w:r w:rsidRPr="007C57D2">
        <w:rPr>
          <w:rFonts w:ascii="Times New Roman" w:eastAsia="Calibri" w:hAnsi="Times New Roman"/>
          <w:sz w:val="28"/>
          <w:szCs w:val="28"/>
        </w:rPr>
        <w:t>. Su constitucionalidad se ha determinado a partir de criterios de razonabilidad y proporcionalidad.</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A partir de lo anterior, es posible concluir que el principio de solidaridad justifica la obligación de divulgar la Alerta Colombia. Los artícul</w:t>
      </w:r>
      <w:r w:rsidRPr="007C57D2">
        <w:rPr>
          <w:rFonts w:ascii="Times New Roman" w:eastAsia="Calibri" w:hAnsi="Times New Roman"/>
          <w:sz w:val="28"/>
          <w:szCs w:val="28"/>
        </w:rPr>
        <w:t>os 6, 10 y 11 del PLE establecen una pauta de comportamiento para ciertas empresas, que corresponde a la realización de esfuerzos orientados a la búsqueda de niños y niñas extraviados o desaparecidos a través de las herramientas que tienen para difundir in</w:t>
      </w:r>
      <w:r w:rsidRPr="007C57D2">
        <w:rPr>
          <w:rFonts w:ascii="Times New Roman" w:eastAsia="Calibri" w:hAnsi="Times New Roman"/>
          <w:sz w:val="28"/>
          <w:szCs w:val="28"/>
        </w:rPr>
        <w:t>formación que pueda contribuir a su localización. Aunque puede implicar la destinación de recursos materiales y humanos para su cumplimiento, es una intervención legítima en las libertades económicas de estos sujetos, y que responde a una situación de urge</w:t>
      </w:r>
      <w:r w:rsidRPr="007C57D2">
        <w:rPr>
          <w:rFonts w:ascii="Times New Roman" w:eastAsia="Calibri" w:hAnsi="Times New Roman"/>
          <w:sz w:val="28"/>
          <w:szCs w:val="28"/>
        </w:rPr>
        <w:t>ncia manifiesta, porque involucra un riesgo para la vida e integridad de unas personas que están en una especial situación de vulnerabilidad, y cuyos derechos prevalecen sobre los de los demás</w:t>
      </w:r>
      <w:r w:rsidRPr="007C57D2">
        <w:rPr>
          <w:rStyle w:val="Refdenotaalpie"/>
          <w:rFonts w:ascii="Times New Roman" w:hAnsi="Times New Roman"/>
          <w:sz w:val="28"/>
          <w:szCs w:val="28"/>
        </w:rPr>
        <w:footnoteReference w:id="644"/>
      </w:r>
      <w:r w:rsidRPr="007C57D2">
        <w:rPr>
          <w:rFonts w:ascii="Times New Roman" w:eastAsia="Calibri" w:hAnsi="Times New Roman"/>
          <w:sz w:val="28"/>
          <w:szCs w:val="28"/>
        </w:rPr>
        <w:t>.</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En cuarto lugar, la divulgación de la Alerta Colombia respon</w:t>
      </w:r>
      <w:r w:rsidRPr="007C57D2">
        <w:rPr>
          <w:rFonts w:ascii="Times New Roman" w:eastAsia="Calibri" w:hAnsi="Times New Roman"/>
          <w:sz w:val="28"/>
          <w:szCs w:val="28"/>
        </w:rPr>
        <w:t xml:space="preserve">de a criterios de proporcionalidad y razonabilidad. La sola legitimidad de la medida no es suficiente para declarar su constitucionalidad, porque “el sometimiento del Estado al ordenamiento jurídico supone también un control sobre los mecanismos por medio </w:t>
      </w:r>
      <w:r w:rsidRPr="007C57D2">
        <w:rPr>
          <w:rFonts w:ascii="Times New Roman" w:eastAsia="Calibri" w:hAnsi="Times New Roman"/>
          <w:sz w:val="28"/>
          <w:szCs w:val="28"/>
        </w:rPr>
        <w:t>de los cuales éste desarrolla los objetivos constitucionales”</w:t>
      </w:r>
      <w:r w:rsidRPr="007C57D2">
        <w:rPr>
          <w:rStyle w:val="Refdenotaalpie"/>
          <w:rFonts w:ascii="Times New Roman" w:eastAsia="Calibri" w:hAnsi="Times New Roman"/>
          <w:sz w:val="28"/>
          <w:szCs w:val="28"/>
        </w:rPr>
        <w:footnoteReference w:id="645"/>
      </w:r>
      <w:r w:rsidRPr="007C57D2">
        <w:rPr>
          <w:rFonts w:ascii="Times New Roman" w:eastAsia="Calibri" w:hAnsi="Times New Roman"/>
          <w:sz w:val="28"/>
          <w:szCs w:val="28"/>
        </w:rPr>
        <w:t>. El último paso del test leve de proporcionalidad permite acreditar la validez constitucional de aquel deber, como se expone a continuación.</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i/>
          <w:iCs/>
          <w:sz w:val="28"/>
          <w:szCs w:val="28"/>
        </w:rPr>
        <w:t>La medida es potencialmente idónea para alcanzar el</w:t>
      </w:r>
      <w:r w:rsidRPr="007C57D2">
        <w:rPr>
          <w:rFonts w:ascii="Times New Roman" w:eastAsia="Calibri" w:hAnsi="Times New Roman"/>
          <w:i/>
          <w:iCs/>
          <w:sz w:val="28"/>
          <w:szCs w:val="28"/>
        </w:rPr>
        <w:t xml:space="preserve"> fin que persigue.</w:t>
      </w:r>
      <w:r w:rsidRPr="007C57D2">
        <w:rPr>
          <w:rFonts w:ascii="Times New Roman" w:eastAsia="Calibri" w:hAnsi="Times New Roman"/>
          <w:sz w:val="28"/>
          <w:szCs w:val="28"/>
        </w:rPr>
        <w:t xml:space="preserve">  La Sala Plena considera que la obligación de difundir la Alerta Colombia con los requisitos y procedimientos establecidos en los artículos 6, 10 y 11 del PLE</w:t>
      </w:r>
      <w:r w:rsidRPr="007C57D2">
        <w:rPr>
          <w:rFonts w:ascii="Times New Roman" w:eastAsia="Calibri" w:hAnsi="Times New Roman"/>
          <w:sz w:val="28"/>
          <w:szCs w:val="28"/>
        </w:rPr>
        <w:t>, excepto los de periodicidad establecidos en el parágrafo 2 del artículo 6,</w:t>
      </w:r>
      <w:r w:rsidRPr="007C57D2">
        <w:rPr>
          <w:rFonts w:ascii="Times New Roman" w:eastAsia="Calibri" w:hAnsi="Times New Roman"/>
          <w:sz w:val="28"/>
          <w:szCs w:val="28"/>
        </w:rPr>
        <w:t xml:space="preserve"> es potencialmente adecuada para la búsqueda y localización de NNA extraviados o desaparecidos. Esta es una situación de urgencia manifiesta, para la que resulta imprescindible </w:t>
      </w:r>
      <w:r w:rsidRPr="007C57D2">
        <w:rPr>
          <w:rFonts w:ascii="Times New Roman" w:hAnsi="Times New Roman"/>
          <w:sz w:val="28"/>
          <w:szCs w:val="28"/>
        </w:rPr>
        <w:t>acudir a las autoridades y difundir la información que sea necesaria para poder</w:t>
      </w:r>
      <w:r w:rsidRPr="007C57D2">
        <w:rPr>
          <w:rFonts w:ascii="Times New Roman" w:hAnsi="Times New Roman"/>
          <w:sz w:val="28"/>
          <w:szCs w:val="28"/>
        </w:rPr>
        <w:t xml:space="preserve"> ubicarlos y garantizar la especial protección que les reconoce la Constitución. No en vano, existen varios ejemplos internacionales</w:t>
      </w:r>
      <w:r w:rsidRPr="007C57D2">
        <w:rPr>
          <w:rStyle w:val="Refdenotaalpie"/>
          <w:rFonts w:ascii="Times New Roman" w:hAnsi="Times New Roman"/>
          <w:sz w:val="28"/>
          <w:szCs w:val="28"/>
        </w:rPr>
        <w:footnoteReference w:id="646"/>
      </w:r>
      <w:r w:rsidRPr="007C57D2">
        <w:rPr>
          <w:rFonts w:ascii="Times New Roman" w:hAnsi="Times New Roman"/>
          <w:sz w:val="28"/>
          <w:szCs w:val="28"/>
        </w:rPr>
        <w:t xml:space="preserve"> y nacionales</w:t>
      </w:r>
      <w:r w:rsidRPr="007C57D2">
        <w:rPr>
          <w:rStyle w:val="Refdenotaalpie"/>
          <w:rFonts w:ascii="Times New Roman" w:hAnsi="Times New Roman"/>
          <w:sz w:val="28"/>
          <w:szCs w:val="28"/>
        </w:rPr>
        <w:footnoteReference w:id="647"/>
      </w:r>
      <w:r w:rsidRPr="007C57D2">
        <w:rPr>
          <w:rFonts w:ascii="Times New Roman" w:hAnsi="Times New Roman"/>
          <w:sz w:val="28"/>
          <w:szCs w:val="28"/>
        </w:rPr>
        <w:t xml:space="preserve"> de este tipo de medidas, con los que se busca lograr una articulación entre el Estado y la ciudadanía para p</w:t>
      </w:r>
      <w:r w:rsidRPr="007C57D2">
        <w:rPr>
          <w:rFonts w:ascii="Times New Roman" w:hAnsi="Times New Roman"/>
          <w:sz w:val="28"/>
          <w:szCs w:val="28"/>
        </w:rPr>
        <w:t>oder proteger a quienes son víctimas de secuestros y abducciones.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 xml:space="preserve">La difusión de información a través de los teléfonos móviles, los medios de comunicación de amplia circulación y en las instalaciones de los aeropuertos internacionales podría maximizar la </w:t>
      </w:r>
      <w:r w:rsidRPr="007C57D2">
        <w:rPr>
          <w:rFonts w:ascii="Times New Roman" w:hAnsi="Times New Roman"/>
          <w:sz w:val="28"/>
          <w:szCs w:val="28"/>
        </w:rPr>
        <w:t>visibilización de este tipo de casos, y permitir que las autoridades y la ciudadanía realicen mejores acciones que permitan encontrar a los niños y niñas que se hayan extraviado o desaparecido con mayor efectividad y rapidez.</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rPr>
      </w:pPr>
      <w:r w:rsidRPr="007C57D2">
        <w:rPr>
          <w:rFonts w:ascii="Times New Roman" w:eastAsia="Calibri" w:hAnsi="Times New Roman"/>
          <w:sz w:val="28"/>
          <w:szCs w:val="28"/>
        </w:rPr>
        <w:t xml:space="preserve">Los artículos 6, 10 y 11 del </w:t>
      </w:r>
      <w:r w:rsidRPr="007C57D2">
        <w:rPr>
          <w:rFonts w:ascii="Times New Roman" w:eastAsia="Calibri" w:hAnsi="Times New Roman"/>
          <w:sz w:val="28"/>
          <w:szCs w:val="28"/>
        </w:rPr>
        <w:t xml:space="preserve">PLE establecen diferentes parámetros para el funcionamiento de la Alerta Colombia. </w:t>
      </w:r>
      <w:r w:rsidRPr="007C57D2">
        <w:rPr>
          <w:rFonts w:ascii="Times New Roman" w:hAnsi="Times New Roman"/>
          <w:sz w:val="28"/>
          <w:szCs w:val="28"/>
        </w:rPr>
        <w:t>Se refieren al contenido mínimo que debe tener cada mensaje, la forma en la que debe manifestarse en cada teléfono móvil, los plazos para su envío después de que se activa l</w:t>
      </w:r>
      <w:r w:rsidRPr="007C57D2">
        <w:rPr>
          <w:rFonts w:ascii="Times New Roman" w:hAnsi="Times New Roman"/>
          <w:sz w:val="28"/>
          <w:szCs w:val="28"/>
        </w:rPr>
        <w:t>a alerta, al igual que su periodicidad, el área geográfica donde debe comunicarse, y los distintos destinatarios a los que debe ser remitida. Aunque tienen la potencialidad de mejorar los esfuerzos para buscar y localizar a los NNA que se extravíen o desap</w:t>
      </w:r>
      <w:r w:rsidRPr="007C57D2">
        <w:rPr>
          <w:rFonts w:ascii="Times New Roman" w:hAnsi="Times New Roman"/>
          <w:sz w:val="28"/>
          <w:szCs w:val="28"/>
        </w:rPr>
        <w:t>arezcan, es una regulación detallada, que se refiere a varios aspectos cuya factibilidad depende de las capacidades técnicas de las autoridades y de los proveedores de redes y servicios de telecomunicaciones.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La Sala Plena advierte que el modelo de alerta</w:t>
      </w:r>
      <w:r w:rsidRPr="007C57D2">
        <w:rPr>
          <w:rFonts w:ascii="Times New Roman" w:hAnsi="Times New Roman"/>
          <w:sz w:val="28"/>
          <w:szCs w:val="28"/>
        </w:rPr>
        <w:t xml:space="preserve"> propuesto en el PLE es objeto de cuestionamientos serios de dos entidades con experticia técnica y conocimiento del sector de las telecomunicaciones: la Comisión de Regulación de Comunicaciones</w:t>
      </w:r>
      <w:r w:rsidRPr="007C57D2">
        <w:rPr>
          <w:rFonts w:ascii="Times New Roman" w:hAnsi="Times New Roman"/>
          <w:sz w:val="28"/>
          <w:vertAlign w:val="superscript"/>
        </w:rPr>
        <w:footnoteReference w:id="648"/>
      </w:r>
      <w:r w:rsidRPr="007C57D2">
        <w:rPr>
          <w:rFonts w:ascii="Times New Roman" w:hAnsi="Times New Roman"/>
          <w:sz w:val="28"/>
          <w:szCs w:val="28"/>
        </w:rPr>
        <w:t xml:space="preserve"> y la Asociación de la Industria Móvil de Colombia</w:t>
      </w:r>
      <w:r w:rsidRPr="007C57D2">
        <w:rPr>
          <w:rFonts w:ascii="Times New Roman" w:hAnsi="Times New Roman"/>
          <w:sz w:val="28"/>
          <w:vertAlign w:val="superscript"/>
        </w:rPr>
        <w:footnoteReference w:id="649"/>
      </w:r>
      <w:r w:rsidRPr="007C57D2">
        <w:rPr>
          <w:rFonts w:ascii="Times New Roman" w:hAnsi="Times New Roman"/>
          <w:sz w:val="28"/>
          <w:szCs w:val="28"/>
        </w:rPr>
        <w:t>. Ambas so</w:t>
      </w:r>
      <w:r w:rsidRPr="007C57D2">
        <w:rPr>
          <w:rFonts w:ascii="Times New Roman" w:hAnsi="Times New Roman"/>
          <w:sz w:val="28"/>
          <w:szCs w:val="28"/>
        </w:rPr>
        <w:t>stienen que la Alerta Colombia tiene unos requisitos de imposible cumplimiento, porque las plataformas actuales de la red móvil no tienen la capacidad de enviar imágenes, hacer que la alerta cubra la pantalla durante un tiempo en el que no sea posible elim</w:t>
      </w:r>
      <w:r w:rsidRPr="007C57D2">
        <w:rPr>
          <w:rFonts w:ascii="Times New Roman" w:hAnsi="Times New Roman"/>
          <w:sz w:val="28"/>
          <w:szCs w:val="28"/>
        </w:rPr>
        <w:t>inarla, determinar un color específico para sus letras, ni hacer que los dispositivos móviles vibren cuando sea recibida. Además, el número de caracteres que pueden incluirse en cada mensaje es limitado</w:t>
      </w:r>
      <w:r w:rsidRPr="007C57D2">
        <w:rPr>
          <w:rFonts w:ascii="Times New Roman" w:hAnsi="Times New Roman"/>
          <w:sz w:val="28"/>
          <w:szCs w:val="28"/>
          <w:vertAlign w:val="superscript"/>
        </w:rPr>
        <w:footnoteReference w:id="650"/>
      </w:r>
      <w:r w:rsidRPr="007C57D2">
        <w:rPr>
          <w:rFonts w:ascii="Times New Roman" w:hAnsi="Times New Roman"/>
          <w:sz w:val="28"/>
          <w:szCs w:val="28"/>
        </w:rPr>
        <w:t>, y las redes y dispositivos móviles disponibles para</w:t>
      </w:r>
      <w:r w:rsidRPr="007C57D2">
        <w:rPr>
          <w:rFonts w:ascii="Times New Roman" w:hAnsi="Times New Roman"/>
          <w:sz w:val="28"/>
          <w:szCs w:val="28"/>
        </w:rPr>
        <w:t xml:space="preserve"> una parte importante de la población no soportan el envío de mensajes multimedia</w:t>
      </w:r>
      <w:r w:rsidRPr="007C57D2">
        <w:rPr>
          <w:rFonts w:ascii="Times New Roman" w:hAnsi="Times New Roman"/>
          <w:sz w:val="28"/>
          <w:szCs w:val="28"/>
          <w:vertAlign w:val="superscript"/>
        </w:rPr>
        <w:footnoteReference w:id="651"/>
      </w:r>
      <w:r w:rsidRPr="007C57D2">
        <w:rPr>
          <w:rFonts w:ascii="Times New Roman" w:hAnsi="Times New Roman"/>
          <w:sz w:val="28"/>
          <w:szCs w:val="28"/>
        </w:rPr>
        <w:t>.</w:t>
      </w:r>
    </w:p>
    <w:p w:rsidR="001E19D5" w:rsidRPr="007C57D2" w:rsidRDefault="007C57D2" w:rsidP="008F3DAB">
      <w:pPr>
        <w:pStyle w:val="Prrafodelista"/>
        <w:tabs>
          <w:tab w:val="left" w:pos="567"/>
        </w:tabs>
        <w:ind w:left="0"/>
        <w:jc w:val="both"/>
        <w:rPr>
          <w:rFonts w:ascii="Times New Roman" w:hAnsi="Times New Roman"/>
          <w:sz w:val="28"/>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rPr>
      </w:pPr>
      <w:r w:rsidRPr="007C57D2">
        <w:rPr>
          <w:rFonts w:ascii="Times New Roman" w:hAnsi="Times New Roman"/>
          <w:sz w:val="28"/>
          <w:szCs w:val="28"/>
        </w:rPr>
        <w:t>La CRC afirma que no hay experiencias en el mundo de alertas que incluyan imágenes en el formato propuesto, y que el modelo propuesto no está estandarizado ni respaldado p</w:t>
      </w:r>
      <w:r w:rsidRPr="007C57D2">
        <w:rPr>
          <w:rFonts w:ascii="Times New Roman" w:hAnsi="Times New Roman"/>
          <w:sz w:val="28"/>
          <w:szCs w:val="28"/>
        </w:rPr>
        <w:t>or organismos internacionales. Señala que, si la tecnología para cumplir los requisitos establecidos en el PLE existiera, el envío masivo de mensajes de alerta con imágenes podría congestionar las redes de telecomunicaciones y afectar la prestación de este</w:t>
      </w:r>
      <w:r w:rsidRPr="007C57D2">
        <w:rPr>
          <w:rFonts w:ascii="Times New Roman" w:hAnsi="Times New Roman"/>
          <w:sz w:val="28"/>
          <w:szCs w:val="28"/>
        </w:rPr>
        <w:t xml:space="preserve"> servicio público.</w:t>
      </w:r>
      <w:r w:rsidRPr="007C57D2">
        <w:rPr>
          <w:rFonts w:ascii="Times New Roman" w:hAnsi="Times New Roman"/>
          <w:sz w:val="28"/>
        </w:rPr>
        <w:t xml:space="preserve">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Los intervinientes también resaltan un desconocimiento de los esfuerzos regulatorios existentes</w:t>
      </w:r>
      <w:r w:rsidRPr="007C57D2">
        <w:rPr>
          <w:rFonts w:ascii="Times New Roman" w:hAnsi="Times New Roman"/>
          <w:sz w:val="28"/>
          <w:szCs w:val="28"/>
          <w:vertAlign w:val="superscript"/>
        </w:rPr>
        <w:footnoteReference w:id="652"/>
      </w:r>
      <w:r w:rsidRPr="007C57D2">
        <w:rPr>
          <w:rFonts w:ascii="Times New Roman" w:hAnsi="Times New Roman"/>
          <w:sz w:val="28"/>
          <w:szCs w:val="28"/>
        </w:rPr>
        <w:t>, y la generación de una duplicidad innecesaria, porque la Ley 2326 de 2023, que regula la Alerta Rosa, ya contempla un mecanismo de búsque</w:t>
      </w:r>
      <w:r w:rsidRPr="007C57D2">
        <w:rPr>
          <w:rFonts w:ascii="Times New Roman" w:hAnsi="Times New Roman"/>
          <w:sz w:val="28"/>
          <w:szCs w:val="28"/>
        </w:rPr>
        <w:t>da inmediata para niños, niñas, adolescentes, jóvenes y mujeres desaparecidas. La CRC explica que realizó un estudio de impacto normativo, donde encontró el sistema más eficaz y eficiente para el envío de alertas</w:t>
      </w:r>
      <w:r w:rsidRPr="007C57D2">
        <w:rPr>
          <w:rFonts w:ascii="Times New Roman" w:hAnsi="Times New Roman"/>
          <w:sz w:val="28"/>
          <w:szCs w:val="28"/>
          <w:vertAlign w:val="superscript"/>
        </w:rPr>
        <w:footnoteReference w:id="653"/>
      </w:r>
      <w:r w:rsidRPr="007C57D2">
        <w:rPr>
          <w:rFonts w:ascii="Times New Roman" w:hAnsi="Times New Roman"/>
          <w:sz w:val="28"/>
          <w:szCs w:val="28"/>
        </w:rPr>
        <w:t>, y que este fue implementado en el Decreto</w:t>
      </w:r>
      <w:r w:rsidRPr="007C57D2">
        <w:rPr>
          <w:rFonts w:ascii="Times New Roman" w:hAnsi="Times New Roman"/>
          <w:sz w:val="28"/>
          <w:szCs w:val="28"/>
        </w:rPr>
        <w:t xml:space="preserve"> 1428 de 2024. Sin embargo, el PLE propone un sistema adicional que no consulta las condiciones técnicas ya establecidas, lo que genera confusión institucional, duplicidad de funciones, aumento de costos operativos y dificultades en la implementación.</w:t>
      </w:r>
      <w:r w:rsidRPr="007C57D2">
        <w:rPr>
          <w:rFonts w:ascii="Times New Roman" w:hAnsi="Times New Roman"/>
          <w:sz w:val="28"/>
        </w:rPr>
        <w:t xml:space="preserve">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 xml:space="preserve">A </w:t>
      </w:r>
      <w:r w:rsidRPr="007C57D2">
        <w:rPr>
          <w:rFonts w:ascii="Times New Roman" w:hAnsi="Times New Roman"/>
          <w:sz w:val="28"/>
          <w:szCs w:val="28"/>
        </w:rPr>
        <w:t>partir de lo anterior, la CRC sostiene que el proyecto vulnera el artículo 365 de la Constitución al comprometer la eficiencia en la prestación de servicios públicos; el artículo 334 al afectar la racionalidad económica y la libertad de empresa sin justifi</w:t>
      </w:r>
      <w:r w:rsidRPr="007C57D2">
        <w:rPr>
          <w:rFonts w:ascii="Times New Roman" w:hAnsi="Times New Roman"/>
          <w:sz w:val="28"/>
          <w:szCs w:val="28"/>
        </w:rPr>
        <w:t>cación suficiente; el artículo 209 por contradecir los principios de eficacia, eficiencia, economía y celeridad en la función administrativa</w:t>
      </w:r>
      <w:r w:rsidRPr="007C57D2">
        <w:rPr>
          <w:rFonts w:ascii="Times New Roman" w:hAnsi="Times New Roman"/>
          <w:sz w:val="28"/>
          <w:szCs w:val="28"/>
          <w:vertAlign w:val="superscript"/>
        </w:rPr>
        <w:footnoteReference w:id="654"/>
      </w:r>
      <w:r w:rsidRPr="007C57D2">
        <w:rPr>
          <w:rFonts w:ascii="Times New Roman" w:hAnsi="Times New Roman"/>
          <w:sz w:val="28"/>
          <w:szCs w:val="28"/>
        </w:rPr>
        <w:t>; y el principio de protección al patrimonio público al exigir la implementación de una nueva plataforma de agregac</w:t>
      </w:r>
      <w:r w:rsidRPr="007C57D2">
        <w:rPr>
          <w:rFonts w:ascii="Times New Roman" w:hAnsi="Times New Roman"/>
          <w:sz w:val="28"/>
          <w:szCs w:val="28"/>
        </w:rPr>
        <w:t>ión con altos costos de inversión y operación.</w:t>
      </w:r>
      <w:r w:rsidRPr="007C57D2">
        <w:rPr>
          <w:rFonts w:ascii="Times New Roman" w:hAnsi="Times New Roman"/>
          <w:sz w:val="28"/>
        </w:rPr>
        <w:t xml:space="preserve">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La Sala Plena reconoce la importancia de estos reparos y la necesidad de tenerlos en cuenta para el efectivo funcionamiento de la Alerta Colombia. Sin embargo, no comparte la conclusión de que el deber de di</w:t>
      </w:r>
      <w:r w:rsidRPr="007C57D2">
        <w:rPr>
          <w:rFonts w:ascii="Times New Roman" w:eastAsia="Calibri" w:hAnsi="Times New Roman"/>
          <w:sz w:val="28"/>
          <w:szCs w:val="28"/>
        </w:rPr>
        <w:t>vulgarla y difundirla en los términos de los artículos 6, 10 y 11 del PLE sea contrario a la Constitución</w:t>
      </w:r>
      <w:r w:rsidRPr="007C57D2">
        <w:rPr>
          <w:rFonts w:ascii="Times New Roman" w:eastAsia="Calibri" w:hAnsi="Times New Roman"/>
          <w:sz w:val="28"/>
          <w:szCs w:val="28"/>
        </w:rPr>
        <w:t>, excepto en lo relativo a la periodicidad que se establece en el parágrafo 2 del artículo 6.</w:t>
      </w:r>
      <w:r w:rsidRPr="007C57D2">
        <w:rPr>
          <w:rFonts w:ascii="Times New Roman" w:eastAsia="Calibri" w:hAnsi="Times New Roman"/>
          <w:sz w:val="28"/>
          <w:szCs w:val="28"/>
        </w:rPr>
        <w:t>. En la intensidad leve del test de proporcionalidad “la m</w:t>
      </w:r>
      <w:r w:rsidRPr="007C57D2">
        <w:rPr>
          <w:rFonts w:ascii="Times New Roman" w:eastAsia="Calibri" w:hAnsi="Times New Roman"/>
          <w:sz w:val="28"/>
          <w:szCs w:val="28"/>
        </w:rPr>
        <w:t>edida objeto de control tan solo debe ser adecuada para alcanzar el fin propuesto por el Legislador”</w:t>
      </w:r>
      <w:r w:rsidRPr="007C57D2">
        <w:rPr>
          <w:rFonts w:ascii="Times New Roman" w:eastAsia="Calibri" w:hAnsi="Times New Roman"/>
          <w:sz w:val="28"/>
          <w:szCs w:val="28"/>
          <w:vertAlign w:val="superscript"/>
        </w:rPr>
        <w:footnoteReference w:id="655"/>
      </w:r>
      <w:r w:rsidRPr="007C57D2">
        <w:rPr>
          <w:rFonts w:ascii="Times New Roman" w:eastAsia="Calibri" w:hAnsi="Times New Roman"/>
          <w:sz w:val="28"/>
          <w:szCs w:val="28"/>
        </w:rPr>
        <w:t xml:space="preserve">. Por lo tanto, el juez constitucional debe verificar si esta es idónea en algún grado. Es decir, si es potencialmente adecuada, en términos de eficacia, </w:t>
      </w:r>
      <w:r w:rsidRPr="007C57D2">
        <w:rPr>
          <w:rFonts w:ascii="Times New Roman" w:eastAsia="Calibri" w:hAnsi="Times New Roman"/>
          <w:sz w:val="28"/>
          <w:szCs w:val="28"/>
        </w:rPr>
        <w:t>eficiencia, temporalidad o probabilidad, para contribuir a alcanzar la finalidad que persigue</w:t>
      </w:r>
      <w:r w:rsidRPr="007C57D2">
        <w:rPr>
          <w:rFonts w:ascii="Times New Roman" w:eastAsia="Calibri" w:hAnsi="Times New Roman"/>
          <w:sz w:val="28"/>
          <w:szCs w:val="28"/>
          <w:vertAlign w:val="superscript"/>
        </w:rPr>
        <w:footnoteReference w:id="656"/>
      </w:r>
      <w:r w:rsidRPr="007C57D2">
        <w:rPr>
          <w:rFonts w:ascii="Times New Roman" w:eastAsia="Calibri" w:hAnsi="Times New Roman"/>
          <w:sz w:val="28"/>
          <w:szCs w:val="28"/>
        </w:rPr>
        <w:t>. Con esto en mente, una lectura sistemática de las disposiciones del PLE permite concluir que este criterio se cumple, y que los reproches realizados frente a la</w:t>
      </w:r>
      <w:r w:rsidRPr="007C57D2">
        <w:rPr>
          <w:rFonts w:ascii="Times New Roman" w:eastAsia="Calibri" w:hAnsi="Times New Roman"/>
          <w:sz w:val="28"/>
          <w:szCs w:val="28"/>
        </w:rPr>
        <w:t xml:space="preserve"> obligación de divulgar la Alerta Colombia no se relacionan con su validez normativa, sino con potenciales problemas que puede enfrentar su implementación por parte del regulador.</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Aunque lo manifestado por la Comisión de Regulación de Comunicaciones y Aso</w:t>
      </w:r>
      <w:r w:rsidRPr="007C57D2">
        <w:rPr>
          <w:rFonts w:ascii="Times New Roman" w:eastAsia="Calibri" w:hAnsi="Times New Roman"/>
          <w:sz w:val="28"/>
          <w:szCs w:val="28"/>
        </w:rPr>
        <w:t>móvil se fundamenta en un análisis técnico y en argumentos persuasivos sobre las dificultades prácticas que podría enfrentar la Alerta Colombia, sus reproches sobre la inconstitucionalidad de las normas estudiadas resultan infundados. Para determinar el al</w:t>
      </w:r>
      <w:r w:rsidRPr="007C57D2">
        <w:rPr>
          <w:rFonts w:ascii="Times New Roman" w:eastAsia="Calibri" w:hAnsi="Times New Roman"/>
          <w:sz w:val="28"/>
          <w:szCs w:val="28"/>
        </w:rPr>
        <w:t>cance de la obligación de difusión y divulgación previsto en el PLE es necesario realizar una interpretación armónica de todas sus disposiciones. En este sentido, no puede pasarse por alto que  el PLE incluyó (i) un mandato de integración y armonización co</w:t>
      </w:r>
      <w:r w:rsidRPr="007C57D2">
        <w:rPr>
          <w:rFonts w:ascii="Times New Roman" w:eastAsia="Calibri" w:hAnsi="Times New Roman"/>
          <w:sz w:val="28"/>
          <w:szCs w:val="28"/>
        </w:rPr>
        <w:t>n las demás alertas existentes (parágrafo 1 del artículo 10 y parágrafo del artículo 11) y (ii) un deber para que el Gobierno nacional reglamente lo necesario para este propósito (artículo 14).</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En desarrollo de estos criterios, al realizar el análisis </w:t>
      </w:r>
      <w:r w:rsidRPr="007C57D2">
        <w:rPr>
          <w:rFonts w:ascii="Times New Roman" w:eastAsia="Calibri" w:hAnsi="Times New Roman"/>
          <w:sz w:val="28"/>
          <w:szCs w:val="28"/>
        </w:rPr>
        <w:t>formal del PLE, la Corte explicó que la Alerta Colombia está integrada al Sistema de Alertas Tempranas sobre la Niñez Colombiana, creado por el artículo 4 de la Ley 2242 de 2022. Dicha disposición establece que el Ministerio de las Tecnologías de la Inform</w:t>
      </w:r>
      <w:r w:rsidRPr="007C57D2">
        <w:rPr>
          <w:rFonts w:ascii="Times New Roman" w:eastAsia="Calibri" w:hAnsi="Times New Roman"/>
          <w:sz w:val="28"/>
          <w:szCs w:val="28"/>
        </w:rPr>
        <w:t>ación y las Comunicaciones liderará la articulación de los sistemas de información existentes, con el fin de integrarlos y complementarlos para garantizar la emisión de alertas tempranas que permitan la oportuna intervención de las entidades estatales para</w:t>
      </w:r>
      <w:r w:rsidRPr="007C57D2">
        <w:rPr>
          <w:rFonts w:ascii="Times New Roman" w:eastAsia="Calibri" w:hAnsi="Times New Roman"/>
          <w:sz w:val="28"/>
          <w:szCs w:val="28"/>
        </w:rPr>
        <w:t xml:space="preserve"> prevenir afectaciones de los derechos de los NNA. Las alertas Rosa y Nacional también deben formar parte de este sistema.</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Por lo tanto, la Sala Plena concluye que no se afecta la </w:t>
      </w:r>
      <w:r w:rsidRPr="007C57D2">
        <w:rPr>
          <w:rFonts w:ascii="Times New Roman" w:eastAsia="Calibri" w:hAnsi="Times New Roman"/>
          <w:i/>
          <w:iCs/>
          <w:sz w:val="28"/>
          <w:szCs w:val="28"/>
        </w:rPr>
        <w:t>potencial idoneidad</w:t>
      </w:r>
      <w:r w:rsidRPr="007C57D2">
        <w:rPr>
          <w:rFonts w:ascii="Times New Roman" w:eastAsia="Calibri" w:hAnsi="Times New Roman"/>
          <w:sz w:val="28"/>
          <w:szCs w:val="28"/>
        </w:rPr>
        <w:t xml:space="preserve"> exigida por el juicio de proporcionalidad leve, porque </w:t>
      </w:r>
      <w:r w:rsidRPr="007C57D2">
        <w:rPr>
          <w:rFonts w:ascii="Times New Roman" w:eastAsia="Calibri" w:hAnsi="Times New Roman"/>
          <w:sz w:val="28"/>
          <w:szCs w:val="28"/>
        </w:rPr>
        <w:t xml:space="preserve">el PLE prevé que la divulgación y difusión de la Alerta Colombia está condicionada a la reglamentación que expida el Gobierno nacional para su implementación en el marco de las facultades reglamentarias derivadas de los artículos 10, 11 y 14 del PLE. Para </w:t>
      </w:r>
      <w:r w:rsidRPr="007C57D2">
        <w:rPr>
          <w:rFonts w:ascii="Times New Roman" w:eastAsia="Calibri" w:hAnsi="Times New Roman"/>
          <w:sz w:val="28"/>
          <w:szCs w:val="28"/>
        </w:rPr>
        <w:t>este propósito, podrá diseñar las medidas que considere pertinentes para asegurar el efectivo funcionamiento de esta herramienta para la búsqueda de NNA extraviados o desaparecidos, teniendo en cuenta la necesidad de adoptar criterios adecuados a las capac</w:t>
      </w:r>
      <w:r w:rsidRPr="007C57D2">
        <w:rPr>
          <w:rFonts w:ascii="Times New Roman" w:eastAsia="Calibri" w:hAnsi="Times New Roman"/>
          <w:sz w:val="28"/>
          <w:szCs w:val="28"/>
        </w:rPr>
        <w:t>idades tecnológicas existentes, que maximicen el uso de los recursos disponibles, que se articulen con los demás mecanismos de alerta existentes, y que no comprometan su funcionamiento ni la debida prestación de servicios públicos como el de telecomunicaci</w:t>
      </w:r>
      <w:r w:rsidRPr="007C57D2">
        <w:rPr>
          <w:rFonts w:ascii="Times New Roman" w:eastAsia="Calibri" w:hAnsi="Times New Roman"/>
          <w:sz w:val="28"/>
          <w:szCs w:val="28"/>
        </w:rPr>
        <w:t>ones.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Lo anterior permite concluir que la obligación de difundir la Alerta Colombia en los términos de los artículos 6, 10 y 11 del PLE es potencialmente adecuada para contribuir a alcanzar la finalidad de contar con un mecanismo de búsqueda, localización</w:t>
      </w:r>
      <w:r w:rsidRPr="007C57D2">
        <w:rPr>
          <w:rFonts w:ascii="Times New Roman" w:eastAsia="Calibri" w:hAnsi="Times New Roman"/>
          <w:sz w:val="28"/>
          <w:szCs w:val="28"/>
        </w:rPr>
        <w:t xml:space="preserve"> y recuperación inmediata de los NNA extraviados o desaparecidos. Es un deber abstracto, cuya efectiva aplicación requiere la determinación de criterios prácticos en la reglamentación que el gobierno nacional adopte para el efecto. De allí se deriva que, d</w:t>
      </w:r>
      <w:r w:rsidRPr="007C57D2">
        <w:rPr>
          <w:rFonts w:ascii="Times New Roman" w:eastAsia="Calibri" w:hAnsi="Times New Roman"/>
          <w:sz w:val="28"/>
          <w:szCs w:val="28"/>
        </w:rPr>
        <w:t>esde una perspectiva normativa, esta carga impuesta a los proveedores de redes y servicios de telecomunicaciones, los operadores de aeropuertos y los titulares de medios de comunicación de amplia difusión satisfaga el grado de idoneidad exigido en un escru</w:t>
      </w:r>
      <w:r w:rsidRPr="007C57D2">
        <w:rPr>
          <w:rFonts w:ascii="Times New Roman" w:eastAsia="Calibri" w:hAnsi="Times New Roman"/>
          <w:sz w:val="28"/>
          <w:szCs w:val="28"/>
        </w:rPr>
        <w:t>tinio leve de proporcionalidad. Su real eficacia y eficiencia depende de una regulación futura que, de acuerdo con el artículo 14 del PLE, le corresponde a la CRC, por lo que podrá abordar sus reparos al establecer los criterios requeridos para la implemen</w:t>
      </w:r>
      <w:r w:rsidRPr="007C57D2">
        <w:rPr>
          <w:rFonts w:ascii="Times New Roman" w:eastAsia="Calibri" w:hAnsi="Times New Roman"/>
          <w:sz w:val="28"/>
          <w:szCs w:val="28"/>
        </w:rPr>
        <w:t>tación de la Alerta Colombia.</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Frente a los reparos formulados por el Ministerio de Justicia y la CRC sobre la carga presupuestal que implicaría la aprobación del PLE, la Sala Plena considera necesario precisar, como se abordó al analizar las razones por l</w:t>
      </w:r>
      <w:r w:rsidRPr="007C57D2">
        <w:rPr>
          <w:rFonts w:ascii="Times New Roman" w:eastAsia="Calibri" w:hAnsi="Times New Roman"/>
          <w:sz w:val="28"/>
          <w:szCs w:val="28"/>
        </w:rPr>
        <w:t>as que el análisis de impacto fiscal no resultaba aplicable para su trámite, que dicha norma no contiene ninguna orden de gasto. Por lo tanto, si al momento de su implementación se llegaran  a requerir erogaciones, estas deberán atenderse con cargo a las a</w:t>
      </w:r>
      <w:r w:rsidRPr="007C57D2">
        <w:rPr>
          <w:rFonts w:ascii="Times New Roman" w:eastAsia="Calibri" w:hAnsi="Times New Roman"/>
          <w:sz w:val="28"/>
          <w:szCs w:val="28"/>
        </w:rPr>
        <w:t>propiaciones existentes y conforme al Marco Fiscal de Mediano Plazo.</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Sin embargo, la anterior conclusión sobre el cumplimiento de la idoneidad potencial no se le extiende al parágrafo 2 del artículo 6 del PLE, que contine el mandato de que la Alerta Colom</w:t>
      </w:r>
      <w:r w:rsidRPr="007C57D2">
        <w:rPr>
          <w:rFonts w:ascii="Times New Roman" w:eastAsia="Calibri" w:hAnsi="Times New Roman"/>
          <w:sz w:val="28"/>
          <w:szCs w:val="28"/>
        </w:rPr>
        <w:t>bia se emita tres veces al día desde el reporte de la desaparición y, como mínimo, durante la semana siguiente al mensaje inicial, salvo que antes de ese término el niño, niña o adolescente extraviado sea encontrado. Esta disposición establece un régimen i</w:t>
      </w:r>
      <w:r w:rsidRPr="007C57D2">
        <w:rPr>
          <w:rFonts w:ascii="Times New Roman" w:eastAsia="Calibri" w:hAnsi="Times New Roman"/>
          <w:sz w:val="28"/>
          <w:szCs w:val="28"/>
        </w:rPr>
        <w:t>ncompatible con los estándares vigentes de respuesta inmediata</w:t>
      </w:r>
      <w:r w:rsidRPr="007C57D2">
        <w:rPr>
          <w:rStyle w:val="Refdenotaalpie"/>
          <w:rFonts w:ascii="Times New Roman" w:eastAsia="Calibri" w:hAnsi="Times New Roman"/>
          <w:sz w:val="28"/>
          <w:szCs w:val="28"/>
        </w:rPr>
        <w:footnoteReference w:id="657"/>
      </w:r>
      <w:r w:rsidRPr="007C57D2">
        <w:rPr>
          <w:rFonts w:ascii="Times New Roman" w:eastAsia="Calibri" w:hAnsi="Times New Roman"/>
          <w:sz w:val="28"/>
          <w:szCs w:val="28"/>
        </w:rPr>
        <w:t>, porque extiende la emisión de alertas por un período de siete días, y que no cumple las exigencias de idoneidad potencial, debido a que desborda el fin legítimo de búsqueda y protección al ma</w:t>
      </w:r>
      <w:r w:rsidRPr="007C57D2">
        <w:rPr>
          <w:rFonts w:ascii="Times New Roman" w:eastAsia="Calibri" w:hAnsi="Times New Roman"/>
          <w:sz w:val="28"/>
          <w:szCs w:val="28"/>
        </w:rPr>
        <w:t>ntener un sistema de difusión masiva más allá del margen temporal en el que las alertas resultan efectivas.</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color w:val="000000"/>
          <w:sz w:val="28"/>
          <w:szCs w:val="28"/>
        </w:rPr>
        <w:t xml:space="preserve">Desde experiencias comparadas, en sistemas como el de Estados Unidos, las alertas AMBER suelen mantenerse activas por no más de 24 horas, dado que </w:t>
      </w:r>
      <w:r w:rsidRPr="007C57D2">
        <w:rPr>
          <w:rFonts w:ascii="Times New Roman" w:hAnsi="Times New Roman"/>
          <w:color w:val="000000"/>
          <w:sz w:val="28"/>
          <w:szCs w:val="28"/>
        </w:rPr>
        <w:t>más del 95% de las recuperaciones exitosas ocurren dentro de ese lapso o, como máximo, en las primeras 72 horas</w:t>
      </w:r>
      <w:r w:rsidRPr="007C57D2">
        <w:rPr>
          <w:rFonts w:ascii="Times New Roman" w:hAnsi="Times New Roman"/>
          <w:color w:val="000000"/>
          <w:sz w:val="28"/>
          <w:szCs w:val="28"/>
          <w:vertAlign w:val="superscript"/>
        </w:rPr>
        <w:footnoteReference w:id="658"/>
      </w:r>
      <w:r w:rsidRPr="007C57D2">
        <w:rPr>
          <w:rFonts w:ascii="Times New Roman" w:hAnsi="Times New Roman"/>
          <w:color w:val="000000"/>
          <w:sz w:val="28"/>
          <w:szCs w:val="28"/>
        </w:rPr>
        <w:t>. En Canadá</w:t>
      </w:r>
      <w:r w:rsidRPr="007C57D2">
        <w:rPr>
          <w:rFonts w:ascii="Times New Roman" w:hAnsi="Times New Roman"/>
          <w:color w:val="000000"/>
          <w:sz w:val="28"/>
          <w:szCs w:val="28"/>
          <w:vertAlign w:val="superscript"/>
        </w:rPr>
        <w:footnoteReference w:id="659"/>
      </w:r>
      <w:r w:rsidRPr="007C57D2">
        <w:rPr>
          <w:rFonts w:ascii="Times New Roman" w:hAnsi="Times New Roman"/>
          <w:color w:val="000000"/>
          <w:sz w:val="28"/>
          <w:szCs w:val="28"/>
        </w:rPr>
        <w:t xml:space="preserve"> y Australia</w:t>
      </w:r>
      <w:r w:rsidRPr="007C57D2">
        <w:rPr>
          <w:rFonts w:ascii="Times New Roman" w:hAnsi="Times New Roman"/>
          <w:color w:val="000000"/>
          <w:sz w:val="28"/>
          <w:szCs w:val="28"/>
          <w:vertAlign w:val="superscript"/>
        </w:rPr>
        <w:footnoteReference w:id="660"/>
      </w:r>
      <w:r w:rsidRPr="007C57D2">
        <w:rPr>
          <w:rFonts w:ascii="Times New Roman" w:hAnsi="Times New Roman"/>
          <w:color w:val="000000"/>
          <w:sz w:val="28"/>
          <w:szCs w:val="28"/>
        </w:rPr>
        <w:t>, la duración estándar también es de 24 horas, mientras que en México el protocolo nacional limita expresamente la aler</w:t>
      </w:r>
      <w:r w:rsidRPr="007C57D2">
        <w:rPr>
          <w:rFonts w:ascii="Times New Roman" w:hAnsi="Times New Roman"/>
          <w:color w:val="000000"/>
          <w:sz w:val="28"/>
          <w:szCs w:val="28"/>
        </w:rPr>
        <w:t>ta a 72 horas</w:t>
      </w:r>
      <w:r w:rsidRPr="007C57D2">
        <w:rPr>
          <w:rFonts w:ascii="Times New Roman" w:hAnsi="Times New Roman"/>
          <w:color w:val="000000"/>
          <w:sz w:val="28"/>
          <w:szCs w:val="28"/>
          <w:vertAlign w:val="superscript"/>
        </w:rPr>
        <w:footnoteReference w:id="661"/>
      </w:r>
      <w:r w:rsidRPr="007C57D2">
        <w:rPr>
          <w:rFonts w:ascii="Times New Roman" w:hAnsi="Times New Roman"/>
          <w:color w:val="000000"/>
          <w:sz w:val="28"/>
          <w:szCs w:val="28"/>
        </w:rPr>
        <w:t xml:space="preserve">. Francia, con su sistema </w:t>
      </w:r>
      <w:r w:rsidRPr="007C57D2">
        <w:rPr>
          <w:rFonts w:ascii="Times New Roman" w:hAnsi="Times New Roman"/>
          <w:i/>
          <w:iCs/>
          <w:color w:val="000000"/>
          <w:sz w:val="28"/>
          <w:szCs w:val="28"/>
        </w:rPr>
        <w:t>Alerte Enlèvement</w:t>
      </w:r>
      <w:r w:rsidRPr="007C57D2">
        <w:rPr>
          <w:rFonts w:ascii="Times New Roman" w:hAnsi="Times New Roman"/>
          <w:color w:val="000000"/>
          <w:sz w:val="28"/>
          <w:szCs w:val="28"/>
        </w:rPr>
        <w:t>, restringe la difusión obligatoria a apenas 3 horas de cobertura intensiva, precisamente para no desnaturalizar el carácter de urgencia y eficacia del mecanismo</w:t>
      </w:r>
      <w:r w:rsidRPr="007C57D2">
        <w:rPr>
          <w:rFonts w:ascii="Times New Roman" w:hAnsi="Times New Roman"/>
          <w:color w:val="000000"/>
          <w:sz w:val="28"/>
          <w:szCs w:val="28"/>
          <w:vertAlign w:val="superscript"/>
        </w:rPr>
        <w:footnoteReference w:id="662"/>
      </w:r>
      <w:r w:rsidRPr="007C57D2">
        <w:rPr>
          <w:rFonts w:ascii="Times New Roman" w:hAnsi="Times New Roman"/>
          <w:color w:val="000000"/>
          <w:sz w:val="28"/>
          <w:szCs w:val="28"/>
        </w:rPr>
        <w:t>.</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Estos modelos reflejan una tendenc</w:t>
      </w:r>
      <w:r w:rsidRPr="007C57D2">
        <w:rPr>
          <w:rFonts w:ascii="Times New Roman" w:eastAsia="Calibri" w:hAnsi="Times New Roman"/>
          <w:sz w:val="28"/>
          <w:szCs w:val="28"/>
        </w:rPr>
        <w:t>ia global sobre la excepcionalidad y duración limitada de las alertas públicas, cuyo mayor impacto se produce entre las primeras 24 a 48 horas, por tratarse del período en el que también se concentra el mayor riesgo para la víctima. Una vez transcurre aque</w:t>
      </w:r>
      <w:r w:rsidRPr="007C57D2">
        <w:rPr>
          <w:rFonts w:ascii="Times New Roman" w:eastAsia="Calibri" w:hAnsi="Times New Roman"/>
          <w:sz w:val="28"/>
          <w:szCs w:val="28"/>
        </w:rPr>
        <w:t>l lapso de tiempo, la eficacia de la difusión masiva disminuye notablemente, y la permanencia de la alerta puede resultar contraproducente o incluso lesiva.</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Además de no mejorar la eficiencia de la búsqueda, mantener la Alerta Colombia activa por una sema</w:t>
      </w:r>
      <w:r w:rsidRPr="007C57D2">
        <w:rPr>
          <w:rFonts w:ascii="Times New Roman" w:eastAsia="Calibri" w:hAnsi="Times New Roman"/>
          <w:sz w:val="28"/>
          <w:szCs w:val="28"/>
        </w:rPr>
        <w:t>na incrementa los riesgos asociados a la exposición innecesaria y prolongada de datos personales e información sensible de niños, niñas y adolescentes, como su imagen y datos de su intimidad. Esto los expone a una situación de revictimización, que puede ca</w:t>
      </w:r>
      <w:r w:rsidRPr="007C57D2">
        <w:rPr>
          <w:rFonts w:ascii="Times New Roman" w:eastAsia="Calibri" w:hAnsi="Times New Roman"/>
          <w:sz w:val="28"/>
          <w:szCs w:val="28"/>
        </w:rPr>
        <w:t>usarles perjuicios y traumas adicionales, y se traduce en una violación de los principios de proporcionalidad, necesidad y finalidad en el tratamiento de datos personales. Además, como lo resaltan algunos intervinientes, podría generar la saturación innece</w:t>
      </w:r>
      <w:r w:rsidRPr="007C57D2">
        <w:rPr>
          <w:rFonts w:ascii="Times New Roman" w:eastAsia="Calibri" w:hAnsi="Times New Roman"/>
          <w:sz w:val="28"/>
          <w:szCs w:val="28"/>
        </w:rPr>
        <w:t>saria de redes y equipos móviles.</w:t>
      </w:r>
    </w:p>
    <w:p w:rsidR="008A620B" w:rsidRPr="007C57D2" w:rsidRDefault="007C57D2" w:rsidP="008F3DAB">
      <w:pPr>
        <w:pStyle w:val="Prrafodelista"/>
        <w:rPr>
          <w:rFonts w:ascii="Times New Roman" w:eastAsia="Calibri" w:hAnsi="Times New Roman"/>
          <w:sz w:val="28"/>
          <w:szCs w:val="28"/>
        </w:rPr>
      </w:pPr>
    </w:p>
    <w:p w:rsidR="001E19D5" w:rsidRPr="007C57D2" w:rsidRDefault="007C57D2" w:rsidP="00FD0700">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Con base en lo anterior, la Sala Plena concluye que el parágrafo 2 del artículo 6 del PLE </w:t>
      </w:r>
      <w:r w:rsidRPr="007C57D2">
        <w:rPr>
          <w:rFonts w:ascii="Times New Roman" w:eastAsia="Calibri" w:hAnsi="Times New Roman"/>
          <w:sz w:val="28"/>
          <w:szCs w:val="28"/>
        </w:rPr>
        <w:t xml:space="preserve">no corresponde a la respuesta inmediata que se exige para la protección de NNA </w:t>
      </w:r>
      <w:r w:rsidRPr="007C57D2">
        <w:rPr>
          <w:rFonts w:ascii="Times New Roman" w:eastAsia="Calibri" w:hAnsi="Times New Roman"/>
          <w:sz w:val="28"/>
          <w:szCs w:val="28"/>
        </w:rPr>
        <w:t xml:space="preserve">y </w:t>
      </w:r>
      <w:r w:rsidRPr="007C57D2">
        <w:rPr>
          <w:rFonts w:ascii="Times New Roman" w:eastAsia="Calibri" w:hAnsi="Times New Roman"/>
          <w:sz w:val="28"/>
          <w:szCs w:val="28"/>
        </w:rPr>
        <w:t xml:space="preserve">el debido tratamiento de </w:t>
      </w:r>
      <w:r w:rsidRPr="007C57D2">
        <w:rPr>
          <w:rFonts w:ascii="Times New Roman" w:eastAsia="Calibri" w:hAnsi="Times New Roman"/>
          <w:sz w:val="28"/>
          <w:szCs w:val="28"/>
        </w:rPr>
        <w:t>datos</w:t>
      </w:r>
      <w:r w:rsidRPr="007C57D2">
        <w:rPr>
          <w:rFonts w:ascii="Times New Roman" w:eastAsia="Calibri" w:hAnsi="Times New Roman"/>
          <w:sz w:val="28"/>
          <w:szCs w:val="28"/>
        </w:rPr>
        <w:t xml:space="preserve"> personales. Tampoco</w:t>
      </w:r>
      <w:r w:rsidRPr="007C57D2">
        <w:rPr>
          <w:rFonts w:ascii="Times New Roman" w:eastAsia="Calibri" w:hAnsi="Times New Roman"/>
          <w:sz w:val="28"/>
          <w:szCs w:val="28"/>
        </w:rPr>
        <w:t xml:space="preserve"> </w:t>
      </w:r>
      <w:r w:rsidRPr="007C57D2">
        <w:rPr>
          <w:rFonts w:ascii="Times New Roman" w:eastAsia="Calibri" w:hAnsi="Times New Roman"/>
          <w:sz w:val="28"/>
          <w:szCs w:val="28"/>
        </w:rPr>
        <w:t>satisface la exigencia de tener una idoneidad potencial para alcanzar el fin perseguido por la Alerta Colombia de localizar y recuperar a los niños, niñas y adolescentes extraviados.</w:t>
      </w:r>
    </w:p>
    <w:p w:rsidR="00FD0700" w:rsidRPr="007C57D2" w:rsidRDefault="007C57D2" w:rsidP="00FD0700">
      <w:pPr>
        <w:pStyle w:val="Prrafodelista"/>
        <w:tabs>
          <w:tab w:val="left" w:pos="567"/>
        </w:tabs>
        <w:ind w:left="0"/>
        <w:jc w:val="both"/>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i/>
          <w:sz w:val="28"/>
          <w:szCs w:val="28"/>
        </w:rPr>
        <w:t xml:space="preserve">Resultado del análisis de constitucionalidad. </w:t>
      </w:r>
      <w:r w:rsidRPr="007C57D2">
        <w:rPr>
          <w:rFonts w:ascii="Times New Roman" w:eastAsia="Calibri" w:hAnsi="Times New Roman"/>
          <w:sz w:val="28"/>
          <w:szCs w:val="28"/>
        </w:rPr>
        <w:t xml:space="preserve">Como resultado de la </w:t>
      </w:r>
      <w:r w:rsidRPr="007C57D2">
        <w:rPr>
          <w:rFonts w:ascii="Times New Roman" w:eastAsia="Calibri" w:hAnsi="Times New Roman"/>
          <w:sz w:val="28"/>
          <w:szCs w:val="28"/>
        </w:rPr>
        <w:t>metodología utilizada en esta sección, la Sala Plena declarará la constitucionalidad del deber de difundir la Alerta Colombia en los términos de los artículos 6, 10 y 11 del PLE</w:t>
      </w:r>
      <w:r w:rsidRPr="007C57D2">
        <w:rPr>
          <w:rFonts w:ascii="Times New Roman" w:eastAsia="Calibri" w:hAnsi="Times New Roman"/>
          <w:sz w:val="28"/>
          <w:szCs w:val="28"/>
        </w:rPr>
        <w:t>, excepto del parágrafo 2 de su artículo 6. Como se explicó en la sección anter</w:t>
      </w:r>
      <w:r w:rsidRPr="007C57D2">
        <w:rPr>
          <w:rFonts w:ascii="Times New Roman" w:eastAsia="Calibri" w:hAnsi="Times New Roman"/>
          <w:sz w:val="28"/>
          <w:szCs w:val="28"/>
        </w:rPr>
        <w:t xml:space="preserve">ior, dicha disposición no satisface los criterios de proporcionalidad, por lo que su contenido resulta contrario a la Constitución Política. </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Para asegurar su coherencia con las normas superiores y para garantizar que la Alerta Colombia cumpla su </w:t>
      </w:r>
      <w:r w:rsidRPr="007C57D2">
        <w:rPr>
          <w:rFonts w:ascii="Times New Roman" w:eastAsia="Calibri" w:hAnsi="Times New Roman"/>
          <w:sz w:val="28"/>
          <w:szCs w:val="28"/>
        </w:rPr>
        <w:t>finalidad de proteger a los niños, niñas y adolescentes extraviados, las autoridades deben evaluar cada caso de conformidad con sus complejidades, para determinar el mejor curso de acción, sin la imposición de la divulgación tres veces al día durante una s</w:t>
      </w:r>
      <w:r w:rsidRPr="007C57D2">
        <w:rPr>
          <w:rFonts w:ascii="Times New Roman" w:eastAsia="Calibri" w:hAnsi="Times New Roman"/>
          <w:sz w:val="28"/>
          <w:szCs w:val="28"/>
        </w:rPr>
        <w:t>emana a los proveedores de redes y servicios de telecomunicaciones, operadores de aeropuertos internacionales y titulares de medios de comunicación de amplio alcance.</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Por lo tanto, la Sala Plena condicionará el alcance del parágrafo 2 del artículo 6 del P</w:t>
      </w:r>
      <w:r w:rsidRPr="007C57D2">
        <w:rPr>
          <w:rFonts w:ascii="Times New Roman" w:eastAsia="Calibri" w:hAnsi="Times New Roman"/>
          <w:sz w:val="28"/>
          <w:szCs w:val="28"/>
        </w:rPr>
        <w:t>LE, y lo declarará exequible en el entendido de que la determinación de la duración de la alerta inicial deberá ser la estrictamente necesaria para lograr la búsqueda, localización y pronta recuperación del menor de edad a juicio de la autoridad competente</w:t>
      </w:r>
      <w:r w:rsidRPr="007C57D2">
        <w:rPr>
          <w:rFonts w:ascii="Times New Roman" w:eastAsia="Calibri" w:hAnsi="Times New Roman"/>
          <w:sz w:val="28"/>
          <w:szCs w:val="28"/>
        </w:rPr>
        <w:t>, según las circunstancias particulares del caso. Asimismo, en eventos excepcionales, debidamente justificados por razones de seguridad, será posible que no se active la Alerta Colombia o que esta se aplique bajo condiciones especiales. Todo lo anterior po</w:t>
      </w:r>
      <w:r w:rsidRPr="007C57D2">
        <w:rPr>
          <w:rFonts w:ascii="Times New Roman" w:eastAsia="Calibri" w:hAnsi="Times New Roman"/>
          <w:sz w:val="28"/>
          <w:szCs w:val="28"/>
        </w:rPr>
        <w:t>drá ser desarrollado por el regulador, en los términos del artículo 14 del PLE.</w:t>
      </w:r>
    </w:p>
    <w:p w:rsidR="001E19D5" w:rsidRPr="007C57D2" w:rsidRDefault="007C57D2" w:rsidP="00FD0700">
      <w:pPr>
        <w:pStyle w:val="Prrafodelista"/>
        <w:tabs>
          <w:tab w:val="left" w:pos="567"/>
        </w:tabs>
        <w:ind w:left="0"/>
        <w:jc w:val="both"/>
        <w:rPr>
          <w:rFonts w:ascii="Times New Roman" w:eastAsia="Calibri" w:hAnsi="Times New Roman"/>
          <w:sz w:val="28"/>
          <w:szCs w:val="28"/>
        </w:rPr>
      </w:pPr>
      <w:r w:rsidRPr="007C57D2">
        <w:rPr>
          <w:rFonts w:ascii="Times New Roman" w:eastAsia="Calibri" w:hAnsi="Times New Roman"/>
          <w:sz w:val="28"/>
          <w:szCs w:val="28"/>
        </w:rPr>
        <w:t xml:space="preserve"> </w:t>
      </w: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i/>
          <w:sz w:val="28"/>
          <w:szCs w:val="28"/>
        </w:rPr>
        <w:t>Lineamientos para la reglamentación del proyecto de ley estatutaria número 266 de 2023 Cámara - 285 de 2024 Senado</w:t>
      </w:r>
      <w:r w:rsidRPr="007C57D2">
        <w:rPr>
          <w:rFonts w:ascii="Times New Roman" w:eastAsia="Calibri" w:hAnsi="Times New Roman"/>
          <w:i/>
          <w:sz w:val="28"/>
          <w:szCs w:val="28"/>
        </w:rPr>
        <w:t>.</w:t>
      </w:r>
      <w:r w:rsidRPr="007C57D2">
        <w:rPr>
          <w:rFonts w:ascii="Times New Roman" w:eastAsia="Calibri" w:hAnsi="Times New Roman"/>
          <w:sz w:val="28"/>
          <w:szCs w:val="28"/>
        </w:rPr>
        <w:t xml:space="preserve"> Sin perjuicio de lo anterior, dada la necesidad de garanti</w:t>
      </w:r>
      <w:r w:rsidRPr="007C57D2">
        <w:rPr>
          <w:rFonts w:ascii="Times New Roman" w:eastAsia="Calibri" w:hAnsi="Times New Roman"/>
          <w:sz w:val="28"/>
          <w:szCs w:val="28"/>
        </w:rPr>
        <w:t>zar el interés superior de la niñez y la proporcionalidad y razonabilidad de las cargas impuestas a los obligados a esta actividad, la reglamentación que se adopte para implementar la Alerta Colombia deberá tener en cuenta algunos lineamientos que se expon</w:t>
      </w:r>
      <w:r w:rsidRPr="007C57D2">
        <w:rPr>
          <w:rFonts w:ascii="Times New Roman" w:eastAsia="Calibri" w:hAnsi="Times New Roman"/>
          <w:sz w:val="28"/>
          <w:szCs w:val="28"/>
        </w:rPr>
        <w:t>drán a continuación</w:t>
      </w:r>
      <w:r w:rsidRPr="007C57D2">
        <w:rPr>
          <w:rFonts w:ascii="Times New Roman" w:eastAsia="Calibri" w:hAnsi="Times New Roman"/>
          <w:sz w:val="28"/>
          <w:szCs w:val="28"/>
        </w:rPr>
        <w:t>, y que se formulan como unos parámetros mínimos de razonabilidad administrativa. No se plantean como un condicionamiento de la exequibilidad de la norma. Su propósito es garantizar el respeto de los principios de eficacia, eficiencia, p</w:t>
      </w:r>
      <w:r w:rsidRPr="007C57D2">
        <w:rPr>
          <w:rFonts w:ascii="Times New Roman" w:eastAsia="Calibri" w:hAnsi="Times New Roman"/>
          <w:sz w:val="28"/>
          <w:szCs w:val="28"/>
        </w:rPr>
        <w:t xml:space="preserve">roporcionalidad y coordinación institucional, conforme a los artículos 2, 209 y 365 de la Constitución, en atención a los reparos técnicos formulados por varios de los intervinientes. </w:t>
      </w:r>
    </w:p>
    <w:p w:rsidR="008A620B" w:rsidRPr="007C57D2" w:rsidRDefault="007C57D2" w:rsidP="008F3DAB">
      <w:pPr>
        <w:pStyle w:val="Prrafodelista"/>
        <w:rPr>
          <w:rFonts w:ascii="Times New Roman" w:eastAsia="Calibri" w:hAnsi="Times New Roman"/>
          <w:sz w:val="28"/>
          <w:szCs w:val="28"/>
        </w:rPr>
      </w:pPr>
    </w:p>
    <w:p w:rsidR="008A620B"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Por lo tanto, no se trata de una intromisión en la competencia de la R</w:t>
      </w:r>
      <w:r w:rsidRPr="007C57D2">
        <w:rPr>
          <w:rFonts w:ascii="Times New Roman" w:eastAsia="Calibri" w:hAnsi="Times New Roman"/>
          <w:sz w:val="28"/>
          <w:szCs w:val="28"/>
        </w:rPr>
        <w:t>ama Ejecutiva, sino una reafirmación del deber de coherencia con los principios constitucionales, especialmente aquellos relacionados con el interés superior de la niñez y la garantía efectiva de sus derechos fundamentales. La Corte no pretende sustituir l</w:t>
      </w:r>
      <w:r w:rsidRPr="007C57D2">
        <w:rPr>
          <w:rFonts w:ascii="Times New Roman" w:eastAsia="Calibri" w:hAnsi="Times New Roman"/>
          <w:sz w:val="28"/>
          <w:szCs w:val="28"/>
        </w:rPr>
        <w:t>a discrecionalidad técnica del gobierno, sino proporcionar unos lineamientos de carácter orientador y no obligatorio, cuya observancia puede tomarse como un referente de interpretación constitucional para las autoridades encargadas de su reglamentación. Co</w:t>
      </w:r>
      <w:r w:rsidRPr="007C57D2">
        <w:rPr>
          <w:rFonts w:ascii="Times New Roman" w:eastAsia="Calibri" w:hAnsi="Times New Roman"/>
          <w:sz w:val="28"/>
          <w:szCs w:val="28"/>
        </w:rPr>
        <w:t>n esto en mente, la Sala Plena presenta cinco criterios que buscan el respeto de las normas superiores y de los derechos prevalentes de la niñez.</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En primer lugar, </w:t>
      </w:r>
      <w:r w:rsidRPr="007C57D2">
        <w:rPr>
          <w:rFonts w:ascii="Times New Roman" w:eastAsia="Calibri" w:hAnsi="Times New Roman"/>
          <w:sz w:val="28"/>
          <w:szCs w:val="28"/>
        </w:rPr>
        <w:t>debe procurarse que los</w:t>
      </w:r>
      <w:r w:rsidRPr="007C57D2">
        <w:rPr>
          <w:rFonts w:ascii="Times New Roman" w:eastAsia="Calibri" w:hAnsi="Times New Roman"/>
          <w:sz w:val="28"/>
          <w:szCs w:val="28"/>
        </w:rPr>
        <w:t xml:space="preserve"> requisitos y procedimientos para la divulgación de la Alerta Colombi</w:t>
      </w:r>
      <w:r w:rsidRPr="007C57D2">
        <w:rPr>
          <w:rFonts w:ascii="Times New Roman" w:eastAsia="Calibri" w:hAnsi="Times New Roman"/>
          <w:sz w:val="28"/>
          <w:szCs w:val="28"/>
        </w:rPr>
        <w:t xml:space="preserve">a </w:t>
      </w:r>
      <w:r w:rsidRPr="007C57D2">
        <w:rPr>
          <w:rFonts w:ascii="Times New Roman" w:eastAsia="Calibri" w:hAnsi="Times New Roman"/>
          <w:sz w:val="28"/>
          <w:szCs w:val="28"/>
        </w:rPr>
        <w:t xml:space="preserve">no se transformen </w:t>
      </w:r>
      <w:r w:rsidRPr="007C57D2">
        <w:rPr>
          <w:rFonts w:ascii="Times New Roman" w:eastAsia="Calibri" w:hAnsi="Times New Roman"/>
          <w:sz w:val="28"/>
          <w:szCs w:val="28"/>
        </w:rPr>
        <w:t xml:space="preserve">en una barrera para su adecuado funcionamiento. Este tipo de medidas tienen un carácter instrumental, por lo que solo podrán exigirse cuando sean posibles de cumplir. </w:t>
      </w:r>
      <w:r w:rsidRPr="007C57D2">
        <w:rPr>
          <w:rFonts w:ascii="Times New Roman" w:eastAsia="Calibri" w:hAnsi="Times New Roman"/>
          <w:sz w:val="28"/>
          <w:szCs w:val="28"/>
        </w:rPr>
        <w:t xml:space="preserve">Por lo tanto, </w:t>
      </w:r>
      <w:r w:rsidRPr="007C57D2">
        <w:rPr>
          <w:rFonts w:ascii="Times New Roman" w:hAnsi="Times New Roman"/>
          <w:sz w:val="28"/>
          <w:szCs w:val="28"/>
        </w:rPr>
        <w:t>las autoridades competentes para reglamentarla deben ev</w:t>
      </w:r>
      <w:r w:rsidRPr="007C57D2">
        <w:rPr>
          <w:rFonts w:ascii="Times New Roman" w:hAnsi="Times New Roman"/>
          <w:sz w:val="28"/>
          <w:szCs w:val="28"/>
        </w:rPr>
        <w:t>aluar</w:t>
      </w:r>
      <w:r w:rsidRPr="007C57D2">
        <w:rPr>
          <w:rFonts w:ascii="Times New Roman" w:eastAsia="Calibri" w:hAnsi="Times New Roman"/>
          <w:sz w:val="28"/>
          <w:szCs w:val="28"/>
        </w:rPr>
        <w:t xml:space="preserve"> la viabilidad técnica de </w:t>
      </w:r>
      <w:r w:rsidRPr="007C57D2">
        <w:rPr>
          <w:rFonts w:ascii="Times New Roman" w:eastAsia="Calibri" w:hAnsi="Times New Roman"/>
          <w:sz w:val="28"/>
          <w:szCs w:val="28"/>
        </w:rPr>
        <w:t xml:space="preserve">las </w:t>
      </w:r>
      <w:r w:rsidRPr="007C57D2">
        <w:rPr>
          <w:rFonts w:ascii="Times New Roman" w:hAnsi="Times New Roman"/>
          <w:sz w:val="28"/>
          <w:szCs w:val="28"/>
        </w:rPr>
        <w:t>exigencias sobre el contenido mínimo</w:t>
      </w:r>
      <w:r w:rsidRPr="007C57D2">
        <w:rPr>
          <w:rStyle w:val="Refdenotaalpie"/>
          <w:rFonts w:ascii="Times New Roman" w:hAnsi="Times New Roman"/>
          <w:sz w:val="28"/>
          <w:szCs w:val="28"/>
        </w:rPr>
        <w:footnoteReference w:id="663"/>
      </w:r>
      <w:r w:rsidRPr="007C57D2">
        <w:rPr>
          <w:rFonts w:ascii="Times New Roman" w:hAnsi="Times New Roman"/>
          <w:sz w:val="28"/>
          <w:szCs w:val="28"/>
        </w:rPr>
        <w:t>, las características del mensaje</w:t>
      </w:r>
      <w:r w:rsidRPr="007C57D2">
        <w:rPr>
          <w:rStyle w:val="Refdenotaalpie"/>
          <w:rFonts w:ascii="Times New Roman" w:hAnsi="Times New Roman"/>
          <w:sz w:val="28"/>
          <w:szCs w:val="28"/>
        </w:rPr>
        <w:footnoteReference w:id="664"/>
      </w:r>
      <w:r w:rsidRPr="007C57D2">
        <w:rPr>
          <w:rFonts w:ascii="Times New Roman" w:hAnsi="Times New Roman"/>
          <w:sz w:val="28"/>
          <w:szCs w:val="28"/>
        </w:rPr>
        <w:t>, los plazos para la difusión</w:t>
      </w:r>
      <w:r w:rsidRPr="007C57D2">
        <w:rPr>
          <w:rStyle w:val="Refdenotaalpie"/>
          <w:rFonts w:ascii="Times New Roman" w:hAnsi="Times New Roman"/>
          <w:sz w:val="28"/>
          <w:szCs w:val="28"/>
        </w:rPr>
        <w:footnoteReference w:id="665"/>
      </w:r>
      <w:r w:rsidRPr="007C57D2">
        <w:rPr>
          <w:rFonts w:ascii="Times New Roman" w:hAnsi="Times New Roman"/>
          <w:sz w:val="28"/>
          <w:szCs w:val="28"/>
        </w:rPr>
        <w:t>, la periodicidad</w:t>
      </w:r>
      <w:r w:rsidRPr="007C57D2">
        <w:rPr>
          <w:rStyle w:val="Refdenotaalpie"/>
          <w:rFonts w:ascii="Times New Roman" w:hAnsi="Times New Roman"/>
          <w:sz w:val="28"/>
          <w:szCs w:val="28"/>
        </w:rPr>
        <w:footnoteReference w:id="666"/>
      </w:r>
      <w:r w:rsidRPr="007C57D2">
        <w:rPr>
          <w:rFonts w:ascii="Times New Roman" w:hAnsi="Times New Roman"/>
          <w:sz w:val="28"/>
          <w:szCs w:val="28"/>
        </w:rPr>
        <w:t>, las zonas de difusión</w:t>
      </w:r>
      <w:r w:rsidRPr="007C57D2">
        <w:rPr>
          <w:rStyle w:val="Refdenotaalpie"/>
          <w:rFonts w:ascii="Times New Roman" w:hAnsi="Times New Roman"/>
          <w:sz w:val="28"/>
          <w:szCs w:val="28"/>
        </w:rPr>
        <w:footnoteReference w:id="667"/>
      </w:r>
      <w:r w:rsidRPr="007C57D2">
        <w:rPr>
          <w:rFonts w:ascii="Times New Roman" w:hAnsi="Times New Roman"/>
          <w:sz w:val="28"/>
          <w:szCs w:val="28"/>
        </w:rPr>
        <w:t xml:space="preserve"> y los destinatarios</w:t>
      </w:r>
      <w:r w:rsidRPr="007C57D2">
        <w:rPr>
          <w:rStyle w:val="Refdenotaalpie"/>
          <w:rFonts w:ascii="Times New Roman" w:hAnsi="Times New Roman"/>
          <w:sz w:val="28"/>
          <w:szCs w:val="28"/>
        </w:rPr>
        <w:footnoteReference w:id="668"/>
      </w:r>
      <w:r w:rsidRPr="007C57D2">
        <w:rPr>
          <w:rFonts w:ascii="Times New Roman" w:hAnsi="Times New Roman"/>
          <w:sz w:val="28"/>
          <w:szCs w:val="28"/>
        </w:rPr>
        <w:t xml:space="preserve"> </w:t>
      </w:r>
      <w:r w:rsidRPr="007C57D2">
        <w:rPr>
          <w:rFonts w:ascii="Times New Roman" w:hAnsi="Times New Roman"/>
          <w:sz w:val="28"/>
          <w:szCs w:val="28"/>
        </w:rPr>
        <w:t>para que determinen, en el marco de sus facultades, si r</w:t>
      </w:r>
      <w:r w:rsidRPr="007C57D2">
        <w:rPr>
          <w:rFonts w:ascii="Times New Roman" w:hAnsi="Times New Roman"/>
          <w:sz w:val="28"/>
          <w:szCs w:val="28"/>
        </w:rPr>
        <w:t xml:space="preserve">esultan factibles y pueden aplicarse. Para estos efectos resulta fundamental </w:t>
      </w:r>
      <w:r w:rsidRPr="007C57D2">
        <w:rPr>
          <w:rFonts w:ascii="Times New Roman" w:hAnsi="Times New Roman"/>
          <w:sz w:val="28"/>
          <w:szCs w:val="28"/>
        </w:rPr>
        <w:t>tener en cuenta la capacidad tecnológica de la administración, de las redes de telecomunicaciones, de sus operadores y de los dispositivos móviles de los destinatarios.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En segund</w:t>
      </w:r>
      <w:r w:rsidRPr="007C57D2">
        <w:rPr>
          <w:rFonts w:ascii="Times New Roman" w:eastAsia="Calibri" w:hAnsi="Times New Roman"/>
          <w:sz w:val="28"/>
          <w:szCs w:val="28"/>
        </w:rPr>
        <w:t xml:space="preserve">o lugar, y en estrecha relación con lo anterior, la reglamentación del PLE debe </w:t>
      </w:r>
      <w:r w:rsidRPr="007C57D2">
        <w:rPr>
          <w:rFonts w:ascii="Times New Roman" w:eastAsia="Calibri" w:hAnsi="Times New Roman"/>
          <w:sz w:val="28"/>
          <w:szCs w:val="28"/>
        </w:rPr>
        <w:t xml:space="preserve">procurar </w:t>
      </w:r>
      <w:r w:rsidRPr="007C57D2">
        <w:rPr>
          <w:rFonts w:ascii="Times New Roman" w:eastAsia="Calibri" w:hAnsi="Times New Roman"/>
          <w:sz w:val="28"/>
          <w:szCs w:val="28"/>
        </w:rPr>
        <w:t>definir con claridad a los sujetos obligados y los requisitos y procedimientos que les son aplicables según sus particularidades. Aunque no hay dificultades para determinar quiénes serían los proveedores de redes y servicios de telecomunicaciones y los ope</w:t>
      </w:r>
      <w:r w:rsidRPr="007C57D2">
        <w:rPr>
          <w:rFonts w:ascii="Times New Roman" w:eastAsia="Calibri" w:hAnsi="Times New Roman"/>
          <w:sz w:val="28"/>
          <w:szCs w:val="28"/>
        </w:rPr>
        <w:t>radores de aeropuertos internacionales que asumirían esta carga, el mandato de difundir la Alerta Colombia tiene un alto grado de indeterminación, que impide identificar con claridad a la totalidad de sus destinatarios. Sin una adecuada precisión por el go</w:t>
      </w:r>
      <w:r w:rsidRPr="007C57D2">
        <w:rPr>
          <w:rFonts w:ascii="Times New Roman" w:eastAsia="Calibri" w:hAnsi="Times New Roman"/>
          <w:sz w:val="28"/>
          <w:szCs w:val="28"/>
        </w:rPr>
        <w:t xml:space="preserve">bierno nacional, esta carga </w:t>
      </w:r>
      <w:r w:rsidRPr="007C57D2">
        <w:rPr>
          <w:rFonts w:ascii="Times New Roman" w:hAnsi="Times New Roman"/>
          <w:sz w:val="28"/>
          <w:szCs w:val="28"/>
        </w:rPr>
        <w:t>podría resultar de imposible cumplimiento.</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rPr>
      </w:pPr>
      <w:r w:rsidRPr="007C57D2">
        <w:rPr>
          <w:rFonts w:ascii="Times New Roman" w:eastAsia="Calibri" w:hAnsi="Times New Roman"/>
          <w:sz w:val="28"/>
          <w:szCs w:val="28"/>
        </w:rPr>
        <w:t xml:space="preserve">El PLE contiene definiciones </w:t>
      </w:r>
      <w:r w:rsidRPr="007C57D2">
        <w:rPr>
          <w:rFonts w:ascii="Times New Roman" w:eastAsia="Calibri" w:hAnsi="Times New Roman"/>
          <w:sz w:val="28"/>
          <w:szCs w:val="28"/>
        </w:rPr>
        <w:t>amplias y abstractas</w:t>
      </w:r>
      <w:r w:rsidRPr="007C57D2">
        <w:rPr>
          <w:rFonts w:ascii="Times New Roman" w:eastAsia="Calibri" w:hAnsi="Times New Roman"/>
          <w:sz w:val="28"/>
          <w:szCs w:val="28"/>
        </w:rPr>
        <w:t xml:space="preserve">, pues establece que la Alerta Colombia se debe comunicar </w:t>
      </w:r>
      <w:r w:rsidRPr="007C57D2">
        <w:rPr>
          <w:rFonts w:ascii="Times New Roman" w:hAnsi="Times New Roman"/>
          <w:sz w:val="28"/>
          <w:szCs w:val="28"/>
        </w:rPr>
        <w:t xml:space="preserve">de </w:t>
      </w:r>
      <w:r w:rsidRPr="007C57D2">
        <w:rPr>
          <w:rFonts w:ascii="Times New Roman" w:hAnsi="Times New Roman"/>
          <w:i/>
          <w:iCs/>
          <w:sz w:val="28"/>
          <w:szCs w:val="28"/>
        </w:rPr>
        <w:t>cualquier canal o medio tecnológico que sirva para la difusión masiva</w:t>
      </w:r>
      <w:r w:rsidRPr="007C57D2">
        <w:rPr>
          <w:rStyle w:val="Refdenotaalpie"/>
          <w:rFonts w:ascii="Times New Roman" w:hAnsi="Times New Roman"/>
          <w:sz w:val="28"/>
          <w:szCs w:val="28"/>
        </w:rPr>
        <w:footnoteReference w:id="669"/>
      </w:r>
      <w:r w:rsidRPr="007C57D2">
        <w:rPr>
          <w:rFonts w:ascii="Times New Roman" w:hAnsi="Times New Roman"/>
          <w:sz w:val="28"/>
          <w:szCs w:val="28"/>
        </w:rPr>
        <w:t xml:space="preserve"> y a</w:t>
      </w:r>
      <w:r w:rsidRPr="007C57D2">
        <w:rPr>
          <w:rFonts w:ascii="Times New Roman" w:hAnsi="Times New Roman"/>
          <w:sz w:val="28"/>
          <w:szCs w:val="28"/>
        </w:rPr>
        <w:t xml:space="preserve"> través de </w:t>
      </w:r>
      <w:r w:rsidRPr="007C57D2">
        <w:rPr>
          <w:rFonts w:ascii="Times New Roman" w:eastAsia="Calibri" w:hAnsi="Times New Roman"/>
          <w:i/>
          <w:iCs/>
          <w:sz w:val="28"/>
          <w:szCs w:val="28"/>
        </w:rPr>
        <w:t>otros medios de comunicación de amplia cobertura</w:t>
      </w:r>
      <w:r w:rsidRPr="007C57D2">
        <w:rPr>
          <w:rStyle w:val="Refdenotaalpie"/>
          <w:rFonts w:ascii="Times New Roman" w:eastAsia="Calibri" w:hAnsi="Times New Roman"/>
          <w:sz w:val="28"/>
          <w:szCs w:val="28"/>
        </w:rPr>
        <w:footnoteReference w:id="670"/>
      </w:r>
      <w:r w:rsidRPr="007C57D2">
        <w:rPr>
          <w:rFonts w:ascii="Times New Roman" w:eastAsia="Calibri" w:hAnsi="Times New Roman"/>
          <w:sz w:val="28"/>
          <w:szCs w:val="28"/>
        </w:rPr>
        <w:t xml:space="preserve">. </w:t>
      </w:r>
      <w:r w:rsidRPr="007C57D2">
        <w:rPr>
          <w:rFonts w:ascii="Times New Roman" w:hAnsi="Times New Roman"/>
          <w:sz w:val="28"/>
          <w:szCs w:val="28"/>
        </w:rPr>
        <w:t xml:space="preserve">El énfasis que el ponente hizo en </w:t>
      </w:r>
      <w:r w:rsidRPr="007C57D2">
        <w:rPr>
          <w:rFonts w:ascii="Times New Roman" w:hAnsi="Times New Roman"/>
          <w:sz w:val="28"/>
          <w:szCs w:val="28"/>
        </w:rPr>
        <w:t xml:space="preserve">el </w:t>
      </w:r>
      <w:r w:rsidRPr="007C57D2">
        <w:rPr>
          <w:rFonts w:ascii="Times New Roman" w:hAnsi="Times New Roman"/>
          <w:i/>
          <w:iCs/>
          <w:sz w:val="28"/>
          <w:szCs w:val="28"/>
        </w:rPr>
        <w:t>protagonismo de la tecnología</w:t>
      </w:r>
      <w:r w:rsidRPr="007C57D2">
        <w:rPr>
          <w:rFonts w:ascii="Times New Roman" w:hAnsi="Times New Roman"/>
          <w:sz w:val="28"/>
          <w:szCs w:val="28"/>
        </w:rPr>
        <w:t xml:space="preserve"> en la Alerta Colombia tampoco</w:t>
      </w:r>
      <w:r w:rsidRPr="007C57D2">
        <w:rPr>
          <w:rFonts w:ascii="Times New Roman" w:hAnsi="Times New Roman"/>
          <w:sz w:val="28"/>
          <w:szCs w:val="28"/>
        </w:rPr>
        <w:t xml:space="preserve"> reduce su abstracción</w:t>
      </w:r>
      <w:r w:rsidRPr="007C57D2">
        <w:rPr>
          <w:rStyle w:val="Refdenotaalpie"/>
          <w:rFonts w:ascii="Times New Roman" w:hAnsi="Times New Roman"/>
          <w:sz w:val="28"/>
          <w:szCs w:val="28"/>
        </w:rPr>
        <w:footnoteReference w:id="671"/>
      </w:r>
      <w:r w:rsidRPr="007C57D2">
        <w:rPr>
          <w:rFonts w:ascii="Times New Roman" w:hAnsi="Times New Roman"/>
          <w:sz w:val="28"/>
          <w:szCs w:val="28"/>
        </w:rPr>
        <w:t>. En sus acepciones más comunes</w:t>
      </w:r>
      <w:r w:rsidRPr="007C57D2">
        <w:rPr>
          <w:rStyle w:val="Refdenotaalpie"/>
          <w:rFonts w:ascii="Times New Roman" w:hAnsi="Times New Roman"/>
          <w:sz w:val="28"/>
          <w:szCs w:val="28"/>
        </w:rPr>
        <w:footnoteReference w:id="672"/>
      </w:r>
      <w:r w:rsidRPr="007C57D2">
        <w:rPr>
          <w:rFonts w:ascii="Times New Roman" w:hAnsi="Times New Roman"/>
          <w:sz w:val="28"/>
          <w:szCs w:val="28"/>
        </w:rPr>
        <w:t xml:space="preserve">, </w:t>
      </w:r>
      <w:r w:rsidRPr="007C57D2">
        <w:rPr>
          <w:rFonts w:ascii="Times New Roman" w:hAnsi="Times New Roman"/>
          <w:i/>
          <w:iCs/>
          <w:sz w:val="28"/>
          <w:szCs w:val="28"/>
        </w:rPr>
        <w:t xml:space="preserve">tecnología </w:t>
      </w:r>
      <w:r w:rsidRPr="007C57D2">
        <w:rPr>
          <w:rFonts w:ascii="Times New Roman" w:hAnsi="Times New Roman"/>
          <w:sz w:val="28"/>
          <w:szCs w:val="28"/>
        </w:rPr>
        <w:t>hace referencia al conjunto de</w:t>
      </w:r>
      <w:r w:rsidRPr="007C57D2">
        <w:rPr>
          <w:rFonts w:ascii="Times New Roman" w:hAnsi="Times New Roman"/>
          <w:sz w:val="28"/>
          <w:szCs w:val="28"/>
        </w:rPr>
        <w:t xml:space="preserve"> teorías y de técnicas que permiten el aprovechamiento práctico del conocimiento científico, el lenguaje propio de una ciencia o un arte, y de los instrumentos y procedimientos industriales de un determinado sector o producto</w:t>
      </w:r>
      <w:r w:rsidRPr="007C57D2">
        <w:rPr>
          <w:rStyle w:val="Refdenotaalpie"/>
          <w:rFonts w:ascii="Times New Roman" w:hAnsi="Times New Roman"/>
          <w:sz w:val="28"/>
          <w:szCs w:val="28"/>
        </w:rPr>
        <w:footnoteReference w:id="673"/>
      </w:r>
      <w:r w:rsidRPr="007C57D2">
        <w:rPr>
          <w:rFonts w:ascii="Times New Roman" w:hAnsi="Times New Roman"/>
          <w:sz w:val="28"/>
          <w:szCs w:val="28"/>
        </w:rPr>
        <w:t>. Por lo tanto, puede aplicars</w:t>
      </w:r>
      <w:r w:rsidRPr="007C57D2">
        <w:rPr>
          <w:rFonts w:ascii="Times New Roman" w:hAnsi="Times New Roman"/>
          <w:sz w:val="28"/>
          <w:szCs w:val="28"/>
        </w:rPr>
        <w:t xml:space="preserve">e a distintos medios y canales </w:t>
      </w:r>
      <w:r w:rsidRPr="007C57D2">
        <w:rPr>
          <w:rFonts w:ascii="Times New Roman" w:hAnsi="Times New Roman"/>
          <w:i/>
          <w:iCs/>
          <w:sz w:val="28"/>
          <w:szCs w:val="28"/>
        </w:rPr>
        <w:t>que sirvan para la difusión masiva</w:t>
      </w:r>
      <w:r w:rsidRPr="007C57D2">
        <w:rPr>
          <w:rFonts w:ascii="Times New Roman" w:hAnsi="Times New Roman"/>
          <w:sz w:val="28"/>
          <w:szCs w:val="28"/>
        </w:rPr>
        <w:t xml:space="preserve"> o tengan </w:t>
      </w:r>
      <w:r w:rsidRPr="007C57D2">
        <w:rPr>
          <w:rFonts w:ascii="Times New Roman" w:hAnsi="Times New Roman"/>
          <w:i/>
          <w:iCs/>
          <w:sz w:val="28"/>
          <w:szCs w:val="28"/>
        </w:rPr>
        <w:t>amplia cobertura</w:t>
      </w:r>
      <w:r w:rsidRPr="007C57D2">
        <w:rPr>
          <w:rFonts w:ascii="Times New Roman" w:hAnsi="Times New Roman"/>
          <w:sz w:val="28"/>
          <w:szCs w:val="28"/>
        </w:rPr>
        <w:t>, como la radio, la televisión, la prensa escrita, el cine, los sitios web de noticias, las redes sociales, las plataformas de video en línea, los podcasts, los corr</w:t>
      </w:r>
      <w:r w:rsidRPr="007C57D2">
        <w:rPr>
          <w:rFonts w:ascii="Times New Roman" w:hAnsi="Times New Roman"/>
          <w:sz w:val="28"/>
          <w:szCs w:val="28"/>
        </w:rPr>
        <w:t>eos electrónicos, las agencias de noticias, los portales gubernamentales y comunicados oficiales, las aplicaciones de mensajería instantánea y la cartelería digital urbana.</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 xml:space="preserve">Esto implica </w:t>
      </w:r>
      <w:r w:rsidRPr="007C57D2">
        <w:rPr>
          <w:rFonts w:ascii="Times New Roman" w:hAnsi="Times New Roman"/>
          <w:sz w:val="28"/>
          <w:szCs w:val="28"/>
        </w:rPr>
        <w:t xml:space="preserve">la necesidad de que el gobierno, en el marco de su discrecionalidad técnica y reglamentaria, precise </w:t>
      </w:r>
      <w:r w:rsidRPr="007C57D2">
        <w:rPr>
          <w:rFonts w:ascii="Times New Roman" w:hAnsi="Times New Roman"/>
          <w:sz w:val="28"/>
          <w:szCs w:val="28"/>
        </w:rPr>
        <w:t xml:space="preserve">los requisitos y procedimientos que serían aplicables a los distintos medios y canales </w:t>
      </w:r>
      <w:r w:rsidRPr="007C57D2">
        <w:rPr>
          <w:rFonts w:ascii="Times New Roman" w:hAnsi="Times New Roman"/>
          <w:i/>
          <w:iCs/>
          <w:sz w:val="28"/>
          <w:szCs w:val="28"/>
        </w:rPr>
        <w:t>que sirvan para la difusión masiva</w:t>
      </w:r>
      <w:r w:rsidRPr="007C57D2">
        <w:rPr>
          <w:rFonts w:ascii="Times New Roman" w:hAnsi="Times New Roman"/>
          <w:sz w:val="28"/>
          <w:szCs w:val="28"/>
        </w:rPr>
        <w:t xml:space="preserve"> o tengan </w:t>
      </w:r>
      <w:r w:rsidRPr="007C57D2">
        <w:rPr>
          <w:rFonts w:ascii="Times New Roman" w:hAnsi="Times New Roman"/>
          <w:i/>
          <w:iCs/>
          <w:sz w:val="28"/>
          <w:szCs w:val="28"/>
        </w:rPr>
        <w:t>amplia cobertura</w:t>
      </w:r>
      <w:r w:rsidRPr="007C57D2">
        <w:rPr>
          <w:rFonts w:ascii="Times New Roman" w:hAnsi="Times New Roman"/>
          <w:sz w:val="28"/>
          <w:szCs w:val="28"/>
        </w:rPr>
        <w:t>, que de</w:t>
      </w:r>
      <w:r w:rsidRPr="007C57D2">
        <w:rPr>
          <w:rFonts w:ascii="Times New Roman" w:hAnsi="Times New Roman"/>
          <w:sz w:val="28"/>
          <w:szCs w:val="28"/>
        </w:rPr>
        <w:t>be ser debidamente atendida en la reglamentación. Una lectura literal e inarmónica del PLE podría dar a entender que los distintos responsables a difundir la Alerta Colombia están obligados a cumplir las condiciones establecidas en sus artículos 6, 10, y 1</w:t>
      </w:r>
      <w:r w:rsidRPr="007C57D2">
        <w:rPr>
          <w:rFonts w:ascii="Times New Roman" w:hAnsi="Times New Roman"/>
          <w:sz w:val="28"/>
          <w:szCs w:val="28"/>
        </w:rPr>
        <w:t>1: (i) el contenido mínimo que debe tener cada mensaje; (ii) la forma en la que debe manifestarse la alerta</w:t>
      </w:r>
      <w:r w:rsidRPr="007C57D2">
        <w:rPr>
          <w:rStyle w:val="Refdenotaalpie"/>
          <w:rFonts w:ascii="Times New Roman" w:hAnsi="Times New Roman"/>
          <w:sz w:val="28"/>
          <w:szCs w:val="28"/>
        </w:rPr>
        <w:footnoteReference w:id="674"/>
      </w:r>
      <w:r w:rsidRPr="007C57D2">
        <w:rPr>
          <w:rFonts w:ascii="Times New Roman" w:hAnsi="Times New Roman"/>
          <w:sz w:val="28"/>
          <w:szCs w:val="28"/>
        </w:rPr>
        <w:t>; (iii) el plazo y la periodicidad para su difusión; (iv) la zona en la que debe divulgarse; y (v) los destinatarios específicos a los que debe lleg</w:t>
      </w:r>
      <w:r w:rsidRPr="007C57D2">
        <w:rPr>
          <w:rFonts w:ascii="Times New Roman" w:hAnsi="Times New Roman"/>
          <w:sz w:val="28"/>
          <w:szCs w:val="28"/>
        </w:rPr>
        <w:t xml:space="preserve">ar. </w:t>
      </w:r>
    </w:p>
    <w:p w:rsidR="001E19D5" w:rsidRPr="007C57D2" w:rsidRDefault="007C57D2" w:rsidP="008F3DAB">
      <w:pPr>
        <w:pStyle w:val="Prrafodelista"/>
        <w:ind w:left="0"/>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Esta interpretación podría llevar a escenarios en los que su aplicación resulte imposible. Como lo muestra el texto del PLE, las exigencias de la Alerta Colombia están pensadas para su difusión en dispositivos que tengan una pantalla capaz de transmi</w:t>
      </w:r>
      <w:r w:rsidRPr="007C57D2">
        <w:rPr>
          <w:rFonts w:ascii="Times New Roman" w:hAnsi="Times New Roman"/>
          <w:sz w:val="28"/>
          <w:szCs w:val="28"/>
        </w:rPr>
        <w:t>tir imágenes a color y que tengan acceso a la red de telecomunicaciones. Esto hace que algunas de sus condiciones resulten absolutamente incompatibles con ciertos canales y medios tecnológicos que podrían servir para su divulgación masiva, como sucedería c</w:t>
      </w:r>
      <w:r w:rsidRPr="007C57D2">
        <w:rPr>
          <w:rFonts w:ascii="Times New Roman" w:hAnsi="Times New Roman"/>
          <w:sz w:val="28"/>
          <w:szCs w:val="28"/>
        </w:rPr>
        <w:t>on los plazos requeridos para la difusión mediante medios impresos, y el absurdo que implica pensar el envío de las fotografías de los niños y niñas desaparecidos a través de la radio.</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En tercer lugar, la reglamentación de la Alerta Colombia debe asegurar</w:t>
      </w:r>
      <w:r w:rsidRPr="007C57D2">
        <w:rPr>
          <w:rFonts w:ascii="Times New Roman" w:eastAsia="Calibri" w:hAnsi="Times New Roman"/>
          <w:sz w:val="28"/>
          <w:szCs w:val="28"/>
        </w:rPr>
        <w:t xml:space="preserve"> una adecuada integración con las demás alertas existentes e impedir que se afecte su funcionamiento. Esto implica la adopción de medidas que eviten la duplicidad de requisitos y procedimientos, al igual que la repetición de esfuerzos innecesarios o injust</w:t>
      </w:r>
      <w:r w:rsidRPr="007C57D2">
        <w:rPr>
          <w:rFonts w:ascii="Times New Roman" w:eastAsia="Calibri" w:hAnsi="Times New Roman"/>
          <w:sz w:val="28"/>
          <w:szCs w:val="28"/>
        </w:rPr>
        <w:t xml:space="preserve">ificados. </w:t>
      </w:r>
      <w:r w:rsidRPr="007C57D2">
        <w:rPr>
          <w:rFonts w:ascii="Times New Roman" w:hAnsi="Times New Roman"/>
          <w:sz w:val="28"/>
          <w:szCs w:val="28"/>
        </w:rPr>
        <w:t>La discordancia de criterios para su implementación puede desarticular a las entidades responsables de su funcionamiento, generar contradicciones normativas, ralentizar el funcionamiento de las alertas, afectar la prestación del servicio de telec</w:t>
      </w:r>
      <w:r w:rsidRPr="007C57D2">
        <w:rPr>
          <w:rFonts w:ascii="Times New Roman" w:hAnsi="Times New Roman"/>
          <w:sz w:val="28"/>
          <w:szCs w:val="28"/>
        </w:rPr>
        <w:t>omunicaciones, confundir a la ciudadanía e incrementar los costos de recursos humanos y materiales innecesariamente.</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Por otro lado, se debe lograr </w:t>
      </w:r>
      <w:r w:rsidRPr="007C57D2">
        <w:rPr>
          <w:rFonts w:ascii="Times New Roman" w:hAnsi="Times New Roman"/>
          <w:sz w:val="28"/>
          <w:szCs w:val="28"/>
        </w:rPr>
        <w:t xml:space="preserve">la actuación coordinada de los distintos responsables de la divulgación y difusión de mensajes para la </w:t>
      </w:r>
      <w:r w:rsidRPr="007C57D2">
        <w:rPr>
          <w:rFonts w:ascii="Times New Roman" w:hAnsi="Times New Roman"/>
          <w:sz w:val="28"/>
          <w:szCs w:val="28"/>
        </w:rPr>
        <w:t>búsqueda y localización de NNA desaparecidos, de una manera que garantice resultados efectivos y evite la duplicación de esfuerzos. Esto involucra tanto a los sujetos obligados de realizar la difusión, como a las distintas autoridades del Estado que tienen</w:t>
      </w:r>
      <w:r w:rsidRPr="007C57D2">
        <w:rPr>
          <w:rFonts w:ascii="Times New Roman" w:hAnsi="Times New Roman"/>
          <w:sz w:val="28"/>
          <w:szCs w:val="28"/>
        </w:rPr>
        <w:t xml:space="preserve"> competencias en esta materia, como las 17 que integran el Comité de Coordinación Nacional de la Alerta Rosa</w:t>
      </w:r>
      <w:r w:rsidRPr="007C57D2">
        <w:rPr>
          <w:rStyle w:val="Refdenotaalpie"/>
          <w:rFonts w:ascii="Times New Roman" w:hAnsi="Times New Roman"/>
          <w:sz w:val="28"/>
          <w:szCs w:val="28"/>
        </w:rPr>
        <w:footnoteReference w:id="675"/>
      </w:r>
      <w:r w:rsidRPr="007C57D2">
        <w:rPr>
          <w:rFonts w:ascii="Times New Roman" w:hAnsi="Times New Roman"/>
          <w:sz w:val="28"/>
          <w:szCs w:val="28"/>
        </w:rPr>
        <w:t>.</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De este modo, si otro mecanismo</w:t>
      </w:r>
      <w:r w:rsidRPr="007C57D2">
        <w:rPr>
          <w:rStyle w:val="Refdenotaalpie"/>
          <w:rFonts w:ascii="Times New Roman" w:hAnsi="Times New Roman"/>
          <w:sz w:val="28"/>
          <w:szCs w:val="28"/>
        </w:rPr>
        <w:footnoteReference w:id="676"/>
      </w:r>
      <w:r w:rsidRPr="007C57D2">
        <w:rPr>
          <w:rFonts w:ascii="Times New Roman" w:hAnsi="Times New Roman"/>
          <w:sz w:val="28"/>
          <w:szCs w:val="28"/>
        </w:rPr>
        <w:t xml:space="preserve"> puede suplir el propósito perseguido por la Alerta Colombia de una manera más eficiente, el regulador podrá opt</w:t>
      </w:r>
      <w:r w:rsidRPr="007C57D2">
        <w:rPr>
          <w:rFonts w:ascii="Times New Roman" w:hAnsi="Times New Roman"/>
          <w:sz w:val="28"/>
          <w:szCs w:val="28"/>
        </w:rPr>
        <w:t xml:space="preserve">ar por una única medida que las subsuma. </w:t>
      </w:r>
      <w:r w:rsidRPr="007C57D2">
        <w:rPr>
          <w:rFonts w:ascii="Times New Roman" w:eastAsia="Calibri" w:hAnsi="Times New Roman"/>
          <w:sz w:val="28"/>
          <w:szCs w:val="28"/>
        </w:rPr>
        <w:t xml:space="preserve">Este punto merece una precisión normativa. De acuerdo con el parágrafo 2 del artículo 10 del PLE, la integración de la Alerta Colombia al Sistema de Alertas Tempranas sobre la niñez no puede implicar una pérdida de </w:t>
      </w:r>
      <w:r w:rsidRPr="007C57D2">
        <w:rPr>
          <w:rFonts w:ascii="Times New Roman" w:eastAsia="Calibri" w:hAnsi="Times New Roman"/>
          <w:sz w:val="28"/>
          <w:szCs w:val="28"/>
        </w:rPr>
        <w:t>autonomía en su modalidad. En una lectura literal, lo anterior parecería sugerir que el legislador pretende la creación de una alerta paralela a las demás que harían parte del sistema creado en el artículo 4 de la Ley 2242 de 2022. Esta sería una consecuen</w:t>
      </w:r>
      <w:r w:rsidRPr="007C57D2">
        <w:rPr>
          <w:rFonts w:ascii="Times New Roman" w:eastAsia="Calibri" w:hAnsi="Times New Roman"/>
          <w:sz w:val="28"/>
          <w:szCs w:val="28"/>
        </w:rPr>
        <w:t>cia irrazonable, que resulta contraria a una interpretación armónica de estas disposiciones.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El Sistema de Alertas Tempranas sobre la niñez, entre otras, debe divulgar información sobre “sobre riesgos de desnutrición, abuso, las distintas formas de violen</w:t>
      </w:r>
      <w:r w:rsidRPr="007C57D2">
        <w:rPr>
          <w:rFonts w:ascii="Times New Roman" w:eastAsia="Calibri" w:hAnsi="Times New Roman"/>
          <w:sz w:val="28"/>
          <w:szCs w:val="28"/>
        </w:rPr>
        <w:t>cia, enfermedades crónicas existentes o riesgos de salud, vacunación, talla, peso, escolaridad, rendimiento académico, amenaza de reclutamiento forzado para NNA o su núcleo familiar”</w:t>
      </w:r>
      <w:r w:rsidRPr="007C57D2">
        <w:rPr>
          <w:rStyle w:val="Refdenotaalpie"/>
          <w:rFonts w:ascii="Times New Roman" w:eastAsia="Calibri" w:hAnsi="Times New Roman"/>
          <w:sz w:val="28"/>
          <w:szCs w:val="28"/>
        </w:rPr>
        <w:footnoteReference w:id="677"/>
      </w:r>
      <w:r w:rsidRPr="007C57D2">
        <w:rPr>
          <w:rFonts w:ascii="Times New Roman" w:eastAsia="Calibri" w:hAnsi="Times New Roman"/>
          <w:sz w:val="28"/>
          <w:szCs w:val="28"/>
        </w:rPr>
        <w:t xml:space="preserve">. Por lo tanto, la exigencia de que la Alerta Colombia se articule </w:t>
      </w:r>
      <w:r w:rsidRPr="007C57D2">
        <w:rPr>
          <w:rFonts w:ascii="Times New Roman" w:eastAsia="Calibri" w:hAnsi="Times New Roman"/>
          <w:i/>
          <w:iCs/>
          <w:sz w:val="28"/>
          <w:szCs w:val="28"/>
        </w:rPr>
        <w:t>sin pe</w:t>
      </w:r>
      <w:r w:rsidRPr="007C57D2">
        <w:rPr>
          <w:rFonts w:ascii="Times New Roman" w:eastAsia="Calibri" w:hAnsi="Times New Roman"/>
          <w:i/>
          <w:iCs/>
          <w:sz w:val="28"/>
          <w:szCs w:val="28"/>
        </w:rPr>
        <w:t>rder su autonomía en su modalidad</w:t>
      </w:r>
      <w:r w:rsidRPr="007C57D2">
        <w:rPr>
          <w:rFonts w:ascii="Times New Roman" w:eastAsia="Calibri" w:hAnsi="Times New Roman"/>
          <w:sz w:val="28"/>
          <w:szCs w:val="28"/>
        </w:rPr>
        <w:t xml:space="preserve"> se refiere a que exista una alerta especializada para casos de NNA desaparecidos, sin perjuicio de que existan mecanismos diferentes para los demás asuntos que hacen parte del gran Sistema de Alertas Tempranas sobre la niñ</w:t>
      </w:r>
      <w:r w:rsidRPr="007C57D2">
        <w:rPr>
          <w:rFonts w:ascii="Times New Roman" w:eastAsia="Calibri" w:hAnsi="Times New Roman"/>
          <w:sz w:val="28"/>
          <w:szCs w:val="28"/>
        </w:rPr>
        <w:t>ez.</w:t>
      </w:r>
    </w:p>
    <w:p w:rsidR="001E19D5" w:rsidRPr="007C57D2" w:rsidRDefault="007C57D2" w:rsidP="008F3DAB">
      <w:pPr>
        <w:pStyle w:val="Prrafodelista"/>
        <w:ind w:left="0"/>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eastAsia="Calibri" w:hAnsi="Times New Roman"/>
          <w:sz w:val="28"/>
          <w:szCs w:val="28"/>
        </w:rPr>
        <w:t xml:space="preserve">En cuarto lugar, la reglamentación debe asegurar que </w:t>
      </w:r>
      <w:r w:rsidRPr="007C57D2">
        <w:rPr>
          <w:rFonts w:ascii="Times New Roman" w:hAnsi="Times New Roman"/>
          <w:sz w:val="28"/>
          <w:szCs w:val="28"/>
        </w:rPr>
        <w:t>los procedimientos y requisitos para el funcionamiento de la Alerta Colombia respeten los principios de eficacia, eficiencia, celeridad y economía, en los términos del artículo 209 de la Constitució</w:t>
      </w:r>
      <w:r w:rsidRPr="007C57D2">
        <w:rPr>
          <w:rFonts w:ascii="Times New Roman" w:hAnsi="Times New Roman"/>
          <w:sz w:val="28"/>
          <w:szCs w:val="28"/>
        </w:rPr>
        <w:t xml:space="preserve">n Política. Por lo tanto, deberá buscarse la maximización de sus resultados con el menor costo posible, </w:t>
      </w:r>
      <w:r w:rsidRPr="007C57D2">
        <w:rPr>
          <w:rFonts w:ascii="Times New Roman" w:hAnsi="Times New Roman"/>
          <w:sz w:val="28"/>
          <w:szCs w:val="28"/>
        </w:rPr>
        <w:t>en el evento de que implique erogaciones</w:t>
      </w:r>
      <w:r w:rsidRPr="007C57D2">
        <w:rPr>
          <w:rStyle w:val="Refdenotaalpie"/>
          <w:rFonts w:ascii="Times New Roman" w:hAnsi="Times New Roman"/>
          <w:sz w:val="28"/>
          <w:szCs w:val="28"/>
        </w:rPr>
        <w:footnoteReference w:id="678"/>
      </w:r>
      <w:r w:rsidRPr="007C57D2">
        <w:rPr>
          <w:rFonts w:ascii="Times New Roman" w:hAnsi="Times New Roman"/>
          <w:sz w:val="28"/>
          <w:szCs w:val="28"/>
        </w:rPr>
        <w:t xml:space="preserve">, </w:t>
      </w:r>
      <w:r w:rsidRPr="007C57D2">
        <w:rPr>
          <w:rFonts w:ascii="Times New Roman" w:hAnsi="Times New Roman"/>
          <w:sz w:val="28"/>
          <w:szCs w:val="28"/>
        </w:rPr>
        <w:t xml:space="preserve">teniendo en cuenta que es una medida que </w:t>
      </w:r>
      <w:r w:rsidRPr="007C57D2">
        <w:rPr>
          <w:rFonts w:ascii="Times New Roman" w:hAnsi="Times New Roman"/>
          <w:sz w:val="28"/>
          <w:szCs w:val="28"/>
        </w:rPr>
        <w:t xml:space="preserve">podría implicar </w:t>
      </w:r>
      <w:r w:rsidRPr="007C57D2">
        <w:rPr>
          <w:rFonts w:ascii="Times New Roman" w:hAnsi="Times New Roman"/>
          <w:sz w:val="28"/>
          <w:szCs w:val="28"/>
        </w:rPr>
        <w:t>esfuerzos y recursos de entidades estatales y partic</w:t>
      </w:r>
      <w:r w:rsidRPr="007C57D2">
        <w:rPr>
          <w:rFonts w:ascii="Times New Roman" w:hAnsi="Times New Roman"/>
          <w:sz w:val="28"/>
          <w:szCs w:val="28"/>
        </w:rPr>
        <w:t xml:space="preserve">ulares que deben actuar de forma articulada y coordinada. </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szCs w:val="28"/>
        </w:rPr>
      </w:pPr>
      <w:r w:rsidRPr="007C57D2">
        <w:rPr>
          <w:rFonts w:ascii="Times New Roman" w:hAnsi="Times New Roman"/>
          <w:sz w:val="28"/>
          <w:szCs w:val="28"/>
        </w:rPr>
        <w:t xml:space="preserve">Finalmente, en quinto lugar, la reglamentación debe garantizar que la difusión y divulgación de la Alerta Colombia por distintos canales o medios no afecte la eficiencia en la prestación de algún </w:t>
      </w:r>
      <w:r w:rsidRPr="007C57D2">
        <w:rPr>
          <w:rFonts w:ascii="Times New Roman" w:hAnsi="Times New Roman"/>
          <w:sz w:val="28"/>
          <w:szCs w:val="28"/>
        </w:rPr>
        <w:t>servicio público, de acuerdo con el artículo 365 de la Constitución. La Sala Plena advierte que la implementación de la Alerta Colombia podría impactar los derechos de los usuarios del servicio público de telecomunicaciones.</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hAnsi="Times New Roman"/>
          <w:sz w:val="28"/>
          <w:szCs w:val="28"/>
        </w:rPr>
      </w:pPr>
      <w:r w:rsidRPr="007C57D2">
        <w:rPr>
          <w:rFonts w:ascii="Times New Roman" w:hAnsi="Times New Roman"/>
          <w:sz w:val="28"/>
          <w:szCs w:val="28"/>
        </w:rPr>
        <w:t>De una parte, y según lo señal</w:t>
      </w:r>
      <w:r w:rsidRPr="007C57D2">
        <w:rPr>
          <w:rFonts w:ascii="Times New Roman" w:hAnsi="Times New Roman"/>
          <w:sz w:val="28"/>
          <w:szCs w:val="28"/>
        </w:rPr>
        <w:t>a la CRC, el tamaño de los mensajes de alerta que sean difundidos masivamente puede generar congestiones en las redes de telecomunicaciones móviles y degradar la calidad de su acceso. Por otro lado, y como consecuencia de las cifras alarmantes sobre desapa</w:t>
      </w:r>
      <w:r w:rsidRPr="007C57D2">
        <w:rPr>
          <w:rFonts w:ascii="Times New Roman" w:hAnsi="Times New Roman"/>
          <w:sz w:val="28"/>
          <w:szCs w:val="28"/>
        </w:rPr>
        <w:t>riciones y extravíos de NNA en Colombia, la activación del mecanismo previsto en el PLE puede implicar el envío de alertas que impidan el uso de dispositivos móviles durante el tiempo en el que aparezca en las pantallas sin la posibilidad de borrarse, de a</w:t>
      </w:r>
      <w:r w:rsidRPr="007C57D2">
        <w:rPr>
          <w:rFonts w:ascii="Times New Roman" w:hAnsi="Times New Roman"/>
          <w:sz w:val="28"/>
          <w:szCs w:val="28"/>
        </w:rPr>
        <w:t xml:space="preserve">cuerdo con su artículo 10.e. </w:t>
      </w:r>
    </w:p>
    <w:p w:rsidR="001E19D5" w:rsidRPr="007C57D2" w:rsidRDefault="007C57D2" w:rsidP="008F3DAB">
      <w:pPr>
        <w:pStyle w:val="Prrafodelista"/>
        <w:tabs>
          <w:tab w:val="left" w:pos="567"/>
        </w:tabs>
        <w:ind w:left="0"/>
        <w:jc w:val="both"/>
        <w:rPr>
          <w:rFonts w:ascii="Times New Roman" w:hAnsi="Times New Roman"/>
          <w:sz w:val="28"/>
          <w:szCs w:val="28"/>
        </w:rPr>
      </w:pPr>
    </w:p>
    <w:p w:rsidR="001E19D5" w:rsidRPr="007C57D2" w:rsidRDefault="007C57D2" w:rsidP="008F3DAB">
      <w:pPr>
        <w:pStyle w:val="Prrafodelista"/>
        <w:numPr>
          <w:ilvl w:val="0"/>
          <w:numId w:val="3"/>
        </w:numPr>
        <w:tabs>
          <w:tab w:val="left" w:pos="567"/>
        </w:tabs>
        <w:ind w:left="0" w:firstLine="0"/>
        <w:jc w:val="both"/>
        <w:rPr>
          <w:rFonts w:ascii="Times New Roman" w:eastAsia="Calibri" w:hAnsi="Times New Roman"/>
          <w:sz w:val="28"/>
        </w:rPr>
      </w:pPr>
      <w:r w:rsidRPr="007C57D2">
        <w:rPr>
          <w:rFonts w:ascii="Times New Roman" w:hAnsi="Times New Roman"/>
          <w:sz w:val="28"/>
          <w:szCs w:val="28"/>
        </w:rPr>
        <w:t>En consecuencia, la intensidad de la restricción del acceso al servicio público de telecomunicaciones a partir de estos factores es un asunto que no se deriva de las normas analizadas, sino que dependerá de las característica</w:t>
      </w:r>
      <w:r w:rsidRPr="007C57D2">
        <w:rPr>
          <w:rFonts w:ascii="Times New Roman" w:hAnsi="Times New Roman"/>
          <w:sz w:val="28"/>
          <w:szCs w:val="28"/>
        </w:rPr>
        <w:t>s y la cantidad de mensajes que sean enviados en cada caso. De este modo, no puede considerarse como una cuestión que afecte la idoneidad potencial de la Alerta Colombia para la búsqueda y localización de NNA desaparecidos o extraviados. Por lo tanto, y si</w:t>
      </w:r>
      <w:r w:rsidRPr="007C57D2">
        <w:rPr>
          <w:rFonts w:ascii="Times New Roman" w:hAnsi="Times New Roman"/>
          <w:sz w:val="28"/>
          <w:szCs w:val="28"/>
        </w:rPr>
        <w:t>n perjuicio de que la exigencia de difundir la Alerta Colombia a través de las redes de telecomunicaciones es una medida legítima fundamentada en el interés superior de la niñez y en el principio de solidaridad, la reglamentación que adopte el gobierno nac</w:t>
      </w:r>
      <w:r w:rsidRPr="007C57D2">
        <w:rPr>
          <w:rFonts w:ascii="Times New Roman" w:hAnsi="Times New Roman"/>
          <w:sz w:val="28"/>
          <w:szCs w:val="28"/>
        </w:rPr>
        <w:t>ional para su implementación deberá garantizar que no se generen suspensiones o restricciones absolutas a los derechos de los usuarios de este servicio público.</w:t>
      </w:r>
    </w:p>
    <w:p w:rsidR="001E19D5" w:rsidRPr="007C57D2" w:rsidRDefault="007C57D2" w:rsidP="008F3DAB">
      <w:pPr>
        <w:pStyle w:val="Prrafodelista"/>
        <w:tabs>
          <w:tab w:val="left" w:pos="567"/>
        </w:tabs>
        <w:ind w:left="0"/>
        <w:jc w:val="both"/>
        <w:rPr>
          <w:rFonts w:ascii="Times New Roman" w:eastAsia="Calibri" w:hAnsi="Times New Roman"/>
          <w:sz w:val="28"/>
          <w:szCs w:val="28"/>
        </w:rPr>
      </w:pPr>
    </w:p>
    <w:p w:rsidR="001E19D5" w:rsidRPr="007C57D2" w:rsidRDefault="007C57D2" w:rsidP="008F3DAB">
      <w:pPr>
        <w:spacing w:after="0" w:line="240" w:lineRule="auto"/>
        <w:rPr>
          <w:rFonts w:ascii="Times New Roman" w:hAnsi="Times New Roman"/>
          <w:sz w:val="28"/>
        </w:rPr>
      </w:pPr>
    </w:p>
    <w:p w:rsidR="001E19D5" w:rsidRPr="007C57D2" w:rsidRDefault="007C57D2" w:rsidP="008F3DAB">
      <w:pPr>
        <w:pStyle w:val="Prrafodelista"/>
        <w:numPr>
          <w:ilvl w:val="0"/>
          <w:numId w:val="18"/>
        </w:numPr>
        <w:tabs>
          <w:tab w:val="left" w:pos="1276"/>
        </w:tabs>
        <w:ind w:left="567" w:firstLine="0"/>
        <w:jc w:val="both"/>
        <w:rPr>
          <w:rFonts w:ascii="Times New Roman" w:hAnsi="Times New Roman"/>
          <w:b/>
          <w:sz w:val="28"/>
          <w:szCs w:val="28"/>
        </w:rPr>
      </w:pPr>
      <w:r w:rsidRPr="007C57D2">
        <w:rPr>
          <w:rFonts w:ascii="Times New Roman" w:hAnsi="Times New Roman"/>
          <w:b/>
          <w:sz w:val="28"/>
          <w:szCs w:val="28"/>
        </w:rPr>
        <w:t>Divulgación de datos de niños y niñas</w:t>
      </w:r>
    </w:p>
    <w:p w:rsidR="001E19D5" w:rsidRPr="007C57D2" w:rsidRDefault="007C57D2" w:rsidP="008F3DAB">
      <w:pPr>
        <w:spacing w:after="0" w:line="240" w:lineRule="auto"/>
        <w:jc w:val="both"/>
        <w:rPr>
          <w:rFonts w:ascii="Times New Roman" w:hAnsi="Times New Roman"/>
          <w:b/>
          <w:b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lang w:val="es-ES"/>
        </w:rPr>
        <w:t>Alcance de las normas analizadas</w:t>
      </w:r>
      <w:r w:rsidRPr="007C57D2">
        <w:rPr>
          <w:rFonts w:ascii="Times New Roman" w:hAnsi="Times New Roman"/>
          <w:sz w:val="28"/>
          <w:szCs w:val="28"/>
          <w:lang w:val="es-ES"/>
        </w:rPr>
        <w:t xml:space="preserve">. El artículo 6° del PLE dispone en sus literales a), b), c), d), e), f), g) y h) que la Alerta Colombia será </w:t>
      </w:r>
      <w:r w:rsidRPr="007C57D2">
        <w:rPr>
          <w:rFonts w:ascii="Times New Roman" w:hAnsi="Times New Roman"/>
          <w:sz w:val="28"/>
          <w:szCs w:val="28"/>
        </w:rPr>
        <w:t>enviada a todos los teléfonos móviles que se encuentren en la zona donde se extravió el niño o niña, con los siguientes datos: (i) fecha exacta en</w:t>
      </w:r>
      <w:r w:rsidRPr="007C57D2">
        <w:rPr>
          <w:rFonts w:ascii="Times New Roman" w:hAnsi="Times New Roman"/>
          <w:sz w:val="28"/>
          <w:szCs w:val="28"/>
        </w:rPr>
        <w:t xml:space="preserve"> la que se extravió el niño o niña; (ii) número telefónico dispuesto por las autoridades; (iii) número telefónico de los familiares; (iv) ciudad o municipio, localidad, departamento o distrito; (v) zona donde se extravió el niño o niña; (vi) vestimenta del</w:t>
      </w:r>
      <w:r w:rsidRPr="007C57D2">
        <w:rPr>
          <w:rFonts w:ascii="Times New Roman" w:hAnsi="Times New Roman"/>
          <w:sz w:val="28"/>
          <w:szCs w:val="28"/>
        </w:rPr>
        <w:t xml:space="preserve"> niño o niña extraviado; (vii) fotografía actualizada del niño o niña que permita su individualización y (viii) cualquier otra información que sirva para identificar y localizar al niño o niña extraviado.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Además, para efectos de la divulgación, en el par</w:t>
      </w:r>
      <w:r w:rsidRPr="007C57D2">
        <w:rPr>
          <w:rFonts w:ascii="Times New Roman" w:hAnsi="Times New Roman"/>
          <w:sz w:val="28"/>
          <w:szCs w:val="28"/>
          <w:lang w:val="es-ES"/>
        </w:rPr>
        <w:t xml:space="preserve">ágrafo 3° se establece que el ICBF dispondrá de seis meses para incluir “en su página web oficial una ventana denominada Alerta Colombia, con miras a que los ciudadanos tengan acceso a la misma y puedan verificar las alertas activas”.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su parte, el ar</w:t>
      </w:r>
      <w:r w:rsidRPr="007C57D2">
        <w:rPr>
          <w:rFonts w:ascii="Times New Roman" w:hAnsi="Times New Roman"/>
          <w:sz w:val="28"/>
          <w:szCs w:val="28"/>
        </w:rPr>
        <w:t>tículo 10 prevé el procedimiento para la difusión de la Alerta Colombia. En el literal e) se establece el tiempo durante el cual la alerta deberá cubrir la pantalla de los celulares y el espacio que deberá ocupar la fotografía del niño o niña en los dispos</w:t>
      </w:r>
      <w:r w:rsidRPr="007C57D2">
        <w:rPr>
          <w:rFonts w:ascii="Times New Roman" w:hAnsi="Times New Roman"/>
          <w:sz w:val="28"/>
          <w:szCs w:val="28"/>
        </w:rPr>
        <w:t xml:space="preserve">itivos móviles. Adicionalmente, el PLE exige que se impide la posibilidad de que el usuario la elimine antes de cumplido el tiempo mínimo allí previsto.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su parágrafo 3° la norma dispone que la alerta deberá ser activada “de conformidad con el juicio r</w:t>
      </w:r>
      <w:r w:rsidRPr="007C57D2">
        <w:rPr>
          <w:rFonts w:ascii="Times New Roman" w:hAnsi="Times New Roman"/>
          <w:sz w:val="28"/>
          <w:szCs w:val="28"/>
        </w:rPr>
        <w:t>azonable de las instancias competentes” y que deberá atender al interés superior de los niños y niñas; su activación “se realizará sin anteponer prejuicios y valores personales, o cualquier otro acto de discriminación” y la información “será administrada b</w:t>
      </w:r>
      <w:r w:rsidRPr="007C57D2">
        <w:rPr>
          <w:rFonts w:ascii="Times New Roman" w:hAnsi="Times New Roman"/>
          <w:sz w:val="28"/>
          <w:szCs w:val="28"/>
        </w:rPr>
        <w:t>ajo las condiciones de seguridad necesarias para impedir su consulta, uso o acceso no autorizado”.</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Finalmente, el parágrafo del artículo 11 dispone que el Ministerio de las Tecnologías de la Información y las Comunicaciones, en coordinación con el Institu</w:t>
      </w:r>
      <w:r w:rsidRPr="007C57D2">
        <w:rPr>
          <w:rFonts w:ascii="Times New Roman" w:hAnsi="Times New Roman"/>
          <w:sz w:val="28"/>
          <w:szCs w:val="28"/>
        </w:rPr>
        <w:t>to Colombiano de Bienestar Familiar y la Policía Nacional, deberá articular con los sujetos descritos en el artículo 6 -es decir los proveedores de redes y servicios de telecomunicación-, el protocolo de difusión de la Alerta Colombia en el país.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La Defen</w:t>
      </w:r>
      <w:r w:rsidRPr="007C57D2">
        <w:rPr>
          <w:rFonts w:ascii="Times New Roman" w:hAnsi="Times New Roman"/>
          <w:sz w:val="28"/>
          <w:szCs w:val="28"/>
        </w:rPr>
        <w:t>soría del Pueblo, el Semillero de Derechos Humanos y Derecho Internacional Humanitario “Antônio Cançado Trindade” de la Universidad Católica de Colombia, la Universidad Industrial de Santander, la Universidad del Norte y la Universidad Católica de Colombia</w:t>
      </w:r>
      <w:r w:rsidRPr="007C57D2">
        <w:rPr>
          <w:rFonts w:ascii="Times New Roman" w:hAnsi="Times New Roman"/>
          <w:sz w:val="28"/>
          <w:szCs w:val="28"/>
        </w:rPr>
        <w:t xml:space="preserve"> coincidieron en que el diseño y puesta en marcha del sistema de alertas públicas puede afectar de forma desproporcionada los derechos fundamentales de los niños y niñas a la intimidad, a la imagen y al habeas data, si no se establecen límites en la forma,</w:t>
      </w:r>
      <w:r w:rsidRPr="007C57D2">
        <w:rPr>
          <w:rFonts w:ascii="Times New Roman" w:hAnsi="Times New Roman"/>
          <w:sz w:val="28"/>
          <w:szCs w:val="28"/>
        </w:rPr>
        <w:t xml:space="preserve"> frecuencia y alcance de la divulgación masiva de datos personales. </w:t>
      </w:r>
    </w:p>
    <w:p w:rsidR="001E19D5" w:rsidRPr="007C57D2" w:rsidRDefault="007C57D2" w:rsidP="008F3DAB">
      <w:pPr>
        <w:pStyle w:val="Prrafodelista"/>
        <w:rPr>
          <w:rFonts w:ascii="Times New Roman" w:hAnsi="Times New Roman"/>
          <w:b/>
          <w:b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Consideraciones de la Corte.</w:t>
      </w:r>
      <w:r w:rsidRPr="007C57D2">
        <w:rPr>
          <w:rFonts w:ascii="Times New Roman" w:hAnsi="Times New Roman"/>
          <w:sz w:val="28"/>
          <w:szCs w:val="28"/>
        </w:rPr>
        <w:t xml:space="preserve"> Tomando en consideración lo planteado por los intervinientes, la Corte realizará un </w:t>
      </w:r>
      <w:r w:rsidRPr="007C57D2">
        <w:rPr>
          <w:rFonts w:ascii="Times New Roman" w:hAnsi="Times New Roman"/>
          <w:i/>
          <w:iCs/>
          <w:sz w:val="28"/>
          <w:szCs w:val="28"/>
        </w:rPr>
        <w:t>test estricto de proporcionalidad</w:t>
      </w:r>
      <w:r w:rsidRPr="007C57D2">
        <w:rPr>
          <w:rFonts w:ascii="Times New Roman" w:hAnsi="Times New Roman"/>
          <w:sz w:val="28"/>
          <w:szCs w:val="28"/>
        </w:rPr>
        <w:t xml:space="preserve"> en el que se analizarán los derechos fu</w:t>
      </w:r>
      <w:r w:rsidRPr="007C57D2">
        <w:rPr>
          <w:rFonts w:ascii="Times New Roman" w:hAnsi="Times New Roman"/>
          <w:sz w:val="28"/>
          <w:szCs w:val="28"/>
        </w:rPr>
        <w:t>ndamentales en tensión; por un lado, el derecho a la integridad personal de los niños y niñas y, por otro, los derechos a la intimidad, a la imagen y al habeas data. Ello, en la medida en que el test de intensidad estricta aplica cuando el medio empleado p</w:t>
      </w:r>
      <w:r w:rsidRPr="007C57D2">
        <w:rPr>
          <w:rFonts w:ascii="Times New Roman" w:hAnsi="Times New Roman"/>
          <w:sz w:val="28"/>
          <w:szCs w:val="28"/>
        </w:rPr>
        <w:t>or el legislador tiene la potencialidad de afectar el goce de un derecho constitucional fundamental; como los que serán objeto de análisis, a continuación</w:t>
      </w:r>
      <w:r w:rsidRPr="007C57D2">
        <w:rPr>
          <w:rFonts w:ascii="Times New Roman" w:hAnsi="Times New Roman"/>
          <w:sz w:val="28"/>
          <w:szCs w:val="28"/>
          <w:vertAlign w:val="superscript"/>
        </w:rPr>
        <w:footnoteReference w:id="679"/>
      </w:r>
      <w:r w:rsidRPr="007C57D2">
        <w:rPr>
          <w:rFonts w:ascii="Times New Roman" w:hAnsi="Times New Roman"/>
          <w:sz w:val="28"/>
          <w:szCs w:val="28"/>
        </w:rPr>
        <w:t xml:space="preserv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 xml:space="preserve">Para estos efectos, se determinará si: (i) las medidas adoptadas por el legislador persiguen un </w:t>
      </w:r>
      <w:r w:rsidRPr="007C57D2">
        <w:rPr>
          <w:rFonts w:ascii="Times New Roman" w:hAnsi="Times New Roman"/>
          <w:sz w:val="28"/>
          <w:szCs w:val="28"/>
          <w:lang w:val="es-ES"/>
        </w:rPr>
        <w:t>fin legítimo,</w:t>
      </w:r>
      <w:r w:rsidRPr="007C57D2">
        <w:rPr>
          <w:rFonts w:ascii="Times New Roman" w:hAnsi="Times New Roman"/>
          <w:sz w:val="28"/>
          <w:szCs w:val="28"/>
        </w:rPr>
        <w:t xml:space="preserve"> importante e imperioso; (ii) los medios escogidos son adecuados y efectivamente conducentes; (iii) los medios son necesarios, es decir que no pueden ser reemplazados por unos menos lesivos; y (iv) los beneficios que generan las medidas excede</w:t>
      </w:r>
      <w:r w:rsidRPr="007C57D2">
        <w:rPr>
          <w:rFonts w:ascii="Times New Roman" w:hAnsi="Times New Roman"/>
          <w:sz w:val="28"/>
          <w:szCs w:val="28"/>
        </w:rPr>
        <w:t>n claramente las restricciones impuestas sobre otros principios y valores constitucionales</w:t>
      </w:r>
      <w:r w:rsidRPr="007C57D2">
        <w:rPr>
          <w:rFonts w:ascii="Times New Roman" w:hAnsi="Times New Roman"/>
          <w:sz w:val="28"/>
          <w:szCs w:val="28"/>
          <w:vertAlign w:val="superscript"/>
        </w:rPr>
        <w:footnoteReference w:id="680"/>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Finalidad.</w:t>
      </w:r>
      <w:r w:rsidRPr="007C57D2">
        <w:rPr>
          <w:rFonts w:ascii="Times New Roman" w:hAnsi="Times New Roman"/>
          <w:sz w:val="28"/>
          <w:szCs w:val="28"/>
        </w:rPr>
        <w:t xml:space="preserve"> En primer lugar, con la divulgación de la información que sirva para identificar al niño o niña extraviado y su publicación en la página web del ICBF, </w:t>
      </w:r>
      <w:r w:rsidRPr="007C57D2">
        <w:rPr>
          <w:rFonts w:ascii="Times New Roman" w:hAnsi="Times New Roman"/>
          <w:sz w:val="28"/>
          <w:szCs w:val="28"/>
        </w:rPr>
        <w:t>se busca lograr su búsqueda, localización y recuperación inmediata; propósitos que también persigue la fijación de un procedimiento para la activación de la Alerta y la creación de un protocolo de difusión.</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ese sentido, las normas bajo análisis propend</w:t>
      </w:r>
      <w:r w:rsidRPr="007C57D2">
        <w:rPr>
          <w:rFonts w:ascii="Times New Roman" w:hAnsi="Times New Roman"/>
          <w:sz w:val="28"/>
          <w:szCs w:val="28"/>
        </w:rPr>
        <w:t>en por la garantía del interés superior de los niños y niñas, y por la prevalencia de sus derechos; principios de raigambre constitucional que guían las actuaciones del Estado y de la sociedad en general, derivados del artículo 44 de la Constitución Políti</w:t>
      </w:r>
      <w:r w:rsidRPr="007C57D2">
        <w:rPr>
          <w:rFonts w:ascii="Times New Roman" w:hAnsi="Times New Roman"/>
          <w:sz w:val="28"/>
          <w:szCs w:val="28"/>
        </w:rPr>
        <w:t>ca y de varios instrumentos internacionales que integran el bloque de constitucionalidad, como la Convención sobre los Derechos del Niño, la Declaración Universal de Derechos Humanos y la Declaración Americana de los Derechos y Deberes del Hombre, entre ot</w:t>
      </w:r>
      <w:r w:rsidRPr="007C57D2">
        <w:rPr>
          <w:rFonts w:ascii="Times New Roman" w:hAnsi="Times New Roman"/>
          <w:sz w:val="28"/>
          <w:szCs w:val="28"/>
        </w:rPr>
        <w:t xml:space="preserve">ros.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cumplimiento de tales mandatos, esta Corporación ha considerado que resulta “imperativo resguardar a los menores de edad de todo tipo de riesgos prohibidos que puedan amenazar o perturbar su integridad y su proceso de desarrollo armónico”</w:t>
      </w:r>
      <w:r w:rsidRPr="007C57D2">
        <w:rPr>
          <w:rFonts w:ascii="Times New Roman" w:hAnsi="Times New Roman"/>
          <w:sz w:val="28"/>
          <w:szCs w:val="28"/>
          <w:vertAlign w:val="superscript"/>
        </w:rPr>
        <w:footnoteReference w:id="681"/>
      </w:r>
      <w:r w:rsidRPr="007C57D2">
        <w:rPr>
          <w:rFonts w:ascii="Times New Roman" w:hAnsi="Times New Roman"/>
          <w:sz w:val="28"/>
          <w:szCs w:val="28"/>
        </w:rPr>
        <w:t>. Algun</w:t>
      </w:r>
      <w:r w:rsidRPr="007C57D2">
        <w:rPr>
          <w:rFonts w:ascii="Times New Roman" w:hAnsi="Times New Roman"/>
          <w:sz w:val="28"/>
          <w:szCs w:val="28"/>
        </w:rPr>
        <w:t>os de estos riesgos fueron previstos en los artículos 12, 13, 17, 28, 42 y 44 de la Constitución Política que prohíben la tortura y los tratos crueles, inhumanos o degradantes; la esclavitud, la servidumbre y la trata; ser molestados en su persona o su fam</w:t>
      </w:r>
      <w:r w:rsidRPr="007C57D2">
        <w:rPr>
          <w:rFonts w:ascii="Times New Roman" w:hAnsi="Times New Roman"/>
          <w:sz w:val="28"/>
          <w:szCs w:val="28"/>
        </w:rPr>
        <w:t>ilia; cualquier forma de violencia intrafamiliar; toda forma de abandono; todo tipo de violencia física o moral; el secuestro en todas sus modalidades; cualquier forma de venta; todo tipo de abuso sexual; cualquier forma de explotación laboral; toda explot</w:t>
      </w:r>
      <w:r w:rsidRPr="007C57D2">
        <w:rPr>
          <w:rFonts w:ascii="Times New Roman" w:hAnsi="Times New Roman"/>
          <w:sz w:val="28"/>
          <w:szCs w:val="28"/>
        </w:rPr>
        <w:t>ación económica y cualquier trabajo riesgoso.</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ese sentido y en virtud de la Convención sobre los Derechos de los Niños, el Estado adquirió obligaciones de protección y garantía de los derechos de los NNA, como la de adoptar todas las medidas administra</w:t>
      </w:r>
      <w:r w:rsidRPr="007C57D2">
        <w:rPr>
          <w:rFonts w:ascii="Times New Roman" w:hAnsi="Times New Roman"/>
          <w:sz w:val="28"/>
          <w:szCs w:val="28"/>
        </w:rPr>
        <w:t>tivas, legislativas y de cualquier otra índole necesarias para la efectividad de sus derechos, y la de proteger y dar asistencia a los que han sido separados temporal o permanentemente de su medio familiar</w:t>
      </w:r>
      <w:r w:rsidRPr="007C57D2">
        <w:rPr>
          <w:rFonts w:ascii="Times New Roman" w:hAnsi="Times New Roman"/>
          <w:sz w:val="28"/>
          <w:szCs w:val="28"/>
          <w:vertAlign w:val="superscript"/>
        </w:rPr>
        <w:footnoteReference w:id="682"/>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Teniendo en cuenta las anteriores </w:t>
      </w:r>
      <w:r w:rsidRPr="007C57D2">
        <w:rPr>
          <w:rFonts w:ascii="Times New Roman" w:hAnsi="Times New Roman"/>
          <w:sz w:val="28"/>
          <w:szCs w:val="28"/>
        </w:rPr>
        <w:t>consideraciones, se estima que las medidas legislativas objeto de análisis persiguen una finalidad legítima, importante e imperiosa; pues no solo se ajustan a los postulados constitucionales en la materia, sino que los desarrollan ampliamente.</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Idoneidad.</w:t>
      </w:r>
      <w:r w:rsidRPr="007C57D2">
        <w:rPr>
          <w:rFonts w:ascii="Times New Roman" w:hAnsi="Times New Roman"/>
          <w:sz w:val="28"/>
          <w:szCs w:val="28"/>
        </w:rPr>
        <w:t xml:space="preserve"> </w:t>
      </w:r>
      <w:r w:rsidRPr="007C57D2">
        <w:rPr>
          <w:rFonts w:ascii="Times New Roman" w:hAnsi="Times New Roman"/>
          <w:sz w:val="28"/>
          <w:szCs w:val="28"/>
        </w:rPr>
        <w:t xml:space="preserve">En segundo lugar, la divulgación y publicación de información que permita la identificación de niños y niñas en condición de extravío constituye una herramienta de incuestionable eficacia para el cumplimiento de los fines superiores que persigue la norma. </w:t>
      </w:r>
      <w:r w:rsidRPr="007C57D2">
        <w:rPr>
          <w:rFonts w:ascii="Times New Roman" w:hAnsi="Times New Roman"/>
          <w:sz w:val="28"/>
          <w:szCs w:val="28"/>
        </w:rPr>
        <w:t>En efecto, la precisión en los datos relativos a la fecha exacta del extravío, los números de contacto habilitados por las autoridades competentes y los familiares, la ciudad o municipio, así como la zona específica donde ocurrió el hecho, la descripción d</w:t>
      </w:r>
      <w:r w:rsidRPr="007C57D2">
        <w:rPr>
          <w:rFonts w:ascii="Times New Roman" w:hAnsi="Times New Roman"/>
          <w:sz w:val="28"/>
          <w:szCs w:val="28"/>
        </w:rPr>
        <w:t xml:space="preserve">e la vestimenta del </w:t>
      </w:r>
      <w:r w:rsidRPr="007C57D2">
        <w:rPr>
          <w:rFonts w:ascii="Times New Roman" w:hAnsi="Times New Roman"/>
          <w:sz w:val="28"/>
          <w:szCs w:val="28"/>
        </w:rPr>
        <w:t>NNA</w:t>
      </w:r>
      <w:r w:rsidRPr="007C57D2">
        <w:rPr>
          <w:rFonts w:ascii="Times New Roman" w:hAnsi="Times New Roman"/>
          <w:sz w:val="28"/>
          <w:szCs w:val="28"/>
        </w:rPr>
        <w:t xml:space="preserve"> y la inclusión de una fotografía actualizada, conforman un conjunto de elementos que, articulados adecuadamente, favorecen de manera significativa su pronta identificación y eventual localización.</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Asimismo, resulta particularmente </w:t>
      </w:r>
      <w:r w:rsidRPr="007C57D2">
        <w:rPr>
          <w:rFonts w:ascii="Times New Roman" w:hAnsi="Times New Roman"/>
          <w:sz w:val="28"/>
          <w:szCs w:val="28"/>
        </w:rPr>
        <w:t xml:space="preserve">relevante la disposición que permite la difusión de la imagen del </w:t>
      </w:r>
      <w:r w:rsidRPr="007C57D2">
        <w:rPr>
          <w:rFonts w:ascii="Times New Roman" w:hAnsi="Times New Roman"/>
          <w:sz w:val="28"/>
          <w:szCs w:val="28"/>
        </w:rPr>
        <w:t xml:space="preserve">NNA </w:t>
      </w:r>
      <w:r w:rsidRPr="007C57D2">
        <w:rPr>
          <w:rFonts w:ascii="Times New Roman" w:hAnsi="Times New Roman"/>
          <w:sz w:val="28"/>
          <w:szCs w:val="28"/>
        </w:rPr>
        <w:t>extraviado en dispositivos móviles, impidiendo su eliminación por parte de los usuarios antes de que transcurra el tiempo mínimo establecido por la normativa. Esta medida no solo amplifi</w:t>
      </w:r>
      <w:r w:rsidRPr="007C57D2">
        <w:rPr>
          <w:rFonts w:ascii="Times New Roman" w:hAnsi="Times New Roman"/>
          <w:sz w:val="28"/>
          <w:szCs w:val="28"/>
        </w:rPr>
        <w:t>ca el alcance de la búsqueda, sino que fortalece el compromiso colectivo en la protección de los derechos fundamentales de la infancia.</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Por otra parte, si bien el parágrafo 3° del artículo 10 no impide por sí mismo el acceso, uso o consulta no autorizada </w:t>
      </w:r>
      <w:r w:rsidRPr="007C57D2">
        <w:rPr>
          <w:rFonts w:ascii="Times New Roman" w:hAnsi="Times New Roman"/>
          <w:sz w:val="28"/>
          <w:szCs w:val="28"/>
        </w:rPr>
        <w:t>de la información, sí contribuye de manera efectiva a la protección de dichos datos al exigir su administración bajo estrictos criterios de seguridad y razonabilidad. Esta exigencia se orienta, en todo momento, a garantizar la prevalencia de los derechos d</w:t>
      </w:r>
      <w:r w:rsidRPr="007C57D2">
        <w:rPr>
          <w:rFonts w:ascii="Times New Roman" w:hAnsi="Times New Roman"/>
          <w:sz w:val="28"/>
          <w:szCs w:val="28"/>
        </w:rPr>
        <w:t>e los niños y niñas, conforme al principio de interés superior que rige en esta materia.</w:t>
      </w:r>
      <w:r w:rsidRPr="007C57D2">
        <w:rPr>
          <w:rFonts w:ascii="Times New Roman" w:hAnsi="Times New Roman"/>
          <w:sz w:val="28"/>
          <w:szCs w:val="28"/>
        </w:rPr>
        <w:t xml:space="preserve"> Es importante destacar que según este parágrafo, la Alerta no se activa de manera automática en todos los casos. Antes de hacerlo, las autoridades competentes deben re</w:t>
      </w:r>
      <w:r w:rsidRPr="007C57D2">
        <w:rPr>
          <w:rFonts w:ascii="Times New Roman" w:hAnsi="Times New Roman"/>
          <w:sz w:val="28"/>
          <w:szCs w:val="28"/>
        </w:rPr>
        <w:t>alizar un “juicio razonable” y decidir atendiendo al interés superior del niño o la niña. Esto implica que, según las particularidades del caso, incluso puede concluirse que lo más conveniente es no activar la alerta.</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último, la creación de un protoco</w:t>
      </w:r>
      <w:r w:rsidRPr="007C57D2">
        <w:rPr>
          <w:rFonts w:ascii="Times New Roman" w:hAnsi="Times New Roman"/>
          <w:sz w:val="28"/>
          <w:szCs w:val="28"/>
        </w:rPr>
        <w:t xml:space="preserve">lo de difusión de la Alerta Colombia en el país es una herramienta que contribuye a su efectiva materialización, si se entiende que un protocolo es una hoja de ruta que incluye reglas, procedimientos y criterios para su implementación.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En consecuencia, </w:t>
      </w:r>
      <w:r w:rsidRPr="007C57D2">
        <w:rPr>
          <w:rFonts w:ascii="Times New Roman" w:hAnsi="Times New Roman"/>
          <w:sz w:val="28"/>
          <w:szCs w:val="28"/>
        </w:rPr>
        <w:t>l</w:t>
      </w:r>
      <w:r w:rsidRPr="007C57D2">
        <w:rPr>
          <w:rFonts w:ascii="Times New Roman" w:hAnsi="Times New Roman"/>
          <w:sz w:val="28"/>
          <w:szCs w:val="28"/>
        </w:rPr>
        <w:t xml:space="preserve">a divulgación de los datos personales de los niños, niñas y adolescentes extraviados y la habilitación de un sitio web que centralice esta información son </w:t>
      </w:r>
      <w:r w:rsidRPr="007C57D2">
        <w:rPr>
          <w:rFonts w:ascii="Times New Roman" w:hAnsi="Times New Roman"/>
          <w:sz w:val="28"/>
          <w:szCs w:val="28"/>
        </w:rPr>
        <w:t>medidas objeto de análisis se revelan como idóneas y efectivamente conducentes para la realización de</w:t>
      </w:r>
      <w:r w:rsidRPr="007C57D2">
        <w:rPr>
          <w:rFonts w:ascii="Times New Roman" w:hAnsi="Times New Roman"/>
          <w:sz w:val="28"/>
          <w:szCs w:val="28"/>
        </w:rPr>
        <w:t xml:space="preserve"> los propósitos que inspira la norma, consolidando un marco de actuación que armoniza la eficacia operativa con la salvaguarda de los derechos fundamentales de la niñez.</w:t>
      </w:r>
    </w:p>
    <w:p w:rsidR="001E19D5" w:rsidRPr="007C57D2" w:rsidRDefault="007C57D2" w:rsidP="008F3DAB">
      <w:pPr>
        <w:spacing w:after="0" w:line="240" w:lineRule="auto"/>
        <w:jc w:val="both"/>
        <w:rPr>
          <w:rFonts w:ascii="Times New Roman" w:hAnsi="Times New Roman"/>
          <w:sz w:val="28"/>
          <w:szCs w:val="28"/>
        </w:rPr>
      </w:pPr>
    </w:p>
    <w:p w:rsidR="00C94BB6"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Necesidad</w:t>
      </w:r>
      <w:r w:rsidRPr="007C57D2">
        <w:rPr>
          <w:rFonts w:ascii="Times New Roman" w:hAnsi="Times New Roman"/>
          <w:sz w:val="28"/>
          <w:szCs w:val="28"/>
        </w:rPr>
        <w:t xml:space="preserve">. </w:t>
      </w:r>
      <w:r w:rsidRPr="007C57D2">
        <w:rPr>
          <w:rFonts w:ascii="Times New Roman" w:hAnsi="Times New Roman"/>
          <w:sz w:val="28"/>
          <w:szCs w:val="28"/>
        </w:rPr>
        <w:t xml:space="preserve">La divulgación de los datos personales de los niños, niñas y adolescentes </w:t>
      </w:r>
      <w:r w:rsidRPr="007C57D2">
        <w:rPr>
          <w:rFonts w:ascii="Times New Roman" w:hAnsi="Times New Roman"/>
          <w:sz w:val="28"/>
          <w:szCs w:val="28"/>
        </w:rPr>
        <w:t>extraviados en los dispositivos móviles de la zona donde se produzcan los hechos es indispensable para alcanzar el propósito perseguido por el PLE. Sin esta información resulta prácticamente imposible identificar a los destinatarios de este mecanismo de pr</w:t>
      </w:r>
      <w:r w:rsidRPr="007C57D2">
        <w:rPr>
          <w:rFonts w:ascii="Times New Roman" w:hAnsi="Times New Roman"/>
          <w:sz w:val="28"/>
          <w:szCs w:val="28"/>
        </w:rPr>
        <w:t>otección, por lo que no es posible identificar otra medida que permita localizarlos y recuperarlos. Se trata de la medida menos lesiva para sus derechos fundamentales a la intimidad, la imagen y el hábeas data, porque es la única posible. Por otro lado, la</w:t>
      </w:r>
      <w:r w:rsidRPr="007C57D2">
        <w:rPr>
          <w:rFonts w:ascii="Times New Roman" w:hAnsi="Times New Roman"/>
          <w:sz w:val="28"/>
          <w:szCs w:val="28"/>
        </w:rPr>
        <w:t xml:space="preserve"> habilitación de un sitio web que concentre de manera unificada todas las alertas vigentes produce un impacto comparable a la difusión masiva de los datos a los dispositivos móviles en dichos derechos fundamentales. Es un mecanismo que facilita el acceso o</w:t>
      </w:r>
      <w:r w:rsidRPr="007C57D2">
        <w:rPr>
          <w:rFonts w:ascii="Times New Roman" w:hAnsi="Times New Roman"/>
          <w:sz w:val="28"/>
          <w:szCs w:val="28"/>
        </w:rPr>
        <w:t>portuno a datos relevantes por parte de la ciudadanía y que fortalece la capacidad colectiva de respuesta ante situaciones de extravío, por lo que contribuye de manera oportuna a su protección. Además, es coherente con las normas que rigen la materia.</w:t>
      </w:r>
    </w:p>
    <w:p w:rsidR="001E19D5" w:rsidRPr="007C57D2" w:rsidRDefault="007C57D2" w:rsidP="008F3DAB">
      <w:pPr>
        <w:spacing w:after="0" w:line="240" w:lineRule="auto"/>
        <w:contextualSpacing/>
        <w:rPr>
          <w:rFonts w:ascii="Times New Roman" w:eastAsia="Calibri" w:hAnsi="Times New Roman"/>
          <w:sz w:val="28"/>
          <w:szCs w:val="28"/>
        </w:rPr>
      </w:pPr>
    </w:p>
    <w:p w:rsidR="00C94BB6" w:rsidRPr="007C57D2" w:rsidRDefault="007C57D2" w:rsidP="008F3DAB">
      <w:pPr>
        <w:numPr>
          <w:ilvl w:val="0"/>
          <w:numId w:val="3"/>
        </w:numPr>
        <w:spacing w:after="0" w:line="240" w:lineRule="auto"/>
        <w:ind w:left="0" w:firstLine="0"/>
        <w:contextualSpacing/>
        <w:jc w:val="both"/>
        <w:rPr>
          <w:rFonts w:ascii="Times New Roman" w:eastAsia="Calibri" w:hAnsi="Times New Roman"/>
          <w:sz w:val="28"/>
          <w:szCs w:val="28"/>
        </w:rPr>
      </w:pPr>
      <w:r w:rsidRPr="007C57D2">
        <w:rPr>
          <w:rFonts w:ascii="Times New Roman" w:eastAsia="Calibri" w:hAnsi="Times New Roman"/>
          <w:sz w:val="28"/>
          <w:szCs w:val="28"/>
        </w:rPr>
        <w:t>Com</w:t>
      </w:r>
      <w:r w:rsidRPr="007C57D2">
        <w:rPr>
          <w:rFonts w:ascii="Times New Roman" w:eastAsia="Calibri" w:hAnsi="Times New Roman"/>
          <w:sz w:val="28"/>
          <w:szCs w:val="28"/>
        </w:rPr>
        <w:t xml:space="preserve">o se explicó en la sección anterior, </w:t>
      </w:r>
      <w:r w:rsidRPr="007C57D2">
        <w:rPr>
          <w:rFonts w:ascii="Times New Roman" w:eastAsia="Calibri" w:hAnsi="Times New Roman"/>
          <w:sz w:val="28"/>
          <w:szCs w:val="28"/>
          <w:lang w:val="es-ES"/>
        </w:rPr>
        <w:t xml:space="preserve">la prohibición del tratamiento de los datos personales de los niños, niñas y adolescentes no es absoluta. Puede hacerse incluso sin autorización si se cumplen algunos </w:t>
      </w:r>
      <w:r w:rsidRPr="007C57D2">
        <w:rPr>
          <w:rFonts w:ascii="Times New Roman" w:eastAsia="Calibri" w:hAnsi="Times New Roman"/>
          <w:sz w:val="28"/>
          <w:szCs w:val="28"/>
          <w:lang w:val="es-ES"/>
        </w:rPr>
        <w:t xml:space="preserve">requerimientos señalados por la Corte Constitucional en la </w:t>
      </w:r>
      <w:r w:rsidRPr="007C57D2">
        <w:rPr>
          <w:rFonts w:ascii="Times New Roman" w:eastAsia="Calibri" w:hAnsi="Times New Roman"/>
          <w:sz w:val="28"/>
          <w:szCs w:val="28"/>
          <w:lang w:val="es-ES"/>
        </w:rPr>
        <w:t>S</w:t>
      </w:r>
      <w:r w:rsidRPr="007C57D2">
        <w:rPr>
          <w:rFonts w:ascii="Times New Roman" w:eastAsia="Calibri" w:hAnsi="Times New Roman"/>
          <w:sz w:val="28"/>
          <w:szCs w:val="28"/>
          <w:lang w:val="es-ES"/>
        </w:rPr>
        <w:t xml:space="preserve">entencia C-748 de 2011 y el literal a) del artículo 10 de la Ley Estatutaria 1581 de </w:t>
      </w:r>
      <w:r w:rsidRPr="007C57D2">
        <w:rPr>
          <w:rFonts w:ascii="Times New Roman" w:eastAsia="Calibri" w:hAnsi="Times New Roman"/>
          <w:sz w:val="28"/>
          <w:szCs w:val="28"/>
          <w:lang w:val="es-ES"/>
        </w:rPr>
        <w:t>2012.</w:t>
      </w:r>
      <w:r w:rsidRPr="007C57D2">
        <w:rPr>
          <w:rFonts w:ascii="Times New Roman" w:eastAsia="Calibri" w:hAnsi="Times New Roman"/>
          <w:sz w:val="28"/>
          <w:szCs w:val="28"/>
          <w:lang w:val="es-ES"/>
        </w:rPr>
        <w:t xml:space="preserve"> La información que debe recolectarse y difundirse en los términos del PLE supera, en consecuencia, el pri</w:t>
      </w:r>
      <w:r w:rsidRPr="007C57D2">
        <w:rPr>
          <w:rFonts w:ascii="Times New Roman" w:eastAsia="Calibri" w:hAnsi="Times New Roman"/>
          <w:sz w:val="28"/>
          <w:szCs w:val="28"/>
          <w:lang w:val="es-ES"/>
        </w:rPr>
        <w:t xml:space="preserve">ncipio de necesidad de la información, pues resulta imprescindible para lograr buscar y localizar a los niños y niñas extraviados. </w:t>
      </w:r>
    </w:p>
    <w:p w:rsidR="001E19D5" w:rsidRPr="007C57D2" w:rsidRDefault="007C57D2" w:rsidP="008F3DAB">
      <w:pPr>
        <w:pStyle w:val="Prrafodelista"/>
        <w:ind w:left="0"/>
        <w:rPr>
          <w:rFonts w:ascii="Times New Roman" w:eastAsia="Calibri" w:hAnsi="Times New Roman"/>
          <w:sz w:val="28"/>
          <w:szCs w:val="28"/>
          <w:lang w:val="es-ES"/>
        </w:rPr>
      </w:pPr>
    </w:p>
    <w:p w:rsidR="001E19D5" w:rsidRPr="007C57D2" w:rsidRDefault="007C57D2" w:rsidP="008F3DAB">
      <w:pPr>
        <w:numPr>
          <w:ilvl w:val="0"/>
          <w:numId w:val="3"/>
        </w:numPr>
        <w:spacing w:after="0" w:line="240" w:lineRule="auto"/>
        <w:ind w:left="0" w:firstLine="0"/>
        <w:contextualSpacing/>
        <w:jc w:val="both"/>
        <w:rPr>
          <w:rFonts w:ascii="Times New Roman" w:eastAsia="Calibri" w:hAnsi="Times New Roman"/>
          <w:sz w:val="28"/>
          <w:szCs w:val="28"/>
        </w:rPr>
      </w:pPr>
      <w:r w:rsidRPr="007C57D2">
        <w:rPr>
          <w:rFonts w:ascii="Times New Roman" w:eastAsia="Calibri" w:hAnsi="Times New Roman"/>
          <w:sz w:val="28"/>
          <w:szCs w:val="28"/>
          <w:lang w:val="es-ES"/>
        </w:rPr>
        <w:t xml:space="preserve">Sobre todo, si se tiene en cuenta que el mismo PLE le impone límites al tratamiento de datos personales, sin sacrificar la </w:t>
      </w:r>
      <w:r w:rsidRPr="007C57D2">
        <w:rPr>
          <w:rFonts w:ascii="Times New Roman" w:eastAsia="Calibri" w:hAnsi="Times New Roman"/>
          <w:sz w:val="28"/>
          <w:szCs w:val="28"/>
          <w:lang w:val="es-ES"/>
        </w:rPr>
        <w:t>realización del propósito superior que se persigue. En efecto, las normas bajo análisis exigen el cumplimiento de estrictos criterios de seguridad y razonabilidad, en el manejo de la información personal, así como a la creación de un protocolo de difusión;</w:t>
      </w:r>
      <w:r w:rsidRPr="007C57D2">
        <w:rPr>
          <w:rFonts w:ascii="Times New Roman" w:eastAsia="Calibri" w:hAnsi="Times New Roman"/>
          <w:sz w:val="28"/>
          <w:szCs w:val="28"/>
          <w:lang w:val="es-ES"/>
        </w:rPr>
        <w:t xml:space="preserve"> lo cual debe ser leído en armonía con el artículo 7°</w:t>
      </w:r>
      <w:r w:rsidRPr="007C57D2">
        <w:rPr>
          <w:rFonts w:ascii="Times New Roman" w:eastAsia="Calibri" w:hAnsi="Times New Roman"/>
          <w:sz w:val="28"/>
          <w:szCs w:val="28"/>
          <w:vertAlign w:val="superscript"/>
          <w:lang w:val="es-ES"/>
        </w:rPr>
        <w:footnoteReference w:id="683"/>
      </w:r>
      <w:r w:rsidRPr="007C57D2">
        <w:rPr>
          <w:rFonts w:ascii="Times New Roman" w:eastAsia="Calibri" w:hAnsi="Times New Roman"/>
          <w:sz w:val="28"/>
          <w:szCs w:val="28"/>
          <w:lang w:val="es-ES"/>
        </w:rPr>
        <w:t xml:space="preserve"> del PLE según el cual, la circulación de los datos es limitada y el tratamiento de datos debe realizarse de conformidad con la Ley Estatutaria 1581 de 2012. </w:t>
      </w:r>
    </w:p>
    <w:p w:rsidR="001E19D5" w:rsidRPr="007C57D2" w:rsidRDefault="007C57D2" w:rsidP="008F3DAB">
      <w:pPr>
        <w:pStyle w:val="Prrafodelista"/>
        <w:ind w:left="0"/>
        <w:rPr>
          <w:rFonts w:ascii="Times New Roman" w:eastAsia="Calibri" w:hAnsi="Times New Roman"/>
          <w:sz w:val="28"/>
          <w:szCs w:val="28"/>
          <w:lang w:val="es-ES"/>
        </w:rPr>
      </w:pPr>
    </w:p>
    <w:p w:rsidR="001E19D5" w:rsidRPr="007C57D2" w:rsidRDefault="007C57D2" w:rsidP="008F3DAB">
      <w:pPr>
        <w:numPr>
          <w:ilvl w:val="0"/>
          <w:numId w:val="3"/>
        </w:numPr>
        <w:spacing w:after="0" w:line="240" w:lineRule="auto"/>
        <w:ind w:left="0" w:firstLine="0"/>
        <w:contextualSpacing/>
        <w:jc w:val="both"/>
        <w:rPr>
          <w:rFonts w:ascii="Times New Roman" w:eastAsia="Calibri" w:hAnsi="Times New Roman"/>
          <w:sz w:val="28"/>
          <w:szCs w:val="28"/>
        </w:rPr>
      </w:pPr>
      <w:r w:rsidRPr="007C57D2">
        <w:rPr>
          <w:rFonts w:ascii="Times New Roman" w:eastAsia="Calibri" w:hAnsi="Times New Roman"/>
          <w:sz w:val="28"/>
          <w:szCs w:val="28"/>
          <w:lang w:val="es-ES"/>
        </w:rPr>
        <w:t xml:space="preserve">Adicionalmente, quienes intervengan en el </w:t>
      </w:r>
      <w:r w:rsidRPr="007C57D2">
        <w:rPr>
          <w:rFonts w:ascii="Times New Roman" w:eastAsia="Calibri" w:hAnsi="Times New Roman"/>
          <w:sz w:val="28"/>
          <w:szCs w:val="28"/>
          <w:lang w:val="es-ES"/>
        </w:rPr>
        <w:t>tratamiento de los datos deben implementar la responsabilidad demostrada (accountability) en el tratamiento de datos, lo cual implica que están en la obligación de contar con evidencia que acredite que adoptaron medidas oportunas, útiles, necesarias, perti</w:t>
      </w:r>
      <w:r w:rsidRPr="007C57D2">
        <w:rPr>
          <w:rFonts w:ascii="Times New Roman" w:eastAsia="Calibri" w:hAnsi="Times New Roman"/>
          <w:sz w:val="28"/>
          <w:szCs w:val="28"/>
          <w:lang w:val="es-ES"/>
        </w:rPr>
        <w:t xml:space="preserve">nentes y eficientes para cumplir las exigencias regulatorias sobre la recolección, uso, circulación y, en general, el tratamiento de la citada información. </w:t>
      </w:r>
    </w:p>
    <w:p w:rsidR="001E19D5" w:rsidRPr="007C57D2" w:rsidRDefault="007C57D2" w:rsidP="008F3DAB">
      <w:pPr>
        <w:spacing w:after="0" w:line="240" w:lineRule="auto"/>
        <w:contextualSpacing/>
        <w:rPr>
          <w:rFonts w:ascii="Times New Roman" w:eastAsia="Calibri" w:hAnsi="Times New Roman"/>
          <w:sz w:val="28"/>
          <w:szCs w:val="28"/>
        </w:rPr>
      </w:pPr>
    </w:p>
    <w:p w:rsidR="001E19D5" w:rsidRPr="007C57D2" w:rsidRDefault="007C57D2" w:rsidP="008F3DAB">
      <w:pPr>
        <w:numPr>
          <w:ilvl w:val="0"/>
          <w:numId w:val="3"/>
        </w:numPr>
        <w:spacing w:after="0" w:line="240" w:lineRule="auto"/>
        <w:ind w:left="0" w:firstLine="0"/>
        <w:contextualSpacing/>
        <w:jc w:val="both"/>
        <w:rPr>
          <w:rFonts w:ascii="Times New Roman" w:eastAsia="Calibri" w:hAnsi="Times New Roman"/>
          <w:sz w:val="28"/>
          <w:szCs w:val="28"/>
        </w:rPr>
      </w:pPr>
      <w:r w:rsidRPr="007C57D2">
        <w:rPr>
          <w:rFonts w:ascii="Times New Roman" w:eastAsia="Calibri" w:hAnsi="Times New Roman"/>
          <w:i/>
          <w:iCs/>
          <w:sz w:val="28"/>
          <w:szCs w:val="28"/>
        </w:rPr>
        <w:t>Proporcionalidad en sentido estricto</w:t>
      </w:r>
      <w:r w:rsidRPr="007C57D2">
        <w:rPr>
          <w:rFonts w:ascii="Times New Roman" w:eastAsia="Calibri" w:hAnsi="Times New Roman"/>
          <w:sz w:val="28"/>
          <w:szCs w:val="28"/>
        </w:rPr>
        <w:t xml:space="preserve">. En la medida en que, por disposición del artículo 7° del </w:t>
      </w:r>
      <w:r w:rsidRPr="007C57D2">
        <w:rPr>
          <w:rFonts w:ascii="Times New Roman" w:eastAsia="Calibri" w:hAnsi="Times New Roman"/>
          <w:sz w:val="28"/>
          <w:szCs w:val="28"/>
        </w:rPr>
        <w:t xml:space="preserve">PLE, las normas bajo análisis se encuentran supeditadas a lo establecido en la Ley Estatuaria 1581 de 2012, se estima que también superan la proporcionalidad en sentido estricto, pues los beneficios que generan sobre los derechos de los niños y niñas a la </w:t>
      </w:r>
      <w:r w:rsidRPr="007C57D2">
        <w:rPr>
          <w:rFonts w:ascii="Times New Roman" w:eastAsia="Calibri" w:hAnsi="Times New Roman"/>
          <w:sz w:val="28"/>
          <w:szCs w:val="28"/>
        </w:rPr>
        <w:t>integridad personal, exceden claramente las restricciones que recaen sobre los derechos a la intimidad, a la imagen y al habeas data; los cuales, como se ha explicado, se encuentran salvaguardados por el marco normativo que protege los datos personales.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i/>
          <w:iCs/>
          <w:sz w:val="28"/>
          <w:szCs w:val="28"/>
        </w:rPr>
      </w:pPr>
      <w:r w:rsidRPr="007C57D2">
        <w:rPr>
          <w:rFonts w:ascii="Times New Roman" w:hAnsi="Times New Roman"/>
          <w:i/>
          <w:iCs/>
          <w:sz w:val="28"/>
          <w:szCs w:val="28"/>
        </w:rPr>
        <w:t xml:space="preserve">Resultado del análisis de constitucionalidad. </w:t>
      </w:r>
      <w:r w:rsidRPr="007C57D2">
        <w:rPr>
          <w:rFonts w:ascii="Times New Roman" w:hAnsi="Times New Roman"/>
          <w:sz w:val="28"/>
          <w:szCs w:val="28"/>
          <w:lang w:val="es-ES"/>
        </w:rPr>
        <w:t>Por las razones expuestas en los párrafos precedentes, la Corte procederá a declarar la constitucionalidad de los literales a), b), c), d), e), f), g), h) y parágrafo 3° del artículo 6°; del literal e) y parágr</w:t>
      </w:r>
      <w:r w:rsidRPr="007C57D2">
        <w:rPr>
          <w:rFonts w:ascii="Times New Roman" w:hAnsi="Times New Roman"/>
          <w:sz w:val="28"/>
          <w:szCs w:val="28"/>
          <w:lang w:val="es-ES"/>
        </w:rPr>
        <w:t>afo 3° del artículo 10; y del parágrafo del artículo 11 del PLE.</w:t>
      </w:r>
    </w:p>
    <w:p w:rsidR="001E19D5" w:rsidRPr="007C57D2" w:rsidRDefault="007C57D2" w:rsidP="008F3DAB">
      <w:pPr>
        <w:spacing w:after="0" w:line="240" w:lineRule="auto"/>
        <w:jc w:val="both"/>
        <w:rPr>
          <w:rFonts w:ascii="Times New Roman" w:hAnsi="Times New Roman"/>
          <w:b/>
          <w:sz w:val="28"/>
          <w:szCs w:val="28"/>
        </w:rPr>
      </w:pPr>
    </w:p>
    <w:p w:rsidR="001E19D5" w:rsidRPr="007C57D2" w:rsidRDefault="007C57D2" w:rsidP="008F3DAB">
      <w:pPr>
        <w:pStyle w:val="Prrafodelista"/>
        <w:numPr>
          <w:ilvl w:val="0"/>
          <w:numId w:val="18"/>
        </w:numPr>
        <w:tabs>
          <w:tab w:val="left" w:pos="1276"/>
        </w:tabs>
        <w:ind w:left="567" w:firstLine="0"/>
        <w:jc w:val="both"/>
        <w:rPr>
          <w:rFonts w:ascii="Times New Roman" w:hAnsi="Times New Roman"/>
          <w:b/>
          <w:sz w:val="28"/>
          <w:szCs w:val="28"/>
        </w:rPr>
      </w:pPr>
      <w:r w:rsidRPr="007C57D2">
        <w:rPr>
          <w:rFonts w:ascii="Times New Roman" w:hAnsi="Times New Roman"/>
          <w:b/>
          <w:sz w:val="28"/>
          <w:szCs w:val="28"/>
        </w:rPr>
        <w:t>Divulgación de datos del presunto secuestrador</w:t>
      </w:r>
    </w:p>
    <w:p w:rsidR="001E19D5" w:rsidRPr="007C57D2" w:rsidRDefault="007C57D2" w:rsidP="008F3DAB">
      <w:pPr>
        <w:spacing w:after="0" w:line="240" w:lineRule="auto"/>
        <w:jc w:val="both"/>
        <w:rPr>
          <w:rFonts w:ascii="Times New Roman" w:hAnsi="Times New Roman"/>
          <w:b/>
          <w:b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lang w:val="es-ES"/>
        </w:rPr>
        <w:t>Alcance de la norma analizada (literal h del art. 6).</w:t>
      </w:r>
      <w:r w:rsidRPr="007C57D2">
        <w:rPr>
          <w:rFonts w:ascii="Times New Roman" w:hAnsi="Times New Roman"/>
          <w:sz w:val="28"/>
          <w:szCs w:val="28"/>
          <w:lang w:val="es-ES"/>
        </w:rPr>
        <w:t xml:space="preserve"> Según la referida norma, la Alerta Colombia deberá contener los datos de la persona que </w:t>
      </w:r>
      <w:r w:rsidRPr="007C57D2">
        <w:rPr>
          <w:rFonts w:ascii="Times New Roman" w:hAnsi="Times New Roman"/>
          <w:sz w:val="28"/>
          <w:szCs w:val="28"/>
          <w:lang w:val="es-ES"/>
        </w:rPr>
        <w:t xml:space="preserve">secuestró al niño o </w:t>
      </w:r>
      <w:r w:rsidRPr="007C57D2">
        <w:rPr>
          <w:rFonts w:ascii="Times New Roman" w:hAnsi="Times New Roman"/>
          <w:sz w:val="28"/>
          <w:szCs w:val="28"/>
          <w:lang w:val="es-ES"/>
        </w:rPr>
        <w:t xml:space="preserve">la </w:t>
      </w:r>
      <w:r w:rsidRPr="007C57D2">
        <w:rPr>
          <w:rFonts w:ascii="Times New Roman" w:hAnsi="Times New Roman"/>
          <w:sz w:val="28"/>
          <w:szCs w:val="28"/>
          <w:lang w:val="es-ES"/>
        </w:rPr>
        <w:t>niña</w:t>
      </w:r>
      <w:r w:rsidRPr="007C57D2">
        <w:rPr>
          <w:rFonts w:ascii="Times New Roman" w:hAnsi="Times New Roman"/>
          <w:sz w:val="28"/>
          <w:szCs w:val="28"/>
          <w:lang w:val="es-ES"/>
        </w:rPr>
        <w:t xml:space="preserve"> o el adolescente</w:t>
      </w:r>
      <w:r w:rsidRPr="007C57D2">
        <w:rPr>
          <w:rFonts w:ascii="Times New Roman" w:hAnsi="Times New Roman"/>
          <w:sz w:val="28"/>
          <w:szCs w:val="28"/>
          <w:lang w:val="es-ES"/>
        </w:rPr>
        <w:t>, “si se tiene certeza de su identidad o por lo menos la descripción física, so pena de los delitos cometidos si resultara dolosamente falsa la información”.</w:t>
      </w:r>
    </w:p>
    <w:p w:rsidR="001E19D5" w:rsidRPr="007C57D2" w:rsidRDefault="007C57D2" w:rsidP="008F3DAB">
      <w:pPr>
        <w:spacing w:after="0" w:line="240" w:lineRule="auto"/>
        <w:jc w:val="both"/>
        <w:rPr>
          <w:rFonts w:ascii="Times New Roman" w:hAnsi="Times New Roman"/>
          <w:sz w:val="28"/>
          <w:szCs w:val="28"/>
        </w:rPr>
      </w:pPr>
    </w:p>
    <w:p w:rsidR="00293E08"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 xml:space="preserve">Consideraciones de la Corte. </w:t>
      </w:r>
      <w:r w:rsidRPr="007C57D2">
        <w:rPr>
          <w:rFonts w:ascii="Times New Roman" w:hAnsi="Times New Roman"/>
          <w:sz w:val="28"/>
          <w:szCs w:val="28"/>
          <w:lang w:val="es-ES"/>
        </w:rPr>
        <w:t>La norma</w:t>
      </w:r>
      <w:r w:rsidRPr="007C57D2">
        <w:rPr>
          <w:rFonts w:ascii="Times New Roman" w:hAnsi="Times New Roman"/>
          <w:sz w:val="28"/>
          <w:szCs w:val="28"/>
          <w:lang w:val="es-ES"/>
        </w:rPr>
        <w:t xml:space="preserve"> examinada plant</w:t>
      </w:r>
      <w:r w:rsidRPr="007C57D2">
        <w:rPr>
          <w:rFonts w:ascii="Times New Roman" w:hAnsi="Times New Roman"/>
          <w:sz w:val="28"/>
          <w:szCs w:val="28"/>
          <w:lang w:val="es-ES"/>
        </w:rPr>
        <w:t>ea el deber de divulgar la información de personas responsables por el hecho punible del secuestro de niños, niñas y adolescentes, con el propósito de brindar información suficiente para su localización y recuperación.</w:t>
      </w:r>
      <w:r w:rsidRPr="007C57D2">
        <w:rPr>
          <w:rFonts w:ascii="Times New Roman" w:hAnsi="Times New Roman"/>
          <w:sz w:val="28"/>
          <w:szCs w:val="28"/>
          <w:lang w:val="es-ES"/>
        </w:rPr>
        <w:t xml:space="preserve"> Aunque esta disposición no fue cuestionada por ninguno de los intervinientes y parece estar orientada a garantizar el interés superior de la niñez, la Sala Plena la analizará a partir de un test estricto de proporcionalidad, por tratarse de una medida que</w:t>
      </w:r>
      <w:r w:rsidRPr="007C57D2">
        <w:rPr>
          <w:rFonts w:ascii="Times New Roman" w:hAnsi="Times New Roman"/>
          <w:sz w:val="28"/>
          <w:szCs w:val="28"/>
          <w:lang w:val="es-ES"/>
        </w:rPr>
        <w:t xml:space="preserve"> afecta, a primera vista, impacta gravemente derechos fundamentales</w:t>
      </w:r>
      <w:r w:rsidRPr="007C57D2">
        <w:rPr>
          <w:rStyle w:val="Refdenotaalpie"/>
          <w:rFonts w:ascii="Times New Roman" w:hAnsi="Times New Roman"/>
          <w:sz w:val="28"/>
          <w:szCs w:val="28"/>
          <w:lang w:val="es-ES"/>
        </w:rPr>
        <w:footnoteReference w:id="684"/>
      </w:r>
      <w:r w:rsidRPr="007C57D2">
        <w:rPr>
          <w:rFonts w:ascii="Times New Roman" w:hAnsi="Times New Roman"/>
          <w:sz w:val="28"/>
          <w:szCs w:val="28"/>
          <w:lang w:val="es-ES"/>
        </w:rPr>
        <w:t xml:space="preserve">: la presunción de inocencia, la honra y el buen nombre. </w:t>
      </w:r>
    </w:p>
    <w:p w:rsidR="00293E08"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Finalidad</w:t>
      </w:r>
      <w:r w:rsidRPr="007C57D2">
        <w:rPr>
          <w:rFonts w:ascii="Times New Roman" w:hAnsi="Times New Roman"/>
          <w:sz w:val="28"/>
          <w:szCs w:val="28"/>
        </w:rPr>
        <w:t>. La divulgación de la información que sirva para identificar a la persona que secuestró al niño o niña es una medida qu</w:t>
      </w:r>
      <w:r w:rsidRPr="007C57D2">
        <w:rPr>
          <w:rFonts w:ascii="Times New Roman" w:hAnsi="Times New Roman"/>
          <w:sz w:val="28"/>
          <w:szCs w:val="28"/>
        </w:rPr>
        <w:t xml:space="preserve">e se orienta a su pronta localización, para el inmediato restablecimiento de sus derechos fundamentales. La identificación de esta persona podría ayudar a localizar y recuperar al niño o niña.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Al ser una norma que propende por la garantía del interés sup</w:t>
      </w:r>
      <w:r w:rsidRPr="007C57D2">
        <w:rPr>
          <w:rFonts w:ascii="Times New Roman" w:hAnsi="Times New Roman"/>
          <w:sz w:val="28"/>
          <w:szCs w:val="28"/>
        </w:rPr>
        <w:t>erior de los niños y por la prevalencia de sus derechos, se considera que persigue un fin legítimo, importante e imperioso a la luz del ordenamiento constitucional; del cual se desprende un deber de especial protección en cabeza del Estado, así como la obl</w:t>
      </w:r>
      <w:r w:rsidRPr="007C57D2">
        <w:rPr>
          <w:rFonts w:ascii="Times New Roman" w:hAnsi="Times New Roman"/>
          <w:sz w:val="28"/>
          <w:szCs w:val="28"/>
        </w:rPr>
        <w:t>igación de adoptar todas las medidas administrativas, legislativas y de cualquier índole necesarias para garantizar la efectividad de sus derechos</w:t>
      </w:r>
      <w:r w:rsidRPr="007C57D2">
        <w:rPr>
          <w:rFonts w:ascii="Times New Roman" w:hAnsi="Times New Roman"/>
          <w:sz w:val="28"/>
          <w:szCs w:val="28"/>
          <w:vertAlign w:val="superscript"/>
        </w:rPr>
        <w:footnoteReference w:id="685"/>
      </w:r>
      <w:r w:rsidRPr="007C57D2">
        <w:rPr>
          <w:rFonts w:ascii="Times New Roman" w:hAnsi="Times New Roman"/>
          <w:sz w:val="28"/>
          <w:szCs w:val="28"/>
        </w:rPr>
        <w:t xml:space="preserve">. </w:t>
      </w:r>
    </w:p>
    <w:p w:rsidR="001E19D5" w:rsidRPr="007C57D2" w:rsidRDefault="007C57D2" w:rsidP="008F3DAB">
      <w:pPr>
        <w:spacing w:after="0" w:line="240" w:lineRule="auto"/>
        <w:jc w:val="both"/>
        <w:rPr>
          <w:rFonts w:ascii="Times New Roman" w:hAnsi="Times New Roman"/>
          <w:sz w:val="28"/>
          <w:szCs w:val="28"/>
        </w:rPr>
      </w:pPr>
    </w:p>
    <w:p w:rsidR="00825262" w:rsidRPr="007C57D2" w:rsidRDefault="007C57D2" w:rsidP="007F733D">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Idoneidad.</w:t>
      </w:r>
      <w:r w:rsidRPr="007C57D2">
        <w:rPr>
          <w:rFonts w:ascii="Times New Roman" w:hAnsi="Times New Roman"/>
          <w:sz w:val="28"/>
          <w:szCs w:val="28"/>
        </w:rPr>
        <w:t xml:space="preserve"> </w:t>
      </w:r>
      <w:r w:rsidRPr="007C57D2">
        <w:rPr>
          <w:rFonts w:ascii="Times New Roman" w:hAnsi="Times New Roman"/>
          <w:sz w:val="28"/>
          <w:szCs w:val="28"/>
        </w:rPr>
        <w:t xml:space="preserve">Tal como se analizó en las anteriores secciones, la divulgación de la información que permita </w:t>
      </w:r>
      <w:r w:rsidRPr="007C57D2">
        <w:rPr>
          <w:rFonts w:ascii="Times New Roman" w:hAnsi="Times New Roman"/>
          <w:sz w:val="28"/>
          <w:szCs w:val="28"/>
        </w:rPr>
        <w:t xml:space="preserve">la localización y recuperación de niños, niñas y adolescentes extraviados es una medida que persigue un fin legítimo, importante e imperioso a la luz del ordenamiento constitucional. Esto resulta evidente en escenarios de secuestro, en los que se requiere </w:t>
      </w:r>
      <w:r w:rsidRPr="007C57D2">
        <w:rPr>
          <w:rFonts w:ascii="Times New Roman" w:hAnsi="Times New Roman"/>
          <w:sz w:val="28"/>
          <w:szCs w:val="28"/>
        </w:rPr>
        <w:t xml:space="preserve">una actuación urgente para el inmediato restablecimiento de sus derechos fundamentales. La identificación del responsable de este </w:t>
      </w:r>
      <w:r w:rsidRPr="007C57D2">
        <w:rPr>
          <w:rFonts w:ascii="Times New Roman" w:hAnsi="Times New Roman"/>
          <w:sz w:val="28"/>
          <w:szCs w:val="28"/>
        </w:rPr>
        <w:t xml:space="preserve">tipo de conductas delictivas podría ayudar a salvaguardar su vida e integridad. </w:t>
      </w:r>
    </w:p>
    <w:p w:rsidR="007F733D" w:rsidRPr="007C57D2" w:rsidRDefault="007C57D2" w:rsidP="007F733D">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Según los “Estándares para la Búsqueda de </w:t>
      </w:r>
      <w:r w:rsidRPr="007C57D2">
        <w:rPr>
          <w:rFonts w:ascii="Times New Roman" w:hAnsi="Times New Roman"/>
          <w:sz w:val="28"/>
          <w:szCs w:val="28"/>
        </w:rPr>
        <w:t xml:space="preserve">Personas Desaparecidas” del Instituto Nacional de Medicina Legal y Forenses la información relacionada con “los posibles autores, caracterización, contexto y demás circunstancias que orienten la ubicación de la persona desaparecida”, es de amplia utilidad </w:t>
      </w:r>
      <w:r w:rsidRPr="007C57D2">
        <w:rPr>
          <w:rFonts w:ascii="Times New Roman" w:hAnsi="Times New Roman"/>
          <w:sz w:val="28"/>
          <w:szCs w:val="28"/>
        </w:rPr>
        <w:t>en el proceso de búsqueda</w:t>
      </w:r>
      <w:r w:rsidRPr="007C57D2">
        <w:rPr>
          <w:rFonts w:ascii="Times New Roman" w:hAnsi="Times New Roman"/>
          <w:sz w:val="28"/>
          <w:szCs w:val="28"/>
          <w:vertAlign w:val="superscript"/>
        </w:rPr>
        <w:footnoteReference w:id="686"/>
      </w:r>
      <w:r w:rsidRPr="007C57D2">
        <w:rPr>
          <w:rFonts w:ascii="Times New Roman" w:hAnsi="Times New Roman"/>
          <w:sz w:val="28"/>
          <w:szCs w:val="28"/>
        </w:rPr>
        <w:t>. En ese sentido, se considera que la norma cumple con el requisito de idoneidad del test estricto de proporcionalidad.</w:t>
      </w:r>
    </w:p>
    <w:p w:rsidR="00825262" w:rsidRPr="007C57D2" w:rsidRDefault="007C57D2" w:rsidP="008F3DAB">
      <w:pPr>
        <w:spacing w:after="0" w:line="240" w:lineRule="auto"/>
        <w:jc w:val="both"/>
        <w:rPr>
          <w:rFonts w:ascii="Times New Roman" w:hAnsi="Times New Roman"/>
          <w:sz w:val="28"/>
          <w:szCs w:val="28"/>
        </w:rPr>
      </w:pPr>
    </w:p>
    <w:p w:rsidR="00825262" w:rsidRPr="007C57D2" w:rsidRDefault="007C57D2" w:rsidP="007F733D">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lo tanto, la divulgación de este tipo de información satisface el requisito de idoneidad. Persigue un pro</w:t>
      </w:r>
      <w:r w:rsidRPr="007C57D2">
        <w:rPr>
          <w:rFonts w:ascii="Times New Roman" w:hAnsi="Times New Roman"/>
          <w:sz w:val="28"/>
          <w:szCs w:val="28"/>
        </w:rPr>
        <w:t xml:space="preserve">pósito que resulta coherente con el interés superior de la niñez reconocido en el artículo 44 de la Constitución, </w:t>
      </w:r>
      <w:r w:rsidRPr="007C57D2">
        <w:rPr>
          <w:rFonts w:ascii="Times New Roman" w:hAnsi="Times New Roman"/>
          <w:sz w:val="28"/>
          <w:szCs w:val="28"/>
        </w:rPr>
        <w:t>del cual se desprende un deber de especial protección en cabeza del Estado, así como la obligación de adoptar todas las medidas administrativa</w:t>
      </w:r>
      <w:r w:rsidRPr="007C57D2">
        <w:rPr>
          <w:rFonts w:ascii="Times New Roman" w:hAnsi="Times New Roman"/>
          <w:sz w:val="28"/>
          <w:szCs w:val="28"/>
        </w:rPr>
        <w:t>s, legislativas y de cualquier índole necesarias para garantizar la efectividad de sus derechos</w:t>
      </w:r>
      <w:r w:rsidRPr="007C57D2">
        <w:rPr>
          <w:rFonts w:ascii="Times New Roman" w:hAnsi="Times New Roman"/>
          <w:sz w:val="28"/>
          <w:szCs w:val="28"/>
          <w:vertAlign w:val="superscript"/>
        </w:rPr>
        <w:footnoteReference w:id="687"/>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Necesidad</w:t>
      </w:r>
      <w:r w:rsidRPr="007C57D2">
        <w:rPr>
          <w:rFonts w:ascii="Times New Roman" w:hAnsi="Times New Roman"/>
          <w:sz w:val="28"/>
          <w:szCs w:val="28"/>
        </w:rPr>
        <w:t xml:space="preserve">. </w:t>
      </w:r>
      <w:r w:rsidRPr="007C57D2">
        <w:rPr>
          <w:rFonts w:ascii="Times New Roman" w:hAnsi="Times New Roman"/>
          <w:sz w:val="28"/>
          <w:szCs w:val="28"/>
        </w:rPr>
        <w:t xml:space="preserve">Aunque la información que permita identificar al posible autor del delito de secuestro puede resultar útil para la búsqueda de personas extraviadas, </w:t>
      </w:r>
      <w:r w:rsidRPr="007C57D2">
        <w:rPr>
          <w:rFonts w:ascii="Times New Roman" w:hAnsi="Times New Roman"/>
          <w:sz w:val="28"/>
          <w:szCs w:val="28"/>
        </w:rPr>
        <w:t>l</w:t>
      </w:r>
      <w:r w:rsidRPr="007C57D2">
        <w:rPr>
          <w:rFonts w:ascii="Times New Roman" w:hAnsi="Times New Roman"/>
          <w:sz w:val="28"/>
          <w:szCs w:val="28"/>
        </w:rPr>
        <w:t>a Sala Plena considera que el literal h del artículo 6 del PLE es inconstitucional. Se trata de una medida</w:t>
      </w:r>
      <w:r w:rsidRPr="007C57D2">
        <w:rPr>
          <w:rFonts w:ascii="Times New Roman" w:hAnsi="Times New Roman"/>
          <w:sz w:val="28"/>
          <w:szCs w:val="28"/>
        </w:rPr>
        <w:t xml:space="preserve"> altamente restrictiva de los derechos fundamentales a la presunción de inocencia, el buen nombre y la honra, y existe una alternativa menos lesiva de estos criterios constitucionales y con una idoneidad semejante para alcanzar los fines propuestos, como s</w:t>
      </w:r>
      <w:r w:rsidRPr="007C57D2">
        <w:rPr>
          <w:rFonts w:ascii="Times New Roman" w:hAnsi="Times New Roman"/>
          <w:sz w:val="28"/>
          <w:szCs w:val="28"/>
        </w:rPr>
        <w:t>e explica a continuación.</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La expresión “persona que lo secuestró” introduce una atribución directa de responsabilidad penal a una persona sin un proceso penal previo, que resulta contraria al artículo 29 de la Constitución. Es un contenido normativo que s</w:t>
      </w:r>
      <w:r w:rsidRPr="007C57D2">
        <w:rPr>
          <w:rFonts w:ascii="Times New Roman" w:hAnsi="Times New Roman"/>
          <w:sz w:val="28"/>
          <w:szCs w:val="28"/>
        </w:rPr>
        <w:t>ugiere que aquel quien fue visto con el niño, niña o adolescente extraviado puede ser su secuestrador, a pesar de que no existe un proceso penal que así lo determina. Esta situación, además, resulta contraria a la inmediatez que requiere la atención de los</w:t>
      </w:r>
      <w:r w:rsidRPr="007C57D2">
        <w:rPr>
          <w:rFonts w:ascii="Times New Roman" w:hAnsi="Times New Roman"/>
          <w:sz w:val="28"/>
          <w:szCs w:val="28"/>
        </w:rPr>
        <w:t xml:space="preserve"> casos objeto de la Alerta Colombia, pues requiere el cumplimiento de etapas judiciales estrictas para determinar que una persona es, en efecto, responsable de aquel hecho punible.</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otro lado, también se aprecian afectaciones a la honra y buen nombre d</w:t>
      </w:r>
      <w:r w:rsidRPr="007C57D2">
        <w:rPr>
          <w:rFonts w:ascii="Times New Roman" w:hAnsi="Times New Roman"/>
          <w:sz w:val="28"/>
          <w:szCs w:val="28"/>
        </w:rPr>
        <w:t>e quienes sean identificados como presuntos secuestradores para efectos de la Alerta Colombia. La Corte</w:t>
      </w:r>
      <w:r w:rsidRPr="007C57D2">
        <w:rPr>
          <w:rStyle w:val="Refdenotaalpie"/>
          <w:rFonts w:ascii="Times New Roman" w:hAnsi="Times New Roman"/>
          <w:sz w:val="28"/>
          <w:szCs w:val="28"/>
        </w:rPr>
        <w:footnoteReference w:id="688"/>
      </w:r>
      <w:r w:rsidRPr="007C57D2">
        <w:rPr>
          <w:rFonts w:ascii="Times New Roman" w:hAnsi="Times New Roman"/>
          <w:sz w:val="28"/>
          <w:szCs w:val="28"/>
        </w:rPr>
        <w:t xml:space="preserve"> ha explicado que, para determinar el grado de afectación de estos derechos, el juez constitucional debe tener en cuenta el contenido del mensaje</w:t>
      </w:r>
      <w:r w:rsidRPr="007C57D2">
        <w:rPr>
          <w:rStyle w:val="Refdenotaalpie"/>
          <w:rFonts w:ascii="Times New Roman" w:hAnsi="Times New Roman"/>
          <w:sz w:val="28"/>
          <w:szCs w:val="28"/>
        </w:rPr>
        <w:footnoteReference w:id="689"/>
      </w:r>
      <w:r w:rsidRPr="007C57D2">
        <w:rPr>
          <w:rFonts w:ascii="Times New Roman" w:hAnsi="Times New Roman"/>
          <w:sz w:val="28"/>
          <w:szCs w:val="28"/>
        </w:rPr>
        <w:t>, el g</w:t>
      </w:r>
      <w:r w:rsidRPr="007C57D2">
        <w:rPr>
          <w:rFonts w:ascii="Times New Roman" w:hAnsi="Times New Roman"/>
          <w:sz w:val="28"/>
          <w:szCs w:val="28"/>
        </w:rPr>
        <w:t>rado de certeza de las expresiones o publicaciones</w:t>
      </w:r>
      <w:r w:rsidRPr="007C57D2">
        <w:rPr>
          <w:rStyle w:val="Refdenotaalpie"/>
          <w:rFonts w:ascii="Times New Roman" w:hAnsi="Times New Roman"/>
          <w:sz w:val="28"/>
          <w:szCs w:val="28"/>
        </w:rPr>
        <w:footnoteReference w:id="690"/>
      </w:r>
      <w:r w:rsidRPr="007C57D2">
        <w:rPr>
          <w:rFonts w:ascii="Times New Roman" w:hAnsi="Times New Roman"/>
          <w:sz w:val="28"/>
          <w:szCs w:val="28"/>
        </w:rPr>
        <w:t>, y el nivel de impacto de la divulgación</w:t>
      </w:r>
      <w:r w:rsidRPr="007C57D2">
        <w:rPr>
          <w:rStyle w:val="Refdenotaalpie"/>
          <w:rFonts w:ascii="Times New Roman" w:hAnsi="Times New Roman"/>
          <w:sz w:val="28"/>
          <w:szCs w:val="28"/>
        </w:rPr>
        <w:footnoteReference w:id="691"/>
      </w:r>
      <w:r w:rsidRPr="007C57D2">
        <w:rPr>
          <w:rFonts w:ascii="Times New Roman" w:hAnsi="Times New Roman"/>
          <w:sz w:val="28"/>
          <w:szCs w:val="28"/>
        </w:rPr>
        <w:t>.</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 partir de los anteriores criterios se evidencia que el funcionamiento de la Alerta Colombia puede generar graves afectaciones a la honra y el buen nombre de q</w:t>
      </w:r>
      <w:r w:rsidRPr="007C57D2">
        <w:rPr>
          <w:rFonts w:ascii="Times New Roman" w:hAnsi="Times New Roman"/>
          <w:sz w:val="28"/>
          <w:szCs w:val="28"/>
        </w:rPr>
        <w:t>uienes sean identificados como posibles secuestradores. En primer lugar, involucra alusiones a situaciones específicas sobre personas concretas que se relacionan con este hecho punible. No corresponde a afirmaciones genéricas, sino a datos puntuales que bu</w:t>
      </w:r>
      <w:r w:rsidRPr="007C57D2">
        <w:rPr>
          <w:rFonts w:ascii="Times New Roman" w:hAnsi="Times New Roman"/>
          <w:sz w:val="28"/>
          <w:szCs w:val="28"/>
        </w:rPr>
        <w:t>scan identificar a las personas que hayan sustraído a un niño, niña o adolescente. En segundo lugar, por la ausencia de un proceso penal en el que se determine efectivamente su responsabilidad por dicha conducta, no satisface unos criterios mínimos de cert</w:t>
      </w:r>
      <w:r w:rsidRPr="007C57D2">
        <w:rPr>
          <w:rFonts w:ascii="Times New Roman" w:hAnsi="Times New Roman"/>
          <w:sz w:val="28"/>
          <w:szCs w:val="28"/>
        </w:rPr>
        <w:t>eza que permitan atribuir responsabilidad frente a hechos tan graves.</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En tercer lugar, debe tenerse en cuenta que el funcionamiento de la Alerta Colombia involucra la divulgación masiva, periódica y urgente de este tipo de información a </w:t>
      </w:r>
      <w:r w:rsidRPr="007C57D2">
        <w:rPr>
          <w:rFonts w:ascii="Times New Roman" w:hAnsi="Times New Roman"/>
          <w:i/>
          <w:iCs/>
          <w:sz w:val="28"/>
          <w:szCs w:val="28"/>
        </w:rPr>
        <w:t>todos</w:t>
      </w:r>
      <w:r w:rsidRPr="007C57D2">
        <w:rPr>
          <w:rFonts w:ascii="Times New Roman" w:hAnsi="Times New Roman"/>
          <w:sz w:val="28"/>
          <w:szCs w:val="28"/>
        </w:rPr>
        <w:t xml:space="preserve"> los disposit</w:t>
      </w:r>
      <w:r w:rsidRPr="007C57D2">
        <w:rPr>
          <w:rFonts w:ascii="Times New Roman" w:hAnsi="Times New Roman"/>
          <w:sz w:val="28"/>
          <w:szCs w:val="28"/>
        </w:rPr>
        <w:t>ivos móviles y otros medios de comunicación de amplio alcance en el lugar donde se produzca el extravío del niño, niña y adolescente, con una progresiva ampliación territorial si las circunstancias así lo ameritan. Además, se trata de una fuente que involu</w:t>
      </w:r>
      <w:r w:rsidRPr="007C57D2">
        <w:rPr>
          <w:rFonts w:ascii="Times New Roman" w:hAnsi="Times New Roman"/>
          <w:sz w:val="28"/>
          <w:szCs w:val="28"/>
        </w:rPr>
        <w:t>cra a diversas entidades del Estado con roles en su activación y funcionamiento. Por lo tanto, tiene un impacto inmediato y con apariencia de veracidad para sus destinatarios, que puede generar daños irreparables al buen nombre y la honra de quienes sean t</w:t>
      </w:r>
      <w:r w:rsidRPr="007C57D2">
        <w:rPr>
          <w:rFonts w:ascii="Times New Roman" w:hAnsi="Times New Roman"/>
          <w:sz w:val="28"/>
          <w:szCs w:val="28"/>
        </w:rPr>
        <w:t>ratados como secuestradores en este tipo de mensajes, sin que la amenaza de ser procesado por “los delitos si resultara dolosamente falsa la información”, que incluso podrían llegar a traducirse en afectaciones para su integridad y vida misma.</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El envío de</w:t>
      </w:r>
      <w:r w:rsidRPr="007C57D2">
        <w:rPr>
          <w:rFonts w:ascii="Times New Roman" w:hAnsi="Times New Roman"/>
          <w:sz w:val="28"/>
          <w:szCs w:val="28"/>
        </w:rPr>
        <w:t xml:space="preserve"> una alerta masiva en la que se señale o dé a entender que una persona es un presunto secuestrador de un niño, niña o adolescente puede afectar gravemente su reputación, al implicar una distorsión del concepto público que la comunidad tiene de ella. Esto p</w:t>
      </w:r>
      <w:r w:rsidRPr="007C57D2">
        <w:rPr>
          <w:rFonts w:ascii="Times New Roman" w:hAnsi="Times New Roman"/>
          <w:sz w:val="28"/>
          <w:szCs w:val="28"/>
        </w:rPr>
        <w:t>uede socavar su prestigio y confianza en el ámbito social, y comprometer su dignidad y respeto, sin que se aprecie una forma mediante la cual la persona afectada por estos mensajes masivos pueda defenderse. Aunque, en gracia de discusión, las autoridades p</w:t>
      </w:r>
      <w:r w:rsidRPr="007C57D2">
        <w:rPr>
          <w:rFonts w:ascii="Times New Roman" w:hAnsi="Times New Roman"/>
          <w:sz w:val="28"/>
          <w:szCs w:val="28"/>
        </w:rPr>
        <w:t xml:space="preserve">odrían difundir un mensaje en el que aclaren que la persona señalada previamente como presunto secuestrador no es responsable de dichos hechos, no hay garantía de que el mensaje original pueda ser eliminado de los numerosos dispositivos que lo remitan, ni </w:t>
      </w:r>
      <w:r w:rsidRPr="007C57D2">
        <w:rPr>
          <w:rFonts w:ascii="Times New Roman" w:hAnsi="Times New Roman"/>
          <w:sz w:val="28"/>
          <w:szCs w:val="28"/>
        </w:rPr>
        <w:t>que impidan los daños en su reputación frente a la comunidad.</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otro lado, la expresión “persona que lo secuestró” tampoco es necesaria para cumplir la finalidad del PLE, que se orienta a la localización inmediate de los niños, niñas y adolescentes extr</w:t>
      </w:r>
      <w:r w:rsidRPr="007C57D2">
        <w:rPr>
          <w:rFonts w:ascii="Times New Roman" w:hAnsi="Times New Roman"/>
          <w:sz w:val="28"/>
          <w:szCs w:val="28"/>
        </w:rPr>
        <w:t xml:space="preserve">aviados. </w:t>
      </w:r>
      <w:r w:rsidRPr="007C57D2">
        <w:rPr>
          <w:rFonts w:ascii="Times New Roman" w:hAnsi="Times New Roman"/>
          <w:sz w:val="28"/>
          <w:szCs w:val="28"/>
        </w:rPr>
        <w:t>L</w:t>
      </w:r>
      <w:r w:rsidRPr="007C57D2">
        <w:rPr>
          <w:rFonts w:ascii="Times New Roman" w:hAnsi="Times New Roman"/>
          <w:sz w:val="28"/>
          <w:szCs w:val="28"/>
        </w:rPr>
        <w:t>a referencia a esta conducta delictiva puede generar dificultades interpretativas y en su implementación, porque parecen limitar su alcance a este tipo de escenarios criminales. Debe tenerse en cuenta que la activación de la Alerta Colombia tambi</w:t>
      </w:r>
      <w:r w:rsidRPr="007C57D2">
        <w:rPr>
          <w:rFonts w:ascii="Times New Roman" w:hAnsi="Times New Roman"/>
          <w:sz w:val="28"/>
          <w:szCs w:val="28"/>
        </w:rPr>
        <w:t>én puede referirse a hechos que no siempre deban ser penalizados, como extravíos involuntarios, situaciones de salud y conductas de familiares.</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De otra parte</w:t>
      </w:r>
      <w:r w:rsidRPr="007C57D2">
        <w:rPr>
          <w:rFonts w:ascii="Times New Roman" w:hAnsi="Times New Roman"/>
          <w:sz w:val="28"/>
          <w:szCs w:val="28"/>
        </w:rPr>
        <w:t>, también existen medidas igualmente eficaces y menos lesivas en el ordenamiento jurídico, como la</w:t>
      </w:r>
      <w:r w:rsidRPr="007C57D2">
        <w:rPr>
          <w:rFonts w:ascii="Times New Roman" w:hAnsi="Times New Roman"/>
          <w:sz w:val="28"/>
          <w:szCs w:val="28"/>
        </w:rPr>
        <w:t xml:space="preserve"> Alerta Rosa creada en la Ley 2326 de 2023 y regulada en el Decreto 1428 de 2024. Allí se utiliza un lenguaje neutral centrado en descripciones verificables, como la inclusión de las “[c]aracterísticas de la persona que lo acompañaba la última vez que en q</w:t>
      </w:r>
      <w:r w:rsidRPr="007C57D2">
        <w:rPr>
          <w:rFonts w:ascii="Times New Roman" w:hAnsi="Times New Roman"/>
          <w:sz w:val="28"/>
          <w:szCs w:val="28"/>
        </w:rPr>
        <w:t>ue la niña, niño o adolescente (…) desaparecida fue vista”</w:t>
      </w:r>
      <w:r w:rsidRPr="007C57D2">
        <w:rPr>
          <w:rStyle w:val="Refdenotaalpie"/>
          <w:rFonts w:ascii="Times New Roman" w:hAnsi="Times New Roman"/>
          <w:sz w:val="28"/>
          <w:szCs w:val="28"/>
        </w:rPr>
        <w:footnoteReference w:id="692"/>
      </w:r>
      <w:r w:rsidRPr="007C57D2">
        <w:rPr>
          <w:rFonts w:ascii="Times New Roman" w:hAnsi="Times New Roman"/>
          <w:sz w:val="28"/>
          <w:szCs w:val="28"/>
        </w:rPr>
        <w:t xml:space="preserve"> en el contenido del mensaje que se debe divulgar. Una redacción de este estilo no da a entender atribuciones de responsabilidad penal por hechos tan grave como el secuestro de personas menores de </w:t>
      </w:r>
      <w:r w:rsidRPr="007C57D2">
        <w:rPr>
          <w:rFonts w:ascii="Times New Roman" w:hAnsi="Times New Roman"/>
          <w:sz w:val="28"/>
          <w:szCs w:val="28"/>
        </w:rPr>
        <w:t>18 años, y satisface el fin de difundir toda la información que sirva para su identificación y localización, que se prevé en el mismo artículo 6.h del PLE.</w:t>
      </w:r>
    </w:p>
    <w:p w:rsidR="00825262" w:rsidRPr="007C57D2" w:rsidRDefault="007C57D2" w:rsidP="008F3DAB">
      <w:pPr>
        <w:pStyle w:val="Prrafodelista"/>
        <w:rPr>
          <w:rFonts w:ascii="Times New Roman" w:hAnsi="Times New Roman"/>
          <w:i/>
          <w:iCs/>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Proporcionalidad en sentido estricto.</w:t>
      </w:r>
      <w:r w:rsidRPr="007C57D2">
        <w:rPr>
          <w:rFonts w:ascii="Times New Roman" w:hAnsi="Times New Roman"/>
          <w:sz w:val="28"/>
          <w:szCs w:val="28"/>
        </w:rPr>
        <w:t xml:space="preserve"> Aunque las anteriores consideraciones sobre la falta de necesidad de la expresión “persona que lo secuestró” son suficientes para concluir su inconstitucionalidad, la Sala Plena también resalta que dicho contenido normativo no es estrictamente proporciona</w:t>
      </w:r>
      <w:r w:rsidRPr="007C57D2">
        <w:rPr>
          <w:rFonts w:ascii="Times New Roman" w:hAnsi="Times New Roman"/>
          <w:sz w:val="28"/>
          <w:szCs w:val="28"/>
        </w:rPr>
        <w:t>l. Esta redacción implica un sacrificio injustificado de la presunción de inocencia, el buen nombre y la honra, sin que se aprecie un beneficio claro superior a la utilización de un lenguaje neutral y que no genere estas graves afectaciones de derechos fun</w:t>
      </w:r>
      <w:r w:rsidRPr="007C57D2">
        <w:rPr>
          <w:rFonts w:ascii="Times New Roman" w:hAnsi="Times New Roman"/>
          <w:sz w:val="28"/>
          <w:szCs w:val="28"/>
        </w:rPr>
        <w:t>damentales. Por lo tanto, es evidente que resulta contraria a la Constitución.</w:t>
      </w:r>
    </w:p>
    <w:p w:rsidR="00825262" w:rsidRPr="007C57D2" w:rsidRDefault="007C57D2" w:rsidP="008F3DAB">
      <w:pPr>
        <w:pStyle w:val="Prrafodelista"/>
        <w:rPr>
          <w:rFonts w:ascii="Times New Roman" w:hAnsi="Times New Roman"/>
          <w:i/>
          <w:iCs/>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Resultado del análisis de constitucionalidad</w:t>
      </w:r>
      <w:r w:rsidRPr="007C57D2">
        <w:rPr>
          <w:rFonts w:ascii="Times New Roman" w:hAnsi="Times New Roman"/>
          <w:sz w:val="28"/>
          <w:szCs w:val="28"/>
        </w:rPr>
        <w:t xml:space="preserve">. La aplicación del test de proporcionalidad en su intensidad estricta permite concluir que la expresión “persona que lo secuestró” </w:t>
      </w:r>
      <w:r w:rsidRPr="007C57D2">
        <w:rPr>
          <w:rFonts w:ascii="Times New Roman" w:hAnsi="Times New Roman"/>
          <w:sz w:val="28"/>
          <w:szCs w:val="28"/>
        </w:rPr>
        <w:t>contenida en el literal h del artículo 6 del PLE es inconstitucional, porque no satisface los requisitos de necesidad ni de proporcionalidad en sentido estricto. Además de sugerir una responsabilidad penal sin juicio previo, en un escenario en el que se re</w:t>
      </w:r>
      <w:r w:rsidRPr="007C57D2">
        <w:rPr>
          <w:rFonts w:ascii="Times New Roman" w:hAnsi="Times New Roman"/>
          <w:sz w:val="28"/>
          <w:szCs w:val="28"/>
        </w:rPr>
        <w:t>quiere una actuación urgente y que no necesariamente implica la criminalización de conductas, parece limitar el contenido de la Alerta Colombia a los presuntos perpetradores de un hecho punible. Al existir una medida menos lesiva que satisface la misma fin</w:t>
      </w:r>
      <w:r w:rsidRPr="007C57D2">
        <w:rPr>
          <w:rFonts w:ascii="Times New Roman" w:hAnsi="Times New Roman"/>
          <w:sz w:val="28"/>
          <w:szCs w:val="28"/>
        </w:rPr>
        <w:t>alidad y de mejor manera, como se explicó en líneas anteriores, la Sala Plena condicionará sus efectos de la siguiente manera.</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El literal h del artículo 6 del PLE establece que la Alerta Colombia debe contener, además de los datos que se listan en los art</w:t>
      </w:r>
      <w:r w:rsidRPr="007C57D2">
        <w:rPr>
          <w:rFonts w:ascii="Times New Roman" w:hAnsi="Times New Roman"/>
          <w:sz w:val="28"/>
          <w:szCs w:val="28"/>
        </w:rPr>
        <w:t>ículos 4 y 6, “[c]ualquier otra información que sirva para identificar y localizar al niño o niña extraviado”. La referencia al presunto secuestrador que se incluye a renglón seguido puede interpretarse como uno de los distintos escenarios que deben teners</w:t>
      </w:r>
      <w:r w:rsidRPr="007C57D2">
        <w:rPr>
          <w:rFonts w:ascii="Times New Roman" w:hAnsi="Times New Roman"/>
          <w:sz w:val="28"/>
          <w:szCs w:val="28"/>
        </w:rPr>
        <w:t>e en cuenta para facilitar la labor su búsqueda, y no como una regla especial relacionada con los perpetradores de dicha conducta criminal. Por lo tanto, y para dotar de razonabilidad al contenido normativo examinado, la Sala Plena declarará su constitucio</w:t>
      </w:r>
      <w:r w:rsidRPr="007C57D2">
        <w:rPr>
          <w:rFonts w:ascii="Times New Roman" w:hAnsi="Times New Roman"/>
          <w:sz w:val="28"/>
          <w:szCs w:val="28"/>
        </w:rPr>
        <w:t>nalidad, en el entendido de se refiere a la última persona vista con el niño, niña o adolescente extraviado, o a la persona que causó su extravío, sin que implique ningún tipo de atribución de responsabilidad penal o limitación a un escenario de esta natur</w:t>
      </w:r>
      <w:r w:rsidRPr="007C57D2">
        <w:rPr>
          <w:rFonts w:ascii="Times New Roman" w:hAnsi="Times New Roman"/>
          <w:sz w:val="28"/>
          <w:szCs w:val="28"/>
        </w:rPr>
        <w:t>aleza.</w:t>
      </w:r>
    </w:p>
    <w:p w:rsidR="00825262"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otro lado, la Sala Plena considera que el deber de difundir “[c]ualquier otra información que sirva para identificar y localizar al niño o niña extraviado” también puede incluir la publicación de imágenes de la última persona vista con el niño,</w:t>
      </w:r>
      <w:r w:rsidRPr="007C57D2">
        <w:rPr>
          <w:rFonts w:ascii="Times New Roman" w:hAnsi="Times New Roman"/>
          <w:sz w:val="28"/>
          <w:szCs w:val="28"/>
        </w:rPr>
        <w:t xml:space="preserve"> niña o adolescente extraviado, o a la persona que causó su extravío. Sin embargo, esta posibilidad debe ser evaluada en cada caso por las autoridades competentes, a quienes les corresponderá determinar los casos en los que resulta procedente o no. Para es</w:t>
      </w:r>
      <w:r w:rsidRPr="007C57D2">
        <w:rPr>
          <w:rFonts w:ascii="Times New Roman" w:hAnsi="Times New Roman"/>
          <w:sz w:val="28"/>
          <w:szCs w:val="28"/>
        </w:rPr>
        <w:t>te propósito, deberán evaluar la proporcionalidad de la medida, teniendo en cuenta la importancia de asegurar que la búsqueda del niño, niña o adolescente extraviado sea exitosa, en estricta observancia de la presunción de inocencia, el derecho a la privac</w:t>
      </w:r>
      <w:r w:rsidRPr="007C57D2">
        <w:rPr>
          <w:rFonts w:ascii="Times New Roman" w:hAnsi="Times New Roman"/>
          <w:sz w:val="28"/>
          <w:szCs w:val="28"/>
        </w:rPr>
        <w:t>idad, el buen nombre, la honra y la protección de datos personales.</w:t>
      </w:r>
    </w:p>
    <w:p w:rsidR="001E19D5"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rPr>
        <w:t xml:space="preserve"> </w:t>
      </w:r>
    </w:p>
    <w:p w:rsidR="001E19D5" w:rsidRPr="007C57D2" w:rsidRDefault="007C57D2" w:rsidP="008F3DAB">
      <w:pPr>
        <w:spacing w:after="0" w:line="240" w:lineRule="auto"/>
        <w:jc w:val="both"/>
        <w:rPr>
          <w:rFonts w:ascii="Times New Roman" w:hAnsi="Times New Roman"/>
          <w:b/>
          <w:sz w:val="28"/>
          <w:szCs w:val="28"/>
        </w:rPr>
      </w:pPr>
    </w:p>
    <w:p w:rsidR="001E19D5" w:rsidRPr="007C57D2" w:rsidRDefault="007C57D2" w:rsidP="008F3DAB">
      <w:pPr>
        <w:pStyle w:val="Prrafodelista"/>
        <w:numPr>
          <w:ilvl w:val="0"/>
          <w:numId w:val="18"/>
        </w:numPr>
        <w:tabs>
          <w:tab w:val="left" w:pos="1276"/>
        </w:tabs>
        <w:ind w:left="567" w:firstLine="0"/>
        <w:jc w:val="both"/>
        <w:rPr>
          <w:rFonts w:ascii="Times New Roman" w:hAnsi="Times New Roman"/>
          <w:b/>
          <w:bCs/>
          <w:sz w:val="28"/>
          <w:szCs w:val="28"/>
        </w:rPr>
      </w:pPr>
      <w:r w:rsidRPr="007C57D2">
        <w:rPr>
          <w:rFonts w:ascii="Times New Roman" w:hAnsi="Times New Roman"/>
          <w:b/>
          <w:bCs/>
          <w:sz w:val="28"/>
          <w:szCs w:val="28"/>
        </w:rPr>
        <w:t>Responsabilidades del funcionario que no active la alerta Colombia</w:t>
      </w:r>
    </w:p>
    <w:p w:rsidR="001E19D5" w:rsidRPr="007C57D2" w:rsidRDefault="007C57D2" w:rsidP="008F3DAB">
      <w:pPr>
        <w:spacing w:after="0" w:line="240" w:lineRule="auto"/>
        <w:jc w:val="both"/>
        <w:rPr>
          <w:rFonts w:ascii="Times New Roman" w:hAnsi="Times New Roman"/>
          <w:b/>
          <w:bCs/>
          <w:sz w:val="28"/>
          <w:szCs w:val="28"/>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rPr>
      </w:pPr>
      <w:r w:rsidRPr="007C57D2">
        <w:rPr>
          <w:rFonts w:ascii="Times New Roman" w:hAnsi="Times New Roman"/>
          <w:i/>
          <w:iCs/>
          <w:sz w:val="28"/>
          <w:szCs w:val="28"/>
        </w:rPr>
        <w:t xml:space="preserve">Alcance de las normas analizadas (parágrafo 4° del art. 6°, inciso 1° del art. 10, literales c y d del art. 10). </w:t>
      </w:r>
      <w:r w:rsidRPr="007C57D2">
        <w:rPr>
          <w:rFonts w:ascii="Times New Roman" w:hAnsi="Times New Roman"/>
          <w:sz w:val="28"/>
          <w:szCs w:val="28"/>
        </w:rPr>
        <w:t xml:space="preserve">El parágrafo 4° del artículo 6° del PLE, dispone que serán objeto de investigaciones disciplinarias los funcionarios que reciban el reporte de extravío de un </w:t>
      </w:r>
      <w:r w:rsidRPr="007C57D2">
        <w:rPr>
          <w:rFonts w:ascii="Times New Roman" w:hAnsi="Times New Roman"/>
          <w:sz w:val="28"/>
          <w:szCs w:val="28"/>
        </w:rPr>
        <w:t>NNA</w:t>
      </w:r>
      <w:r w:rsidRPr="007C57D2">
        <w:rPr>
          <w:rFonts w:ascii="Times New Roman" w:hAnsi="Times New Roman"/>
          <w:sz w:val="28"/>
          <w:szCs w:val="28"/>
        </w:rPr>
        <w:t xml:space="preserve"> y no activen la alerta. De la mano con ello, el inciso 1° del art. 10 establece que no debe ex</w:t>
      </w:r>
      <w:r w:rsidRPr="007C57D2">
        <w:rPr>
          <w:rFonts w:ascii="Times New Roman" w:hAnsi="Times New Roman"/>
          <w:sz w:val="28"/>
          <w:szCs w:val="28"/>
        </w:rPr>
        <w:t>istir ningún tipo de dilaciones por parte de las autoridades competentes en el procedimiento para la difusión de la Alerta Colombia. Según los literales c) y d) de la referida disposición, la Alerta deberá ser emitida de manera ágil e inmediata a las autor</w:t>
      </w:r>
      <w:r w:rsidRPr="007C57D2">
        <w:rPr>
          <w:rFonts w:ascii="Times New Roman" w:hAnsi="Times New Roman"/>
          <w:sz w:val="28"/>
          <w:szCs w:val="28"/>
        </w:rPr>
        <w:t xml:space="preserve">idades migratorias y fronterizas. </w:t>
      </w:r>
    </w:p>
    <w:p w:rsidR="001E19D5" w:rsidRPr="007C57D2" w:rsidRDefault="007C57D2" w:rsidP="008F3DAB">
      <w:pPr>
        <w:pStyle w:val="Prrafodelista"/>
        <w:ind w:left="0"/>
        <w:jc w:val="both"/>
        <w:rPr>
          <w:rFonts w:ascii="Times New Roman" w:hAnsi="Times New Roman"/>
          <w:i/>
          <w:iCs/>
          <w:sz w:val="28"/>
          <w:szCs w:val="28"/>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rPr>
      </w:pPr>
      <w:r w:rsidRPr="007C57D2">
        <w:rPr>
          <w:rFonts w:ascii="Times New Roman" w:hAnsi="Times New Roman"/>
          <w:sz w:val="28"/>
          <w:szCs w:val="28"/>
        </w:rPr>
        <w:t>Consideraciones de la Corte.</w:t>
      </w:r>
      <w:r w:rsidRPr="007C57D2">
        <w:rPr>
          <w:rFonts w:ascii="Times New Roman" w:hAnsi="Times New Roman"/>
          <w:b/>
          <w:bCs/>
          <w:sz w:val="28"/>
          <w:szCs w:val="28"/>
        </w:rPr>
        <w:t xml:space="preserve"> </w:t>
      </w:r>
      <w:r w:rsidRPr="007C57D2">
        <w:rPr>
          <w:rFonts w:ascii="Times New Roman" w:hAnsi="Times New Roman"/>
          <w:sz w:val="28"/>
          <w:szCs w:val="28"/>
        </w:rPr>
        <w:t>Las referidas disposiciones no fueron cuestionadas por ninguno de los intervinientes; por lo que pasa la Corte a realizar su análisis material. Para estos efectos, se aplicará un test de prop</w:t>
      </w:r>
      <w:r w:rsidRPr="007C57D2">
        <w:rPr>
          <w:rFonts w:ascii="Times New Roman" w:hAnsi="Times New Roman"/>
          <w:sz w:val="28"/>
          <w:szCs w:val="28"/>
        </w:rPr>
        <w:t>orcionalidad leve; dado el amplio margen de configuración normativa que tiene el legislador en materia disciplinaria</w:t>
      </w:r>
      <w:r w:rsidRPr="007C57D2">
        <w:rPr>
          <w:rFonts w:ascii="Times New Roman" w:hAnsi="Times New Roman"/>
          <w:sz w:val="28"/>
          <w:vertAlign w:val="superscript"/>
        </w:rPr>
        <w:footnoteReference w:id="693"/>
      </w:r>
      <w:r w:rsidRPr="007C57D2">
        <w:rPr>
          <w:rFonts w:ascii="Times New Roman" w:hAnsi="Times New Roman"/>
          <w:sz w:val="28"/>
          <w:szCs w:val="28"/>
        </w:rPr>
        <w:t>. Como ya se precisó, esta herramienta metodológica se orienta a establecer la legitimidad del fin y de la medida analizada, y la idoneidad</w:t>
      </w:r>
      <w:r w:rsidRPr="007C57D2">
        <w:rPr>
          <w:rFonts w:ascii="Times New Roman" w:hAnsi="Times New Roman"/>
          <w:sz w:val="28"/>
          <w:szCs w:val="28"/>
        </w:rPr>
        <w:t xml:space="preserve"> de esta última para alcanzar el fin propuesto. Por lo tanto, se limita a determinar si el fin buscado y el medio empleado no están constitucionalmente prohibidos y, por otra, a establecer si el medio escogido es adecuado, es decir, idóneo para alcanzar el</w:t>
      </w:r>
      <w:r w:rsidRPr="007C57D2">
        <w:rPr>
          <w:rFonts w:ascii="Times New Roman" w:hAnsi="Times New Roman"/>
          <w:sz w:val="28"/>
          <w:szCs w:val="28"/>
        </w:rPr>
        <w:t xml:space="preserve"> fin propuesto</w:t>
      </w:r>
      <w:r w:rsidRPr="007C57D2">
        <w:rPr>
          <w:rFonts w:ascii="Times New Roman" w:hAnsi="Times New Roman"/>
          <w:sz w:val="28"/>
          <w:vertAlign w:val="superscript"/>
        </w:rPr>
        <w:footnoteReference w:id="694"/>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Finalidad. La finalidad perseguida por el legislador, al establecer que el funcionario que no active la Alerta Colombia será objeto de responsabilidad disciplinaria, es legítima a la luz del ordenamiento constitucional. En armonía con los</w:t>
      </w:r>
      <w:r w:rsidRPr="007C57D2">
        <w:rPr>
          <w:rFonts w:ascii="Times New Roman" w:hAnsi="Times New Roman"/>
          <w:sz w:val="28"/>
          <w:szCs w:val="28"/>
        </w:rPr>
        <w:t xml:space="preserve"> artículos 6° y 124 de la Constitución Política, la medida busca prevenir y corregir las infracciones que interfieren en el correcto funcionamiento del procedimiento de búsqueda y localización de los niños y niñas extraviados; con lo cual, también encuentr</w:t>
      </w:r>
      <w:r w:rsidRPr="007C57D2">
        <w:rPr>
          <w:rFonts w:ascii="Times New Roman" w:hAnsi="Times New Roman"/>
          <w:sz w:val="28"/>
          <w:szCs w:val="28"/>
        </w:rPr>
        <w:t xml:space="preserve">a sustento en la prevalencia de sus derechos y en la corresponsabilidad del Estado, la sociedad y la familia de garantizarlos.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Asimismo, la exigencia de actuar con agilidad e inmediatez en la difusión de la Alerta es una medida permitida por la Constitución, orientada a evitar dilaciones que terminen por afectar el restablecimiento de los derechos de los niños y niñas extraviados.</w:t>
      </w:r>
      <w:r w:rsidRPr="007C57D2">
        <w:rPr>
          <w:rFonts w:ascii="Times New Roman" w:hAnsi="Times New Roman"/>
          <w:sz w:val="28"/>
          <w:szCs w:val="28"/>
        </w:rPr>
        <w:t xml:space="preserve"> Ante escenarios de grave urgencia, como la desaparición de un </w:t>
      </w:r>
      <w:r w:rsidRPr="007C57D2">
        <w:rPr>
          <w:rFonts w:ascii="Times New Roman" w:hAnsi="Times New Roman"/>
          <w:sz w:val="28"/>
          <w:szCs w:val="28"/>
        </w:rPr>
        <w:t>NNA</w:t>
      </w:r>
      <w:r w:rsidRPr="007C57D2">
        <w:rPr>
          <w:rFonts w:ascii="Times New Roman" w:hAnsi="Times New Roman"/>
          <w:sz w:val="28"/>
          <w:szCs w:val="28"/>
        </w:rPr>
        <w:t xml:space="preserve">, es legítimo que se les exija a las autoridades competentes obrar con la debida diligencia, en el cumplimiento de sus deberes legales y constitucionales.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Idoneidad. Las medidas objeto de </w:t>
      </w:r>
      <w:r w:rsidRPr="007C57D2">
        <w:rPr>
          <w:rFonts w:ascii="Times New Roman" w:hAnsi="Times New Roman"/>
          <w:sz w:val="28"/>
          <w:szCs w:val="28"/>
        </w:rPr>
        <w:t>análisis son instrumentos idóneos y pertinentes para alcanzar la finalidad que inspira la norma. En este contexto, conviene destacar que las disposiciones disciplinarias no son solo mecanismos sancionatorios, sino que constituyen pilares fundamentales para</w:t>
      </w:r>
      <w:r w:rsidRPr="007C57D2">
        <w:rPr>
          <w:rFonts w:ascii="Times New Roman" w:hAnsi="Times New Roman"/>
          <w:sz w:val="28"/>
          <w:szCs w:val="28"/>
        </w:rPr>
        <w:t xml:space="preserve"> orientar la conducta de quienes ejercen funciones públicas.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Ese tipo de normas imponen deberes con el propósito de asegurar que el ejercicio de la función pública se enmarque en los principios constitucionales, garantizando el cumplimiento de los fines </w:t>
      </w:r>
      <w:r w:rsidRPr="007C57D2">
        <w:rPr>
          <w:rFonts w:ascii="Times New Roman" w:hAnsi="Times New Roman"/>
          <w:sz w:val="28"/>
          <w:szCs w:val="28"/>
        </w:rPr>
        <w:t>y funciones del Estado</w:t>
      </w:r>
      <w:r w:rsidRPr="007C57D2">
        <w:rPr>
          <w:rFonts w:ascii="Times New Roman" w:hAnsi="Times New Roman"/>
          <w:sz w:val="28"/>
          <w:szCs w:val="28"/>
          <w:vertAlign w:val="superscript"/>
        </w:rPr>
        <w:footnoteReference w:id="695"/>
      </w:r>
      <w:r w:rsidRPr="007C57D2">
        <w:rPr>
          <w:rFonts w:ascii="Times New Roman" w:hAnsi="Times New Roman"/>
          <w:sz w:val="28"/>
          <w:szCs w:val="28"/>
        </w:rPr>
        <w:t>. Desde esta perspectiva, las medidas disciplinarias bajo análisis no solo resultan adecuadas, sino también necesarias para garantizar el correcto funcionamiento del procedimiento de búsqueda y localización de los niños y niñas extra</w:t>
      </w:r>
      <w:r w:rsidRPr="007C57D2">
        <w:rPr>
          <w:rFonts w:ascii="Times New Roman" w:hAnsi="Times New Roman"/>
          <w:sz w:val="28"/>
          <w:szCs w:val="28"/>
        </w:rPr>
        <w:t>viados.</w:t>
      </w:r>
    </w:p>
    <w:p w:rsidR="001E19D5" w:rsidRPr="007C57D2" w:rsidRDefault="007C57D2" w:rsidP="008F3DAB">
      <w:pPr>
        <w:pStyle w:val="Prrafodelista"/>
        <w:rPr>
          <w:rFonts w:ascii="Times New Roman" w:hAnsi="Times New Roman"/>
          <w:i/>
          <w:i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Resultado del análisis de constitucionalidad</w:t>
      </w:r>
      <w:r w:rsidRPr="007C57D2">
        <w:rPr>
          <w:rFonts w:ascii="Times New Roman" w:hAnsi="Times New Roman"/>
          <w:sz w:val="28"/>
          <w:szCs w:val="28"/>
        </w:rPr>
        <w:t>. La aplicación del test de proporcionalidad en su intensidad leve devela que las medidas adoptadas en el parágrafo 4° del artículo 6°, en el inciso 1° del artículo 10 y en sus literales c) y d), son aco</w:t>
      </w:r>
      <w:r w:rsidRPr="007C57D2">
        <w:rPr>
          <w:rFonts w:ascii="Times New Roman" w:hAnsi="Times New Roman"/>
          <w:sz w:val="28"/>
          <w:szCs w:val="28"/>
        </w:rPr>
        <w:t>rdes con los principios constitucionales que orientan la función pública y contribuyen a la materialización de los fines del Estado, por lo que se declarará su constitucionalidad simple.</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18"/>
        </w:numPr>
        <w:tabs>
          <w:tab w:val="left" w:pos="1134"/>
        </w:tabs>
        <w:ind w:left="567" w:firstLine="0"/>
        <w:jc w:val="both"/>
        <w:rPr>
          <w:rFonts w:ascii="Times New Roman" w:hAnsi="Times New Roman"/>
          <w:b/>
          <w:sz w:val="28"/>
          <w:szCs w:val="28"/>
        </w:rPr>
      </w:pPr>
      <w:r w:rsidRPr="007C57D2">
        <w:rPr>
          <w:rFonts w:ascii="Times New Roman" w:hAnsi="Times New Roman"/>
          <w:b/>
          <w:sz w:val="28"/>
          <w:szCs w:val="28"/>
        </w:rPr>
        <w:t>Integración de la alerta Colombia en el sistema de alertas tempranas</w:t>
      </w:r>
    </w:p>
    <w:p w:rsidR="001E19D5" w:rsidRPr="007C57D2" w:rsidRDefault="007C57D2" w:rsidP="008F3DAB">
      <w:pPr>
        <w:spacing w:after="0" w:line="240" w:lineRule="auto"/>
        <w:jc w:val="both"/>
        <w:rPr>
          <w:rFonts w:ascii="Times New Roman" w:hAnsi="Times New Roman"/>
          <w:b/>
          <w:bCs/>
          <w:sz w:val="28"/>
          <w:szCs w:val="28"/>
        </w:rPr>
      </w:pPr>
    </w:p>
    <w:p w:rsidR="001E19D5" w:rsidRPr="007C57D2" w:rsidRDefault="007C57D2" w:rsidP="008F3DAB">
      <w:pPr>
        <w:pStyle w:val="Prrafodelista"/>
        <w:numPr>
          <w:ilvl w:val="0"/>
          <w:numId w:val="3"/>
        </w:numPr>
        <w:ind w:left="0" w:firstLine="0"/>
        <w:jc w:val="both"/>
        <w:rPr>
          <w:rFonts w:ascii="Times New Roman" w:hAnsi="Times New Roman"/>
          <w:i/>
          <w:iCs/>
          <w:sz w:val="28"/>
          <w:szCs w:val="28"/>
        </w:rPr>
      </w:pPr>
      <w:r w:rsidRPr="007C57D2">
        <w:rPr>
          <w:rFonts w:ascii="Times New Roman" w:hAnsi="Times New Roman"/>
          <w:i/>
          <w:iCs/>
          <w:sz w:val="28"/>
          <w:szCs w:val="28"/>
        </w:rPr>
        <w:t>Alcance de la norma analizada</w:t>
      </w:r>
      <w:r w:rsidRPr="007C57D2">
        <w:rPr>
          <w:rFonts w:ascii="Times New Roman" w:hAnsi="Times New Roman"/>
          <w:i/>
          <w:sz w:val="28"/>
          <w:szCs w:val="28"/>
        </w:rPr>
        <w:t xml:space="preserve"> (parágrafo</w:t>
      </w:r>
      <w:r w:rsidRPr="007C57D2">
        <w:rPr>
          <w:rFonts w:ascii="Times New Roman" w:hAnsi="Times New Roman"/>
          <w:i/>
          <w:iCs/>
          <w:sz w:val="28"/>
          <w:szCs w:val="28"/>
        </w:rPr>
        <w:t xml:space="preserve"> 2 del art. 10). </w:t>
      </w:r>
      <w:r w:rsidRPr="007C57D2">
        <w:rPr>
          <w:rFonts w:ascii="Times New Roman" w:hAnsi="Times New Roman"/>
          <w:sz w:val="28"/>
          <w:szCs w:val="28"/>
          <w:lang w:val="es-ES"/>
        </w:rPr>
        <w:t xml:space="preserve">El parágrafo 2° del artículo 10 del PLE, dispone que la </w:t>
      </w:r>
      <w:r w:rsidRPr="007C57D2">
        <w:rPr>
          <w:rFonts w:ascii="Times New Roman" w:hAnsi="Times New Roman"/>
          <w:sz w:val="28"/>
          <w:szCs w:val="28"/>
        </w:rPr>
        <w:t xml:space="preserve">Alerta Colombia integrará el gran Sistema de Alertas Tempranas sobre la niñez colombiana, sin perder la autonomía en su modalidad.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La creac</w:t>
      </w:r>
      <w:r w:rsidRPr="007C57D2">
        <w:rPr>
          <w:rFonts w:ascii="Times New Roman" w:hAnsi="Times New Roman"/>
          <w:sz w:val="28"/>
          <w:szCs w:val="28"/>
        </w:rPr>
        <w:t>ión de dicho Sistema fue radicada en cabeza del Ministerio de las Tecnologías de la Información y las Comunicaciones por virtud del artículo 4 de la Ley 2242 de 2022</w:t>
      </w:r>
      <w:r w:rsidRPr="007C57D2">
        <w:rPr>
          <w:rFonts w:ascii="Times New Roman" w:hAnsi="Times New Roman"/>
          <w:sz w:val="28"/>
          <w:szCs w:val="28"/>
          <w:vertAlign w:val="superscript"/>
        </w:rPr>
        <w:footnoteReference w:id="696"/>
      </w:r>
      <w:r w:rsidRPr="007C57D2">
        <w:rPr>
          <w:rFonts w:ascii="Times New Roman" w:hAnsi="Times New Roman"/>
          <w:sz w:val="28"/>
          <w:szCs w:val="28"/>
        </w:rPr>
        <w:t>, que adicionó un artículo a la Ley 7 de 1979</w:t>
      </w:r>
      <w:r w:rsidRPr="007C57D2">
        <w:rPr>
          <w:rFonts w:ascii="Times New Roman" w:hAnsi="Times New Roman"/>
          <w:sz w:val="28"/>
          <w:szCs w:val="28"/>
          <w:vertAlign w:val="superscript"/>
        </w:rPr>
        <w:footnoteReference w:id="697"/>
      </w:r>
      <w:r w:rsidRPr="007C57D2">
        <w:rPr>
          <w:rFonts w:ascii="Times New Roman" w:hAnsi="Times New Roman"/>
          <w:sz w:val="28"/>
          <w:szCs w:val="28"/>
        </w:rPr>
        <w:t xml:space="preserve"> y fue modificado por el artículo 18 de la L</w:t>
      </w:r>
      <w:r w:rsidRPr="007C57D2">
        <w:rPr>
          <w:rFonts w:ascii="Times New Roman" w:hAnsi="Times New Roman"/>
          <w:sz w:val="28"/>
          <w:szCs w:val="28"/>
        </w:rPr>
        <w:t>ey 2447 de 2025. Ello, con miras a la articulación, integración y complementación de los sistemas de información preexistentes</w:t>
      </w:r>
      <w:r w:rsidRPr="007C57D2">
        <w:rPr>
          <w:rFonts w:ascii="Times New Roman" w:hAnsi="Times New Roman"/>
          <w:sz w:val="28"/>
          <w:szCs w:val="28"/>
          <w:vertAlign w:val="superscript"/>
        </w:rPr>
        <w:footnoteReference w:id="698"/>
      </w:r>
      <w:r w:rsidRPr="007C57D2">
        <w:rPr>
          <w:rFonts w:ascii="Times New Roman" w:hAnsi="Times New Roman"/>
          <w:sz w:val="28"/>
          <w:szCs w:val="28"/>
        </w:rPr>
        <w:t xml:space="preserve"> y a la oportuna intervención de las entidades estatales en la prevención de las afectaciones de los derechos de los NNA.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Según</w:t>
      </w:r>
      <w:r w:rsidRPr="007C57D2">
        <w:rPr>
          <w:rFonts w:ascii="Times New Roman" w:hAnsi="Times New Roman"/>
          <w:sz w:val="28"/>
          <w:szCs w:val="28"/>
        </w:rPr>
        <w:t xml:space="preserve"> la norma, el Sistema de Alertas Tempranas sobre la niñez colombiana alertará sobre “riesgos de desnutrición, abuso, las distintas formas de violencia, enfermedades crónicas existentes o riesgos de salud, vacunación, talla, peso, escolaridad, rendimiento a</w:t>
      </w:r>
      <w:r w:rsidRPr="007C57D2">
        <w:rPr>
          <w:rFonts w:ascii="Times New Roman" w:hAnsi="Times New Roman"/>
          <w:sz w:val="28"/>
          <w:szCs w:val="28"/>
        </w:rPr>
        <w:t>cadémico, casos de matrimonio infantil, uniones maritales de hecho y uniones tempranas en las cuáles uno o ambos sean menores de edad, amenaza de reclutamiento forzado para NNA o su núcleo familiar”</w:t>
      </w:r>
      <w:r w:rsidRPr="007C57D2">
        <w:rPr>
          <w:rFonts w:ascii="Times New Roman" w:hAnsi="Times New Roman"/>
          <w:sz w:val="28"/>
          <w:szCs w:val="28"/>
          <w:vertAlign w:val="superscript"/>
        </w:rPr>
        <w:footnoteReference w:id="699"/>
      </w:r>
      <w:r w:rsidRPr="007C57D2">
        <w:rPr>
          <w:rFonts w:ascii="Times New Roman" w:hAnsi="Times New Roman"/>
          <w:sz w:val="28"/>
          <w:szCs w:val="28"/>
        </w:rPr>
        <w:t xml:space="preserve">. </w:t>
      </w:r>
    </w:p>
    <w:p w:rsidR="001E19D5" w:rsidRPr="007C57D2" w:rsidRDefault="007C57D2" w:rsidP="008F3DAB">
      <w:pPr>
        <w:pStyle w:val="Prrafodelista"/>
        <w:rPr>
          <w:rFonts w:ascii="Times New Roman" w:hAnsi="Times New Roman"/>
          <w:b/>
          <w:b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Consideraciones de la Corte.</w:t>
      </w:r>
      <w:r w:rsidRPr="007C57D2">
        <w:rPr>
          <w:rFonts w:ascii="Times New Roman" w:hAnsi="Times New Roman"/>
          <w:sz w:val="28"/>
          <w:szCs w:val="28"/>
        </w:rPr>
        <w:t xml:space="preserve"> La Corte advierte que la</w:t>
      </w:r>
      <w:r w:rsidRPr="007C57D2">
        <w:rPr>
          <w:rFonts w:ascii="Times New Roman" w:hAnsi="Times New Roman"/>
          <w:sz w:val="28"/>
          <w:szCs w:val="28"/>
        </w:rPr>
        <w:t xml:space="preserve"> incorporación de la Alerta Colombia en el Sistema de Alertas Tempranas sobre la niñez colombiana es una medida que no entra en tensión con algún derecho fundamental en particular. Por el contrario, la norma se ajusta a los fines esenciales del Estado cont</w:t>
      </w:r>
      <w:r w:rsidRPr="007C57D2">
        <w:rPr>
          <w:rFonts w:ascii="Times New Roman" w:hAnsi="Times New Roman"/>
          <w:sz w:val="28"/>
          <w:szCs w:val="28"/>
        </w:rPr>
        <w:t>emplados en el artículo 2° de la Constitución Política, pues promueve la prosperidad general, así como la garantía de la efectividad de los principios, derechos y deberes constitucionales.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efecto, la medida propende por la articulación y armonización d</w:t>
      </w:r>
      <w:r w:rsidRPr="007C57D2">
        <w:rPr>
          <w:rFonts w:ascii="Times New Roman" w:hAnsi="Times New Roman"/>
          <w:sz w:val="28"/>
          <w:szCs w:val="28"/>
        </w:rPr>
        <w:t>e los diferentes sistemas de alertas, y garantiza una actuación coordinada de las distintas autoridades, en línea con el artículo 209 de la Constitución. Además, la integración de la Alerta Colombia en el Sistema de Alertas Tempranas sobre la niñez colombi</w:t>
      </w:r>
      <w:r w:rsidRPr="007C57D2">
        <w:rPr>
          <w:rFonts w:ascii="Times New Roman" w:hAnsi="Times New Roman"/>
          <w:sz w:val="28"/>
          <w:szCs w:val="28"/>
        </w:rPr>
        <w:t>ana contribuye a generar indicadores de riesgo en torno a la vulneración de los derechos de los niños y niñas y promueve la adopción de medidas de prevención y protección; con lo cual también se ajusta a los postulados constitucionales que guían el interés</w:t>
      </w:r>
      <w:r w:rsidRPr="007C57D2">
        <w:rPr>
          <w:rFonts w:ascii="Times New Roman" w:hAnsi="Times New Roman"/>
          <w:sz w:val="28"/>
          <w:szCs w:val="28"/>
        </w:rPr>
        <w:t xml:space="preserve"> superior de ese grupo poblacional y la prevalencia de sus derechos.</w:t>
      </w:r>
    </w:p>
    <w:p w:rsidR="001E19D5" w:rsidRPr="007C57D2" w:rsidRDefault="007C57D2" w:rsidP="008F3DAB">
      <w:pPr>
        <w:pStyle w:val="Prrafodelista"/>
        <w:rPr>
          <w:rFonts w:ascii="Times New Roman" w:hAnsi="Times New Roman"/>
          <w:i/>
          <w:i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Resultado del análisis de constitucionalidad</w:t>
      </w:r>
      <w:r w:rsidRPr="007C57D2">
        <w:rPr>
          <w:rFonts w:ascii="Times New Roman" w:hAnsi="Times New Roman"/>
          <w:sz w:val="28"/>
          <w:szCs w:val="28"/>
        </w:rPr>
        <w:t xml:space="preserve">. </w:t>
      </w:r>
      <w:r w:rsidRPr="007C57D2">
        <w:rPr>
          <w:rFonts w:ascii="Times New Roman" w:hAnsi="Times New Roman"/>
          <w:sz w:val="28"/>
          <w:szCs w:val="28"/>
          <w:lang w:val="es-ES"/>
        </w:rPr>
        <w:t>El análisis de constitucionalidad del parágrafo 2° del artículo 10 del PLE revela que la articulación de la Alerta Colombia en el Sistema de</w:t>
      </w:r>
      <w:r w:rsidRPr="007C57D2">
        <w:rPr>
          <w:rFonts w:ascii="Times New Roman" w:hAnsi="Times New Roman"/>
          <w:sz w:val="28"/>
          <w:szCs w:val="28"/>
          <w:lang w:val="es-ES"/>
        </w:rPr>
        <w:t xml:space="preserve"> Alertas Tempranas sobre la niñez colombiana es una medida legítima que persigue imperiosos fines constitucionales</w:t>
      </w:r>
      <w:r w:rsidRPr="007C57D2">
        <w:rPr>
          <w:rFonts w:ascii="Times New Roman" w:hAnsi="Times New Roman"/>
          <w:sz w:val="28"/>
          <w:szCs w:val="28"/>
        </w:rPr>
        <w:t>, por lo que se declarará su constitucionalidad.</w:t>
      </w:r>
    </w:p>
    <w:p w:rsidR="001E19D5" w:rsidRPr="007C57D2" w:rsidRDefault="007C57D2" w:rsidP="008F3DAB">
      <w:pPr>
        <w:spacing w:after="0" w:line="240" w:lineRule="auto"/>
        <w:jc w:val="both"/>
        <w:rPr>
          <w:rFonts w:ascii="Times New Roman" w:hAnsi="Times New Roman"/>
          <w:b/>
          <w:bCs/>
          <w:color w:val="000000"/>
          <w:sz w:val="28"/>
          <w:szCs w:val="44"/>
          <w:lang w:val="es-ES_tradnl"/>
        </w:rPr>
      </w:pPr>
    </w:p>
    <w:p w:rsidR="001E19D5" w:rsidRPr="007C57D2" w:rsidRDefault="007C57D2" w:rsidP="008F3DAB">
      <w:pPr>
        <w:spacing w:after="0" w:line="240" w:lineRule="auto"/>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Decisión sobre la constitucionalidad de los artículos 6, 10 y 11 del PLE</w:t>
      </w:r>
    </w:p>
    <w:p w:rsidR="001E19D5" w:rsidRPr="007C57D2" w:rsidRDefault="007C57D2" w:rsidP="008F3DAB">
      <w:pPr>
        <w:spacing w:after="0" w:line="240" w:lineRule="auto"/>
        <w:jc w:val="both"/>
        <w:rPr>
          <w:rFonts w:ascii="Times New Roman" w:hAnsi="Times New Roman"/>
          <w:sz w:val="28"/>
          <w:szCs w:val="28"/>
          <w:lang w:val="es-ES_tradnl"/>
        </w:rPr>
      </w:pPr>
    </w:p>
    <w:p w:rsidR="00C624E4"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 xml:space="preserve">La Sala Plena declarará la constitucionalidad de los artículos 10 y 11 del PLE. </w:t>
      </w:r>
      <w:r w:rsidRPr="007C57D2">
        <w:rPr>
          <w:rFonts w:ascii="Times New Roman" w:hAnsi="Times New Roman"/>
          <w:sz w:val="28"/>
          <w:szCs w:val="28"/>
        </w:rPr>
        <w:t>En el caso del artículo 6, la Corte -</w:t>
      </w:r>
      <w:r w:rsidRPr="007C57D2">
        <w:rPr>
          <w:rFonts w:ascii="Times New Roman" w:hAnsi="Times New Roman"/>
          <w:i/>
          <w:iCs/>
          <w:sz w:val="28"/>
          <w:szCs w:val="28"/>
        </w:rPr>
        <w:t>como lo hizo</w:t>
      </w:r>
      <w:r w:rsidRPr="007C57D2">
        <w:rPr>
          <w:rFonts w:ascii="Times New Roman" w:hAnsi="Times New Roman"/>
          <w:i/>
          <w:iCs/>
          <w:sz w:val="28"/>
          <w:szCs w:val="28"/>
        </w:rPr>
        <w:t xml:space="preserve"> con </w:t>
      </w:r>
      <w:r w:rsidRPr="007C57D2">
        <w:rPr>
          <w:rFonts w:ascii="Times New Roman" w:hAnsi="Times New Roman"/>
          <w:i/>
          <w:iCs/>
          <w:sz w:val="28"/>
          <w:szCs w:val="28"/>
        </w:rPr>
        <w:t>los artículos 3, 4, y 8-</w:t>
      </w:r>
      <w:r w:rsidRPr="007C57D2">
        <w:rPr>
          <w:rFonts w:ascii="Times New Roman" w:hAnsi="Times New Roman"/>
          <w:sz w:val="28"/>
          <w:szCs w:val="28"/>
        </w:rPr>
        <w:t xml:space="preserve"> declarar</w:t>
      </w:r>
      <w:r w:rsidRPr="007C57D2">
        <w:rPr>
          <w:rFonts w:ascii="Times New Roman" w:hAnsi="Times New Roman"/>
          <w:sz w:val="28"/>
          <w:szCs w:val="28"/>
        </w:rPr>
        <w:t>á</w:t>
      </w:r>
      <w:r w:rsidRPr="007C57D2">
        <w:rPr>
          <w:rFonts w:ascii="Times New Roman" w:hAnsi="Times New Roman"/>
          <w:sz w:val="28"/>
          <w:szCs w:val="28"/>
        </w:rPr>
        <w:t xml:space="preserve"> su constitucionalidad condicionada. </w:t>
      </w:r>
    </w:p>
    <w:p w:rsidR="00C624E4" w:rsidRPr="007C57D2" w:rsidRDefault="007C57D2" w:rsidP="008F3DAB">
      <w:pPr>
        <w:spacing w:after="0" w:line="240" w:lineRule="auto"/>
        <w:jc w:val="both"/>
        <w:rPr>
          <w:rFonts w:ascii="Times New Roman" w:hAnsi="Times New Roman"/>
          <w:sz w:val="28"/>
          <w:szCs w:val="28"/>
          <w:lang w:val="es-ES"/>
        </w:rPr>
      </w:pPr>
    </w:p>
    <w:p w:rsidR="00202EDA"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lang w:val="es-ES"/>
        </w:rPr>
        <w:t>La Corte concluye que el artículo 6 es constituci</w:t>
      </w:r>
      <w:r w:rsidRPr="007C57D2">
        <w:rPr>
          <w:rFonts w:ascii="Times New Roman" w:hAnsi="Times New Roman"/>
          <w:sz w:val="28"/>
          <w:szCs w:val="28"/>
          <w:lang w:val="es-ES"/>
        </w:rPr>
        <w:t xml:space="preserve">onal bajo los siguientes entendidos: (i) la expresión “a la persona que lo secuestró” del literal h), se refiere a la persona que presuntamente </w:t>
      </w:r>
      <w:r w:rsidRPr="007C57D2">
        <w:rPr>
          <w:rFonts w:ascii="Times New Roman" w:hAnsi="Times New Roman"/>
          <w:sz w:val="28"/>
          <w:szCs w:val="28"/>
        </w:rPr>
        <w:t>extravió al menor de edad o fue la última persona vista con este</w:t>
      </w:r>
      <w:r w:rsidRPr="007C57D2">
        <w:rPr>
          <w:rFonts w:ascii="Times New Roman" w:hAnsi="Times New Roman"/>
          <w:sz w:val="28"/>
          <w:szCs w:val="28"/>
          <w:lang w:val="es-ES"/>
        </w:rPr>
        <w:t xml:space="preserve">; (ii) la eventual publicación de la imagen de </w:t>
      </w:r>
      <w:r w:rsidRPr="007C57D2">
        <w:rPr>
          <w:rFonts w:ascii="Times New Roman" w:hAnsi="Times New Roman"/>
          <w:sz w:val="28"/>
          <w:szCs w:val="28"/>
          <w:lang w:val="es-ES"/>
        </w:rPr>
        <w:t>la última persona vista con el menor de 18 años extraviado a que se refiere el literal h) deberá ser evaluada caso por caso por las autoridades competentes, respetando el principio de proporcionalidad; y (iii) la determinación de la periodicidad y la durac</w:t>
      </w:r>
      <w:r w:rsidRPr="007C57D2">
        <w:rPr>
          <w:rFonts w:ascii="Times New Roman" w:hAnsi="Times New Roman"/>
          <w:sz w:val="28"/>
          <w:szCs w:val="28"/>
          <w:lang w:val="es-ES"/>
        </w:rPr>
        <w:t>ión de la alerta inicial señalada en el parágrafo 2 deberán ser las estrictamente necesarias para la búsqueda, localización y pronta recuperación del niño, niña o adolescente extraviado (a), según las circunstancias particulares del caso. En eventos excepc</w:t>
      </w:r>
      <w:r w:rsidRPr="007C57D2">
        <w:rPr>
          <w:rFonts w:ascii="Times New Roman" w:hAnsi="Times New Roman"/>
          <w:sz w:val="28"/>
          <w:szCs w:val="28"/>
          <w:lang w:val="es-ES"/>
        </w:rPr>
        <w:t>ionales y debidamente justificados por razones de seguridad, es posible que no se active la alerta o que se utilice bajo condiciones especiales.</w:t>
      </w:r>
    </w:p>
    <w:p w:rsidR="00202EDA" w:rsidRPr="007C57D2" w:rsidRDefault="007C57D2" w:rsidP="008F3DAB">
      <w:pPr>
        <w:spacing w:after="0" w:line="240" w:lineRule="auto"/>
        <w:jc w:val="both"/>
        <w:rPr>
          <w:rFonts w:ascii="Times New Roman" w:hAnsi="Times New Roman"/>
          <w:sz w:val="28"/>
          <w:szCs w:val="28"/>
          <w:lang w:val="es-ES"/>
        </w:rPr>
      </w:pPr>
    </w:p>
    <w:p w:rsidR="00202EDA"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lang w:val="es-ES"/>
        </w:rPr>
        <w:t>Para la Corte son relevantes las anteriores precisiones por lo siguiente:</w:t>
      </w:r>
      <w:r w:rsidRPr="007C57D2">
        <w:rPr>
          <w:rFonts w:ascii="Times New Roman" w:hAnsi="Times New Roman"/>
          <w:sz w:val="28"/>
          <w:szCs w:val="28"/>
          <w:lang w:val="es-ES"/>
        </w:rPr>
        <w:t xml:space="preserve"> </w:t>
      </w:r>
      <w:r w:rsidRPr="007C57D2">
        <w:rPr>
          <w:rFonts w:ascii="Times New Roman" w:hAnsi="Times New Roman"/>
          <w:sz w:val="28"/>
          <w:szCs w:val="28"/>
          <w:lang w:val="es-ES"/>
        </w:rPr>
        <w:t>En primer lugar, respetar la presunc</w:t>
      </w:r>
      <w:r w:rsidRPr="007C57D2">
        <w:rPr>
          <w:rFonts w:ascii="Times New Roman" w:hAnsi="Times New Roman"/>
          <w:sz w:val="28"/>
          <w:szCs w:val="28"/>
          <w:lang w:val="es-ES"/>
        </w:rPr>
        <w:t>ión de inocencia de la persona que fue vista por última vez con el menor de edad extraviado porque no siempre se trata de situaciones de secuestro o de conductas que sean tipificadas como delitos. El término “persona que lo secuestró” introduce una atribuc</w:t>
      </w:r>
      <w:r w:rsidRPr="007C57D2">
        <w:rPr>
          <w:rFonts w:ascii="Times New Roman" w:hAnsi="Times New Roman"/>
          <w:sz w:val="28"/>
          <w:szCs w:val="28"/>
          <w:lang w:val="es-ES"/>
        </w:rPr>
        <w:t>ión directa de responsabilidad penal a una persona, sin un proceso previo, en contravía del artículo 29 de la Constitución y de los estándares internacionales sobre presunción de inocencia. Es decir, esa expresión sugiere que aquel que fue visto con el NNA</w:t>
      </w:r>
      <w:r w:rsidRPr="007C57D2">
        <w:rPr>
          <w:rFonts w:ascii="Times New Roman" w:hAnsi="Times New Roman"/>
          <w:sz w:val="28"/>
          <w:szCs w:val="28"/>
          <w:lang w:val="es-ES"/>
        </w:rPr>
        <w:t xml:space="preserve"> puede ser el secuestrador, a pesar de que no existe un proceso penal que así lo determine. Al tratarse de información divulgada de manera masiva y con un alto grado de urgencia, puede generar daños irreparables al buen nombre.</w:t>
      </w:r>
    </w:p>
    <w:p w:rsidR="00202EDA" w:rsidRPr="007C57D2" w:rsidRDefault="007C57D2" w:rsidP="008F3DAB">
      <w:pPr>
        <w:spacing w:after="0" w:line="240" w:lineRule="auto"/>
        <w:jc w:val="both"/>
        <w:rPr>
          <w:rFonts w:ascii="Times New Roman" w:hAnsi="Times New Roman"/>
          <w:sz w:val="28"/>
          <w:szCs w:val="28"/>
          <w:lang w:val="es-ES"/>
        </w:rPr>
      </w:pPr>
    </w:p>
    <w:p w:rsidR="00202EDA"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lang w:val="es-ES"/>
        </w:rPr>
        <w:t>En segundo lugar, es necesa</w:t>
      </w:r>
      <w:r w:rsidRPr="007C57D2">
        <w:rPr>
          <w:rFonts w:ascii="Times New Roman" w:hAnsi="Times New Roman"/>
          <w:sz w:val="28"/>
          <w:szCs w:val="28"/>
          <w:lang w:val="es-ES"/>
        </w:rPr>
        <w:t>rio que la periodicidad y la duración de la alerta inicial sean las estrictamente necesarias para la búsqueda, localización y pronta recuperación del menor de 18 años extraviado, sin que ello cause una saturación desproporcionada de las redes de comunicaci</w:t>
      </w:r>
      <w:r w:rsidRPr="007C57D2">
        <w:rPr>
          <w:rFonts w:ascii="Times New Roman" w:hAnsi="Times New Roman"/>
          <w:sz w:val="28"/>
          <w:szCs w:val="28"/>
          <w:lang w:val="es-ES"/>
        </w:rPr>
        <w:t>ones y de los equipos móviles o una eventual revictimización del menor de edad.</w:t>
      </w:r>
      <w:r w:rsidRPr="007C57D2">
        <w:rPr>
          <w:rFonts w:ascii="Times New Roman" w:hAnsi="Times New Roman"/>
          <w:sz w:val="28"/>
          <w:szCs w:val="28"/>
        </w:rPr>
        <w:t xml:space="preserve"> La exposición excesiva de su imagen puede ocasionarle nuevos perjuicios y traumas, y aumenta los riesgos asociados a la divulgación innecesaria y prolongada de datos personales</w:t>
      </w:r>
      <w:r w:rsidRPr="007C57D2">
        <w:rPr>
          <w:rFonts w:ascii="Times New Roman" w:hAnsi="Times New Roman"/>
          <w:sz w:val="28"/>
          <w:szCs w:val="28"/>
        </w:rPr>
        <w:t xml:space="preserve"> e información sensible de niños y niñas extraviadas</w:t>
      </w:r>
      <w:r w:rsidRPr="007C57D2">
        <w:rPr>
          <w:rFonts w:ascii="Times New Roman" w:hAnsi="Times New Roman"/>
          <w:sz w:val="28"/>
          <w:szCs w:val="28"/>
          <w:lang w:val="es-ES"/>
        </w:rPr>
        <w:t>.</w:t>
      </w:r>
    </w:p>
    <w:p w:rsidR="001E19D5" w:rsidRPr="007C57D2" w:rsidRDefault="007C57D2" w:rsidP="008F3DAB">
      <w:pPr>
        <w:spacing w:after="0" w:line="240" w:lineRule="auto"/>
        <w:jc w:val="both"/>
        <w:rPr>
          <w:rFonts w:ascii="Times New Roman" w:hAnsi="Times New Roman"/>
          <w:sz w:val="28"/>
          <w:szCs w:val="28"/>
        </w:rPr>
      </w:pPr>
    </w:p>
    <w:p w:rsidR="00202EDA"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Ttulo3"/>
        <w:spacing w:before="0" w:after="0" w:line="240" w:lineRule="auto"/>
        <w:jc w:val="both"/>
        <w:rPr>
          <w:rFonts w:ascii="Times New Roman" w:hAnsi="Times New Roman"/>
          <w:b/>
          <w:bCs/>
          <w:color w:val="000000"/>
          <w:lang w:val="es-ES_tradnl"/>
        </w:rPr>
      </w:pPr>
      <w:bookmarkStart w:id="55" w:name="_Toc222728040"/>
      <w:r w:rsidRPr="007C57D2">
        <w:rPr>
          <w:rFonts w:ascii="Times New Roman" w:hAnsi="Times New Roman"/>
          <w:b/>
          <w:bCs/>
          <w:color w:val="000000"/>
          <w:lang w:val="es-ES_tradnl"/>
        </w:rPr>
        <w:t xml:space="preserve">5.5.7. Mecanismos de búsqueda, localización y recuperación de niños (as) (Examen de constitucionalidad del artículo 12 del </w:t>
      </w:r>
      <w:r w:rsidRPr="007C57D2">
        <w:rPr>
          <w:rFonts w:ascii="Times New Roman" w:hAnsi="Times New Roman"/>
          <w:b/>
          <w:bCs/>
          <w:color w:val="000000"/>
          <w:lang w:val="es-ES_tradnl"/>
        </w:rPr>
        <w:t>PLE)</w:t>
      </w:r>
      <w:bookmarkEnd w:id="55"/>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pStyle w:val="Prrafodelista"/>
        <w:numPr>
          <w:ilvl w:val="1"/>
          <w:numId w:val="3"/>
        </w:numPr>
        <w:tabs>
          <w:tab w:val="left" w:pos="1134"/>
        </w:tabs>
        <w:ind w:left="567" w:firstLine="0"/>
        <w:jc w:val="both"/>
        <w:rPr>
          <w:rFonts w:ascii="Times New Roman" w:hAnsi="Times New Roman"/>
          <w:b/>
          <w:bCs/>
          <w:sz w:val="28"/>
          <w:szCs w:val="28"/>
          <w:lang w:val="es-ES_tradnl"/>
        </w:rPr>
      </w:pPr>
      <w:r w:rsidRPr="007C57D2">
        <w:rPr>
          <w:rFonts w:ascii="Times New Roman" w:hAnsi="Times New Roman"/>
          <w:b/>
          <w:bCs/>
          <w:sz w:val="28"/>
          <w:szCs w:val="28"/>
          <w:lang w:val="es-ES_tradnl"/>
        </w:rPr>
        <w:t>Transcripción de la norma objeto de control</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A continuación, se transcribe la norma contenida en el artículo 12 </w:t>
      </w:r>
      <w:r w:rsidRPr="007C57D2">
        <w:rPr>
          <w:rFonts w:ascii="Times New Roman" w:hAnsi="Times New Roman"/>
          <w:sz w:val="28"/>
          <w:szCs w:val="28"/>
          <w:lang w:val="es-ES_tradnl"/>
        </w:rPr>
        <w:t>del PLE:</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12. Mecanismos de búsqueda.</w:t>
      </w:r>
      <w:r w:rsidRPr="007C57D2">
        <w:rPr>
          <w:rFonts w:ascii="Times New Roman" w:hAnsi="Times New Roman"/>
          <w:sz w:val="28"/>
          <w:szCs w:val="26"/>
        </w:rPr>
        <w:t xml:space="preserve"> Durante la activación de la alerta Colombia la Policía Nacional implementará los mecanismos de búsqueda pertinentes para la búsqueda, localiz</w:t>
      </w:r>
      <w:r w:rsidRPr="007C57D2">
        <w:rPr>
          <w:rFonts w:ascii="Times New Roman" w:hAnsi="Times New Roman"/>
          <w:sz w:val="28"/>
          <w:szCs w:val="26"/>
        </w:rPr>
        <w:t xml:space="preserve">ación y recuperación inmediata de niños y niñas extraviados.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En estos mecanismos de búsqueda la ciudadanía podrá participar de forma voluntaria en estricto cumplimiento del principio constitucional de solidaridad. Por lo tanto, dicha participación no gen</w:t>
      </w:r>
      <w:r w:rsidRPr="007C57D2">
        <w:rPr>
          <w:rFonts w:ascii="Times New Roman" w:hAnsi="Times New Roman"/>
          <w:sz w:val="28"/>
          <w:szCs w:val="26"/>
        </w:rPr>
        <w:t>erará ningún costo ni ingreso monetario para quienes colaboren en la búsqueda y localización del niño o niña extraviado. Además, de acuerdo con el principio de solidaridad empresarial, los proveedores de redes y servicios de telecomunicaciones móviles pond</w:t>
      </w:r>
      <w:r w:rsidRPr="007C57D2">
        <w:rPr>
          <w:rFonts w:ascii="Times New Roman" w:hAnsi="Times New Roman"/>
          <w:sz w:val="28"/>
          <w:szCs w:val="26"/>
        </w:rPr>
        <w:t>rán a disposición la tecnología necesaria para estos fines”.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rPr>
          <w:rFonts w:ascii="Times New Roman" w:hAnsi="Times New Roman"/>
          <w:b/>
          <w:bCs/>
          <w:color w:val="000000"/>
          <w:sz w:val="28"/>
          <w:szCs w:val="28"/>
          <w:lang w:val="es-ES_tradnl"/>
        </w:rPr>
      </w:pPr>
      <w:r w:rsidRPr="007C57D2">
        <w:rPr>
          <w:rFonts w:ascii="Times New Roman" w:hAnsi="Times New Roman"/>
          <w:b/>
          <w:bCs/>
          <w:color w:val="000000"/>
          <w:sz w:val="28"/>
          <w:szCs w:val="28"/>
          <w:lang w:val="es-ES_tradnl"/>
        </w:rPr>
        <w:t>b. Problema jurídico e intervenciones</w:t>
      </w:r>
    </w:p>
    <w:p w:rsidR="001E19D5" w:rsidRPr="007C57D2" w:rsidRDefault="007C57D2" w:rsidP="008F3DAB">
      <w:pPr>
        <w:spacing w:after="0" w:line="240" w:lineRule="auto"/>
        <w:rPr>
          <w:rFonts w:ascii="Times New Roman" w:hAnsi="Times New Roman"/>
          <w:sz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 xml:space="preserve">Para decidir definitivamente sobre la constitucionalidad del PLE, respecto del contenido material del artículo 12, le corresponde a la Corte establecer lo </w:t>
      </w:r>
      <w:r w:rsidRPr="007C57D2">
        <w:rPr>
          <w:rFonts w:ascii="Times New Roman" w:hAnsi="Times New Roman"/>
          <w:sz w:val="28"/>
          <w:szCs w:val="28"/>
          <w:lang w:val="es-ES_tradnl"/>
        </w:rPr>
        <w:t>siguiente: ¿Se ajusta el artículo 12 del PLE a lo dispuesto en los preceptos constitucionales?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Si bien ninguno de los intervinientes solicitó declarar inconstitucional la disposición, algunos emitieron consideraciones y realizaron solicitudes. Así, a </w:t>
      </w:r>
      <w:r w:rsidRPr="007C57D2">
        <w:rPr>
          <w:rFonts w:ascii="Times New Roman" w:hAnsi="Times New Roman"/>
          <w:sz w:val="28"/>
          <w:szCs w:val="28"/>
        </w:rPr>
        <w:t>juicio del ciudadano Harold Eduardo Súa Montaña</w:t>
      </w:r>
      <w:r w:rsidRPr="007C57D2">
        <w:rPr>
          <w:rFonts w:ascii="Times New Roman" w:hAnsi="Times New Roman"/>
          <w:sz w:val="28"/>
          <w:szCs w:val="28"/>
          <w:vertAlign w:val="superscript"/>
        </w:rPr>
        <w:footnoteReference w:id="700"/>
      </w:r>
      <w:r w:rsidRPr="007C57D2">
        <w:rPr>
          <w:rFonts w:ascii="Times New Roman" w:hAnsi="Times New Roman"/>
          <w:sz w:val="28"/>
          <w:szCs w:val="28"/>
        </w:rPr>
        <w:t xml:space="preserve">, la disposición carece de naturaleza estatutaria al no involucrar asuntos relativos al </w:t>
      </w:r>
      <w:r w:rsidRPr="007C57D2">
        <w:rPr>
          <w:rFonts w:ascii="Times New Roman" w:hAnsi="Times New Roman"/>
          <w:i/>
          <w:iCs/>
          <w:sz w:val="28"/>
          <w:szCs w:val="28"/>
        </w:rPr>
        <w:t xml:space="preserve">habeas data </w:t>
      </w:r>
      <w:r w:rsidRPr="007C57D2">
        <w:rPr>
          <w:rFonts w:ascii="Times New Roman" w:hAnsi="Times New Roman"/>
          <w:sz w:val="28"/>
          <w:szCs w:val="28"/>
        </w:rPr>
        <w:t>ni al núcleo fundamental de algún derecho, motivo por el cual debe excluirse del control constitucional en c</w:t>
      </w:r>
      <w:r w:rsidRPr="007C57D2">
        <w:rPr>
          <w:rFonts w:ascii="Times New Roman" w:hAnsi="Times New Roman"/>
          <w:sz w:val="28"/>
          <w:szCs w:val="28"/>
        </w:rPr>
        <w:t xml:space="preserve">urso. </w:t>
      </w:r>
    </w:p>
    <w:p w:rsidR="001E19D5" w:rsidRPr="007C57D2" w:rsidRDefault="007C57D2" w:rsidP="008F3DAB">
      <w:pPr>
        <w:spacing w:after="0" w:line="240" w:lineRule="auto"/>
        <w:jc w:val="both"/>
        <w:rPr>
          <w:rFonts w:ascii="Times New Roman" w:hAnsi="Times New Roman"/>
          <w:iCs/>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lang w:val="es-ES"/>
        </w:rPr>
      </w:pPr>
      <w:r w:rsidRPr="007C57D2">
        <w:rPr>
          <w:rFonts w:ascii="Times New Roman" w:hAnsi="Times New Roman"/>
          <w:sz w:val="28"/>
          <w:szCs w:val="28"/>
        </w:rPr>
        <w:t xml:space="preserve">De otro lado, la Defensoría del Pueblo alegó que la disposición no especifica cuál mecanismo </w:t>
      </w:r>
      <w:r w:rsidRPr="007C57D2">
        <w:rPr>
          <w:rFonts w:ascii="Times New Roman" w:hAnsi="Times New Roman"/>
          <w:sz w:val="28"/>
          <w:szCs w:val="28"/>
          <w:lang w:val="es-ES"/>
        </w:rPr>
        <w:t>de</w:t>
      </w:r>
      <w:r w:rsidRPr="007C57D2">
        <w:rPr>
          <w:rFonts w:ascii="Times New Roman" w:hAnsi="Times New Roman"/>
          <w:sz w:val="28"/>
          <w:szCs w:val="28"/>
        </w:rPr>
        <w:t xml:space="preserve"> búsqueda debe activarse, lo que puede generar incertidumbre institucional y dilaciones en la respuesta. En consecuencia, la entidad consideró que el art</w:t>
      </w:r>
      <w:r w:rsidRPr="007C57D2">
        <w:rPr>
          <w:rFonts w:ascii="Times New Roman" w:hAnsi="Times New Roman"/>
          <w:sz w:val="28"/>
          <w:szCs w:val="28"/>
        </w:rPr>
        <w:t xml:space="preserve">ículo </w:t>
      </w:r>
      <w:r w:rsidRPr="007C57D2">
        <w:rPr>
          <w:rFonts w:ascii="Times New Roman" w:hAnsi="Times New Roman"/>
          <w:sz w:val="28"/>
          <w:szCs w:val="28"/>
          <w:lang w:val="es-ES"/>
        </w:rPr>
        <w:t>debe interpretarse en el sentido de que el mecanismo aplicable es el Mecanismo de Búsqueda Urgente regulado por la Ley 971 de 2005</w:t>
      </w:r>
      <w:r w:rsidRPr="007C57D2">
        <w:rPr>
          <w:rFonts w:ascii="Times New Roman" w:hAnsi="Times New Roman"/>
          <w:sz w:val="28"/>
          <w:szCs w:val="28"/>
          <w:vertAlign w:val="superscript"/>
          <w:lang w:val="es-ES"/>
        </w:rPr>
        <w:footnoteReference w:id="701"/>
      </w:r>
      <w:r w:rsidRPr="007C57D2">
        <w:rPr>
          <w:rFonts w:ascii="Times New Roman" w:hAnsi="Times New Roman"/>
          <w:sz w:val="28"/>
          <w:szCs w:val="28"/>
          <w:lang w:val="es-ES"/>
        </w:rPr>
        <w:t>.</w:t>
      </w:r>
    </w:p>
    <w:p w:rsidR="001E19D5" w:rsidRPr="007C57D2" w:rsidRDefault="007C57D2" w:rsidP="008F3DAB">
      <w:pPr>
        <w:spacing w:after="0" w:line="240" w:lineRule="auto"/>
        <w:jc w:val="both"/>
        <w:rPr>
          <w:rFonts w:ascii="Times New Roman" w:hAnsi="Times New Roman"/>
          <w:iCs/>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sz w:val="28"/>
          <w:szCs w:val="28"/>
          <w:lang w:val="es-ES"/>
        </w:rPr>
        <w:t xml:space="preserve">Por su parte, para el Viceprocurador General de la Nación, la obligación impuesta a la Policía </w:t>
      </w:r>
      <w:r w:rsidRPr="007C57D2">
        <w:rPr>
          <w:rFonts w:ascii="Times New Roman" w:hAnsi="Times New Roman"/>
          <w:sz w:val="28"/>
          <w:szCs w:val="28"/>
        </w:rPr>
        <w:t>Nacional</w:t>
      </w:r>
      <w:r w:rsidRPr="007C57D2">
        <w:rPr>
          <w:rFonts w:ascii="Times New Roman" w:hAnsi="Times New Roman"/>
          <w:sz w:val="28"/>
          <w:szCs w:val="28"/>
          <w:lang w:val="es-ES"/>
        </w:rPr>
        <w:t xml:space="preserve"> cumple con e</w:t>
      </w:r>
      <w:r w:rsidRPr="007C57D2">
        <w:rPr>
          <w:rFonts w:ascii="Times New Roman" w:hAnsi="Times New Roman"/>
          <w:sz w:val="28"/>
          <w:szCs w:val="28"/>
          <w:lang w:val="es-ES"/>
        </w:rPr>
        <w:t>l mandato a las autoridades de velar por la garantía efectiva de los derechos fundamentales</w:t>
      </w:r>
      <w:r w:rsidRPr="007C57D2">
        <w:rPr>
          <w:rFonts w:ascii="Times New Roman" w:hAnsi="Times New Roman"/>
          <w:sz w:val="28"/>
          <w:szCs w:val="28"/>
          <w:vertAlign w:val="superscript"/>
          <w:lang w:val="es-ES"/>
        </w:rPr>
        <w:footnoteReference w:id="702"/>
      </w:r>
      <w:r w:rsidRPr="007C57D2">
        <w:rPr>
          <w:rFonts w:ascii="Times New Roman" w:hAnsi="Times New Roman"/>
          <w:sz w:val="28"/>
          <w:szCs w:val="28"/>
          <w:lang w:val="es-ES"/>
        </w:rPr>
        <w:t xml:space="preserve">. Sin embargo, consideró que la obligación </w:t>
      </w:r>
      <w:r w:rsidRPr="007C57D2">
        <w:rPr>
          <w:rFonts w:ascii="Times New Roman" w:hAnsi="Times New Roman"/>
          <w:sz w:val="28"/>
          <w:szCs w:val="28"/>
          <w:lang w:val="es-ES"/>
        </w:rPr>
        <w:t>d</w:t>
      </w:r>
      <w:r w:rsidRPr="007C57D2">
        <w:rPr>
          <w:rFonts w:ascii="Times New Roman" w:hAnsi="Times New Roman"/>
          <w:sz w:val="28"/>
          <w:szCs w:val="28"/>
          <w:lang w:val="es-ES"/>
        </w:rPr>
        <w:t xml:space="preserve">e adelantar las labores para la ubicación de la persona extraviada no debe entenderse como privativa de la entidad </w:t>
      </w:r>
      <w:r w:rsidRPr="007C57D2">
        <w:rPr>
          <w:rFonts w:ascii="Times New Roman" w:hAnsi="Times New Roman"/>
          <w:sz w:val="28"/>
          <w:szCs w:val="28"/>
          <w:lang w:val="es-ES"/>
        </w:rPr>
        <w:t>mencionada.</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 xml:space="preserve">c. Consideraciones de la Corte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lang w:val="es-ES"/>
        </w:rPr>
      </w:pPr>
      <w:r w:rsidRPr="007C57D2">
        <w:rPr>
          <w:rFonts w:ascii="Times New Roman" w:hAnsi="Times New Roman"/>
          <w:i/>
          <w:iCs/>
          <w:sz w:val="28"/>
          <w:szCs w:val="28"/>
          <w:lang w:val="es-ES"/>
        </w:rPr>
        <w:t>Contenido y alcance del artículo 12 del PLE</w:t>
      </w:r>
      <w:r w:rsidRPr="007C57D2">
        <w:rPr>
          <w:rFonts w:ascii="Times New Roman" w:hAnsi="Times New Roman"/>
          <w:iCs/>
          <w:sz w:val="28"/>
          <w:szCs w:val="28"/>
          <w:lang w:val="es-ES"/>
        </w:rPr>
        <w:t xml:space="preserve">. El artículo 12 </w:t>
      </w:r>
      <w:r w:rsidRPr="007C57D2">
        <w:rPr>
          <w:rFonts w:ascii="Times New Roman" w:hAnsi="Times New Roman"/>
          <w:iCs/>
          <w:sz w:val="28"/>
          <w:szCs w:val="28"/>
        </w:rPr>
        <w:t xml:space="preserve">prevé que la Policía Nacional tiene el deber de implementar los mecanismos de búsqueda necesarios para la ubicación de los NNA extraviados durante la </w:t>
      </w:r>
      <w:r w:rsidRPr="007C57D2">
        <w:rPr>
          <w:rFonts w:ascii="Times New Roman" w:hAnsi="Times New Roman"/>
          <w:sz w:val="28"/>
          <w:szCs w:val="28"/>
        </w:rPr>
        <w:t>activación</w:t>
      </w:r>
      <w:r w:rsidRPr="007C57D2">
        <w:rPr>
          <w:rFonts w:ascii="Times New Roman" w:hAnsi="Times New Roman"/>
          <w:iCs/>
          <w:sz w:val="28"/>
          <w:szCs w:val="28"/>
        </w:rPr>
        <w:t xml:space="preserve"> de la alerta y que, en los procesos de localización, puede participar la ciudadanía de manera voluntaria. Además, señala que, en virtud del principio de </w:t>
      </w:r>
      <w:r w:rsidRPr="007C57D2">
        <w:rPr>
          <w:rFonts w:ascii="Times New Roman" w:hAnsi="Times New Roman"/>
          <w:sz w:val="28"/>
          <w:szCs w:val="28"/>
        </w:rPr>
        <w:t>solidaridad</w:t>
      </w:r>
      <w:r w:rsidRPr="007C57D2">
        <w:rPr>
          <w:rFonts w:ascii="Times New Roman" w:hAnsi="Times New Roman"/>
          <w:iCs/>
          <w:sz w:val="28"/>
          <w:szCs w:val="28"/>
        </w:rPr>
        <w:t xml:space="preserve"> social, las labores desarrolladas por los ciudadanos no generarán ningún costo p</w:t>
      </w:r>
      <w:r w:rsidRPr="007C57D2">
        <w:rPr>
          <w:rFonts w:ascii="Times New Roman" w:hAnsi="Times New Roman"/>
          <w:iCs/>
          <w:sz w:val="28"/>
          <w:szCs w:val="28"/>
        </w:rPr>
        <w:t xml:space="preserve">ara el erario. Sumado a lo anterior, la disposición en cuestión también establece que </w:t>
      </w:r>
      <w:r w:rsidRPr="007C57D2">
        <w:rPr>
          <w:rFonts w:ascii="Times New Roman" w:hAnsi="Times New Roman"/>
          <w:iCs/>
          <w:sz w:val="28"/>
          <w:szCs w:val="28"/>
          <w:lang w:val="es-ES"/>
        </w:rPr>
        <w:t xml:space="preserve">los proveedores de redes y servicios de telecomunicaciones móviles deben poner a disposición la tecnología necesaria para cumplir con la búsqueda y localización del niño o niña extraviado. </w:t>
      </w:r>
    </w:p>
    <w:p w:rsidR="001E19D5" w:rsidRPr="007C57D2" w:rsidRDefault="007C57D2" w:rsidP="008F3DAB">
      <w:pPr>
        <w:spacing w:after="0" w:line="240" w:lineRule="auto"/>
        <w:jc w:val="both"/>
        <w:rPr>
          <w:rFonts w:ascii="Times New Roman" w:hAnsi="Times New Roman"/>
          <w:iCs/>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 xml:space="preserve">El artículo 12 del PLE  no ofrece ningún reproche de </w:t>
      </w:r>
      <w:r w:rsidRPr="007C57D2">
        <w:rPr>
          <w:rFonts w:ascii="Times New Roman" w:hAnsi="Times New Roman"/>
          <w:i/>
          <w:iCs/>
          <w:sz w:val="28"/>
          <w:szCs w:val="28"/>
        </w:rPr>
        <w:t>constitucionalidad</w:t>
      </w:r>
      <w:r w:rsidRPr="007C57D2">
        <w:rPr>
          <w:rFonts w:ascii="Times New Roman" w:hAnsi="Times New Roman"/>
          <w:sz w:val="28"/>
          <w:szCs w:val="28"/>
        </w:rPr>
        <w:t>. Sea lo primero señalar que, de acuerdo con la jurisprudencia constitucional, se configura un vicio de procedimiento cuando el legislador omite el trámite estatutario en materias que están sujetas a reserva (</w:t>
      </w:r>
      <w:r w:rsidRPr="007C57D2">
        <w:rPr>
          <w:rFonts w:ascii="Times New Roman" w:hAnsi="Times New Roman"/>
          <w:sz w:val="28"/>
          <w:szCs w:val="28"/>
          <w:lang w:val="es-ES"/>
        </w:rPr>
        <w:t>artículos</w:t>
      </w:r>
      <w:r w:rsidRPr="007C57D2">
        <w:rPr>
          <w:rFonts w:ascii="Times New Roman" w:hAnsi="Times New Roman"/>
          <w:sz w:val="28"/>
          <w:szCs w:val="28"/>
        </w:rPr>
        <w:t xml:space="preserve"> 152 y 153 de la Con</w:t>
      </w:r>
      <w:r w:rsidRPr="007C57D2">
        <w:rPr>
          <w:rFonts w:ascii="Times New Roman" w:hAnsi="Times New Roman"/>
          <w:sz w:val="28"/>
          <w:szCs w:val="28"/>
        </w:rPr>
        <w:t>stitución Política). Es decir, cuando debiéndose seguir el procedimiento legislativo estatutario (más exigente que el proceso de creación normativa ordinario) no se le da tal curso a la iniciativa legislativa. Sin embargo, ello no necesariamente ocurre cua</w:t>
      </w:r>
      <w:r w:rsidRPr="007C57D2">
        <w:rPr>
          <w:rFonts w:ascii="Times New Roman" w:hAnsi="Times New Roman"/>
          <w:sz w:val="28"/>
          <w:szCs w:val="28"/>
        </w:rPr>
        <w:t>ndo, por el contrario, se utiliza el trámite estatutario para regular materias que podía ser tramitadas mediante ley ordinaria.</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Al respecto, en el capítulo en el que se analizó si la materia regulada en el PLE tiene reserva de ley estatutaria, la Sala rec</w:t>
      </w:r>
      <w:r w:rsidRPr="007C57D2">
        <w:rPr>
          <w:rFonts w:ascii="Times New Roman" w:hAnsi="Times New Roman"/>
          <w:sz w:val="28"/>
          <w:szCs w:val="28"/>
        </w:rPr>
        <w:t xml:space="preserve">ordó que la Corte ha precisado que las materias no sujetas a reserva de ley estatutaria que se incluyan dentro de un proyecto de ley tramitado conforme a las exigencias de las leyes de esa naturaleza no pueden tenerse como contrarias a la Constitución por </w:t>
      </w:r>
      <w:r w:rsidRPr="007C57D2">
        <w:rPr>
          <w:rFonts w:ascii="Times New Roman" w:hAnsi="Times New Roman"/>
          <w:sz w:val="28"/>
          <w:szCs w:val="28"/>
        </w:rPr>
        <w:t>tramitarse según un procedimiento que resulta más exigente que el previsto para la legislación ordinaria</w:t>
      </w:r>
      <w:r w:rsidRPr="007C57D2">
        <w:rPr>
          <w:rFonts w:ascii="Times New Roman" w:hAnsi="Times New Roman"/>
          <w:sz w:val="28"/>
          <w:szCs w:val="28"/>
          <w:vertAlign w:val="superscript"/>
        </w:rPr>
        <w:footnoteReference w:id="703"/>
      </w:r>
      <w:r w:rsidRPr="007C57D2">
        <w:rPr>
          <w:rFonts w:ascii="Times New Roman" w:hAnsi="Times New Roman"/>
          <w:sz w:val="28"/>
          <w:szCs w:val="28"/>
        </w:rPr>
        <w:t>. Además, dado que la Constitución Política no prohíbe que en un proyecto de ley estatutaria se contengan disposiciones de naturaleza diferente, como l</w:t>
      </w:r>
      <w:r w:rsidRPr="007C57D2">
        <w:rPr>
          <w:rFonts w:ascii="Times New Roman" w:hAnsi="Times New Roman"/>
          <w:sz w:val="28"/>
          <w:szCs w:val="28"/>
        </w:rPr>
        <w:t xml:space="preserve">as ordinarias, ello no lo hace </w:t>
      </w:r>
      <w:r w:rsidRPr="007C57D2">
        <w:rPr>
          <w:rFonts w:ascii="Times New Roman" w:hAnsi="Times New Roman"/>
          <w:i/>
          <w:iCs/>
          <w:sz w:val="28"/>
          <w:szCs w:val="28"/>
        </w:rPr>
        <w:t>per se</w:t>
      </w:r>
      <w:r w:rsidRPr="007C57D2">
        <w:rPr>
          <w:rFonts w:ascii="Times New Roman" w:hAnsi="Times New Roman"/>
          <w:sz w:val="28"/>
          <w:szCs w:val="28"/>
        </w:rPr>
        <w:t xml:space="preserve"> inconstitucional, siempre que guarde una conexidad temática razonable con el asunto que sí está cobijado por la reserva de ley estatutaria</w:t>
      </w:r>
      <w:r w:rsidRPr="007C57D2">
        <w:rPr>
          <w:rFonts w:ascii="Times New Roman" w:hAnsi="Times New Roman"/>
          <w:sz w:val="28"/>
          <w:szCs w:val="28"/>
          <w:vertAlign w:val="superscript"/>
        </w:rPr>
        <w:footnoteReference w:id="704"/>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sz w:val="28"/>
          <w:szCs w:val="28"/>
        </w:rPr>
        <w:t xml:space="preserve">La concurrencia de temas sujetos a reserva especial junto con otros propios </w:t>
      </w:r>
      <w:r w:rsidRPr="007C57D2">
        <w:rPr>
          <w:rFonts w:ascii="Times New Roman" w:hAnsi="Times New Roman"/>
          <w:sz w:val="28"/>
          <w:szCs w:val="28"/>
        </w:rPr>
        <w:t>de la legislación ordinaria se atribuye a la necesidad de expedir una regulación integral sobre determinadas materias, por lo que no resulta razonable exigir al legislador que acuda al trámite de dos leyes distintas: una ordinaria y otra estatutaria</w:t>
      </w:r>
      <w:r w:rsidRPr="007C57D2">
        <w:rPr>
          <w:rFonts w:ascii="Times New Roman" w:hAnsi="Times New Roman"/>
          <w:sz w:val="28"/>
          <w:szCs w:val="28"/>
          <w:vertAlign w:val="superscript"/>
        </w:rPr>
        <w:footnoteReference w:id="705"/>
      </w:r>
      <w:r w:rsidRPr="007C57D2">
        <w:rPr>
          <w:rFonts w:ascii="Times New Roman" w:hAnsi="Times New Roman"/>
          <w:sz w:val="28"/>
          <w:szCs w:val="28"/>
        </w:rPr>
        <w:t>, gene</w:t>
      </w:r>
      <w:r w:rsidRPr="007C57D2">
        <w:rPr>
          <w:rFonts w:ascii="Times New Roman" w:hAnsi="Times New Roman"/>
          <w:sz w:val="28"/>
          <w:szCs w:val="28"/>
        </w:rPr>
        <w:t>rando de esta forma una innecesaria fragmentación normativa. En otras palabras, si bien el procedimiento estatutario está diseñado para que, a través de él, se tramiten disposiciones sobre las cuales la Constitución exige seguir dicho procedimiento, ello n</w:t>
      </w:r>
      <w:r w:rsidRPr="007C57D2">
        <w:rPr>
          <w:rFonts w:ascii="Times New Roman" w:hAnsi="Times New Roman"/>
          <w:sz w:val="28"/>
          <w:szCs w:val="28"/>
        </w:rPr>
        <w:t xml:space="preserve">o implica </w:t>
      </w:r>
      <w:r w:rsidRPr="007C57D2">
        <w:rPr>
          <w:rFonts w:ascii="Times New Roman" w:hAnsi="Times New Roman"/>
          <w:sz w:val="28"/>
          <w:szCs w:val="28"/>
        </w:rPr>
        <w:t xml:space="preserve">que </w:t>
      </w:r>
      <w:r w:rsidRPr="007C57D2">
        <w:rPr>
          <w:rFonts w:ascii="Times New Roman" w:hAnsi="Times New Roman"/>
          <w:sz w:val="28"/>
          <w:szCs w:val="28"/>
        </w:rPr>
        <w:t>le esté prohibido al legislador incluir en un proyecto de ley estatutaria disposiciones de rango legal ordinario u orgánico, pues, por razones de unidad de materia, incluir en un mismo estatuto tales materias puede resultar necesario</w:t>
      </w:r>
      <w:r w:rsidRPr="007C57D2">
        <w:rPr>
          <w:rFonts w:ascii="Times New Roman" w:hAnsi="Times New Roman"/>
          <w:sz w:val="28"/>
          <w:szCs w:val="28"/>
          <w:vertAlign w:val="superscript"/>
        </w:rPr>
        <w:footnoteReference w:id="706"/>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Sin perjuicio de lo anterior, respecto de las disposiciones normativas de rango ordinario, la </w:t>
      </w:r>
      <w:r w:rsidRPr="007C57D2">
        <w:rPr>
          <w:rFonts w:ascii="Times New Roman" w:hAnsi="Times New Roman"/>
          <w:sz w:val="28"/>
          <w:szCs w:val="28"/>
        </w:rPr>
        <w:t>Corporación</w:t>
      </w:r>
      <w:r w:rsidRPr="007C57D2">
        <w:rPr>
          <w:rFonts w:ascii="Times New Roman" w:hAnsi="Times New Roman"/>
          <w:sz w:val="28"/>
          <w:szCs w:val="28"/>
        </w:rPr>
        <w:t xml:space="preserve"> también ha resaltado que “[…] la decisión del legislador de incluirlas dentro del proyecto de ley estatutaria no puede cambiar su régimen constitucion</w:t>
      </w:r>
      <w:r w:rsidRPr="007C57D2">
        <w:rPr>
          <w:rFonts w:ascii="Times New Roman" w:hAnsi="Times New Roman"/>
          <w:sz w:val="28"/>
          <w:szCs w:val="28"/>
        </w:rPr>
        <w:t>al. Esto es, tal decisión legislativa no implica incluir en el ámbito de la reserva de ley estatutaria a esas materias que son propias de la ley ordinaria, ni significa que, hacia el futuro, tales materias sólo puedan ser modificadas mediante leyes estatut</w:t>
      </w:r>
      <w:r w:rsidRPr="007C57D2">
        <w:rPr>
          <w:rFonts w:ascii="Times New Roman" w:hAnsi="Times New Roman"/>
          <w:sz w:val="28"/>
          <w:szCs w:val="28"/>
        </w:rPr>
        <w:t>arias”</w:t>
      </w:r>
      <w:r w:rsidRPr="007C57D2">
        <w:rPr>
          <w:rFonts w:ascii="Times New Roman" w:hAnsi="Times New Roman"/>
          <w:sz w:val="28"/>
          <w:szCs w:val="28"/>
          <w:vertAlign w:val="superscript"/>
        </w:rPr>
        <w:footnoteReference w:id="707"/>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Además, en la medida en que el control previo de constitucionalidad sobre los proyectos de ley estatutaria es integral, el pronunciamiento de la </w:t>
      </w:r>
      <w:r w:rsidRPr="007C57D2">
        <w:rPr>
          <w:rFonts w:ascii="Times New Roman" w:hAnsi="Times New Roman"/>
          <w:sz w:val="28"/>
          <w:szCs w:val="28"/>
        </w:rPr>
        <w:t>Corporación</w:t>
      </w:r>
      <w:r w:rsidRPr="007C57D2">
        <w:rPr>
          <w:rFonts w:ascii="Times New Roman" w:hAnsi="Times New Roman"/>
          <w:sz w:val="28"/>
          <w:szCs w:val="28"/>
        </w:rPr>
        <w:t xml:space="preserve"> debe recaer tanto sobre las disposiciones cuyo contenido está sometido a la reserva espec</w:t>
      </w:r>
      <w:r w:rsidRPr="007C57D2">
        <w:rPr>
          <w:rFonts w:ascii="Times New Roman" w:hAnsi="Times New Roman"/>
          <w:sz w:val="28"/>
          <w:szCs w:val="28"/>
        </w:rPr>
        <w:t>ial, como sobre aquellas que, desde la perspectiva material, no estén sometidas a tal reserva</w:t>
      </w:r>
      <w:r w:rsidRPr="007C57D2">
        <w:rPr>
          <w:rFonts w:ascii="Times New Roman" w:hAnsi="Times New Roman"/>
          <w:sz w:val="28"/>
          <w:szCs w:val="28"/>
          <w:vertAlign w:val="superscript"/>
        </w:rPr>
        <w:footnoteReference w:id="708"/>
      </w:r>
      <w:r w:rsidRPr="007C57D2">
        <w:rPr>
          <w:rFonts w:ascii="Times New Roman" w:hAnsi="Times New Roman"/>
          <w:sz w:val="28"/>
          <w:szCs w:val="28"/>
        </w:rPr>
        <w:t>. Así, contrario a lo señalado por el interviniente Súa Montaña, la Sala Plena considera que es propicio continuar con el análisis de constitucionalidad del menci</w:t>
      </w:r>
      <w:r w:rsidRPr="007C57D2">
        <w:rPr>
          <w:rFonts w:ascii="Times New Roman" w:hAnsi="Times New Roman"/>
          <w:sz w:val="28"/>
          <w:szCs w:val="28"/>
        </w:rPr>
        <w:t>onado artículo 12.</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En cuanto a lo advertido por la Defensoría del Pueblo, en el sentido de que el artículo 12 </w:t>
      </w:r>
      <w:r w:rsidRPr="007C57D2">
        <w:rPr>
          <w:rFonts w:ascii="Times New Roman" w:hAnsi="Times New Roman"/>
          <w:sz w:val="28"/>
          <w:szCs w:val="28"/>
          <w:lang w:val="es-ES"/>
        </w:rPr>
        <w:t>debe interpretarse bajo el entendido de que el mecanismo aplicable para efectos de ubicar la persona desaparecida es el mecanismo de búsqueda urg</w:t>
      </w:r>
      <w:r w:rsidRPr="007C57D2">
        <w:rPr>
          <w:rFonts w:ascii="Times New Roman" w:hAnsi="Times New Roman"/>
          <w:sz w:val="28"/>
          <w:szCs w:val="28"/>
          <w:lang w:val="es-ES"/>
        </w:rPr>
        <w:t>ente, regulado por la Ley 971 de 2005</w:t>
      </w:r>
      <w:r w:rsidRPr="007C57D2">
        <w:rPr>
          <w:rFonts w:ascii="Times New Roman" w:hAnsi="Times New Roman"/>
          <w:sz w:val="28"/>
          <w:szCs w:val="28"/>
          <w:vertAlign w:val="superscript"/>
          <w:lang w:val="es-ES"/>
        </w:rPr>
        <w:footnoteReference w:id="709"/>
      </w:r>
      <w:r w:rsidRPr="007C57D2">
        <w:rPr>
          <w:rFonts w:ascii="Times New Roman" w:hAnsi="Times New Roman"/>
          <w:sz w:val="28"/>
          <w:szCs w:val="28"/>
          <w:lang w:val="es-ES"/>
        </w:rPr>
        <w:t>,</w:t>
      </w:r>
      <w:r w:rsidRPr="007C57D2">
        <w:rPr>
          <w:rFonts w:ascii="Times New Roman" w:hAnsi="Times New Roman"/>
          <w:sz w:val="28"/>
          <w:szCs w:val="28"/>
        </w:rPr>
        <w:t xml:space="preserve"> la Sala considera que el hecho de que el legislador haya decidido dar un margen de maniobra a la Policía Nacional, al no precisar de manera específica un mecanismo dirigido a lograr la recuperación del extraviado, pe</w:t>
      </w:r>
      <w:r w:rsidRPr="007C57D2">
        <w:rPr>
          <w:rFonts w:ascii="Times New Roman" w:hAnsi="Times New Roman"/>
          <w:sz w:val="28"/>
          <w:szCs w:val="28"/>
        </w:rPr>
        <w:t>rmite que dicha entidad determine la mejor alternativa, dentro de aquellas que provee el sistema jurídico, para lograr la pronta ubicación y retorno de la persona ausente.</w:t>
      </w:r>
    </w:p>
    <w:p w:rsidR="001E19D5" w:rsidRPr="007C57D2" w:rsidRDefault="007C57D2" w:rsidP="008F3DAB">
      <w:pPr>
        <w:spacing w:after="0" w:line="240" w:lineRule="auto"/>
        <w:jc w:val="both"/>
        <w:rPr>
          <w:rFonts w:ascii="Times New Roman" w:hAnsi="Times New Roman"/>
          <w:i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efecto, la legislación colombiana ha previsto diversos mecanismos para facilitar</w:t>
      </w:r>
      <w:r w:rsidRPr="007C57D2">
        <w:rPr>
          <w:rFonts w:ascii="Times New Roman" w:hAnsi="Times New Roman"/>
          <w:sz w:val="28"/>
          <w:szCs w:val="28"/>
        </w:rPr>
        <w:t xml:space="preserve"> la búsqueda, localización y recuperación de personas. Se destacan, entre otros: (i el Mecanismo de Búsqueda Urgente contemplado en la Ley 971 de 2005; y (ii) la Alerta Rosa desarrollada en la Ley 2326 de 2023. Así, la Policía puede iniciar diversas activi</w:t>
      </w:r>
      <w:r w:rsidRPr="007C57D2">
        <w:rPr>
          <w:rFonts w:ascii="Times New Roman" w:hAnsi="Times New Roman"/>
          <w:sz w:val="28"/>
          <w:szCs w:val="28"/>
        </w:rPr>
        <w:t>dades de patrullaje, entrevistas, solicitudes de información, entre otras alternativas que le permitan cumplir de mejor manera las labores asignadas por el 218 de la Constitución Política a la Policía Nacional</w:t>
      </w:r>
      <w:r w:rsidRPr="007C57D2">
        <w:rPr>
          <w:rFonts w:ascii="Times New Roman" w:hAnsi="Times New Roman"/>
          <w:sz w:val="28"/>
          <w:szCs w:val="28"/>
          <w:vertAlign w:val="superscript"/>
        </w:rPr>
        <w:footnoteReference w:id="710"/>
      </w:r>
      <w:r w:rsidRPr="007C57D2">
        <w:rPr>
          <w:rFonts w:ascii="Times New Roman" w:hAnsi="Times New Roman"/>
          <w:sz w:val="28"/>
          <w:szCs w:val="28"/>
        </w:rPr>
        <w:t>, en especial en relación con la ubicación y r</w:t>
      </w:r>
      <w:r w:rsidRPr="007C57D2">
        <w:rPr>
          <w:rFonts w:ascii="Times New Roman" w:hAnsi="Times New Roman"/>
          <w:sz w:val="28"/>
          <w:szCs w:val="28"/>
        </w:rPr>
        <w:t>etorno de menores de 18 años extraviados.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otro lado, la Sala Plena considera necesario aclarar que las labores de búsqueda del niño, niña o adolescente extraviado que el artículo 12 asigna a la Policía Nacional no deben entenderse como una negación de</w:t>
      </w:r>
      <w:r w:rsidRPr="007C57D2">
        <w:rPr>
          <w:rFonts w:ascii="Times New Roman" w:hAnsi="Times New Roman"/>
          <w:sz w:val="28"/>
          <w:szCs w:val="28"/>
        </w:rPr>
        <w:t xml:space="preserve"> la responsabilidad que le asiste a otras instituciones públicas de, en el marco de sus funciones, contribuir a la localización, rescate y retorno del ausente. Lo anterior se fundamenta en varias razones: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sz w:val="28"/>
          <w:szCs w:val="28"/>
        </w:rPr>
        <w:t xml:space="preserve">En </w:t>
      </w:r>
      <w:r w:rsidRPr="007C57D2">
        <w:rPr>
          <w:rFonts w:ascii="Times New Roman" w:hAnsi="Times New Roman"/>
          <w:i/>
          <w:iCs/>
          <w:sz w:val="28"/>
          <w:szCs w:val="28"/>
        </w:rPr>
        <w:t>primer lugar</w:t>
      </w:r>
      <w:r w:rsidRPr="007C57D2">
        <w:rPr>
          <w:rFonts w:ascii="Times New Roman" w:hAnsi="Times New Roman"/>
          <w:sz w:val="28"/>
          <w:szCs w:val="28"/>
        </w:rPr>
        <w:t>, distintas autoridades de la Repúb</w:t>
      </w:r>
      <w:r w:rsidRPr="007C57D2">
        <w:rPr>
          <w:rFonts w:ascii="Times New Roman" w:hAnsi="Times New Roman"/>
          <w:sz w:val="28"/>
          <w:szCs w:val="28"/>
        </w:rPr>
        <w:t>lica, como la Fuerza Pública, la Fiscalía</w:t>
      </w:r>
      <w:r w:rsidRPr="007C57D2">
        <w:rPr>
          <w:rFonts w:ascii="Times New Roman" w:hAnsi="Times New Roman"/>
          <w:sz w:val="28"/>
          <w:szCs w:val="28"/>
          <w:vertAlign w:val="superscript"/>
        </w:rPr>
        <w:footnoteReference w:id="711"/>
      </w:r>
      <w:r w:rsidRPr="007C57D2">
        <w:rPr>
          <w:rFonts w:ascii="Times New Roman" w:hAnsi="Times New Roman"/>
          <w:sz w:val="28"/>
          <w:szCs w:val="28"/>
        </w:rPr>
        <w:t>, los organismos con funciones de policía judicial, el Instituto Colombiano de Bienestar Familiar están en la obligación de contribuir a la localización de los NNA extraviados, tanto por tener competencias relacion</w:t>
      </w:r>
      <w:r w:rsidRPr="007C57D2">
        <w:rPr>
          <w:rFonts w:ascii="Times New Roman" w:hAnsi="Times New Roman"/>
          <w:sz w:val="28"/>
          <w:szCs w:val="28"/>
        </w:rPr>
        <w:t>adas con dicha materia, como por el deber genérico que les asiste en cuanto a proteger y garantizar los derechos a todas las personas residentes en Colombia, según el artículo 2º de la Constitución Política</w:t>
      </w:r>
      <w:r w:rsidRPr="007C57D2">
        <w:rPr>
          <w:rFonts w:ascii="Times New Roman" w:hAnsi="Times New Roman"/>
          <w:sz w:val="28"/>
          <w:szCs w:val="28"/>
          <w:vertAlign w:val="superscript"/>
        </w:rPr>
        <w:footnoteReference w:id="712"/>
      </w:r>
      <w:r w:rsidRPr="007C57D2">
        <w:rPr>
          <w:rFonts w:ascii="Times New Roman" w:hAnsi="Times New Roman"/>
          <w:sz w:val="28"/>
          <w:szCs w:val="28"/>
        </w:rPr>
        <w:t xml:space="preserve">. Es decir que asignar la búsqueda de la persona </w:t>
      </w:r>
      <w:r w:rsidRPr="007C57D2">
        <w:rPr>
          <w:rFonts w:ascii="Times New Roman" w:hAnsi="Times New Roman"/>
          <w:sz w:val="28"/>
          <w:szCs w:val="28"/>
        </w:rPr>
        <w:t xml:space="preserve">extraviada en la Policía Nacional, exclusivamente, podría desconocer la obligación estatal de las distintas autoridades en cuanto a la protección de la niñez y la adolescencia.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iCs/>
          <w:sz w:val="28"/>
          <w:szCs w:val="28"/>
        </w:rPr>
        <w:t xml:space="preserve">En </w:t>
      </w:r>
      <w:r w:rsidRPr="007C57D2">
        <w:rPr>
          <w:rFonts w:ascii="Times New Roman" w:hAnsi="Times New Roman"/>
          <w:i/>
          <w:iCs/>
          <w:sz w:val="28"/>
          <w:szCs w:val="28"/>
        </w:rPr>
        <w:t>segundo lugar</w:t>
      </w:r>
      <w:r w:rsidRPr="007C57D2">
        <w:rPr>
          <w:rFonts w:ascii="Times New Roman" w:hAnsi="Times New Roman"/>
          <w:iCs/>
          <w:sz w:val="28"/>
          <w:szCs w:val="28"/>
        </w:rPr>
        <w:t xml:space="preserve">, y de forma más específica, asignar las labores de búsqueda </w:t>
      </w:r>
      <w:r w:rsidRPr="007C57D2">
        <w:rPr>
          <w:rFonts w:ascii="Times New Roman" w:hAnsi="Times New Roman"/>
          <w:iCs/>
          <w:sz w:val="28"/>
          <w:szCs w:val="28"/>
        </w:rPr>
        <w:t>exclusivamente a la Policía Nacional podría entrar en conflicto con el artículo 44 de la Constitución Política, según el cual, “</w:t>
      </w:r>
      <w:r w:rsidRPr="007C57D2">
        <w:rPr>
          <w:rFonts w:ascii="Times New Roman" w:hAnsi="Times New Roman"/>
          <w:bCs/>
          <w:iCs/>
          <w:sz w:val="28"/>
          <w:szCs w:val="28"/>
        </w:rPr>
        <w:t>[l]</w:t>
      </w:r>
      <w:r w:rsidRPr="007C57D2">
        <w:rPr>
          <w:rFonts w:ascii="Times New Roman" w:hAnsi="Times New Roman"/>
          <w:iCs/>
          <w:sz w:val="28"/>
          <w:szCs w:val="28"/>
        </w:rPr>
        <w:t xml:space="preserve">a familia, la sociedad y el Estado tienen la obligación de asistir y proteger al niño para garantizar su desarrollo armónico </w:t>
      </w:r>
      <w:r w:rsidRPr="007C57D2">
        <w:rPr>
          <w:rFonts w:ascii="Times New Roman" w:hAnsi="Times New Roman"/>
          <w:iCs/>
          <w:sz w:val="28"/>
          <w:szCs w:val="28"/>
        </w:rPr>
        <w:t xml:space="preserve">e integral y el ejercicio pleno de sus derechos”, puesto que restringirían las opciones para lograr un pronto hallazgo y retorno de la persona ausente. </w:t>
      </w:r>
    </w:p>
    <w:p w:rsidR="001E19D5" w:rsidRPr="007C57D2" w:rsidRDefault="007C57D2" w:rsidP="008F3DAB">
      <w:pPr>
        <w:spacing w:after="0" w:line="240" w:lineRule="auto"/>
        <w:jc w:val="both"/>
        <w:rPr>
          <w:rFonts w:ascii="Times New Roman" w:hAnsi="Times New Roman"/>
          <w:iCs/>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sz w:val="28"/>
          <w:szCs w:val="28"/>
        </w:rPr>
        <w:t xml:space="preserve">En </w:t>
      </w:r>
      <w:r w:rsidRPr="007C57D2">
        <w:rPr>
          <w:rFonts w:ascii="Times New Roman" w:hAnsi="Times New Roman"/>
          <w:i/>
          <w:iCs/>
          <w:sz w:val="28"/>
          <w:szCs w:val="28"/>
        </w:rPr>
        <w:t>tercer lugar</w:t>
      </w:r>
      <w:r w:rsidRPr="007C57D2">
        <w:rPr>
          <w:rFonts w:ascii="Times New Roman" w:hAnsi="Times New Roman"/>
          <w:sz w:val="28"/>
          <w:szCs w:val="28"/>
        </w:rPr>
        <w:t>, es necesario que la realización de las labores de búsqueda, localización y rescate de</w:t>
      </w:r>
      <w:r w:rsidRPr="007C57D2">
        <w:rPr>
          <w:rFonts w:ascii="Times New Roman" w:hAnsi="Times New Roman"/>
          <w:sz w:val="28"/>
          <w:szCs w:val="28"/>
        </w:rPr>
        <w:t xml:space="preserve"> que trata el artículo se ajusten a los principios y mandatos internacionales de obligatorio cumplimiento para Colombia, en virtud de la ratificación que el Estado ha hecho de los mismos. Al respecto, según el artículo 19 de la Convención Americana sobre D</w:t>
      </w:r>
      <w:r w:rsidRPr="007C57D2">
        <w:rPr>
          <w:rFonts w:ascii="Times New Roman" w:hAnsi="Times New Roman"/>
          <w:sz w:val="28"/>
          <w:szCs w:val="28"/>
        </w:rPr>
        <w:t>erechos Humanos</w:t>
      </w:r>
      <w:r w:rsidRPr="007C57D2">
        <w:rPr>
          <w:rFonts w:ascii="Times New Roman" w:hAnsi="Times New Roman"/>
          <w:sz w:val="28"/>
          <w:szCs w:val="28"/>
          <w:vertAlign w:val="superscript"/>
        </w:rPr>
        <w:footnoteReference w:id="713"/>
      </w:r>
      <w:r w:rsidRPr="007C57D2">
        <w:rPr>
          <w:rFonts w:ascii="Times New Roman" w:hAnsi="Times New Roman"/>
          <w:sz w:val="28"/>
          <w:szCs w:val="28"/>
        </w:rPr>
        <w:t xml:space="preserve"> todo niño tiene derecho a las medidas de protección que su condición de menor de edad requiere por parte de su familia, la sociedad y el Estado.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lang w:val="es-ES"/>
        </w:rPr>
      </w:pPr>
      <w:r w:rsidRPr="007C57D2">
        <w:rPr>
          <w:rFonts w:ascii="Times New Roman" w:hAnsi="Times New Roman"/>
          <w:sz w:val="28"/>
          <w:szCs w:val="28"/>
        </w:rPr>
        <w:t xml:space="preserve">Asimismo, según el artículo 3º de la </w:t>
      </w:r>
      <w:r w:rsidRPr="007C57D2">
        <w:rPr>
          <w:rFonts w:ascii="Times New Roman" w:hAnsi="Times New Roman"/>
          <w:sz w:val="28"/>
          <w:szCs w:val="28"/>
          <w:lang w:val="es-ES"/>
        </w:rPr>
        <w:t>Convención sobre los Derechos del Niño</w:t>
      </w:r>
      <w:r w:rsidRPr="007C57D2">
        <w:rPr>
          <w:rFonts w:ascii="Times New Roman" w:hAnsi="Times New Roman"/>
          <w:sz w:val="28"/>
          <w:szCs w:val="28"/>
          <w:vertAlign w:val="superscript"/>
          <w:lang w:val="es-ES"/>
        </w:rPr>
        <w:footnoteReference w:id="714"/>
      </w:r>
      <w:r w:rsidRPr="007C57D2">
        <w:rPr>
          <w:rFonts w:ascii="Times New Roman" w:hAnsi="Times New Roman"/>
          <w:sz w:val="28"/>
          <w:szCs w:val="28"/>
          <w:lang w:val="es-ES"/>
        </w:rPr>
        <w:t>, “</w:t>
      </w:r>
      <w:r w:rsidRPr="007C57D2">
        <w:rPr>
          <w:rFonts w:ascii="Times New Roman" w:hAnsi="Times New Roman"/>
          <w:sz w:val="28"/>
          <w:szCs w:val="28"/>
        </w:rPr>
        <w:t xml:space="preserve">[…] [l]os </w:t>
      </w:r>
      <w:r w:rsidRPr="007C57D2">
        <w:rPr>
          <w:rFonts w:ascii="Times New Roman" w:hAnsi="Times New Roman"/>
          <w:sz w:val="28"/>
          <w:szCs w:val="28"/>
          <w:lang w:val="es-ES"/>
        </w:rPr>
        <w:t>Estados Partes se comprometen a asegurar al niño la protección y el cuidado que sean necesarios para su bienestar, teniendo en cuenta los derechos y deberes de sus padres, tutores u otras personas responsables de él ante la ley y, con ese fin, tomarán toda</w:t>
      </w:r>
      <w:r w:rsidRPr="007C57D2">
        <w:rPr>
          <w:rFonts w:ascii="Times New Roman" w:hAnsi="Times New Roman"/>
          <w:sz w:val="28"/>
          <w:szCs w:val="28"/>
          <w:lang w:val="es-ES"/>
        </w:rPr>
        <w:t xml:space="preserve">s las medidas legislativas y administrativas adecuadas”. </w:t>
      </w:r>
    </w:p>
    <w:p w:rsidR="001E19D5" w:rsidRPr="007C57D2" w:rsidRDefault="007C57D2" w:rsidP="008F3DAB">
      <w:pPr>
        <w:spacing w:after="0" w:line="240" w:lineRule="auto"/>
        <w:jc w:val="both"/>
        <w:rPr>
          <w:rFonts w:ascii="Times New Roman" w:hAnsi="Times New Roman"/>
          <w:i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lang w:val="es-ES"/>
        </w:rPr>
      </w:pPr>
      <w:r w:rsidRPr="007C57D2">
        <w:rPr>
          <w:rFonts w:ascii="Times New Roman" w:hAnsi="Times New Roman"/>
          <w:sz w:val="28"/>
          <w:szCs w:val="28"/>
        </w:rPr>
        <w:t>Quiere decir lo anterior que el Estado tiene el deber de adoptar todas las medidas necesarias para lograr la ubicación y retorno del niño, niña o adolescente extraviado, lo que implica garantizar q</w:t>
      </w:r>
      <w:r w:rsidRPr="007C57D2">
        <w:rPr>
          <w:rFonts w:ascii="Times New Roman" w:hAnsi="Times New Roman"/>
          <w:sz w:val="28"/>
          <w:szCs w:val="28"/>
        </w:rPr>
        <w:t>ue las autoridades puedan colaborar de manera armónica y coordinada de cara al proceso de búsqueda.</w:t>
      </w:r>
    </w:p>
    <w:p w:rsidR="001E19D5" w:rsidRPr="007C57D2" w:rsidRDefault="007C57D2" w:rsidP="008F3DAB">
      <w:pPr>
        <w:spacing w:after="0" w:line="240" w:lineRule="auto"/>
        <w:jc w:val="both"/>
        <w:rPr>
          <w:rFonts w:ascii="Times New Roman" w:hAnsi="Times New Roman"/>
          <w:iCs/>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En conclusión, si bien la Corte no encuentra que lo preceptuado en el artículo 12 del PLE desconozca mandatos superiores, es necesario aclarar que las </w:t>
      </w:r>
      <w:r w:rsidRPr="007C57D2">
        <w:rPr>
          <w:rFonts w:ascii="Times New Roman" w:hAnsi="Times New Roman"/>
          <w:sz w:val="28"/>
          <w:szCs w:val="28"/>
        </w:rPr>
        <w:t>labores asignadas, en primera medida, a la Policía Nacional, no deben entenderse como en el sentido de asignar las tareas de búsqueda radicarán de forma privativa en dicha entidad, sino que dicho deber recae, también, de manera general, en todas las autori</w:t>
      </w:r>
      <w:r w:rsidRPr="007C57D2">
        <w:rPr>
          <w:rFonts w:ascii="Times New Roman" w:hAnsi="Times New Roman"/>
          <w:sz w:val="28"/>
          <w:szCs w:val="28"/>
        </w:rPr>
        <w:t>dades que, según la Constitución y las leyes, tienen deberes en materia de protección de NNA, aplicación de la ley o labores relacionadas con búsqueda y ubicación de personas.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iCs/>
          <w:sz w:val="28"/>
          <w:szCs w:val="28"/>
        </w:rPr>
        <w:t>Abordados los asuntos propuestos por los intervinientes, la Corte pasará a real</w:t>
      </w:r>
      <w:r w:rsidRPr="007C57D2">
        <w:rPr>
          <w:rFonts w:ascii="Times New Roman" w:hAnsi="Times New Roman"/>
          <w:iCs/>
          <w:sz w:val="28"/>
          <w:szCs w:val="28"/>
        </w:rPr>
        <w:t>izar algunas consideraciones en relación con los demás elementos incorporados en el artículo.</w:t>
      </w:r>
    </w:p>
    <w:p w:rsidR="001E19D5" w:rsidRPr="007C57D2" w:rsidRDefault="007C57D2" w:rsidP="008F3DAB">
      <w:pPr>
        <w:spacing w:after="0" w:line="240" w:lineRule="auto"/>
        <w:jc w:val="both"/>
        <w:rPr>
          <w:rFonts w:ascii="Times New Roman" w:hAnsi="Times New Roman"/>
          <w:i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sz w:val="28"/>
          <w:szCs w:val="28"/>
        </w:rPr>
        <w:t xml:space="preserve">Para empezar, el inciso segundo del artículo 12, establece: “[…] de acuerdo con el principio de solidaridad empresarial, los proveedores de redes y servicios de </w:t>
      </w:r>
      <w:r w:rsidRPr="007C57D2">
        <w:rPr>
          <w:rFonts w:ascii="Times New Roman" w:hAnsi="Times New Roman"/>
          <w:sz w:val="28"/>
          <w:szCs w:val="28"/>
        </w:rPr>
        <w:t xml:space="preserve">telecomunicaciones móviles pondrán a disposición la tecnología necesaria para estos fines”. </w:t>
      </w:r>
      <w:r w:rsidRPr="007C57D2">
        <w:rPr>
          <w:rFonts w:ascii="Times New Roman" w:hAnsi="Times New Roman"/>
          <w:sz w:val="28"/>
          <w:szCs w:val="28"/>
          <w:lang w:val="es-ES"/>
        </w:rPr>
        <w:t>Aunque para el Viceprocurador General de la Nación</w:t>
      </w:r>
      <w:r w:rsidRPr="007C57D2">
        <w:rPr>
          <w:rFonts w:ascii="Times New Roman" w:hAnsi="Times New Roman"/>
          <w:sz w:val="28"/>
          <w:szCs w:val="28"/>
          <w:vertAlign w:val="superscript"/>
          <w:lang w:val="es-ES"/>
        </w:rPr>
        <w:footnoteReference w:id="715"/>
      </w:r>
      <w:r w:rsidRPr="007C57D2">
        <w:rPr>
          <w:rFonts w:ascii="Times New Roman" w:hAnsi="Times New Roman"/>
          <w:sz w:val="28"/>
          <w:szCs w:val="28"/>
          <w:lang w:val="es-ES"/>
        </w:rPr>
        <w:t xml:space="preserve"> la inclusión de las empresas de tecnología móvil y proveedores en soporte de las labores de búsqueda incrementa </w:t>
      </w:r>
      <w:r w:rsidRPr="007C57D2">
        <w:rPr>
          <w:rFonts w:ascii="Times New Roman" w:hAnsi="Times New Roman"/>
          <w:sz w:val="28"/>
          <w:szCs w:val="28"/>
          <w:lang w:val="es-ES"/>
        </w:rPr>
        <w:t>las posibilidades de hallazgo de los NNA extraviados, para la Sala la disposición en cuestión puede resultar problemática desde un punto de vista constitucional.</w:t>
      </w:r>
    </w:p>
    <w:p w:rsidR="001E19D5" w:rsidRPr="007C57D2" w:rsidRDefault="007C57D2" w:rsidP="008F3DAB">
      <w:pPr>
        <w:spacing w:after="0" w:line="240" w:lineRule="auto"/>
        <w:jc w:val="both"/>
        <w:rPr>
          <w:rFonts w:ascii="Times New Roman" w:hAnsi="Times New Roman"/>
          <w:iCs/>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 xml:space="preserve"> El numeral 2 del artículo 95 de la Constitución Política establece que son deberes de la per</w:t>
      </w:r>
      <w:r w:rsidRPr="007C57D2">
        <w:rPr>
          <w:rFonts w:ascii="Times New Roman" w:hAnsi="Times New Roman"/>
          <w:sz w:val="28"/>
          <w:szCs w:val="28"/>
          <w:lang w:val="es-ES"/>
        </w:rPr>
        <w:t>sona y del ciudadano “</w:t>
      </w:r>
      <w:r w:rsidRPr="007C57D2">
        <w:rPr>
          <w:rFonts w:ascii="Times New Roman" w:hAnsi="Times New Roman"/>
          <w:sz w:val="28"/>
          <w:szCs w:val="28"/>
        </w:rPr>
        <w:t xml:space="preserve">[…] 2. Obrar conforme al principio de solidaridad social, respondiendo con acciones humanitarias ante situaciones que pongan en peligro la vida o la salud de las personas […]”. Además, la jurisprudencia constitucional </w:t>
      </w:r>
      <w:r w:rsidRPr="007C57D2">
        <w:rPr>
          <w:rFonts w:ascii="Times New Roman" w:hAnsi="Times New Roman"/>
          <w:sz w:val="28"/>
          <w:szCs w:val="28"/>
          <w:lang w:val="es-ES"/>
        </w:rPr>
        <w:t xml:space="preserve">ha reconocido a </w:t>
      </w:r>
      <w:r w:rsidRPr="007C57D2">
        <w:rPr>
          <w:rFonts w:ascii="Times New Roman" w:hAnsi="Times New Roman"/>
          <w:sz w:val="28"/>
          <w:szCs w:val="28"/>
          <w:lang w:val="es-ES"/>
        </w:rPr>
        <w:t>los NNA como sujetos de protección constitucional reforzada por lo que “la satisfacción de sus derechos e intereses debe constituir el objetivo primario de toda actuación, sea oficial o sea privada, que les concierna”</w:t>
      </w:r>
      <w:r w:rsidRPr="007C57D2">
        <w:rPr>
          <w:rFonts w:ascii="Times New Roman" w:hAnsi="Times New Roman"/>
          <w:sz w:val="28"/>
          <w:szCs w:val="28"/>
          <w:vertAlign w:val="superscript"/>
          <w:lang w:val="es-ES"/>
        </w:rPr>
        <w:footnoteReference w:id="716"/>
      </w:r>
      <w:r w:rsidRPr="007C57D2">
        <w:rPr>
          <w:rFonts w:ascii="Times New Roman" w:hAnsi="Times New Roman"/>
          <w:sz w:val="28"/>
          <w:szCs w:val="28"/>
        </w:rPr>
        <w:t>.</w:t>
      </w:r>
      <w:r w:rsidRPr="007C57D2">
        <w:rPr>
          <w:rFonts w:ascii="Times New Roman" w:hAnsi="Times New Roman"/>
          <w:sz w:val="28"/>
          <w:szCs w:val="28"/>
          <w:lang w:val="es-ES"/>
        </w:rPr>
        <w:t xml:space="preserve"> En línea con lo anterior, esta </w:t>
      </w:r>
      <w:r w:rsidRPr="007C57D2">
        <w:rPr>
          <w:rFonts w:ascii="Times New Roman" w:hAnsi="Times New Roman"/>
          <w:sz w:val="28"/>
          <w:szCs w:val="28"/>
          <w:lang w:val="es-ES"/>
        </w:rPr>
        <w:t>Corpo</w:t>
      </w:r>
      <w:r w:rsidRPr="007C57D2">
        <w:rPr>
          <w:rFonts w:ascii="Times New Roman" w:hAnsi="Times New Roman"/>
          <w:sz w:val="28"/>
          <w:szCs w:val="28"/>
          <w:lang w:val="es-ES"/>
        </w:rPr>
        <w:t>ración</w:t>
      </w:r>
      <w:r w:rsidRPr="007C57D2">
        <w:rPr>
          <w:rFonts w:ascii="Times New Roman" w:hAnsi="Times New Roman"/>
          <w:sz w:val="28"/>
          <w:szCs w:val="28"/>
          <w:lang w:val="es-ES"/>
        </w:rPr>
        <w:t xml:space="preserve"> ha indicado que la primera llamada a responder por los derechos de los NNA es la familia “(…) sin embargo, en los casos en los que este no tiene las capacidades para asegurar el goce efectivo de sus derechos, la sociedad y el Estado tienen la respon</w:t>
      </w:r>
      <w:r w:rsidRPr="007C57D2">
        <w:rPr>
          <w:rFonts w:ascii="Times New Roman" w:hAnsi="Times New Roman"/>
          <w:sz w:val="28"/>
          <w:szCs w:val="28"/>
          <w:lang w:val="es-ES"/>
        </w:rPr>
        <w:t>sabilidad de proveer los medios para que cese ese adicional estado de vulnerabilidad”</w:t>
      </w:r>
      <w:r w:rsidRPr="007C57D2">
        <w:rPr>
          <w:rFonts w:ascii="Times New Roman" w:hAnsi="Times New Roman"/>
          <w:sz w:val="28"/>
          <w:szCs w:val="28"/>
          <w:vertAlign w:val="superscript"/>
          <w:lang w:val="es-ES"/>
        </w:rPr>
        <w:footnoteReference w:id="717"/>
      </w:r>
      <w:r w:rsidRPr="007C57D2">
        <w:rPr>
          <w:rFonts w:ascii="Times New Roman" w:hAnsi="Times New Roman"/>
          <w:sz w:val="28"/>
          <w:szCs w:val="28"/>
          <w:lang w:val="es-ES"/>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Con fundamento en lo anterior, y en las conclusiones a las que se arribó, sobre el mismo punto, en el análisis de los artículos 6, 10 y 11 del PLE, es posible concluir</w:t>
      </w:r>
      <w:r w:rsidRPr="007C57D2">
        <w:rPr>
          <w:rFonts w:ascii="Times New Roman" w:hAnsi="Times New Roman"/>
          <w:sz w:val="28"/>
          <w:szCs w:val="28"/>
        </w:rPr>
        <w:t xml:space="preserve"> que el principio de solidaridad justifica la obligación de los proveedores de redes y servicios de telecomunicaciones móviles de poner a disposición la tecnología necesaria para la búsqueda, localización y recuperación de los NNA extraviados.</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Ahora, como</w:t>
      </w:r>
      <w:r w:rsidRPr="007C57D2">
        <w:rPr>
          <w:rFonts w:ascii="Times New Roman" w:hAnsi="Times New Roman"/>
          <w:sz w:val="28"/>
          <w:szCs w:val="28"/>
        </w:rPr>
        <w:t xml:space="preserve"> ya se ha dicho, la eventual tensión que se podría generar entre el interés superior del menor </w:t>
      </w:r>
      <w:r w:rsidRPr="007C57D2">
        <w:rPr>
          <w:rFonts w:ascii="Times New Roman" w:hAnsi="Times New Roman"/>
          <w:sz w:val="28"/>
          <w:szCs w:val="28"/>
        </w:rPr>
        <w:t xml:space="preserve">de edad </w:t>
      </w:r>
      <w:r w:rsidRPr="007C57D2">
        <w:rPr>
          <w:rFonts w:ascii="Times New Roman" w:hAnsi="Times New Roman"/>
          <w:sz w:val="28"/>
          <w:szCs w:val="28"/>
        </w:rPr>
        <w:t xml:space="preserve">y el artículo 333 de la Constitución Política que establece la libertad económica y de empresa, pueden evitarse por medio de la reglamentación que el </w:t>
      </w:r>
      <w:r w:rsidRPr="007C57D2">
        <w:rPr>
          <w:rFonts w:ascii="Times New Roman" w:hAnsi="Times New Roman"/>
          <w:sz w:val="28"/>
          <w:szCs w:val="28"/>
        </w:rPr>
        <w:t>artículo 14 del PLE le asigna al Gobierno nacional, a través del Ministerio de Tecnologías de la Información y las Comunicaciones, en coordinación de la Comisión de Regulación de las Comunicaciones.</w:t>
      </w:r>
    </w:p>
    <w:p w:rsidR="001E19D5" w:rsidRPr="007C57D2" w:rsidRDefault="007C57D2" w:rsidP="008F3DAB">
      <w:pPr>
        <w:pStyle w:val="Prrafodelista"/>
        <w:rPr>
          <w:rFonts w:ascii="Times New Roman" w:hAnsi="Times New Roman"/>
          <w:sz w:val="28"/>
          <w:szCs w:val="28"/>
        </w:rPr>
      </w:pPr>
    </w:p>
    <w:p w:rsidR="00825262"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dicha regulación, las autoridades antes mencionadas d</w:t>
      </w:r>
      <w:r w:rsidRPr="007C57D2">
        <w:rPr>
          <w:rFonts w:ascii="Times New Roman" w:hAnsi="Times New Roman"/>
          <w:sz w:val="28"/>
          <w:szCs w:val="28"/>
        </w:rPr>
        <w:t>eberían estar atentas a garantizar que el suministro de la tecnología necesaria para la localización de los NNA extraviados, a cargo de los operadores de los proveedores y servicios de comunicaciones, se realice de acuerdo con un marco regulatorio razonabl</w:t>
      </w:r>
      <w:r w:rsidRPr="007C57D2">
        <w:rPr>
          <w:rFonts w:ascii="Times New Roman" w:hAnsi="Times New Roman"/>
          <w:sz w:val="28"/>
          <w:szCs w:val="28"/>
        </w:rPr>
        <w:t>e y proporcional, y que permita garantizar que la asignación de cargas que se haga a los particulares resulte conforme con los principios de libertad económica y de empresa establecidos en la Constitución Política, sin desconocer el interés superior que re</w:t>
      </w:r>
      <w:r w:rsidRPr="007C57D2">
        <w:rPr>
          <w:rFonts w:ascii="Times New Roman" w:hAnsi="Times New Roman"/>
          <w:sz w:val="28"/>
          <w:szCs w:val="28"/>
        </w:rPr>
        <w:t xml:space="preserve">presenta la necesidad de garantizar los derechos de los menores de 18 años extraviados y dando aplicación al principio de solidaridad social y empresarial. </w:t>
      </w:r>
    </w:p>
    <w:p w:rsidR="001E19D5" w:rsidRPr="007C57D2" w:rsidRDefault="007C57D2" w:rsidP="008F3DAB">
      <w:pPr>
        <w:spacing w:after="0" w:line="240" w:lineRule="auto"/>
        <w:jc w:val="both"/>
        <w:rPr>
          <w:rFonts w:ascii="Times New Roman" w:hAnsi="Times New Roman"/>
          <w:iCs/>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lang w:val="es-ES"/>
        </w:rPr>
      </w:pPr>
      <w:r w:rsidRPr="007C57D2">
        <w:rPr>
          <w:rFonts w:ascii="Times New Roman" w:hAnsi="Times New Roman"/>
          <w:sz w:val="28"/>
          <w:szCs w:val="28"/>
        </w:rPr>
        <w:t xml:space="preserve">De otro lado, la Corte coincide con los conceptos del </w:t>
      </w:r>
      <w:r w:rsidRPr="007C57D2">
        <w:rPr>
          <w:rFonts w:ascii="Times New Roman" w:hAnsi="Times New Roman"/>
          <w:sz w:val="28"/>
          <w:szCs w:val="28"/>
          <w:lang w:val="es-ES"/>
        </w:rPr>
        <w:t>Viceprocurador General de la Nación</w:t>
      </w:r>
      <w:r w:rsidRPr="007C57D2">
        <w:rPr>
          <w:rFonts w:ascii="Times New Roman" w:hAnsi="Times New Roman"/>
          <w:sz w:val="28"/>
          <w:szCs w:val="28"/>
          <w:vertAlign w:val="superscript"/>
          <w:lang w:val="es-ES"/>
        </w:rPr>
        <w:footnoteReference w:id="718"/>
      </w:r>
      <w:r w:rsidRPr="007C57D2">
        <w:rPr>
          <w:rFonts w:ascii="Times New Roman" w:hAnsi="Times New Roman"/>
          <w:sz w:val="28"/>
          <w:szCs w:val="28"/>
          <w:lang w:val="es-ES"/>
        </w:rPr>
        <w:t xml:space="preserve"> y del M</w:t>
      </w:r>
      <w:r w:rsidRPr="007C57D2">
        <w:rPr>
          <w:rFonts w:ascii="Times New Roman" w:hAnsi="Times New Roman"/>
          <w:sz w:val="28"/>
          <w:szCs w:val="28"/>
          <w:lang w:val="es-ES"/>
        </w:rPr>
        <w:t>inisterio de Justicia y del Derecho</w:t>
      </w:r>
      <w:r w:rsidRPr="007C57D2">
        <w:rPr>
          <w:rFonts w:ascii="Times New Roman" w:hAnsi="Times New Roman"/>
          <w:sz w:val="28"/>
          <w:szCs w:val="28"/>
          <w:vertAlign w:val="superscript"/>
          <w:lang w:val="es-ES"/>
        </w:rPr>
        <w:footnoteReference w:id="719"/>
      </w:r>
      <w:r w:rsidRPr="007C57D2">
        <w:rPr>
          <w:rFonts w:ascii="Times New Roman" w:hAnsi="Times New Roman"/>
          <w:sz w:val="28"/>
          <w:szCs w:val="28"/>
          <w:lang w:val="es-ES"/>
        </w:rPr>
        <w:t xml:space="preserve">, quienes valoraron de </w:t>
      </w:r>
      <w:r w:rsidRPr="007C57D2">
        <w:rPr>
          <w:rFonts w:ascii="Times New Roman" w:hAnsi="Times New Roman"/>
          <w:sz w:val="28"/>
          <w:szCs w:val="28"/>
        </w:rPr>
        <w:t>forma</w:t>
      </w:r>
      <w:r w:rsidRPr="007C57D2">
        <w:rPr>
          <w:rFonts w:ascii="Times New Roman" w:hAnsi="Times New Roman"/>
          <w:sz w:val="28"/>
          <w:szCs w:val="28"/>
          <w:lang w:val="es-ES"/>
        </w:rPr>
        <w:t xml:space="preserve"> positiva la participación ciudadana que el artículo autoriza en relación con las labores de búsqueda. Promover la participación ciudadana en la localización de NNA extraviados es coherente co</w:t>
      </w:r>
      <w:r w:rsidRPr="007C57D2">
        <w:rPr>
          <w:rFonts w:ascii="Times New Roman" w:hAnsi="Times New Roman"/>
          <w:sz w:val="28"/>
          <w:szCs w:val="28"/>
          <w:lang w:val="es-ES"/>
        </w:rPr>
        <w:t>n el principio de solidaridad social y permite una respuesta más efectiva para garantizar los derechos de las personas ausentes.</w:t>
      </w:r>
    </w:p>
    <w:p w:rsidR="001E19D5" w:rsidRPr="007C57D2" w:rsidRDefault="007C57D2" w:rsidP="008F3DAB">
      <w:pPr>
        <w:spacing w:after="0" w:line="240" w:lineRule="auto"/>
        <w:jc w:val="both"/>
        <w:rPr>
          <w:rFonts w:ascii="Times New Roman" w:hAnsi="Times New Roman"/>
          <w:iCs/>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iCs/>
          <w:sz w:val="28"/>
          <w:szCs w:val="28"/>
        </w:rPr>
        <w:t xml:space="preserve">Como se dijo, </w:t>
      </w:r>
      <w:r w:rsidRPr="007C57D2">
        <w:rPr>
          <w:rFonts w:ascii="Times New Roman" w:hAnsi="Times New Roman"/>
          <w:iCs/>
          <w:sz w:val="28"/>
          <w:szCs w:val="28"/>
          <w:lang w:val="es-ES"/>
        </w:rPr>
        <w:t>el numeral 2 del artículo 95 de la Constitución Política, establece que son deberes de la persona y del ciudadan</w:t>
      </w:r>
      <w:r w:rsidRPr="007C57D2">
        <w:rPr>
          <w:rFonts w:ascii="Times New Roman" w:hAnsi="Times New Roman"/>
          <w:iCs/>
          <w:sz w:val="28"/>
          <w:szCs w:val="28"/>
          <w:lang w:val="es-ES"/>
        </w:rPr>
        <w:t xml:space="preserve">o obrar conforme al principio de solidaridad. Sumado a lo anterior, según el artículo 1 constitucional, Colombia es un Estado Social de Derecho que se funda, entre otros principios, en </w:t>
      </w:r>
      <w:r w:rsidRPr="007C57D2">
        <w:rPr>
          <w:rFonts w:ascii="Times New Roman" w:hAnsi="Times New Roman"/>
          <w:iCs/>
          <w:sz w:val="28"/>
          <w:szCs w:val="28"/>
        </w:rPr>
        <w:t>la solidaridad de las personas que la integran.</w:t>
      </w:r>
    </w:p>
    <w:p w:rsidR="001E19D5" w:rsidRPr="007C57D2" w:rsidRDefault="007C57D2" w:rsidP="008F3DAB">
      <w:pPr>
        <w:pStyle w:val="Prrafodelista"/>
        <w:rPr>
          <w:rFonts w:ascii="Times New Roman" w:hAnsi="Times New Roman"/>
          <w:iCs/>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iCs/>
          <w:sz w:val="28"/>
          <w:szCs w:val="28"/>
        </w:rPr>
        <w:t>Sobre el deber de solidaridad aplicable a particulares, la Sentencia C-793 de 2014, haciendo eco de la Sentencia T-520 de 2003, sintetizó algunas consideraciones a escenarios similares, como aquellos que involucraban a personas en situación de debilidad ma</w:t>
      </w:r>
      <w:r w:rsidRPr="007C57D2">
        <w:rPr>
          <w:rFonts w:ascii="Times New Roman" w:hAnsi="Times New Roman"/>
          <w:iCs/>
          <w:sz w:val="28"/>
          <w:szCs w:val="28"/>
        </w:rPr>
        <w:t xml:space="preserve">nifiesta en relación con acreencias contraídas con instituciones del sector financiero. Específicamente, dichas providencias indicaron que: </w:t>
      </w:r>
    </w:p>
    <w:p w:rsidR="001E19D5" w:rsidRPr="007C57D2" w:rsidRDefault="007C57D2" w:rsidP="008F3DAB">
      <w:pPr>
        <w:pStyle w:val="Prrafodelista"/>
        <w:rPr>
          <w:rFonts w:ascii="Times New Roman" w:hAnsi="Times New Roman"/>
          <w:iCs/>
          <w:sz w:val="28"/>
          <w:szCs w:val="28"/>
        </w:rPr>
      </w:pPr>
    </w:p>
    <w:p w:rsidR="001E19D5" w:rsidRPr="007C57D2" w:rsidRDefault="007C57D2" w:rsidP="008F3DAB">
      <w:pPr>
        <w:spacing w:after="0" w:line="240" w:lineRule="auto"/>
        <w:ind w:left="709"/>
        <w:jc w:val="both"/>
        <w:rPr>
          <w:rFonts w:ascii="Times New Roman" w:hAnsi="Times New Roman"/>
          <w:iCs/>
          <w:sz w:val="28"/>
          <w:szCs w:val="28"/>
        </w:rPr>
      </w:pPr>
      <w:r w:rsidRPr="007C57D2">
        <w:rPr>
          <w:rFonts w:ascii="Times New Roman" w:hAnsi="Times New Roman"/>
          <w:iCs/>
          <w:sz w:val="28"/>
          <w:szCs w:val="28"/>
        </w:rPr>
        <w:t>“</w:t>
      </w:r>
      <w:r w:rsidRPr="007C57D2">
        <w:rPr>
          <w:rFonts w:ascii="Times New Roman" w:hAnsi="Times New Roman"/>
          <w:iCs/>
          <w:color w:val="2D2D2D"/>
          <w:sz w:val="28"/>
          <w:szCs w:val="27"/>
          <w:shd w:val="clear" w:color="auto" w:fill="FFFFFF"/>
        </w:rPr>
        <w:t xml:space="preserve">La solidaridad no sólo es un deber constitucional genérico (C.N. art. 95.2), también es un principio fundamental </w:t>
      </w:r>
      <w:r w:rsidRPr="007C57D2">
        <w:rPr>
          <w:rFonts w:ascii="Times New Roman" w:hAnsi="Times New Roman"/>
          <w:iCs/>
          <w:color w:val="2D2D2D"/>
          <w:sz w:val="28"/>
          <w:szCs w:val="27"/>
          <w:shd w:val="clear" w:color="auto" w:fill="FFFFFF"/>
        </w:rPr>
        <w:t>(C.N. art. 1º). Como principio, la solidaridad imprime ciertos parámetros de conducta social a los particulares, que pretenden racionalizar ciertos intercambios sociales. En el Estado Social de Derecho, el principio de solidaridad cumple la función de corr</w:t>
      </w:r>
      <w:r w:rsidRPr="007C57D2">
        <w:rPr>
          <w:rFonts w:ascii="Times New Roman" w:hAnsi="Times New Roman"/>
          <w:iCs/>
          <w:color w:val="2D2D2D"/>
          <w:sz w:val="28"/>
          <w:szCs w:val="27"/>
          <w:shd w:val="clear" w:color="auto" w:fill="FFFFFF"/>
        </w:rPr>
        <w:t>egir sistemáticamente algunos de los efectos nocivos que tienen las estructuras sociales y económicas sobre la convivencia política a largo plazo. Por supuesto, la solidaridad, como principio exigible a los particulares, no es un instrumento necesario para</w:t>
      </w:r>
      <w:r w:rsidRPr="007C57D2">
        <w:rPr>
          <w:rFonts w:ascii="Times New Roman" w:hAnsi="Times New Roman"/>
          <w:iCs/>
          <w:color w:val="2D2D2D"/>
          <w:sz w:val="28"/>
          <w:szCs w:val="27"/>
          <w:shd w:val="clear" w:color="auto" w:fill="FFFFFF"/>
        </w:rPr>
        <w:t xml:space="preserve"> garantizar la convivencia política, independientemente del modelo de Estado. Se trata más bien de una construcción histórica, de una herramienta que acogió el Constituyente de 1991, como instrumento normativo consistente con su opción política por el Esta</w:t>
      </w:r>
      <w:r w:rsidRPr="007C57D2">
        <w:rPr>
          <w:rFonts w:ascii="Times New Roman" w:hAnsi="Times New Roman"/>
          <w:iCs/>
          <w:color w:val="2D2D2D"/>
          <w:sz w:val="28"/>
          <w:szCs w:val="27"/>
          <w:shd w:val="clear" w:color="auto" w:fill="FFFFFF"/>
        </w:rPr>
        <w:t>do Social de Derecho”.</w:t>
      </w:r>
    </w:p>
    <w:p w:rsidR="001E19D5" w:rsidRPr="007C57D2" w:rsidRDefault="007C57D2" w:rsidP="008F3DAB">
      <w:pPr>
        <w:spacing w:after="0" w:line="240" w:lineRule="auto"/>
        <w:jc w:val="both"/>
        <w:rPr>
          <w:rFonts w:ascii="Times New Roman" w:hAnsi="Times New Roman"/>
          <w:iCs/>
          <w:sz w:val="28"/>
          <w:szCs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rPr>
      </w:pPr>
      <w:r w:rsidRPr="007C57D2">
        <w:rPr>
          <w:rFonts w:ascii="Times New Roman" w:hAnsi="Times New Roman"/>
          <w:sz w:val="28"/>
          <w:szCs w:val="28"/>
          <w:lang w:val="es-ES"/>
        </w:rPr>
        <w:t>Asimismo, la jurisprudencia de esta Corte ha señalado que la defensa del interés superior de los NNA, y la prevalencia de sus derechos, recae en la familia, la sociedad y el Estado</w:t>
      </w:r>
      <w:r w:rsidRPr="007C57D2">
        <w:rPr>
          <w:rFonts w:ascii="Times New Roman" w:hAnsi="Times New Roman"/>
          <w:sz w:val="28"/>
          <w:szCs w:val="28"/>
          <w:vertAlign w:val="superscript"/>
          <w:lang w:val="es-ES"/>
        </w:rPr>
        <w:footnoteReference w:id="720"/>
      </w:r>
      <w:r w:rsidRPr="007C57D2">
        <w:rPr>
          <w:rFonts w:ascii="Times New Roman" w:hAnsi="Times New Roman"/>
          <w:sz w:val="28"/>
          <w:szCs w:val="28"/>
          <w:lang w:val="es-ES"/>
        </w:rPr>
        <w:t xml:space="preserve">. Esto, en virtud del artículo 44 de la </w:t>
      </w:r>
      <w:r w:rsidRPr="007C57D2">
        <w:rPr>
          <w:rFonts w:ascii="Times New Roman" w:hAnsi="Times New Roman"/>
          <w:sz w:val="28"/>
          <w:szCs w:val="28"/>
          <w:lang w:val="es-ES"/>
        </w:rPr>
        <w:t>Constitución Política según el cual, “</w:t>
      </w:r>
      <w:r w:rsidRPr="007C57D2">
        <w:rPr>
          <w:rFonts w:ascii="Times New Roman" w:hAnsi="Times New Roman"/>
          <w:sz w:val="28"/>
          <w:szCs w:val="28"/>
        </w:rPr>
        <w:t xml:space="preserve">[l]a familia, la sociedad y el Estado tienen la </w:t>
      </w:r>
      <w:r w:rsidRPr="007C57D2">
        <w:rPr>
          <w:rFonts w:ascii="Times New Roman" w:hAnsi="Times New Roman"/>
          <w:sz w:val="28"/>
          <w:szCs w:val="28"/>
          <w:lang w:val="es-ES"/>
        </w:rPr>
        <w:t>obligación</w:t>
      </w:r>
      <w:r w:rsidRPr="007C57D2">
        <w:rPr>
          <w:rFonts w:ascii="Times New Roman" w:hAnsi="Times New Roman"/>
          <w:sz w:val="28"/>
          <w:szCs w:val="28"/>
        </w:rPr>
        <w:t xml:space="preserve"> de asistir y proteger al niño para garantizar su desarrollo armónico e integral y el ejercicio pleno de sus derechos”. </w:t>
      </w:r>
    </w:p>
    <w:p w:rsidR="001E19D5" w:rsidRPr="007C57D2" w:rsidRDefault="007C57D2" w:rsidP="008F3DAB">
      <w:pPr>
        <w:spacing w:after="0" w:line="240" w:lineRule="auto"/>
        <w:jc w:val="both"/>
        <w:rPr>
          <w:rFonts w:ascii="Times New Roman" w:hAnsi="Times New Roman"/>
          <w:iCs/>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iCs/>
          <w:sz w:val="28"/>
          <w:szCs w:val="28"/>
          <w:lang w:val="es-ES"/>
        </w:rPr>
      </w:pPr>
      <w:r w:rsidRPr="007C57D2">
        <w:rPr>
          <w:rFonts w:ascii="Times New Roman" w:hAnsi="Times New Roman"/>
          <w:iCs/>
          <w:sz w:val="28"/>
          <w:szCs w:val="28"/>
        </w:rPr>
        <w:t xml:space="preserve">En consecuencia, dado que el artículo </w:t>
      </w:r>
      <w:r w:rsidRPr="007C57D2">
        <w:rPr>
          <w:rFonts w:ascii="Times New Roman" w:hAnsi="Times New Roman"/>
          <w:iCs/>
          <w:sz w:val="28"/>
          <w:szCs w:val="28"/>
        </w:rPr>
        <w:t xml:space="preserve">establece que la participación de la ciudadanía es voluntaria, se advierte que la disposición desarrolla el mandato de solidaridad, en concordancia con los parámetros constitucionales ya citados, lo que favorece la búsqueda rápida y eficaz de las personas </w:t>
      </w:r>
      <w:r w:rsidRPr="007C57D2">
        <w:rPr>
          <w:rFonts w:ascii="Times New Roman" w:hAnsi="Times New Roman"/>
          <w:iCs/>
          <w:sz w:val="28"/>
          <w:szCs w:val="28"/>
        </w:rPr>
        <w:t>extraviadas, sin desconocer libertades individuales contempladas en la Constitución Política.</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rPr>
          <w:rFonts w:ascii="Times New Roman" w:hAnsi="Times New Roman"/>
          <w:b/>
          <w:bCs/>
          <w:color w:val="000000"/>
          <w:sz w:val="28"/>
          <w:szCs w:val="40"/>
          <w:lang w:val="es-ES_tradnl"/>
        </w:rPr>
      </w:pPr>
      <w:r w:rsidRPr="007C57D2">
        <w:rPr>
          <w:rFonts w:ascii="Times New Roman" w:hAnsi="Times New Roman"/>
          <w:b/>
          <w:bCs/>
          <w:color w:val="000000"/>
          <w:sz w:val="28"/>
          <w:szCs w:val="40"/>
          <w:lang w:val="es-ES_tradnl"/>
        </w:rPr>
        <w:t>Decisión sobre la constitucionalidad del artículo 12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 xml:space="preserve"> </w:t>
      </w:r>
      <w:r w:rsidRPr="007C57D2">
        <w:rPr>
          <w:rFonts w:ascii="Times New Roman" w:hAnsi="Times New Roman"/>
          <w:sz w:val="28"/>
          <w:szCs w:val="28"/>
        </w:rPr>
        <w:t xml:space="preserve">Por las razones expuestas en los párrafos precedentes, la Corte declarará constitucional el artículo 12 del PLE. </w:t>
      </w:r>
    </w:p>
    <w:p w:rsidR="001E19D5" w:rsidRPr="007C57D2" w:rsidRDefault="007C57D2" w:rsidP="008F3DAB">
      <w:pPr>
        <w:pStyle w:val="Ttulo2"/>
        <w:spacing w:before="0" w:line="240" w:lineRule="auto"/>
        <w:jc w:val="both"/>
        <w:rPr>
          <w:rFonts w:ascii="Times New Roman" w:hAnsi="Times New Roman"/>
          <w:color w:val="auto"/>
          <w:sz w:val="28"/>
          <w:szCs w:val="28"/>
        </w:rPr>
      </w:pPr>
    </w:p>
    <w:p w:rsidR="001E19D5" w:rsidRPr="007C57D2" w:rsidRDefault="007C57D2" w:rsidP="008F3DAB">
      <w:pPr>
        <w:pStyle w:val="Ttulo3"/>
        <w:spacing w:before="0" w:after="0" w:line="240" w:lineRule="auto"/>
        <w:jc w:val="both"/>
        <w:rPr>
          <w:rFonts w:ascii="Times New Roman" w:hAnsi="Times New Roman"/>
          <w:b/>
          <w:bCs/>
          <w:color w:val="000000"/>
        </w:rPr>
      </w:pPr>
      <w:bookmarkStart w:id="58" w:name="_Toc222728041"/>
      <w:r w:rsidRPr="007C57D2">
        <w:rPr>
          <w:rFonts w:ascii="Times New Roman" w:hAnsi="Times New Roman"/>
          <w:b/>
          <w:bCs/>
          <w:color w:val="000000"/>
        </w:rPr>
        <w:t>5.5.8. Informe de gestión sobre niños (as) extraviados (as) (Examen de constitucionalidad del artículo 13 del PLE )</w:t>
      </w:r>
      <w:bookmarkEnd w:id="58"/>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1"/>
          <w:numId w:val="3"/>
        </w:numPr>
        <w:tabs>
          <w:tab w:val="left" w:pos="993"/>
        </w:tabs>
        <w:ind w:left="567" w:firstLine="0"/>
        <w:jc w:val="both"/>
        <w:rPr>
          <w:rFonts w:ascii="Times New Roman" w:hAnsi="Times New Roman"/>
          <w:sz w:val="28"/>
          <w:szCs w:val="28"/>
        </w:rPr>
      </w:pPr>
      <w:r w:rsidRPr="007C57D2">
        <w:rPr>
          <w:rFonts w:ascii="Times New Roman" w:hAnsi="Times New Roman"/>
          <w:b/>
          <w:bCs/>
          <w:sz w:val="28"/>
          <w:szCs w:val="28"/>
        </w:rPr>
        <w:t>Transcripción de la norm</w:t>
      </w:r>
      <w:r w:rsidRPr="007C57D2">
        <w:rPr>
          <w:rFonts w:ascii="Times New Roman" w:hAnsi="Times New Roman"/>
          <w:b/>
          <w:bCs/>
          <w:sz w:val="28"/>
          <w:szCs w:val="28"/>
        </w:rPr>
        <w:t>a objeto de control</w:t>
      </w:r>
    </w:p>
    <w:p w:rsidR="001E19D5" w:rsidRPr="007C57D2" w:rsidRDefault="007C57D2" w:rsidP="008F3DAB">
      <w:pPr>
        <w:pStyle w:val="Prrafodelista"/>
        <w:tabs>
          <w:tab w:val="left" w:pos="993"/>
        </w:tabs>
        <w:ind w:left="567"/>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 continuación, se transcribe la norma contenida en el artículo 13 del PLE:</w:t>
      </w:r>
    </w:p>
    <w:p w:rsidR="001E19D5" w:rsidRPr="007C57D2" w:rsidRDefault="007C57D2" w:rsidP="008F3DAB">
      <w:pPr>
        <w:tabs>
          <w:tab w:val="left" w:pos="993"/>
        </w:tabs>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w:t>
      </w:r>
      <w:r w:rsidRPr="007C57D2">
        <w:rPr>
          <w:rFonts w:ascii="Times New Roman" w:hAnsi="Times New Roman"/>
          <w:b/>
          <w:bCs/>
          <w:sz w:val="28"/>
          <w:szCs w:val="26"/>
        </w:rPr>
        <w:t>Artículo 13. Informe anual.</w:t>
      </w:r>
      <w:r w:rsidRPr="007C57D2">
        <w:rPr>
          <w:rFonts w:ascii="Times New Roman" w:hAnsi="Times New Roman"/>
          <w:sz w:val="28"/>
          <w:szCs w:val="26"/>
        </w:rPr>
        <w:t xml:space="preserve"> El Instituto Colombiano de Bienestar Familiar entregará anualmente un informe detallado al Congreso de la República sobre las cifras de los niños y niñas que se extraviaron, mecanismos de búsqueda implementados, los resultados obtenidos y nuevas metodolog</w:t>
      </w:r>
      <w:r w:rsidRPr="007C57D2">
        <w:rPr>
          <w:rFonts w:ascii="Times New Roman" w:hAnsi="Times New Roman"/>
          <w:sz w:val="28"/>
          <w:szCs w:val="26"/>
        </w:rPr>
        <w:t xml:space="preserve">ías para mejorar la búsqueda y localización de estos.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sz w:val="28"/>
          <w:szCs w:val="26"/>
        </w:rPr>
        <w:t>Así mismo, el Instituto Nacional de Medicina Legal y Ciencias Forenses deberá entregar y sustentar un informe al Senado de la República y a la Cámara de Representantes sobre los niños, niñas que aún s</w:t>
      </w:r>
      <w:r w:rsidRPr="007C57D2">
        <w:rPr>
          <w:rFonts w:ascii="Times New Roman" w:hAnsi="Times New Roman"/>
          <w:sz w:val="28"/>
          <w:szCs w:val="26"/>
        </w:rPr>
        <w:t>e encuentran desaparecidos en el territorio colombiano.</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Parágrafo 1.</w:t>
      </w:r>
      <w:r w:rsidRPr="007C57D2">
        <w:rPr>
          <w:rFonts w:ascii="Times New Roman" w:hAnsi="Times New Roman"/>
          <w:sz w:val="28"/>
          <w:szCs w:val="26"/>
        </w:rPr>
        <w:t xml:space="preserve"> Entregados los informes por parte del Instituto Colombiano de Bienestar Familiar y el Instituto Nacional de Medicina Legal, las mesas directivas de cada una de las Cámaras cuentan con un plazo no mayor de dos (2) meses para citar a dichas entidades para q</w:t>
      </w:r>
      <w:r w:rsidRPr="007C57D2">
        <w:rPr>
          <w:rFonts w:ascii="Times New Roman" w:hAnsi="Times New Roman"/>
          <w:sz w:val="28"/>
          <w:szCs w:val="26"/>
        </w:rPr>
        <w:t>ue sustenten en sesión ordinaria los respectivos informes.</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lang w:val="es-ES"/>
        </w:rPr>
      </w:pPr>
      <w:r w:rsidRPr="007C57D2">
        <w:rPr>
          <w:rFonts w:ascii="Times New Roman" w:hAnsi="Times New Roman"/>
          <w:b/>
          <w:bCs/>
          <w:sz w:val="28"/>
          <w:szCs w:val="26"/>
        </w:rPr>
        <w:t>Parágrafo 2.</w:t>
      </w:r>
      <w:r w:rsidRPr="007C57D2">
        <w:rPr>
          <w:rFonts w:ascii="Times New Roman" w:hAnsi="Times New Roman"/>
          <w:sz w:val="28"/>
          <w:szCs w:val="26"/>
        </w:rPr>
        <w:t xml:space="preserve"> El informe anual presentado por el Instituto Colombiano de Bienestar Familiar al Congreso de la República deberá incluir también un análisis detallado de los factores que contribuyero</w:t>
      </w:r>
      <w:r w:rsidRPr="007C57D2">
        <w:rPr>
          <w:rFonts w:ascii="Times New Roman" w:hAnsi="Times New Roman"/>
          <w:sz w:val="28"/>
          <w:szCs w:val="26"/>
        </w:rPr>
        <w:t>n a los casos de niños y niñas extraviados, así como recomendaciones específicas para abordar y prevenir estas situaciones en el futuro. Asimismo, se deberá destacar cualquier obstáculo o limitación encontrada durante el proceso de búsqueda y localización,</w:t>
      </w:r>
      <w:r w:rsidRPr="007C57D2">
        <w:rPr>
          <w:rFonts w:ascii="Times New Roman" w:hAnsi="Times New Roman"/>
          <w:sz w:val="28"/>
          <w:szCs w:val="26"/>
        </w:rPr>
        <w:t xml:space="preserve"> junto con propuestas concretas para superarlos”.</w:t>
      </w:r>
    </w:p>
    <w:p w:rsidR="001E19D5" w:rsidRPr="007C57D2" w:rsidRDefault="007C57D2" w:rsidP="008F3DAB">
      <w:pPr>
        <w:pStyle w:val="Prrafodelista"/>
        <w:tabs>
          <w:tab w:val="left" w:pos="993"/>
        </w:tabs>
        <w:ind w:left="567"/>
        <w:jc w:val="both"/>
        <w:rPr>
          <w:rFonts w:ascii="Times New Roman" w:hAnsi="Times New Roman"/>
          <w:sz w:val="28"/>
          <w:szCs w:val="28"/>
        </w:rPr>
      </w:pPr>
    </w:p>
    <w:p w:rsidR="001E19D5" w:rsidRPr="007C57D2" w:rsidRDefault="007C57D2" w:rsidP="008F3DAB">
      <w:pPr>
        <w:pStyle w:val="Prrafodelista"/>
        <w:numPr>
          <w:ilvl w:val="0"/>
          <w:numId w:val="23"/>
        </w:numPr>
        <w:tabs>
          <w:tab w:val="left" w:pos="993"/>
        </w:tabs>
        <w:jc w:val="both"/>
        <w:rPr>
          <w:rFonts w:ascii="Times New Roman" w:hAnsi="Times New Roman"/>
          <w:b/>
          <w:bCs/>
          <w:sz w:val="28"/>
          <w:szCs w:val="28"/>
        </w:rPr>
      </w:pPr>
      <w:r w:rsidRPr="007C57D2">
        <w:rPr>
          <w:rFonts w:ascii="Times New Roman" w:hAnsi="Times New Roman"/>
          <w:b/>
          <w:bCs/>
          <w:sz w:val="28"/>
          <w:szCs w:val="28"/>
          <w:lang w:val="es-ES"/>
        </w:rPr>
        <w:t>Problema jurídico e intervenciones</w:t>
      </w:r>
    </w:p>
    <w:p w:rsidR="001E19D5" w:rsidRPr="007C57D2" w:rsidRDefault="007C57D2" w:rsidP="008F3DAB">
      <w:pPr>
        <w:spacing w:after="0" w:line="240" w:lineRule="auto"/>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lang w:val="es-ES"/>
        </w:rPr>
        <w:t xml:space="preserve"> </w:t>
      </w:r>
      <w:r w:rsidRPr="007C57D2">
        <w:rPr>
          <w:rFonts w:ascii="Times New Roman" w:hAnsi="Times New Roman"/>
          <w:sz w:val="28"/>
          <w:szCs w:val="28"/>
        </w:rPr>
        <w:t>Para decidir definitivamente sobre la constitucionalidad del PLE, respecto del contenido material del artículo 13, le corresponde a la Corte establecer lo siguiente: ¿S</w:t>
      </w:r>
      <w:r w:rsidRPr="007C57D2">
        <w:rPr>
          <w:rFonts w:ascii="Times New Roman" w:hAnsi="Times New Roman"/>
          <w:sz w:val="28"/>
          <w:szCs w:val="28"/>
        </w:rPr>
        <w:t>e ajusta el artículo 13 del PLE a lo dispuesto en los preceptos constitucionales?</w:t>
      </w:r>
    </w:p>
    <w:p w:rsidR="001E19D5" w:rsidRPr="007C57D2" w:rsidRDefault="007C57D2" w:rsidP="008F3DAB">
      <w:pPr>
        <w:spacing w:after="0" w:line="240" w:lineRule="auto"/>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Ninguno de los intervinientes cuestionó la constitucionalidad del artículo 13 del PLE. Sin embargo, presentaron algunas consideraciones específicas en relación con este. </w:t>
      </w:r>
    </w:p>
    <w:p w:rsidR="001E19D5" w:rsidRPr="007C57D2" w:rsidRDefault="007C57D2" w:rsidP="008F3DAB">
      <w:pPr>
        <w:spacing w:after="0" w:line="240" w:lineRule="auto"/>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M</w:t>
      </w:r>
      <w:r w:rsidRPr="007C57D2">
        <w:rPr>
          <w:rFonts w:ascii="Times New Roman" w:hAnsi="Times New Roman"/>
          <w:sz w:val="28"/>
          <w:szCs w:val="28"/>
        </w:rPr>
        <w:t>ientras que el Ministerio de Justicia y del Derecho y la Procuraduría General de la Nación enfatizaron la relevancia del artículo para efectos de asegurar transparencia, efectividad y el control de cuentas sobre la gestión realizada; el ICBF advirtió que d</w:t>
      </w:r>
      <w:r w:rsidRPr="007C57D2">
        <w:rPr>
          <w:rFonts w:ascii="Times New Roman" w:hAnsi="Times New Roman"/>
          <w:sz w:val="28"/>
          <w:szCs w:val="28"/>
        </w:rPr>
        <w:t xml:space="preserve">icha disposición le impone a la entidad la obligación de presentar análisis, recomendaciones y sugerencias sobre un tema respecto al cual no tiene experticia o competencia, al no tener funciones de policía judicial. </w:t>
      </w:r>
    </w:p>
    <w:p w:rsidR="001E19D5" w:rsidRPr="007C57D2" w:rsidRDefault="007C57D2" w:rsidP="008F3DAB">
      <w:pPr>
        <w:spacing w:after="0" w:line="240" w:lineRule="auto"/>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Finalmente, el ciudadano Harold Súa af</w:t>
      </w:r>
      <w:r w:rsidRPr="007C57D2">
        <w:rPr>
          <w:rFonts w:ascii="Times New Roman" w:hAnsi="Times New Roman"/>
          <w:sz w:val="28"/>
          <w:szCs w:val="28"/>
        </w:rPr>
        <w:t>irmó que el contenido del artículo carece de naturaleza estatutaria, al no estar referido a asuntos relacionados con el habeas data ni afectar el núcleo esencial de un derecho.</w:t>
      </w:r>
    </w:p>
    <w:p w:rsidR="001E19D5" w:rsidRPr="007C57D2" w:rsidRDefault="007C57D2" w:rsidP="008F3DAB">
      <w:pPr>
        <w:spacing w:after="0" w:line="240" w:lineRule="auto"/>
        <w:rPr>
          <w:rFonts w:ascii="Times New Roman" w:hAnsi="Times New Roman"/>
          <w:sz w:val="28"/>
          <w:szCs w:val="28"/>
        </w:rPr>
      </w:pPr>
    </w:p>
    <w:p w:rsidR="001E19D5" w:rsidRPr="007C57D2" w:rsidRDefault="007C57D2" w:rsidP="008F3DAB">
      <w:pPr>
        <w:pStyle w:val="Prrafodelista"/>
        <w:numPr>
          <w:ilvl w:val="0"/>
          <w:numId w:val="23"/>
        </w:numPr>
        <w:rPr>
          <w:rFonts w:ascii="Times New Roman" w:hAnsi="Times New Roman"/>
          <w:b/>
          <w:bCs/>
          <w:color w:val="000000"/>
          <w:sz w:val="28"/>
          <w:szCs w:val="28"/>
          <w:lang w:val="es-ES_tradnl"/>
        </w:rPr>
      </w:pPr>
      <w:r w:rsidRPr="007C57D2">
        <w:rPr>
          <w:rFonts w:ascii="Times New Roman" w:hAnsi="Times New Roman"/>
          <w:b/>
          <w:bCs/>
          <w:color w:val="000000"/>
          <w:sz w:val="28"/>
          <w:szCs w:val="28"/>
          <w:lang w:val="es-ES_tradnl"/>
        </w:rPr>
        <w:t xml:space="preserve">Consideraciones de la Corte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Contenido y alcance del artículo 13 del PLE</w:t>
      </w:r>
      <w:r w:rsidRPr="007C57D2">
        <w:rPr>
          <w:rFonts w:ascii="Times New Roman" w:hAnsi="Times New Roman"/>
          <w:sz w:val="28"/>
          <w:szCs w:val="28"/>
        </w:rPr>
        <w:t xml:space="preserve">. El </w:t>
      </w:r>
      <w:r w:rsidRPr="007C57D2">
        <w:rPr>
          <w:rFonts w:ascii="Times New Roman" w:hAnsi="Times New Roman"/>
          <w:sz w:val="28"/>
          <w:szCs w:val="28"/>
        </w:rPr>
        <w:t>artículo 13 del PLE establece deberes a cargo del Instituto Colombiano de Bienestar Familiar (ICBF) y del Instituto Nacional de Medicina Legal y Ciencias Forenses (INMLCF) de presentar informes anuales ante el Congreso de la República. En el caso de la pri</w:t>
      </w:r>
      <w:r w:rsidRPr="007C57D2">
        <w:rPr>
          <w:rFonts w:ascii="Times New Roman" w:hAnsi="Times New Roman"/>
          <w:sz w:val="28"/>
          <w:szCs w:val="28"/>
        </w:rPr>
        <w:t>mera institución, esta deberá presentar el informe anual en relación con (i) cifras sobre menores de 18 años extraviados; (ii) los mecanismos de búsqueda utilizados para su ubicación; (iii) los resultados obtenidos respecto a las labores de búsqueda; y (iv</w:t>
      </w:r>
      <w:r w:rsidRPr="007C57D2">
        <w:rPr>
          <w:rFonts w:ascii="Times New Roman" w:hAnsi="Times New Roman"/>
          <w:sz w:val="28"/>
          <w:szCs w:val="28"/>
        </w:rPr>
        <w:t>) nuevas metodologías para realizar dichas labores.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Adicionalmente, el parágrafo 2 del artículo indica que el informe del ICBF al Congreso también deberá incluir: (v) un análisis detallado sobre las condiciones que contribuyeron al extravío de los menores</w:t>
      </w:r>
      <w:r w:rsidRPr="007C57D2">
        <w:rPr>
          <w:rFonts w:ascii="Times New Roman" w:hAnsi="Times New Roman"/>
          <w:sz w:val="28"/>
          <w:szCs w:val="28"/>
        </w:rPr>
        <w:t xml:space="preserve"> de 18 años; (vi) recomendaciones específicas para prevenir y responder a este tipo de eventos; (vii) identificar obstáculos o limitaciones en el marco de procesos de búsqueda y localización; y (viii) ofrecer propuestas específicas que permitan responder a</w:t>
      </w:r>
      <w:r w:rsidRPr="007C57D2">
        <w:rPr>
          <w:rFonts w:ascii="Times New Roman" w:hAnsi="Times New Roman"/>
          <w:sz w:val="28"/>
          <w:szCs w:val="28"/>
        </w:rPr>
        <w:t xml:space="preserve"> las barreras identificadas.</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En cuanto al contenido del informe a cargo del INMLCF, el artículo indica que el informe anual deberá, de forma general, contener relacionados con los NNA que aún se encuentran extraviados en el territorio nacional.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Por últi</w:t>
      </w:r>
      <w:r w:rsidRPr="007C57D2">
        <w:rPr>
          <w:rFonts w:ascii="Times New Roman" w:hAnsi="Times New Roman"/>
          <w:sz w:val="28"/>
          <w:szCs w:val="28"/>
        </w:rPr>
        <w:t>mo, el parágrafo 1 del artículo bajo estudio indica que, una vez presentados los informes, las mesas directivas de cada cámara habrán de citar a dichas entidades para que presenten los documentos presentados.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rPr>
        <w:t>El artículo 13 del PLE no ofrece ningún reproc</w:t>
      </w:r>
      <w:r w:rsidRPr="007C57D2">
        <w:rPr>
          <w:rFonts w:ascii="Times New Roman" w:hAnsi="Times New Roman"/>
          <w:i/>
          <w:iCs/>
          <w:sz w:val="28"/>
          <w:szCs w:val="28"/>
        </w:rPr>
        <w:t>he de constitucionalidad</w:t>
      </w:r>
      <w:r w:rsidRPr="007C57D2">
        <w:rPr>
          <w:rFonts w:ascii="Times New Roman" w:hAnsi="Times New Roman"/>
          <w:sz w:val="28"/>
          <w:szCs w:val="28"/>
        </w:rPr>
        <w:t xml:space="preserve">. Al contrastar el artículo con las disposiciones constitucionales pertinentes, la Sala constata que el mismo se ajusta a la Carta Política. Para empezar, en relación con lo señalado por el ciudadano Harold Súa, la Sala se remitirá </w:t>
      </w:r>
      <w:r w:rsidRPr="007C57D2">
        <w:rPr>
          <w:rFonts w:ascii="Times New Roman" w:hAnsi="Times New Roman"/>
          <w:sz w:val="28"/>
          <w:szCs w:val="28"/>
        </w:rPr>
        <w:t>a las consideraciones relativas a la constitucionalidad del artículo 12 antecedentes, en relación con la posibilidad de incluir disposiciones de carácter ordinario en proyectos de ley estatutaria sin desconocer la Constitución Política.</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De otro lado, la S</w:t>
      </w:r>
      <w:r w:rsidRPr="007C57D2">
        <w:rPr>
          <w:rFonts w:ascii="Times New Roman" w:hAnsi="Times New Roman"/>
          <w:sz w:val="28"/>
          <w:szCs w:val="28"/>
        </w:rPr>
        <w:t>ala estima que los deberes de presentar informes a cargo del ICBF y del INMLCF permiten que el Congreso de la República realice labores de verificación de las autoridades antes mencionadas en relación con la prevención, atención y seguimiento a las situaci</w:t>
      </w:r>
      <w:r w:rsidRPr="007C57D2">
        <w:rPr>
          <w:rFonts w:ascii="Times New Roman" w:hAnsi="Times New Roman"/>
          <w:sz w:val="28"/>
          <w:szCs w:val="28"/>
        </w:rPr>
        <w:t>ones de ausencia de menores de 18 años. Al permitir el seguimiento periódico a dichas actividades, el deber de presentación de informes anuales permite efectivizar el principio del interés superior del niño, así como los derechos fundamentales de los niños</w:t>
      </w:r>
      <w:r w:rsidRPr="007C57D2">
        <w:rPr>
          <w:rFonts w:ascii="Times New Roman" w:hAnsi="Times New Roman"/>
          <w:sz w:val="28"/>
          <w:szCs w:val="28"/>
        </w:rPr>
        <w:t xml:space="preserve"> a la vida, a la integridad física, a tener una familia y no ser separados de ella, al cuidado y al amor; toda vez que se alinean con la necesidad de garantizar la ubicación y pronto retorno de los NNA a sus núcleos familiares y entornos de cuidado en caso</w:t>
      </w:r>
      <w:r w:rsidRPr="007C57D2">
        <w:rPr>
          <w:rFonts w:ascii="Times New Roman" w:hAnsi="Times New Roman"/>
          <w:sz w:val="28"/>
          <w:szCs w:val="28"/>
        </w:rPr>
        <w:t xml:space="preserve"> de pérdida o extravío.</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Igualmente, la Sala estima que el deber impuesto a las mesas directivas de ambas cámaras de citar a las entidades respectivas a sustentar el informe presentado dentro de los dos meses siguientes a su remisión refuerza los deberes q</w:t>
      </w:r>
      <w:r w:rsidRPr="007C57D2">
        <w:rPr>
          <w:rFonts w:ascii="Times New Roman" w:hAnsi="Times New Roman"/>
          <w:sz w:val="28"/>
          <w:szCs w:val="28"/>
        </w:rPr>
        <w:t>ue tienen las autoridades públicas en materia de búsqueda, identificación, protección y retorno de las personas menores de 18 años extraviadas; en desarrollo de los mandatos constitucionales incorporados, entre otros, en el artículo 44 de la Carta Política</w:t>
      </w:r>
      <w:r w:rsidRPr="007C57D2">
        <w:rPr>
          <w:rFonts w:ascii="Times New Roman" w:hAnsi="Times New Roman"/>
          <w:sz w:val="28"/>
          <w:szCs w:val="28"/>
        </w:rPr>
        <w:t xml:space="preserve"> y la Convención sobre los Derechos del Niño.</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Adicionalmente, la </w:t>
      </w:r>
      <w:r w:rsidRPr="007C57D2">
        <w:rPr>
          <w:rFonts w:ascii="Times New Roman" w:hAnsi="Times New Roman"/>
          <w:sz w:val="28"/>
          <w:szCs w:val="28"/>
        </w:rPr>
        <w:t>Corporación</w:t>
      </w:r>
      <w:r w:rsidRPr="007C57D2">
        <w:rPr>
          <w:rFonts w:ascii="Times New Roman" w:hAnsi="Times New Roman"/>
          <w:sz w:val="28"/>
          <w:szCs w:val="28"/>
        </w:rPr>
        <w:t xml:space="preserve"> comparte la postura del Viceprocurador General de la Nación, el cual advirtió en su concepto que la presentación de informes anuales puede permitir que se identifiquen falencias </w:t>
      </w:r>
      <w:r w:rsidRPr="007C57D2">
        <w:rPr>
          <w:rFonts w:ascii="Times New Roman" w:hAnsi="Times New Roman"/>
          <w:sz w:val="28"/>
          <w:szCs w:val="28"/>
        </w:rPr>
        <w:t>en el funcionamiento de los mecanismos que la ley establece para atender situaciones de extravío de NNA; así como incorporar planes de mejoramiento que contribuyan a garantizar de mejor manera los derechos de los las personas de menos de 18 años que result</w:t>
      </w:r>
      <w:r w:rsidRPr="007C57D2">
        <w:rPr>
          <w:rFonts w:ascii="Times New Roman" w:hAnsi="Times New Roman"/>
          <w:sz w:val="28"/>
          <w:szCs w:val="28"/>
        </w:rPr>
        <w:t>aren perdidos por cualquier circunstancia.</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Ahora bien, la Sala toma nota de la advertencia realizada por el ICBF, según la cual, se le estaría asignando a dicha entidad el deber de presentar un informe sobre aspectos que son ajenos a su labor misional. Es</w:t>
      </w:r>
      <w:r w:rsidRPr="007C57D2">
        <w:rPr>
          <w:rFonts w:ascii="Times New Roman" w:hAnsi="Times New Roman"/>
          <w:sz w:val="28"/>
          <w:szCs w:val="28"/>
        </w:rPr>
        <w:t>pecíficamente, en su intervención, el ICBF sugiere que el artículo bajo estudio pareciera estarle encomendando funciones que, el artículo 250, numeral 8, de la Constitución le asigna a Fiscalía General de la Nación, pues son tareas que corresponden a la la</w:t>
      </w:r>
      <w:r w:rsidRPr="007C57D2">
        <w:rPr>
          <w:rFonts w:ascii="Times New Roman" w:hAnsi="Times New Roman"/>
          <w:sz w:val="28"/>
          <w:szCs w:val="28"/>
        </w:rPr>
        <w:t>bor de policía judicial.</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Sin embargo, al verificar el contenido del artículo 13, la Sala advierte que este no asigna funciones de policía judicial al ICBF, sino que tan solo le encomienda a dicha entidad elaborar un informe anual sobre asuntos relacionado</w:t>
      </w:r>
      <w:r w:rsidRPr="007C57D2">
        <w:rPr>
          <w:rFonts w:ascii="Times New Roman" w:hAnsi="Times New Roman"/>
          <w:sz w:val="28"/>
          <w:szCs w:val="28"/>
        </w:rPr>
        <w:t>s con las labores realizadas para la ubicación, localización y retorno de NNA extraviados; así como respecto de las causas y factores que dieron lugar a la separación del menor de 18 años de su entorno familiar o de cuidado.</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Lo anterior resulta patente si</w:t>
      </w:r>
      <w:r w:rsidRPr="007C57D2">
        <w:rPr>
          <w:rFonts w:ascii="Times New Roman" w:hAnsi="Times New Roman"/>
          <w:sz w:val="28"/>
          <w:szCs w:val="28"/>
        </w:rPr>
        <w:t xml:space="preserve"> se tiene en cuenta que, de acuerdo con el artículo 200 de la Ley 906 de 2004, “[p]or policía judicial se entiende la función que cumplen las entidades del Estado para apoyar la investigación penal y, en el ejercicio de las mismas, dependen funcionalmente </w:t>
      </w:r>
      <w:r w:rsidRPr="007C57D2">
        <w:rPr>
          <w:rFonts w:ascii="Times New Roman" w:hAnsi="Times New Roman"/>
          <w:sz w:val="28"/>
          <w:szCs w:val="28"/>
        </w:rPr>
        <w:t>del Fiscal General de la Nación y sus delegados”. Toda vez que el artículo bajo estudio no le asigna directamente al ICBF labores de apoyar la investigación penal bajo la dirección del fiscal de la causa, no es posible afirmar que la disposición en cuestió</w:t>
      </w:r>
      <w:r w:rsidRPr="007C57D2">
        <w:rPr>
          <w:rFonts w:ascii="Times New Roman" w:hAnsi="Times New Roman"/>
          <w:sz w:val="28"/>
          <w:szCs w:val="28"/>
        </w:rPr>
        <w:t>n le asigne funciones de policía judicial al ICBF.</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todo caso, la Sala toma en consideración que, efectivamente, el artículo 13 antes mencionado sí se solicita al ICBF informar al Congreso sobre aspectos respecto de los cuales otras entidades, tales com</w:t>
      </w:r>
      <w:r w:rsidRPr="007C57D2">
        <w:rPr>
          <w:rFonts w:ascii="Times New Roman" w:hAnsi="Times New Roman"/>
          <w:sz w:val="28"/>
          <w:szCs w:val="28"/>
        </w:rPr>
        <w:t xml:space="preserve">o la Fiscalía General de la Nación y la Policía Nacional, pueden producir información relevante, al estar referidos a la investigación criminal o la asistencia directa en el caso de menores de 18 años extraviados.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En cuanto a esto, si bien el artículo no</w:t>
      </w:r>
      <w:r w:rsidRPr="007C57D2">
        <w:rPr>
          <w:rFonts w:ascii="Times New Roman" w:hAnsi="Times New Roman"/>
          <w:sz w:val="28"/>
          <w:szCs w:val="28"/>
        </w:rPr>
        <w:t xml:space="preserve"> desconoce normas superiores, la Sala considera pertinente aclarar que, para efectos de la elaboración del informe a cargo del ICBF referido en el artículo, dicha entidad podrá solicitar a las demás instituciones públicas la información que resulte necesar</w:t>
      </w:r>
      <w:r w:rsidRPr="007C57D2">
        <w:rPr>
          <w:rFonts w:ascii="Times New Roman" w:hAnsi="Times New Roman"/>
          <w:sz w:val="28"/>
          <w:szCs w:val="28"/>
        </w:rPr>
        <w:t>ia para efectos de elaborar el documento que deberá remitirse al Congreso de la República. Lo anterior en virtud de los principios constitucionales de colaboración armónica que rige las relaciones entre las instituciones públicas en el país.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Lo mismo ocur</w:t>
      </w:r>
      <w:r w:rsidRPr="007C57D2">
        <w:rPr>
          <w:rFonts w:ascii="Times New Roman" w:hAnsi="Times New Roman"/>
          <w:sz w:val="28"/>
          <w:szCs w:val="28"/>
        </w:rPr>
        <w:t>re en la parte de la disposición relacionada al informe a cargo del INMLCF, respecto del cual, si bien no se hizo manifestación alguna que sugiera su inconstitucionalidad, debe entenderse en el marco del principio de colaboración armónica entre los órganos</w:t>
      </w:r>
      <w:r w:rsidRPr="007C57D2">
        <w:rPr>
          <w:rFonts w:ascii="Times New Roman" w:hAnsi="Times New Roman"/>
          <w:sz w:val="28"/>
          <w:szCs w:val="28"/>
        </w:rPr>
        <w:t xml:space="preserve"> del poder público</w:t>
      </w:r>
      <w:r w:rsidRPr="007C57D2">
        <w:rPr>
          <w:rFonts w:ascii="Times New Roman" w:hAnsi="Times New Roman"/>
          <w:sz w:val="28"/>
          <w:szCs w:val="28"/>
          <w:vertAlign w:val="superscript"/>
        </w:rPr>
        <w:footnoteReference w:id="721"/>
      </w:r>
      <w:r w:rsidRPr="007C57D2">
        <w:rPr>
          <w:rFonts w:ascii="Times New Roman" w:hAnsi="Times New Roman"/>
          <w:sz w:val="28"/>
          <w:szCs w:val="28"/>
        </w:rPr>
        <w:t>, razón por la cual el INMLCF podrá solicitar la información que requiera a otras instituciones del Estado para efectos de recolectar los datos necesarios para la elaboración del respectivo documento.</w:t>
      </w:r>
    </w:p>
    <w:p w:rsidR="001E19D5" w:rsidRPr="007C57D2" w:rsidRDefault="007C57D2" w:rsidP="008F3DAB">
      <w:pPr>
        <w:pStyle w:val="Prrafodelista"/>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De igual forma, el ICBF también pod</w:t>
      </w:r>
      <w:r w:rsidRPr="007C57D2">
        <w:rPr>
          <w:rFonts w:ascii="Times New Roman" w:hAnsi="Times New Roman"/>
          <w:sz w:val="28"/>
          <w:szCs w:val="28"/>
        </w:rPr>
        <w:t>rá requerir información de los proveedores de redes y servicios de telecomunicaciones móviles y otros responsables de difundir y divulgar la alerta, especialmente porque este instituto debe aludir en su informe, entre otros aspectos, a los mecanismos de bú</w:t>
      </w:r>
      <w:r w:rsidRPr="007C57D2">
        <w:rPr>
          <w:rFonts w:ascii="Times New Roman" w:hAnsi="Times New Roman"/>
          <w:sz w:val="28"/>
          <w:szCs w:val="28"/>
        </w:rPr>
        <w:t>squeda implementados, los resultados obtenidos y las nuevas metodologías para mejorar la búsqueda y localización de los menores de edad.</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De otro lado, la Sala resalta que el deber de suministrar informes al Congreso que establece la norma asigna una respo</w:t>
      </w:r>
      <w:r w:rsidRPr="007C57D2">
        <w:rPr>
          <w:rFonts w:ascii="Times New Roman" w:hAnsi="Times New Roman"/>
          <w:sz w:val="28"/>
          <w:szCs w:val="28"/>
        </w:rPr>
        <w:t>nsabilidad de carácter administrativo, que debe entenderse en el marco del ejercicio de la labor de control público que realiza el Congreso de la República en relación con otros órganos e instituciones del Estado. De acuerdo con la Sentencia C-432 de 2017,</w:t>
      </w:r>
      <w:r w:rsidRPr="007C57D2">
        <w:rPr>
          <w:rFonts w:ascii="Times New Roman" w:hAnsi="Times New Roman"/>
          <w:sz w:val="28"/>
          <w:szCs w:val="28"/>
        </w:rPr>
        <w:t xml:space="preserve"> el control público en sentido lato da cuenta de que “los mecanismos de control político no se circunscriben a aquellos expresamente dispuestos como tales en la Constitución y en la Ley 5 de 1992. En efecto, el control político puede ser realizado a través</w:t>
      </w:r>
      <w:r w:rsidRPr="007C57D2">
        <w:rPr>
          <w:rFonts w:ascii="Times New Roman" w:hAnsi="Times New Roman"/>
          <w:sz w:val="28"/>
          <w:szCs w:val="28"/>
        </w:rPr>
        <w:t xml:space="preserve"> del desarrollo, o en el marco, de las otras funciones del Congreso de la República reconocidas en la Constitución, en la Ley 5 de 1992 o en otras leyes, es decir, ‘realizarse a través de distintas actividades que realiza el Congreso o sus comisiones’”</w:t>
      </w:r>
      <w:r w:rsidRPr="007C57D2">
        <w:rPr>
          <w:rFonts w:ascii="Times New Roman" w:hAnsi="Times New Roman"/>
          <w:sz w:val="28"/>
          <w:szCs w:val="28"/>
          <w:vertAlign w:val="superscript"/>
        </w:rPr>
        <w:footnoteReference w:id="722"/>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A su vez, esta </w:t>
      </w:r>
      <w:r w:rsidRPr="007C57D2">
        <w:rPr>
          <w:rFonts w:ascii="Times New Roman" w:hAnsi="Times New Roman"/>
          <w:sz w:val="28"/>
          <w:szCs w:val="28"/>
        </w:rPr>
        <w:t>Corporación</w:t>
      </w:r>
      <w:r w:rsidRPr="007C57D2">
        <w:rPr>
          <w:rFonts w:ascii="Times New Roman" w:hAnsi="Times New Roman"/>
          <w:sz w:val="28"/>
          <w:szCs w:val="28"/>
        </w:rPr>
        <w:t xml:space="preserve"> </w:t>
      </w:r>
      <w:r w:rsidRPr="007C57D2">
        <w:rPr>
          <w:rFonts w:ascii="Times New Roman" w:hAnsi="Times New Roman"/>
          <w:sz w:val="28"/>
          <w:szCs w:val="28"/>
        </w:rPr>
        <w:t xml:space="preserve">ha </w:t>
      </w:r>
      <w:r w:rsidRPr="007C57D2">
        <w:rPr>
          <w:rFonts w:ascii="Times New Roman" w:hAnsi="Times New Roman"/>
          <w:sz w:val="28"/>
          <w:szCs w:val="28"/>
        </w:rPr>
        <w:t>diferenciado analíticamente el control político en sentido estricto y el control público que realiza el Congreso de la República, especificando que “el control político apunta a toda actividad del órgano colegiado de represent</w:t>
      </w:r>
      <w:r w:rsidRPr="007C57D2">
        <w:rPr>
          <w:rFonts w:ascii="Times New Roman" w:hAnsi="Times New Roman"/>
          <w:sz w:val="28"/>
          <w:szCs w:val="28"/>
        </w:rPr>
        <w:t xml:space="preserve">ación popular tendiente a pedir cuentas, debatir, cuestionar o examinar la gestión y actividades del ‘gobierno y la administración’ (CP art. 114), en la medida en que sus actuaciones tengan repercusiones sobre el interés general; el control público –en su </w:t>
      </w:r>
      <w:r w:rsidRPr="007C57D2">
        <w:rPr>
          <w:rFonts w:ascii="Times New Roman" w:hAnsi="Times New Roman"/>
          <w:sz w:val="28"/>
          <w:szCs w:val="28"/>
        </w:rPr>
        <w:t>lugar– se focaliza en una posibilidad de emplazamiento ‘a cualquier persona, natural o jurídica’, con miras a que rinda declaraciones sobre hechos relacionados directamente con el ejercicio de las funciones que de ordinario cumplen las comisiones permanent</w:t>
      </w:r>
      <w:r w:rsidRPr="007C57D2">
        <w:rPr>
          <w:rFonts w:ascii="Times New Roman" w:hAnsi="Times New Roman"/>
          <w:sz w:val="28"/>
          <w:szCs w:val="28"/>
        </w:rPr>
        <w:t>es de cada una de las cámaras, obteniendo por esa vía información que cualifique la función parlamentaria, o incluso el desenvolvimiento de las funciones judiciales a su cargo”</w:t>
      </w:r>
      <w:r w:rsidRPr="007C57D2">
        <w:rPr>
          <w:rFonts w:ascii="Times New Roman" w:hAnsi="Times New Roman"/>
          <w:sz w:val="28"/>
          <w:szCs w:val="28"/>
          <w:vertAlign w:val="superscript"/>
        </w:rPr>
        <w:footnoteReference w:id="723"/>
      </w:r>
      <w:r w:rsidRPr="007C57D2">
        <w:rPr>
          <w:rFonts w:ascii="Times New Roman" w:hAnsi="Times New Roman"/>
          <w:sz w:val="28"/>
          <w:szCs w:val="28"/>
        </w:rPr>
        <w:t>.</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Teniendo en cuenta lo anterior, la Sala Plena entiende que el deber de prese</w:t>
      </w:r>
      <w:r w:rsidRPr="007C57D2">
        <w:rPr>
          <w:rFonts w:ascii="Times New Roman" w:hAnsi="Times New Roman"/>
          <w:sz w:val="28"/>
          <w:szCs w:val="28"/>
        </w:rPr>
        <w:t>ntar informes que el artículo asigna al ICBF y al INMLCF debe entenderse en el marco de la labor de control público que desarrolla el Congreso de la República, lo que fundamenta, aún más la conformidad de la disposición analizada con los preceptos constitu</w:t>
      </w:r>
      <w:r w:rsidRPr="007C57D2">
        <w:rPr>
          <w:rFonts w:ascii="Times New Roman" w:hAnsi="Times New Roman"/>
          <w:sz w:val="28"/>
          <w:szCs w:val="28"/>
        </w:rPr>
        <w:t>cionales.</w:t>
      </w:r>
    </w:p>
    <w:p w:rsidR="001E19D5" w:rsidRPr="007C57D2" w:rsidRDefault="007C57D2" w:rsidP="008F3DAB">
      <w:pPr>
        <w:spacing w:after="0" w:line="240" w:lineRule="auto"/>
        <w:rPr>
          <w:rFonts w:ascii="Times New Roman" w:hAnsi="Times New Roman"/>
          <w:sz w:val="28"/>
        </w:rPr>
      </w:pPr>
    </w:p>
    <w:p w:rsidR="001E19D5" w:rsidRPr="007C57D2" w:rsidRDefault="007C57D2" w:rsidP="008F3DAB">
      <w:pPr>
        <w:pStyle w:val="Prrafodelista"/>
        <w:numPr>
          <w:ilvl w:val="0"/>
          <w:numId w:val="23"/>
        </w:numPr>
        <w:rPr>
          <w:rFonts w:ascii="Times New Roman" w:hAnsi="Times New Roman"/>
          <w:b/>
          <w:bCs/>
          <w:sz w:val="28"/>
          <w:szCs w:val="28"/>
          <w:lang w:val="es-ES_tradnl"/>
        </w:rPr>
      </w:pPr>
      <w:r w:rsidRPr="007C57D2">
        <w:rPr>
          <w:rFonts w:ascii="Times New Roman" w:hAnsi="Times New Roman"/>
          <w:b/>
          <w:bCs/>
          <w:sz w:val="28"/>
          <w:szCs w:val="28"/>
          <w:lang w:val="es-ES_tradnl"/>
        </w:rPr>
        <w:t>Decisión sobre la constitucionalidad del artículo 13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sz w:val="28"/>
          <w:szCs w:val="28"/>
        </w:rPr>
        <w:t xml:space="preserve">Por las razones expuestas en los párrafos precedentes, la Corte declarará la constitucional el artículo 13 del PLE. </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Ttulo3"/>
        <w:spacing w:before="0" w:after="0" w:line="240" w:lineRule="auto"/>
        <w:jc w:val="both"/>
        <w:rPr>
          <w:rFonts w:ascii="Times New Roman" w:hAnsi="Times New Roman"/>
          <w:b/>
          <w:bCs/>
          <w:color w:val="000000"/>
        </w:rPr>
      </w:pPr>
      <w:bookmarkStart w:id="59" w:name="_Toc222728042"/>
      <w:r w:rsidRPr="007C57D2">
        <w:rPr>
          <w:rFonts w:ascii="Times New Roman" w:hAnsi="Times New Roman"/>
          <w:b/>
          <w:bCs/>
          <w:color w:val="000000"/>
          <w:lang w:val="es-ES_tradnl"/>
        </w:rPr>
        <w:t>5.5.9. Reglamentación y vigencia (</w:t>
      </w:r>
      <w:r w:rsidRPr="007C57D2">
        <w:rPr>
          <w:rFonts w:ascii="Times New Roman" w:hAnsi="Times New Roman"/>
          <w:b/>
          <w:bCs/>
          <w:color w:val="000000"/>
        </w:rPr>
        <w:t>Examen de constitucionalidad de</w:t>
      </w:r>
      <w:r w:rsidRPr="007C57D2">
        <w:rPr>
          <w:rFonts w:ascii="Times New Roman" w:hAnsi="Times New Roman"/>
          <w:b/>
          <w:bCs/>
          <w:color w:val="000000"/>
        </w:rPr>
        <w:t xml:space="preserve"> los artículos 14 y 15 del PLE)</w:t>
      </w:r>
      <w:bookmarkEnd w:id="59"/>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1"/>
          <w:numId w:val="3"/>
        </w:numPr>
        <w:tabs>
          <w:tab w:val="left" w:pos="993"/>
        </w:tabs>
        <w:ind w:left="567" w:firstLine="0"/>
        <w:jc w:val="both"/>
        <w:rPr>
          <w:rFonts w:ascii="Times New Roman" w:hAnsi="Times New Roman"/>
          <w:sz w:val="28"/>
          <w:szCs w:val="28"/>
        </w:rPr>
      </w:pPr>
      <w:r w:rsidRPr="007C57D2">
        <w:rPr>
          <w:rFonts w:ascii="Times New Roman" w:hAnsi="Times New Roman"/>
          <w:b/>
          <w:bCs/>
          <w:sz w:val="28"/>
          <w:szCs w:val="28"/>
        </w:rPr>
        <w:t>Transcripción de la norma objeto de control</w:t>
      </w:r>
    </w:p>
    <w:p w:rsidR="001E19D5" w:rsidRPr="007C57D2" w:rsidRDefault="007C57D2" w:rsidP="008F3DAB">
      <w:pPr>
        <w:tabs>
          <w:tab w:val="left" w:pos="993"/>
        </w:tabs>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 continuación, se transcriben las normas contenidas en los artículos 14 y 15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14. Autorización.</w:t>
      </w:r>
      <w:r w:rsidRPr="007C57D2">
        <w:rPr>
          <w:rFonts w:ascii="Times New Roman" w:hAnsi="Times New Roman"/>
          <w:sz w:val="28"/>
          <w:szCs w:val="26"/>
        </w:rPr>
        <w:t xml:space="preserve"> El Gobierno Nacional, en cabeza del Ministerio de Tecnologías </w:t>
      </w:r>
      <w:r w:rsidRPr="007C57D2">
        <w:rPr>
          <w:rFonts w:ascii="Times New Roman" w:hAnsi="Times New Roman"/>
          <w:sz w:val="28"/>
          <w:szCs w:val="26"/>
        </w:rPr>
        <w:t>de la Información y las Comunicaciones y en coordinación con la Comisión de Regulación de Comunicaciones, reglamentará lo necesario para la aplicación de la presente ley en un plazo no mayor a seis (6) meses a partir de su entrada en vigencia. Esta reglame</w:t>
      </w:r>
      <w:r w:rsidRPr="007C57D2">
        <w:rPr>
          <w:rFonts w:ascii="Times New Roman" w:hAnsi="Times New Roman"/>
          <w:sz w:val="28"/>
          <w:szCs w:val="26"/>
        </w:rPr>
        <w:t xml:space="preserve">ntación deberá hacerse en articulación con el Sistema Nacional de Alertas Tempranas sobre la Niñez colombiana, creado por el artículo 4 de la Ley 2242 de 2022. </w:t>
      </w:r>
    </w:p>
    <w:p w:rsidR="001E19D5" w:rsidRPr="007C57D2" w:rsidRDefault="007C57D2" w:rsidP="008F3DAB">
      <w:pPr>
        <w:spacing w:after="0" w:line="240" w:lineRule="auto"/>
        <w:ind w:left="567"/>
        <w:jc w:val="both"/>
        <w:rPr>
          <w:rFonts w:ascii="Times New Roman" w:hAnsi="Times New Roman"/>
          <w:sz w:val="28"/>
          <w:szCs w:val="26"/>
        </w:rPr>
      </w:pPr>
    </w:p>
    <w:p w:rsidR="001E19D5" w:rsidRPr="007C57D2" w:rsidRDefault="007C57D2" w:rsidP="008F3DAB">
      <w:pPr>
        <w:spacing w:after="0" w:line="240" w:lineRule="auto"/>
        <w:ind w:left="567"/>
        <w:jc w:val="both"/>
        <w:rPr>
          <w:rFonts w:ascii="Times New Roman" w:hAnsi="Times New Roman"/>
          <w:sz w:val="28"/>
          <w:szCs w:val="26"/>
        </w:rPr>
      </w:pPr>
      <w:r w:rsidRPr="007C57D2">
        <w:rPr>
          <w:rFonts w:ascii="Times New Roman" w:hAnsi="Times New Roman"/>
          <w:b/>
          <w:bCs/>
          <w:sz w:val="28"/>
          <w:szCs w:val="26"/>
        </w:rPr>
        <w:t>Artículo 15. Vigencia.</w:t>
      </w:r>
      <w:r w:rsidRPr="007C57D2">
        <w:rPr>
          <w:rFonts w:ascii="Times New Roman" w:hAnsi="Times New Roman"/>
          <w:sz w:val="28"/>
          <w:szCs w:val="26"/>
        </w:rPr>
        <w:t xml:space="preserve"> La presente ley rige a partir de su promulgación y deroga todas las dis</w:t>
      </w:r>
      <w:r w:rsidRPr="007C57D2">
        <w:rPr>
          <w:rFonts w:ascii="Times New Roman" w:hAnsi="Times New Roman"/>
          <w:sz w:val="28"/>
          <w:szCs w:val="26"/>
        </w:rPr>
        <w:t>posiciones que le sean contrarias”.</w:t>
      </w:r>
    </w:p>
    <w:p w:rsidR="001E19D5" w:rsidRPr="007C57D2" w:rsidRDefault="007C57D2" w:rsidP="008F3DAB">
      <w:pPr>
        <w:pStyle w:val="Prrafodelista"/>
        <w:tabs>
          <w:tab w:val="left" w:pos="993"/>
        </w:tabs>
        <w:ind w:left="567"/>
        <w:jc w:val="both"/>
        <w:rPr>
          <w:rFonts w:ascii="Times New Roman" w:hAnsi="Times New Roman"/>
          <w:sz w:val="28"/>
          <w:szCs w:val="28"/>
        </w:rPr>
      </w:pPr>
    </w:p>
    <w:p w:rsidR="001E19D5" w:rsidRPr="007C57D2" w:rsidRDefault="007C57D2" w:rsidP="008F3DAB">
      <w:pPr>
        <w:pStyle w:val="Prrafodelista"/>
        <w:numPr>
          <w:ilvl w:val="0"/>
          <w:numId w:val="24"/>
        </w:numPr>
        <w:tabs>
          <w:tab w:val="left" w:pos="993"/>
        </w:tabs>
        <w:ind w:left="567" w:firstLine="0"/>
        <w:jc w:val="both"/>
        <w:rPr>
          <w:rFonts w:ascii="Times New Roman" w:hAnsi="Times New Roman"/>
          <w:sz w:val="28"/>
          <w:szCs w:val="28"/>
        </w:rPr>
      </w:pPr>
      <w:r w:rsidRPr="007C57D2">
        <w:rPr>
          <w:rFonts w:ascii="Times New Roman" w:hAnsi="Times New Roman"/>
          <w:b/>
          <w:bCs/>
          <w:sz w:val="28"/>
          <w:szCs w:val="28"/>
          <w:lang w:val="es-ES_tradnl"/>
        </w:rPr>
        <w:t xml:space="preserve">Problema jurídico e intervenciones </w:t>
      </w:r>
    </w:p>
    <w:p w:rsidR="001E19D5" w:rsidRPr="007C57D2" w:rsidRDefault="007C57D2" w:rsidP="008F3DAB">
      <w:pPr>
        <w:pStyle w:val="Prrafodelista"/>
        <w:ind w:left="0"/>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 xml:space="preserve">Para decidir definitivamente sobre la constitucionalidad del PLE, respecto del contenido material de los artículos 14 y 15, le corresponde a la Corte establecer lo siguiente: ¿Se </w:t>
      </w:r>
      <w:r w:rsidRPr="007C57D2">
        <w:rPr>
          <w:rFonts w:ascii="Times New Roman" w:hAnsi="Times New Roman"/>
          <w:sz w:val="28"/>
          <w:szCs w:val="28"/>
          <w:lang w:val="es-ES"/>
        </w:rPr>
        <w:t>ajustan los artículos 14 y 15 del PLE a lo dispuesto en los preceptos constitucionales?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La Defensoría del Pueblo se refirió a la importancia de advertir que el deber de reglamentación supone el respeto a la reserva de ley, en virtud de la cláusula general</w:t>
      </w:r>
      <w:r w:rsidRPr="007C57D2">
        <w:rPr>
          <w:rFonts w:ascii="Times New Roman" w:hAnsi="Times New Roman"/>
          <w:sz w:val="28"/>
          <w:szCs w:val="28"/>
        </w:rPr>
        <w:t xml:space="preserve"> de competencia que confiere un amplio margen de configuración al legislador.</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Por su parte, el Ministerio de Justicia y del Derecho, señaló que el subtítulo del artículo “Autorización”, es desafortunado en tanto que el Congreso de la República no autoriza</w:t>
      </w:r>
      <w:r w:rsidRPr="007C57D2">
        <w:rPr>
          <w:rFonts w:ascii="Times New Roman" w:hAnsi="Times New Roman"/>
          <w:sz w:val="28"/>
          <w:szCs w:val="28"/>
        </w:rPr>
        <w:t xml:space="preserve"> al Gobierno nacional para el ejercicio de la potestad reglamentaria, ya que es una atribución propia y exclusiva del presidente de la República, de conformidad con el artículo 189 de la Constitución. A juicio del Ministerio es importante llamar la atenció</w:t>
      </w:r>
      <w:r w:rsidRPr="007C57D2">
        <w:rPr>
          <w:rFonts w:ascii="Times New Roman" w:hAnsi="Times New Roman"/>
          <w:sz w:val="28"/>
          <w:szCs w:val="28"/>
        </w:rPr>
        <w:t>n “respecto de la necesidad de mejorar la redacción de las cláusulas que definen ordenes reglamentarias, para que estas contemplen con claridad los temas puntuales que se requieren reglamentar y estén escritas de manera clara, coherente y que respondan a l</w:t>
      </w:r>
      <w:r w:rsidRPr="007C57D2">
        <w:rPr>
          <w:rFonts w:ascii="Times New Roman" w:hAnsi="Times New Roman"/>
          <w:sz w:val="28"/>
          <w:szCs w:val="28"/>
        </w:rPr>
        <w:t>as competencias reglamentarias del ejecutivo en materias específicas. Concluyó que la disposición es exequible, a pesar de los errores en materia de técnica legislativa y de redacción, en tanto que es consistente con el objeto general del proyecto, para el</w:t>
      </w:r>
      <w:r w:rsidRPr="007C57D2">
        <w:rPr>
          <w:rFonts w:ascii="Times New Roman" w:hAnsi="Times New Roman"/>
          <w:sz w:val="28"/>
          <w:szCs w:val="28"/>
        </w:rPr>
        <w:t xml:space="preserve"> ejercicio de la potestad reglamentaria en “asuntos técnicos y de ejecución de la ley”.</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La Universidad del Norte considera que el artículo 14 consagra la “autonomía e independencia” de la Alerta Colombia, respecto de otras alertas o mecanismos de búsqueda</w:t>
      </w:r>
      <w:r w:rsidRPr="007C57D2">
        <w:rPr>
          <w:rFonts w:ascii="Times New Roman" w:hAnsi="Times New Roman"/>
          <w:sz w:val="28"/>
          <w:szCs w:val="28"/>
        </w:rPr>
        <w:t xml:space="preserve"> previstas en el ordenamiento jurídico como la Alerta Rosa. En su concepto la disposición es importante porque ofrece (i) “claridad jurídica” para evitar posibles conflictos normativos o interpretaciones erróneas sobre su ámbito de aplicación y su relación</w:t>
      </w:r>
      <w:r w:rsidRPr="007C57D2">
        <w:rPr>
          <w:rFonts w:ascii="Times New Roman" w:hAnsi="Times New Roman"/>
          <w:sz w:val="28"/>
          <w:szCs w:val="28"/>
        </w:rPr>
        <w:t xml:space="preserve"> con otros sistemas de alerta; (ii) “eficacia operativa” de manera especializada sin interferencias ni subordinaciones que puedan obstaculizar su operatividad; y (iii) “coordinación” entre la Alerta Colombia y otros mecanismos de búsqueda, para optimizar r</w:t>
      </w:r>
      <w:r w:rsidRPr="007C57D2">
        <w:rPr>
          <w:rFonts w:ascii="Times New Roman" w:hAnsi="Times New Roman"/>
          <w:sz w:val="28"/>
          <w:szCs w:val="28"/>
        </w:rPr>
        <w:t>ecursos y evitar duplicidades o vacíos en la protección de los menores de edad desaparecidos.</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Finalmente, el Ministerio de Justicia se pronuncia sobre el artículo 15, que se ocupa de la Vigencia del PLE, para señalar que la disposición “se encuentra acord</w:t>
      </w:r>
      <w:r w:rsidRPr="007C57D2">
        <w:rPr>
          <w:rFonts w:ascii="Times New Roman" w:hAnsi="Times New Roman"/>
          <w:sz w:val="28"/>
          <w:szCs w:val="28"/>
        </w:rPr>
        <w:t>e con la aplicación en el tiempo de los diferentes tipos de Leyes.”</w:t>
      </w:r>
    </w:p>
    <w:p w:rsidR="001E19D5" w:rsidRPr="007C57D2" w:rsidRDefault="007C57D2" w:rsidP="008F3DAB">
      <w:pPr>
        <w:spacing w:after="0" w:line="240" w:lineRule="auto"/>
        <w:rPr>
          <w:rFonts w:ascii="Times New Roman" w:hAnsi="Times New Roman"/>
          <w:sz w:val="28"/>
        </w:rPr>
      </w:pPr>
    </w:p>
    <w:p w:rsidR="001E19D5" w:rsidRPr="007C57D2" w:rsidRDefault="007C57D2" w:rsidP="008F3DAB">
      <w:pPr>
        <w:pStyle w:val="Prrafodelista"/>
        <w:numPr>
          <w:ilvl w:val="0"/>
          <w:numId w:val="24"/>
        </w:numPr>
        <w:rPr>
          <w:rFonts w:ascii="Times New Roman" w:hAnsi="Times New Roman"/>
          <w:b/>
          <w:bCs/>
          <w:sz w:val="28"/>
          <w:szCs w:val="28"/>
          <w:lang w:val="es-ES_tradnl"/>
        </w:rPr>
      </w:pPr>
      <w:r w:rsidRPr="007C57D2">
        <w:rPr>
          <w:rFonts w:ascii="Times New Roman" w:hAnsi="Times New Roman"/>
          <w:b/>
          <w:bCs/>
          <w:sz w:val="28"/>
          <w:szCs w:val="28"/>
          <w:lang w:val="es-ES_tradnl"/>
        </w:rPr>
        <w:t xml:space="preserve">Consideraciones de la Corte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Como se mencionó previamente, el artículo 14 establece la reglamentación del PLE a cargo del Gobierno nacional, a través del Ministerio de Tecnología de la I</w:t>
      </w:r>
      <w:r w:rsidRPr="007C57D2">
        <w:rPr>
          <w:rFonts w:ascii="Times New Roman" w:hAnsi="Times New Roman"/>
          <w:sz w:val="28"/>
          <w:szCs w:val="28"/>
        </w:rPr>
        <w:t>nformación y las Comunicaciones en coordinación con la Comisión de Regulación de Comunicaciones y le otorga un término máximo de 6 meses desde su entrada en vigencia. Además, indica que tal reglamentación deberá realizarse en articulación con el Sistema Na</w:t>
      </w:r>
      <w:r w:rsidRPr="007C57D2">
        <w:rPr>
          <w:rFonts w:ascii="Times New Roman" w:hAnsi="Times New Roman"/>
          <w:sz w:val="28"/>
          <w:szCs w:val="28"/>
        </w:rPr>
        <w:t>cional de Alertas Tempranas sobre la Niñez, creado en el artículo 4 de la Ley 2242 de 2022.</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Por su parte, el artículo 15 contempla la vigencia de la ley, al disponer que esta regirá a partir de su promulgación y deroga las disposiciones que le sean contra</w:t>
      </w:r>
      <w:r w:rsidRPr="007C57D2">
        <w:rPr>
          <w:rFonts w:ascii="Times New Roman" w:hAnsi="Times New Roman"/>
          <w:sz w:val="28"/>
          <w:szCs w:val="28"/>
        </w:rPr>
        <w:t>rias.</w:t>
      </w:r>
    </w:p>
    <w:p w:rsidR="001E19D5" w:rsidRPr="007C57D2" w:rsidRDefault="007C57D2" w:rsidP="008F3DAB">
      <w:pPr>
        <w:pStyle w:val="Prrafodelista"/>
        <w:rPr>
          <w:rFonts w:ascii="Times New Roman" w:hAnsi="Times New Roman"/>
          <w:b/>
          <w:bCs/>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i/>
          <w:iCs/>
          <w:sz w:val="28"/>
          <w:szCs w:val="28"/>
          <w:lang w:val="es-ES"/>
        </w:rPr>
        <w:t>Ejercicio de la potestad reglamentaria a cargo del Gobierno nacional.</w:t>
      </w:r>
      <w:r w:rsidRPr="007C57D2">
        <w:rPr>
          <w:rFonts w:ascii="Times New Roman" w:hAnsi="Times New Roman"/>
          <w:b/>
          <w:bCs/>
          <w:sz w:val="28"/>
          <w:szCs w:val="28"/>
          <w:lang w:val="es-ES"/>
        </w:rPr>
        <w:t xml:space="preserve"> </w:t>
      </w:r>
      <w:r w:rsidRPr="007C57D2">
        <w:rPr>
          <w:rFonts w:ascii="Times New Roman" w:hAnsi="Times New Roman"/>
          <w:sz w:val="28"/>
          <w:szCs w:val="28"/>
          <w:lang w:val="es-ES"/>
        </w:rPr>
        <w:t xml:space="preserve">Como ya se ha señalado en esta providencia, la potestad reglamentaria es una competencia propia del Gobierno nacional, en virtud del artículo 189, numeral 11, de la Constitución. </w:t>
      </w:r>
      <w:r w:rsidRPr="007C57D2">
        <w:rPr>
          <w:rFonts w:ascii="Times New Roman" w:hAnsi="Times New Roman"/>
          <w:sz w:val="28"/>
          <w:szCs w:val="28"/>
          <w:lang w:val="es-ES"/>
        </w:rPr>
        <w:t xml:space="preserve">Esto significa que podría ser ejercida incluso si el proyecto no hiciera ninguna mención al respecto. </w:t>
      </w:r>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
        </w:rPr>
      </w:pPr>
      <w:r w:rsidRPr="007C57D2">
        <w:rPr>
          <w:rFonts w:ascii="Times New Roman" w:hAnsi="Times New Roman"/>
          <w:sz w:val="28"/>
          <w:szCs w:val="28"/>
          <w:lang w:val="es-ES"/>
        </w:rPr>
        <w:t>Adicionalmente, como ya se abordó al efectuar el análisis de impacto fiscal, la Alerta Colombia se encuentra integrada al Sistema de Alertas Tempranas s</w:t>
      </w:r>
      <w:r w:rsidRPr="007C57D2">
        <w:rPr>
          <w:rFonts w:ascii="Times New Roman" w:hAnsi="Times New Roman"/>
          <w:sz w:val="28"/>
          <w:szCs w:val="28"/>
          <w:lang w:val="es-ES"/>
        </w:rPr>
        <w:t xml:space="preserve">obre la Niñez Colombiana, creado por el artículo 4 de la Ley 2242 de 2022. Así lo establece el parágrafo 2 del artículo 10 del PLE. En este orden de ideas el artículo 14 solo ratifica el deber de reglamentar la ley en articulación con este sistema general </w:t>
      </w:r>
      <w:r w:rsidRPr="007C57D2">
        <w:rPr>
          <w:rFonts w:ascii="Times New Roman" w:hAnsi="Times New Roman"/>
          <w:sz w:val="28"/>
          <w:szCs w:val="28"/>
          <w:lang w:val="es-ES"/>
        </w:rPr>
        <w:t>para la niñez. Dicha reglamentación, como ya se indicó en precedencia también deberá considerar la Alerta Rosa creada en la Ley 2326 de 2023 con objetivos similares y el Sistema de Alerta Nacional ante la Desaparición de Niños, Niñas y Adolescentes, que ti</w:t>
      </w:r>
      <w:r w:rsidRPr="007C57D2">
        <w:rPr>
          <w:rFonts w:ascii="Times New Roman" w:hAnsi="Times New Roman"/>
          <w:sz w:val="28"/>
          <w:szCs w:val="28"/>
          <w:lang w:val="es-ES"/>
        </w:rPr>
        <w:t xml:space="preserve">ene una finalidad semejante a aquella que persigue la Alerta Colombia. En este ejercicio de reglamentación y articulación el Gobierno nacional deberá determinar el alcance y el nivel de autonomía de la Alerta Colombia, de conformidad con lo previsto en el </w:t>
      </w:r>
      <w:r w:rsidRPr="007C57D2">
        <w:rPr>
          <w:rFonts w:ascii="Times New Roman" w:hAnsi="Times New Roman"/>
          <w:sz w:val="28"/>
          <w:szCs w:val="28"/>
          <w:lang w:val="es-ES"/>
        </w:rPr>
        <w:t>parágrafo 2 del artículo 10 del PLE.</w:t>
      </w:r>
    </w:p>
    <w:p w:rsidR="00EC0835" w:rsidRPr="007C57D2" w:rsidRDefault="007C57D2" w:rsidP="008F3DAB">
      <w:pPr>
        <w:pStyle w:val="Prrafodelista"/>
        <w:rPr>
          <w:rFonts w:ascii="Times New Roman" w:hAnsi="Times New Roman"/>
          <w:sz w:val="28"/>
          <w:szCs w:val="28"/>
          <w:lang w:val="es-ES"/>
        </w:rPr>
      </w:pPr>
    </w:p>
    <w:p w:rsidR="0067428C" w:rsidRPr="007C57D2" w:rsidRDefault="007C57D2" w:rsidP="008F3DAB">
      <w:pPr>
        <w:pStyle w:val="Prrafodelista"/>
        <w:numPr>
          <w:ilvl w:val="0"/>
          <w:numId w:val="3"/>
        </w:numPr>
        <w:ind w:left="0" w:firstLine="0"/>
        <w:jc w:val="both"/>
        <w:rPr>
          <w:rFonts w:ascii="Times New Roman" w:hAnsi="Times New Roman"/>
          <w:sz w:val="28"/>
          <w:szCs w:val="28"/>
        </w:rPr>
      </w:pPr>
      <w:r w:rsidRPr="007C57D2">
        <w:rPr>
          <w:rFonts w:ascii="Times New Roman" w:hAnsi="Times New Roman"/>
          <w:sz w:val="28"/>
          <w:szCs w:val="28"/>
        </w:rPr>
        <w:t xml:space="preserve">La reglamentación de la Alerta Colombia debería articularse de forma clara con otros mecanismos existentes, como los de la Ley 2326 de 2023 y el Decreto 1428 de 2024, para impedir que se generen solapamientos o </w:t>
      </w:r>
      <w:r w:rsidRPr="007C57D2">
        <w:rPr>
          <w:rFonts w:ascii="Times New Roman" w:hAnsi="Times New Roman"/>
          <w:sz w:val="28"/>
          <w:szCs w:val="28"/>
        </w:rPr>
        <w:t>duplicidades que debiliten la debida diligencia del Estado en la investigación de desapariciones de niños, niñas y adolescentes. En esa línea, conviene prever mecanismos de coordinación e interoperabilidad entre las instituciones, de modo que no se repitan</w:t>
      </w:r>
      <w:r w:rsidRPr="007C57D2">
        <w:rPr>
          <w:rFonts w:ascii="Times New Roman" w:hAnsi="Times New Roman"/>
          <w:sz w:val="28"/>
          <w:szCs w:val="28"/>
        </w:rPr>
        <w:t xml:space="preserve"> innecesariamente requisitos, procedimientos y esfuerzos. Asimismo, debería establecerse que, cuando concurran varias herramientas, las autoridades deberán privilegiar siempre el mecanismo más efectivo y ágil para garantizar los derechos de los NNA, reduci</w:t>
      </w:r>
      <w:r w:rsidRPr="007C57D2">
        <w:rPr>
          <w:rFonts w:ascii="Times New Roman" w:hAnsi="Times New Roman"/>
          <w:sz w:val="28"/>
          <w:szCs w:val="28"/>
        </w:rPr>
        <w:t>endo trámites paralelos, contradicciones normativas, demoras y uso ineficiente de recursos.</w:t>
      </w:r>
    </w:p>
    <w:p w:rsidR="001E19D5" w:rsidRPr="007C57D2" w:rsidRDefault="007C57D2" w:rsidP="008F3DAB">
      <w:pPr>
        <w:spacing w:after="0" w:line="240" w:lineRule="auto"/>
        <w:rPr>
          <w:rFonts w:ascii="Times New Roman" w:hAnsi="Times New Roman"/>
          <w:b/>
          <w:bCs/>
          <w:sz w:val="28"/>
          <w:lang w:val="es-ES"/>
        </w:rPr>
      </w:pPr>
    </w:p>
    <w:p w:rsidR="001E19D5" w:rsidRPr="007C57D2" w:rsidRDefault="007C57D2" w:rsidP="008F3DAB">
      <w:pPr>
        <w:numPr>
          <w:ilvl w:val="0"/>
          <w:numId w:val="3"/>
        </w:numPr>
        <w:spacing w:after="0" w:line="240" w:lineRule="auto"/>
        <w:ind w:left="0" w:firstLine="0"/>
        <w:jc w:val="both"/>
        <w:rPr>
          <w:rFonts w:ascii="Times New Roman" w:hAnsi="Times New Roman"/>
          <w:sz w:val="28"/>
          <w:szCs w:val="28"/>
        </w:rPr>
      </w:pPr>
      <w:r w:rsidRPr="007C57D2">
        <w:rPr>
          <w:rFonts w:ascii="Times New Roman" w:hAnsi="Times New Roman"/>
          <w:i/>
          <w:iCs/>
          <w:sz w:val="28"/>
          <w:szCs w:val="28"/>
          <w:lang w:val="es-ES"/>
        </w:rPr>
        <w:t>Vigencia.</w:t>
      </w:r>
      <w:r w:rsidRPr="007C57D2">
        <w:rPr>
          <w:rFonts w:ascii="Times New Roman" w:hAnsi="Times New Roman"/>
          <w:b/>
          <w:bCs/>
          <w:sz w:val="28"/>
          <w:szCs w:val="28"/>
          <w:lang w:val="es-ES"/>
        </w:rPr>
        <w:t xml:space="preserve"> </w:t>
      </w:r>
      <w:r w:rsidRPr="007C57D2">
        <w:rPr>
          <w:rFonts w:ascii="Times New Roman" w:hAnsi="Times New Roman"/>
          <w:sz w:val="28"/>
          <w:szCs w:val="28"/>
          <w:lang w:val="es-ES"/>
        </w:rPr>
        <w:t>En lo que respecta al artículo 15 sobre la vigencia del PLE, la disposición contiene una fórmula genérica de vigencia que consagra el efecto general inme</w:t>
      </w:r>
      <w:r w:rsidRPr="007C57D2">
        <w:rPr>
          <w:rFonts w:ascii="Times New Roman" w:hAnsi="Times New Roman"/>
          <w:sz w:val="28"/>
          <w:szCs w:val="28"/>
          <w:lang w:val="es-ES"/>
        </w:rPr>
        <w:t>diato a partir de la promulgación de la ley. Como lo ha señalado la Corte en varias oportunidades, el Legislador estatutario en ejercicio de sus competencias puede establecer el momento a partir del cual entra en vigor la ley. Esta disposición no ofrece cu</w:t>
      </w:r>
      <w:r w:rsidRPr="007C57D2">
        <w:rPr>
          <w:rFonts w:ascii="Times New Roman" w:hAnsi="Times New Roman"/>
          <w:sz w:val="28"/>
          <w:szCs w:val="28"/>
          <w:lang w:val="es-ES"/>
        </w:rPr>
        <w:t>estionamientos de constitucionalidad y, en consecuencia, será declarada ajustada a la Constitución.</w:t>
      </w:r>
    </w:p>
    <w:p w:rsidR="001E19D5" w:rsidRPr="007C57D2" w:rsidRDefault="007C57D2" w:rsidP="008F3DAB">
      <w:pPr>
        <w:spacing w:after="0" w:line="240" w:lineRule="auto"/>
        <w:jc w:val="both"/>
        <w:rPr>
          <w:rFonts w:ascii="Times New Roman" w:hAnsi="Times New Roman"/>
          <w:b/>
          <w:bCs/>
          <w:sz w:val="28"/>
          <w:szCs w:val="28"/>
          <w:lang w:val="es-ES_tradnl"/>
        </w:rPr>
      </w:pPr>
    </w:p>
    <w:p w:rsidR="001E19D5" w:rsidRPr="007C57D2" w:rsidRDefault="007C57D2" w:rsidP="008F3DAB">
      <w:pPr>
        <w:pStyle w:val="Prrafodelista"/>
        <w:numPr>
          <w:ilvl w:val="0"/>
          <w:numId w:val="24"/>
        </w:numPr>
        <w:rPr>
          <w:rFonts w:ascii="Times New Roman" w:hAnsi="Times New Roman"/>
          <w:b/>
          <w:bCs/>
          <w:sz w:val="28"/>
          <w:szCs w:val="28"/>
          <w:lang w:val="es-ES_tradnl"/>
        </w:rPr>
      </w:pPr>
      <w:r w:rsidRPr="007C57D2">
        <w:rPr>
          <w:rFonts w:ascii="Times New Roman" w:hAnsi="Times New Roman"/>
          <w:b/>
          <w:bCs/>
          <w:sz w:val="28"/>
          <w:szCs w:val="28"/>
          <w:lang w:val="es-ES_tradnl"/>
        </w:rPr>
        <w:t>Decisión sobre la constitucionalidad de los artículos 14 y 15 del PLE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Prrafodelista"/>
        <w:numPr>
          <w:ilvl w:val="0"/>
          <w:numId w:val="3"/>
        </w:numPr>
        <w:ind w:left="0" w:firstLine="0"/>
        <w:jc w:val="both"/>
        <w:rPr>
          <w:rFonts w:ascii="Times New Roman" w:hAnsi="Times New Roman"/>
          <w:sz w:val="28"/>
          <w:szCs w:val="28"/>
          <w:lang w:val="es-ES_tradnl"/>
        </w:rPr>
      </w:pPr>
      <w:r w:rsidRPr="007C57D2">
        <w:rPr>
          <w:rFonts w:ascii="Times New Roman" w:hAnsi="Times New Roman"/>
          <w:sz w:val="28"/>
          <w:szCs w:val="28"/>
          <w:lang w:val="es-ES_tradnl"/>
        </w:rPr>
        <w:t>En los términos anteriores, se procederá con la declaratoria de constitucionalidad d</w:t>
      </w:r>
      <w:r w:rsidRPr="007C57D2">
        <w:rPr>
          <w:rFonts w:ascii="Times New Roman" w:hAnsi="Times New Roman"/>
          <w:sz w:val="28"/>
          <w:szCs w:val="28"/>
          <w:lang w:val="es-ES_tradnl"/>
        </w:rPr>
        <w:t>e los artículos 14 y 15 sobre la reglamentación y la vigencia del PLE, respectivamente.</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pStyle w:val="Ttulo1"/>
        <w:spacing w:before="0" w:line="240" w:lineRule="auto"/>
        <w:rPr>
          <w:rFonts w:ascii="Times New Roman" w:hAnsi="Times New Roman"/>
          <w:b/>
          <w:bCs/>
          <w:color w:val="000000"/>
          <w:sz w:val="28"/>
          <w:szCs w:val="28"/>
        </w:rPr>
      </w:pPr>
      <w:bookmarkStart w:id="60" w:name="_Toc222728043"/>
      <w:r w:rsidRPr="007C57D2">
        <w:rPr>
          <w:rFonts w:ascii="Times New Roman" w:hAnsi="Times New Roman"/>
          <w:b/>
          <w:bCs/>
          <w:color w:val="000000"/>
          <w:sz w:val="28"/>
          <w:szCs w:val="28"/>
        </w:rPr>
        <w:t>III. DECISIÓN</w:t>
      </w:r>
      <w:bookmarkEnd w:id="60"/>
    </w:p>
    <w:p w:rsidR="001E19D5" w:rsidRPr="007C57D2" w:rsidRDefault="007C57D2" w:rsidP="008F3DAB">
      <w:pPr>
        <w:spacing w:after="0" w:line="240" w:lineRule="auto"/>
        <w:jc w:val="both"/>
        <w:rPr>
          <w:rFonts w:ascii="Times New Roman" w:hAnsi="Times New Roman"/>
          <w:sz w:val="28"/>
          <w:szCs w:val="28"/>
          <w:lang w:val="es-ES"/>
        </w:rPr>
      </w:pPr>
    </w:p>
    <w:p w:rsidR="001E19D5"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lang w:val="es-ES"/>
        </w:rPr>
        <w:t xml:space="preserve">En mérito de lo expuesto, la Sala Plena de la Corte Constitucional, administrando justicia en nombre del Pueblo y por mandato de la Constitución </w:t>
      </w:r>
      <w:r w:rsidRPr="007C57D2">
        <w:rPr>
          <w:rFonts w:ascii="Times New Roman" w:hAnsi="Times New Roman"/>
          <w:sz w:val="28"/>
          <w:szCs w:val="28"/>
          <w:lang w:val="es-ES"/>
        </w:rPr>
        <w:t>Política,</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jc w:val="center"/>
        <w:rPr>
          <w:rFonts w:ascii="Times New Roman" w:hAnsi="Times New Roman"/>
          <w:sz w:val="28"/>
          <w:szCs w:val="28"/>
        </w:rPr>
      </w:pPr>
      <w:r w:rsidRPr="007C57D2">
        <w:rPr>
          <w:rFonts w:ascii="Times New Roman" w:hAnsi="Times New Roman"/>
          <w:b/>
          <w:bCs/>
          <w:sz w:val="28"/>
          <w:szCs w:val="28"/>
          <w:lang w:val="es-ES"/>
        </w:rPr>
        <w:t>RESUELVE</w:t>
      </w:r>
    </w:p>
    <w:p w:rsidR="001E19D5" w:rsidRPr="007C57D2" w:rsidRDefault="007C57D2" w:rsidP="008F3DAB">
      <w:pPr>
        <w:spacing w:after="0" w:line="240" w:lineRule="auto"/>
        <w:jc w:val="both"/>
        <w:rPr>
          <w:rFonts w:ascii="Times New Roman" w:hAnsi="Times New Roman"/>
          <w:sz w:val="28"/>
          <w:szCs w:val="28"/>
        </w:rPr>
      </w:pPr>
    </w:p>
    <w:p w:rsidR="001E19D5"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b/>
          <w:bCs/>
          <w:sz w:val="28"/>
          <w:szCs w:val="28"/>
          <w:lang w:val="es-ES"/>
        </w:rPr>
        <w:t>Primero.</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DECLARAR</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CONSTITUCIONAL</w:t>
      </w:r>
      <w:r w:rsidRPr="007C57D2">
        <w:rPr>
          <w:rFonts w:ascii="Times New Roman" w:hAnsi="Times New Roman"/>
          <w:sz w:val="28"/>
          <w:szCs w:val="28"/>
          <w:lang w:val="es-ES"/>
        </w:rPr>
        <w:t>, en cuanto al procedimiento de formación y trámite legislativo, el</w:t>
      </w:r>
      <w:r w:rsidRPr="007C57D2">
        <w:rPr>
          <w:rFonts w:ascii="Times New Roman" w:hAnsi="Times New Roman"/>
          <w:sz w:val="28"/>
          <w:szCs w:val="28"/>
        </w:rPr>
        <w:t xml:space="preserve"> proyecto 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[p]or medio de la cual se crea y se reglamenta [la] Alerta</w:t>
      </w:r>
      <w:r w:rsidRPr="007C57D2">
        <w:rPr>
          <w:rFonts w:ascii="Times New Roman" w:hAnsi="Times New Roman"/>
          <w:sz w:val="28"/>
          <w:szCs w:val="28"/>
        </w:rPr>
        <w:t xml:space="preserve"> Colombia Ley Sara Sofía y de dictan otras disposiciones”</w:t>
      </w:r>
      <w:r w:rsidRPr="007C57D2">
        <w:rPr>
          <w:rFonts w:ascii="Times New Roman" w:hAnsi="Times New Roman"/>
          <w:sz w:val="28"/>
          <w:szCs w:val="28"/>
          <w:lang w:val="es-ES"/>
        </w:rPr>
        <w:t>.</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b/>
          <w:bCs/>
          <w:sz w:val="28"/>
          <w:szCs w:val="28"/>
          <w:lang w:val="es-ES"/>
        </w:rPr>
        <w:t>Segundo.</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DECLAR</w:t>
      </w:r>
      <w:r w:rsidRPr="007C57D2">
        <w:rPr>
          <w:rFonts w:ascii="Times New Roman" w:hAnsi="Times New Roman"/>
          <w:b/>
          <w:bCs/>
          <w:sz w:val="28"/>
          <w:szCs w:val="28"/>
          <w:lang w:val="es-ES"/>
        </w:rPr>
        <w:t>A</w:t>
      </w:r>
      <w:r w:rsidRPr="007C57D2">
        <w:rPr>
          <w:rFonts w:ascii="Times New Roman" w:hAnsi="Times New Roman"/>
          <w:b/>
          <w:bCs/>
          <w:sz w:val="28"/>
          <w:szCs w:val="28"/>
          <w:lang w:val="es-ES"/>
        </w:rPr>
        <w:t>R CONSTITUCIONALES</w:t>
      </w:r>
      <w:r w:rsidRPr="007C57D2">
        <w:rPr>
          <w:rFonts w:ascii="Times New Roman" w:hAnsi="Times New Roman"/>
          <w:sz w:val="28"/>
          <w:szCs w:val="28"/>
          <w:lang w:val="es-ES"/>
        </w:rPr>
        <w:t xml:space="preserve"> los artículos 1, 7, 10, 11, 12, 13, 14 y 15 del</w:t>
      </w:r>
      <w:r w:rsidRPr="007C57D2">
        <w:rPr>
          <w:rFonts w:ascii="Times New Roman" w:hAnsi="Times New Roman"/>
          <w:sz w:val="28"/>
          <w:szCs w:val="28"/>
        </w:rPr>
        <w:t xml:space="preserve"> proyecto 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 xml:space="preserve">[p]or medio de la cual se crea y se </w:t>
      </w:r>
      <w:r w:rsidRPr="007C57D2">
        <w:rPr>
          <w:rFonts w:ascii="Times New Roman" w:hAnsi="Times New Roman"/>
          <w:sz w:val="28"/>
          <w:szCs w:val="28"/>
        </w:rPr>
        <w:t>reglamenta [la] Alerta Colombia Ley Sara Sofía y de dictan otras disposiciones”</w:t>
      </w:r>
      <w:r w:rsidRPr="007C57D2">
        <w:rPr>
          <w:rFonts w:ascii="Times New Roman" w:hAnsi="Times New Roman"/>
          <w:sz w:val="28"/>
          <w:szCs w:val="28"/>
          <w:lang w:val="es-ES"/>
        </w:rPr>
        <w:t xml:space="preserve">. </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b/>
          <w:bCs/>
          <w:sz w:val="28"/>
          <w:szCs w:val="28"/>
          <w:lang w:val="es-ES"/>
        </w:rPr>
        <w:t>Tercero.</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DECLARAR CONSTITUCIONAL</w:t>
      </w:r>
      <w:r w:rsidRPr="007C57D2">
        <w:rPr>
          <w:rFonts w:ascii="Times New Roman" w:hAnsi="Times New Roman"/>
          <w:sz w:val="28"/>
          <w:szCs w:val="28"/>
          <w:lang w:val="es-ES"/>
        </w:rPr>
        <w:t xml:space="preserve"> los artículos 2 y 9 del </w:t>
      </w:r>
      <w:r w:rsidRPr="007C57D2">
        <w:rPr>
          <w:rFonts w:ascii="Times New Roman" w:hAnsi="Times New Roman"/>
          <w:sz w:val="28"/>
          <w:szCs w:val="28"/>
        </w:rPr>
        <w:t xml:space="preserve"> proyecto 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 xml:space="preserve">[p]or medio de la cual se crea y se </w:t>
      </w:r>
      <w:r w:rsidRPr="007C57D2">
        <w:rPr>
          <w:rFonts w:ascii="Times New Roman" w:hAnsi="Times New Roman"/>
          <w:sz w:val="28"/>
          <w:szCs w:val="28"/>
        </w:rPr>
        <w:t>reglamenta [la] Alerta Colombia Ley Sara Sofía y de dictan otras disposiciones”</w:t>
      </w:r>
      <w:r w:rsidRPr="007C57D2">
        <w:rPr>
          <w:rFonts w:ascii="Times New Roman" w:hAnsi="Times New Roman"/>
          <w:sz w:val="28"/>
          <w:szCs w:val="28"/>
          <w:lang w:val="es-ES"/>
        </w:rPr>
        <w:t xml:space="preserve">, salvo las siguientes dos expresiones: (i) “entre los 0 y 12 años” contenida en el literal a) del artículo 2, que se </w:t>
      </w:r>
      <w:r w:rsidRPr="007C57D2">
        <w:rPr>
          <w:rFonts w:ascii="Times New Roman" w:hAnsi="Times New Roman"/>
          <w:b/>
          <w:bCs/>
          <w:sz w:val="28"/>
          <w:szCs w:val="28"/>
          <w:lang w:val="es-ES"/>
        </w:rPr>
        <w:t>DECLARA INCONSTITUCIONAL</w:t>
      </w:r>
      <w:r w:rsidRPr="007C57D2">
        <w:rPr>
          <w:rFonts w:ascii="Times New Roman" w:hAnsi="Times New Roman"/>
          <w:sz w:val="28"/>
          <w:szCs w:val="28"/>
          <w:lang w:val="es-ES"/>
        </w:rPr>
        <w:t xml:space="preserve"> y se sustituye por la expresión “m</w:t>
      </w:r>
      <w:r w:rsidRPr="007C57D2">
        <w:rPr>
          <w:rFonts w:ascii="Times New Roman" w:hAnsi="Times New Roman"/>
          <w:sz w:val="28"/>
          <w:szCs w:val="28"/>
          <w:lang w:val="es-ES"/>
        </w:rPr>
        <w:t xml:space="preserve">enores de 18 años”, y (ii) “entre 0 y 12 años” contenida en el literal a) del artículo 9, que se </w:t>
      </w:r>
      <w:r w:rsidRPr="007C57D2">
        <w:rPr>
          <w:rFonts w:ascii="Times New Roman" w:hAnsi="Times New Roman"/>
          <w:b/>
          <w:bCs/>
          <w:sz w:val="28"/>
          <w:szCs w:val="28"/>
          <w:lang w:val="es-ES"/>
        </w:rPr>
        <w:t>DECLARA INCONSTITUCIONAL</w:t>
      </w:r>
      <w:r w:rsidRPr="007C57D2">
        <w:rPr>
          <w:rFonts w:ascii="Times New Roman" w:hAnsi="Times New Roman"/>
          <w:sz w:val="28"/>
          <w:szCs w:val="28"/>
          <w:lang w:val="es-ES"/>
        </w:rPr>
        <w:t xml:space="preserve"> y se sustituye por la expresión “menos de 18 años”, conforme a la parte motiva de esta sentencia. </w:t>
      </w:r>
    </w:p>
    <w:p w:rsidR="001E19D5" w:rsidRPr="007C57D2" w:rsidRDefault="007C57D2" w:rsidP="008F3DAB">
      <w:pPr>
        <w:spacing w:after="0" w:line="240" w:lineRule="auto"/>
        <w:jc w:val="both"/>
        <w:rPr>
          <w:rFonts w:ascii="Times New Roman" w:hAnsi="Times New Roman"/>
          <w:sz w:val="28"/>
          <w:szCs w:val="28"/>
          <w:lang w:val="es-ES_tradnl"/>
        </w:rPr>
      </w:pPr>
    </w:p>
    <w:p w:rsidR="006E16B1"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b/>
          <w:bCs/>
          <w:sz w:val="28"/>
          <w:szCs w:val="28"/>
          <w:lang w:val="es-ES"/>
        </w:rPr>
        <w:t>Cuarto.</w:t>
      </w:r>
      <w:r w:rsidRPr="007C57D2">
        <w:rPr>
          <w:rFonts w:ascii="Times New Roman" w:hAnsi="Times New Roman"/>
          <w:sz w:val="28"/>
          <w:szCs w:val="28"/>
          <w:lang w:val="es-ES"/>
        </w:rPr>
        <w:t xml:space="preserve"> </w:t>
      </w:r>
      <w:r w:rsidRPr="007C57D2">
        <w:rPr>
          <w:rFonts w:ascii="Times New Roman" w:hAnsi="Times New Roman"/>
          <w:b/>
          <w:bCs/>
          <w:sz w:val="28"/>
          <w:szCs w:val="28"/>
        </w:rPr>
        <w:t>DECLARAR CONSTITUCIONAL</w:t>
      </w:r>
      <w:r w:rsidRPr="007C57D2">
        <w:rPr>
          <w:rFonts w:ascii="Times New Roman" w:hAnsi="Times New Roman"/>
          <w:sz w:val="28"/>
          <w:szCs w:val="28"/>
        </w:rPr>
        <w:t xml:space="preserve"> el</w:t>
      </w:r>
      <w:r w:rsidRPr="007C57D2">
        <w:rPr>
          <w:rFonts w:ascii="Times New Roman" w:hAnsi="Times New Roman"/>
          <w:sz w:val="28"/>
          <w:szCs w:val="28"/>
        </w:rPr>
        <w:t xml:space="preserve"> artículo 3 del proyecto de ley</w:t>
      </w:r>
    </w:p>
    <w:p w:rsidR="006E16B1"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rPr>
        <w:t>estatutaria número 266 de 2023 Cámara - 285 de 2024 Senado, “[p]or medio</w:t>
      </w:r>
      <w:r w:rsidRPr="007C57D2">
        <w:rPr>
          <w:rFonts w:ascii="Times New Roman" w:hAnsi="Times New Roman"/>
          <w:sz w:val="28"/>
          <w:szCs w:val="28"/>
        </w:rPr>
        <w:t xml:space="preserve"> </w:t>
      </w:r>
      <w:r w:rsidRPr="007C57D2">
        <w:rPr>
          <w:rFonts w:ascii="Times New Roman" w:hAnsi="Times New Roman"/>
          <w:sz w:val="28"/>
          <w:szCs w:val="28"/>
        </w:rPr>
        <w:t>de la cual se crea y se reglamenta [la] Alerta Colombia Ley Sara Sofía y se</w:t>
      </w:r>
      <w:r w:rsidRPr="007C57D2">
        <w:rPr>
          <w:rFonts w:ascii="Times New Roman" w:hAnsi="Times New Roman"/>
          <w:sz w:val="28"/>
          <w:szCs w:val="28"/>
        </w:rPr>
        <w:t xml:space="preserve"> </w:t>
      </w:r>
      <w:r w:rsidRPr="007C57D2">
        <w:rPr>
          <w:rFonts w:ascii="Times New Roman" w:hAnsi="Times New Roman"/>
          <w:sz w:val="28"/>
          <w:szCs w:val="28"/>
        </w:rPr>
        <w:t>dictan otras disposiciones”, en el entendido de que cuando la autorización</w:t>
      </w:r>
      <w:r w:rsidRPr="007C57D2">
        <w:rPr>
          <w:rFonts w:ascii="Times New Roman" w:hAnsi="Times New Roman"/>
          <w:sz w:val="28"/>
          <w:szCs w:val="28"/>
        </w:rPr>
        <w:t xml:space="preserve"> </w:t>
      </w:r>
      <w:r w:rsidRPr="007C57D2">
        <w:rPr>
          <w:rFonts w:ascii="Times New Roman" w:hAnsi="Times New Roman"/>
          <w:sz w:val="28"/>
          <w:szCs w:val="28"/>
        </w:rPr>
        <w:t>sea diligenciada y suscrita por los “familiares” del menor extraviado, es</w:t>
      </w:r>
      <w:r w:rsidRPr="007C57D2">
        <w:rPr>
          <w:rFonts w:ascii="Times New Roman" w:hAnsi="Times New Roman"/>
          <w:sz w:val="28"/>
          <w:szCs w:val="28"/>
        </w:rPr>
        <w:t xml:space="preserve"> </w:t>
      </w:r>
      <w:r w:rsidRPr="007C57D2">
        <w:rPr>
          <w:rFonts w:ascii="Times New Roman" w:hAnsi="Times New Roman"/>
          <w:sz w:val="28"/>
          <w:szCs w:val="28"/>
        </w:rPr>
        <w:t>necesario que la persona que autorice el tratamiento de datos personales</w:t>
      </w:r>
      <w:r w:rsidRPr="007C57D2">
        <w:rPr>
          <w:rFonts w:ascii="Times New Roman" w:hAnsi="Times New Roman"/>
          <w:sz w:val="28"/>
          <w:szCs w:val="28"/>
        </w:rPr>
        <w:t xml:space="preserve"> </w:t>
      </w:r>
      <w:r w:rsidRPr="007C57D2">
        <w:rPr>
          <w:rFonts w:ascii="Times New Roman" w:hAnsi="Times New Roman"/>
          <w:sz w:val="28"/>
          <w:szCs w:val="28"/>
        </w:rPr>
        <w:t>acredite esa calidad.</w:t>
      </w:r>
    </w:p>
    <w:p w:rsidR="006E16B1" w:rsidRPr="007C57D2" w:rsidRDefault="007C57D2" w:rsidP="008F3DAB">
      <w:pPr>
        <w:spacing w:after="0" w:line="240" w:lineRule="auto"/>
        <w:jc w:val="both"/>
        <w:rPr>
          <w:rFonts w:ascii="Times New Roman" w:hAnsi="Times New Roman"/>
          <w:sz w:val="28"/>
          <w:szCs w:val="28"/>
          <w:lang w:val="es-ES"/>
        </w:rPr>
      </w:pPr>
    </w:p>
    <w:p w:rsidR="006E16B1"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b/>
          <w:bCs/>
          <w:sz w:val="28"/>
          <w:szCs w:val="28"/>
          <w:lang w:val="es-ES"/>
        </w:rPr>
        <w:t xml:space="preserve">Quinto. </w:t>
      </w:r>
      <w:r w:rsidRPr="007C57D2">
        <w:rPr>
          <w:rFonts w:ascii="Times New Roman" w:hAnsi="Times New Roman"/>
          <w:b/>
          <w:bCs/>
          <w:sz w:val="28"/>
          <w:szCs w:val="28"/>
          <w:lang w:val="es-ES"/>
        </w:rPr>
        <w:t>DECLARAR CONSTITUCIONAL</w:t>
      </w:r>
      <w:r w:rsidRPr="007C57D2">
        <w:rPr>
          <w:rFonts w:ascii="Times New Roman" w:hAnsi="Times New Roman"/>
          <w:sz w:val="28"/>
          <w:szCs w:val="28"/>
          <w:lang w:val="es-ES"/>
        </w:rPr>
        <w:t xml:space="preserve"> el artículo 4 del </w:t>
      </w:r>
      <w:r w:rsidRPr="007C57D2">
        <w:rPr>
          <w:rFonts w:ascii="Times New Roman" w:hAnsi="Times New Roman"/>
          <w:sz w:val="28"/>
          <w:szCs w:val="28"/>
        </w:rPr>
        <w:t xml:space="preserve"> proyecto 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[p]or medio de la cual se crea y se reglamenta [la] Alerta Colombia Ley Sara Sofía y de dictan otras disposiciones”</w:t>
      </w:r>
      <w:r w:rsidRPr="007C57D2">
        <w:rPr>
          <w:rFonts w:ascii="Times New Roman" w:hAnsi="Times New Roman"/>
          <w:sz w:val="28"/>
          <w:szCs w:val="28"/>
          <w:lang w:val="es-ES"/>
        </w:rPr>
        <w:t xml:space="preserve">, </w:t>
      </w:r>
      <w:r w:rsidRPr="007C57D2">
        <w:rPr>
          <w:rFonts w:ascii="Times New Roman" w:hAnsi="Times New Roman"/>
          <w:sz w:val="28"/>
          <w:szCs w:val="28"/>
        </w:rPr>
        <w:t>bajo los siguientes entendidos: (i) los datos biométricos y p</w:t>
      </w:r>
      <w:r w:rsidRPr="007C57D2">
        <w:rPr>
          <w:rFonts w:ascii="Times New Roman" w:hAnsi="Times New Roman"/>
          <w:sz w:val="28"/>
          <w:szCs w:val="28"/>
        </w:rPr>
        <w:t>ersonales mínimos requeridos para la activación de la Alerta Colombia deberán valorarse en función del riesgo, las circunstancias particulares y los requerimientos tecnológicos, y (ii) cualquier información exigida por la autoridad competente que sea adici</w:t>
      </w:r>
      <w:r w:rsidRPr="007C57D2">
        <w:rPr>
          <w:rFonts w:ascii="Times New Roman" w:hAnsi="Times New Roman"/>
          <w:sz w:val="28"/>
          <w:szCs w:val="28"/>
        </w:rPr>
        <w:t>onal a los “mínimos requeridos que se deben utilizar en la Alerta Colombia” deberá ser justificada como estrictamente necesaria para la búsqueda, localización y recuperación del menor extraviado.</w:t>
      </w:r>
    </w:p>
    <w:p w:rsidR="001E19D5" w:rsidRPr="007C57D2" w:rsidRDefault="007C57D2" w:rsidP="008F3DAB">
      <w:pPr>
        <w:spacing w:after="0" w:line="240" w:lineRule="auto"/>
        <w:jc w:val="both"/>
        <w:rPr>
          <w:rFonts w:ascii="Times New Roman" w:hAnsi="Times New Roman"/>
          <w:sz w:val="28"/>
          <w:szCs w:val="28"/>
          <w:lang w:val="es-ES_tradnl"/>
        </w:rPr>
      </w:pPr>
    </w:p>
    <w:p w:rsidR="001E19D5" w:rsidRPr="007C57D2" w:rsidRDefault="007C57D2" w:rsidP="008F3DAB">
      <w:pPr>
        <w:spacing w:after="0" w:line="240" w:lineRule="auto"/>
        <w:jc w:val="both"/>
        <w:rPr>
          <w:rFonts w:ascii="Times New Roman" w:hAnsi="Times New Roman"/>
          <w:b/>
          <w:bCs/>
          <w:sz w:val="28"/>
          <w:szCs w:val="28"/>
          <w:lang w:val="es-ES"/>
        </w:rPr>
      </w:pPr>
      <w:r w:rsidRPr="007C57D2">
        <w:rPr>
          <w:rFonts w:ascii="Times New Roman" w:hAnsi="Times New Roman"/>
          <w:b/>
          <w:bCs/>
          <w:sz w:val="28"/>
          <w:szCs w:val="28"/>
          <w:lang w:val="es-ES"/>
        </w:rPr>
        <w:t>Sexto</w:t>
      </w:r>
      <w:r w:rsidRPr="007C57D2">
        <w:rPr>
          <w:rFonts w:ascii="Times New Roman" w:hAnsi="Times New Roman"/>
          <w:b/>
          <w:bCs/>
          <w:sz w:val="28"/>
          <w:szCs w:val="28"/>
          <w:lang w:val="es-ES"/>
        </w:rPr>
        <w:t>.</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DECLARAR CONSTITUCIONAL</w:t>
      </w:r>
      <w:r w:rsidRPr="007C57D2">
        <w:rPr>
          <w:rFonts w:ascii="Times New Roman" w:hAnsi="Times New Roman"/>
          <w:sz w:val="28"/>
          <w:szCs w:val="28"/>
          <w:lang w:val="es-ES"/>
        </w:rPr>
        <w:t xml:space="preserve"> el artículo 5 del </w:t>
      </w:r>
      <w:r w:rsidRPr="007C57D2">
        <w:rPr>
          <w:rFonts w:ascii="Times New Roman" w:hAnsi="Times New Roman"/>
          <w:sz w:val="28"/>
          <w:szCs w:val="28"/>
        </w:rPr>
        <w:t xml:space="preserve"> proyecto </w:t>
      </w:r>
      <w:r w:rsidRPr="007C57D2">
        <w:rPr>
          <w:rFonts w:ascii="Times New Roman" w:hAnsi="Times New Roman"/>
          <w:sz w:val="28"/>
          <w:szCs w:val="28"/>
        </w:rPr>
        <w:t xml:space="preserve">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[p]or medio de la cual se crea y se reglamenta [la] Alerta Colombia Ley Sara Sofía y de dictan otras disposiciones”</w:t>
      </w:r>
      <w:r w:rsidRPr="007C57D2">
        <w:rPr>
          <w:rFonts w:ascii="Times New Roman" w:hAnsi="Times New Roman"/>
          <w:sz w:val="28"/>
          <w:szCs w:val="28"/>
          <w:lang w:val="es-ES"/>
        </w:rPr>
        <w:t xml:space="preserve">, salvo la expresión “Transcurridas (24) horas de realizar el reporte en </w:t>
      </w:r>
      <w:r w:rsidRPr="007C57D2">
        <w:rPr>
          <w:rFonts w:ascii="Times New Roman" w:hAnsi="Times New Roman"/>
          <w:sz w:val="28"/>
          <w:szCs w:val="28"/>
          <w:lang w:val="es-ES"/>
        </w:rPr>
        <w:t xml:space="preserve">la plataforma virtual o de manera personal y de no encontrarse el niño o niña extraviado” contenida en el último inciso del mencionado artículo, que se </w:t>
      </w:r>
      <w:r w:rsidRPr="007C57D2">
        <w:rPr>
          <w:rFonts w:ascii="Times New Roman" w:hAnsi="Times New Roman"/>
          <w:b/>
          <w:bCs/>
          <w:sz w:val="28"/>
          <w:szCs w:val="28"/>
          <w:lang w:val="es-ES"/>
        </w:rPr>
        <w:t xml:space="preserve">DECLARA INCONSTITUCIONAL </w:t>
      </w:r>
      <w:r w:rsidRPr="007C57D2">
        <w:rPr>
          <w:rFonts w:ascii="Times New Roman" w:hAnsi="Times New Roman"/>
          <w:sz w:val="28"/>
          <w:szCs w:val="28"/>
          <w:lang w:val="es-ES"/>
        </w:rPr>
        <w:t>y se sustituye por la expresión “Inmediatamente después”.</w:t>
      </w:r>
    </w:p>
    <w:p w:rsidR="001E19D5" w:rsidRPr="007C57D2" w:rsidRDefault="007C57D2" w:rsidP="008F3DAB">
      <w:pPr>
        <w:spacing w:after="0" w:line="240" w:lineRule="auto"/>
        <w:jc w:val="both"/>
        <w:rPr>
          <w:rFonts w:ascii="Times New Roman" w:hAnsi="Times New Roman"/>
          <w:sz w:val="28"/>
          <w:szCs w:val="28"/>
          <w:lang w:val="es-ES_tradnl"/>
        </w:rPr>
      </w:pPr>
    </w:p>
    <w:p w:rsidR="004E1B7E"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b/>
          <w:bCs/>
          <w:sz w:val="28"/>
          <w:szCs w:val="28"/>
          <w:lang w:val="es-ES"/>
        </w:rPr>
        <w:t>S</w:t>
      </w:r>
      <w:r w:rsidRPr="007C57D2">
        <w:rPr>
          <w:rFonts w:ascii="Times New Roman" w:hAnsi="Times New Roman"/>
          <w:b/>
          <w:bCs/>
          <w:sz w:val="28"/>
          <w:szCs w:val="28"/>
          <w:lang w:val="es-ES"/>
        </w:rPr>
        <w:t>éptimo</w:t>
      </w:r>
      <w:r w:rsidRPr="007C57D2">
        <w:rPr>
          <w:rFonts w:ascii="Times New Roman" w:hAnsi="Times New Roman"/>
          <w:b/>
          <w:bCs/>
          <w:sz w:val="28"/>
          <w:szCs w:val="28"/>
          <w:lang w:val="es-ES"/>
        </w:rPr>
        <w:t>.</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 xml:space="preserve">DECLARAR </w:t>
      </w:r>
      <w:r w:rsidRPr="007C57D2">
        <w:rPr>
          <w:rFonts w:ascii="Times New Roman" w:hAnsi="Times New Roman"/>
          <w:b/>
          <w:bCs/>
          <w:sz w:val="28"/>
          <w:szCs w:val="28"/>
          <w:lang w:val="es-ES"/>
        </w:rPr>
        <w:t>CONSTITUCIONAL</w:t>
      </w:r>
      <w:r w:rsidRPr="007C57D2">
        <w:rPr>
          <w:rFonts w:ascii="Times New Roman" w:hAnsi="Times New Roman"/>
          <w:sz w:val="28"/>
          <w:szCs w:val="28"/>
          <w:lang w:val="es-ES"/>
        </w:rPr>
        <w:t xml:space="preserve"> el artículo 6 del proyecto de ley</w:t>
      </w:r>
    </w:p>
    <w:p w:rsidR="006E16B1"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estatutaria número 266 de 2023 Cámara - 285 de 2024 Senado, “[p]or medio de la cual se crea y se reglamenta [la] Alerta Colombia Ley Sara Sofía y se dictan otras disposiciones”, bajo los siguientes entendido</w:t>
      </w:r>
      <w:r w:rsidRPr="007C57D2">
        <w:rPr>
          <w:rFonts w:ascii="Times New Roman" w:hAnsi="Times New Roman"/>
          <w:sz w:val="28"/>
          <w:szCs w:val="28"/>
          <w:lang w:val="es-ES"/>
        </w:rPr>
        <w:t>s: (i) la expresión “a la persona que lo secuestró” del literal h), se refiere a la persona que presuntamente extravió al menor o fue la última persona vista con este; (ii) la eventual publicación de la imagen de la última persona vista con el menor extrav</w:t>
      </w:r>
      <w:r w:rsidRPr="007C57D2">
        <w:rPr>
          <w:rFonts w:ascii="Times New Roman" w:hAnsi="Times New Roman"/>
          <w:sz w:val="28"/>
          <w:szCs w:val="28"/>
          <w:lang w:val="es-ES"/>
        </w:rPr>
        <w:t>iado a que se refiere el literal h) deberá ser evaluada caso por caso por las autoridades competentes en cumplimiento del principio de proporcionalidad; y (iii) la determinación de la periodicidad y la duración de la alerta inicial señalada en el parágrafo</w:t>
      </w:r>
      <w:r w:rsidRPr="007C57D2">
        <w:rPr>
          <w:rFonts w:ascii="Times New Roman" w:hAnsi="Times New Roman"/>
          <w:sz w:val="28"/>
          <w:szCs w:val="28"/>
          <w:lang w:val="es-ES"/>
        </w:rPr>
        <w:t xml:space="preserve"> 2 deberán ser las estrictamente necesarias para la búsqueda, localización y pronta recuperación del menor extraviado, según las circunstancias particulares del caso. En eventos excepcionales y debidamente justificados por razones de seguridad, es posible </w:t>
      </w:r>
      <w:r w:rsidRPr="007C57D2">
        <w:rPr>
          <w:rFonts w:ascii="Times New Roman" w:hAnsi="Times New Roman"/>
          <w:sz w:val="28"/>
          <w:szCs w:val="28"/>
          <w:lang w:val="es-ES"/>
        </w:rPr>
        <w:t>que no se active la alerta o que se utilice bajo condiciones especiales.</w:t>
      </w:r>
    </w:p>
    <w:p w:rsidR="006E16B1" w:rsidRPr="007C57D2" w:rsidRDefault="007C57D2" w:rsidP="008F3DAB">
      <w:pPr>
        <w:spacing w:after="0" w:line="240" w:lineRule="auto"/>
        <w:jc w:val="both"/>
        <w:rPr>
          <w:rFonts w:ascii="Times New Roman" w:hAnsi="Times New Roman"/>
          <w:sz w:val="28"/>
          <w:szCs w:val="28"/>
          <w:lang w:val="es-ES"/>
        </w:rPr>
      </w:pPr>
    </w:p>
    <w:p w:rsidR="004E1B7E"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b/>
          <w:bCs/>
          <w:sz w:val="28"/>
          <w:szCs w:val="28"/>
          <w:lang w:val="es-ES"/>
        </w:rPr>
        <w:t xml:space="preserve">Octavo. </w:t>
      </w:r>
      <w:r w:rsidRPr="007C57D2">
        <w:rPr>
          <w:rFonts w:ascii="Times New Roman" w:hAnsi="Times New Roman"/>
          <w:b/>
          <w:bCs/>
          <w:sz w:val="28"/>
          <w:szCs w:val="28"/>
          <w:lang w:val="es-ES"/>
        </w:rPr>
        <w:t>DECLARAR CONSTITUCIONAL</w:t>
      </w:r>
      <w:r w:rsidRPr="007C57D2">
        <w:rPr>
          <w:rFonts w:ascii="Times New Roman" w:hAnsi="Times New Roman"/>
          <w:sz w:val="28"/>
          <w:szCs w:val="28"/>
          <w:lang w:val="es-ES"/>
        </w:rPr>
        <w:t xml:space="preserve"> el artículo 8 del</w:t>
      </w:r>
      <w:r w:rsidRPr="007C57D2">
        <w:rPr>
          <w:rFonts w:ascii="Times New Roman" w:hAnsi="Times New Roman"/>
          <w:sz w:val="28"/>
          <w:szCs w:val="28"/>
        </w:rPr>
        <w:t xml:space="preserve"> proyecto 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[p]or medio de la cual se crea y se reglamenta [la] Ale</w:t>
      </w:r>
      <w:r w:rsidRPr="007C57D2">
        <w:rPr>
          <w:rFonts w:ascii="Times New Roman" w:hAnsi="Times New Roman"/>
          <w:sz w:val="28"/>
          <w:szCs w:val="28"/>
        </w:rPr>
        <w:t>rta Colombia Ley Sara Sofía y de dictan otras disposiciones”</w:t>
      </w:r>
      <w:r w:rsidRPr="007C57D2">
        <w:rPr>
          <w:rFonts w:ascii="Times New Roman" w:hAnsi="Times New Roman"/>
          <w:sz w:val="28"/>
          <w:szCs w:val="28"/>
          <w:lang w:val="es-ES"/>
        </w:rPr>
        <w:t xml:space="preserve">, bajo el entendido de que los receptores de la “Alerta Colombia” </w:t>
      </w:r>
      <w:r w:rsidRPr="007C57D2">
        <w:rPr>
          <w:rFonts w:ascii="Times New Roman" w:hAnsi="Times New Roman"/>
          <w:sz w:val="28"/>
          <w:szCs w:val="28"/>
        </w:rPr>
        <w:t xml:space="preserve">también están obligados a suprimir el registro de los datos personales del menor extraviado y toda la información que recibieron, </w:t>
      </w:r>
      <w:r w:rsidRPr="007C57D2">
        <w:rPr>
          <w:rFonts w:ascii="Times New Roman" w:hAnsi="Times New Roman"/>
          <w:sz w:val="28"/>
          <w:szCs w:val="28"/>
        </w:rPr>
        <w:t>de manera completa y definitiva. Esta supresión debe efectuarse inmediatamente después de haber recibido la “alerta de éxito” a que se refiere el parágrafo de este artículo.</w:t>
      </w:r>
    </w:p>
    <w:p w:rsidR="004E1B7E" w:rsidRPr="007C57D2" w:rsidRDefault="007C57D2" w:rsidP="008F3DAB">
      <w:pPr>
        <w:spacing w:after="0" w:line="240" w:lineRule="auto"/>
        <w:jc w:val="both"/>
        <w:rPr>
          <w:rFonts w:ascii="Times New Roman" w:hAnsi="Times New Roman"/>
          <w:sz w:val="28"/>
          <w:szCs w:val="28"/>
        </w:rPr>
      </w:pPr>
    </w:p>
    <w:p w:rsidR="004E1B7E" w:rsidRPr="007C57D2" w:rsidRDefault="007C57D2" w:rsidP="008F3DAB">
      <w:pPr>
        <w:spacing w:after="0" w:line="240" w:lineRule="auto"/>
        <w:jc w:val="both"/>
        <w:rPr>
          <w:rFonts w:ascii="Times New Roman" w:hAnsi="Times New Roman"/>
          <w:sz w:val="28"/>
          <w:szCs w:val="28"/>
        </w:rPr>
      </w:pPr>
      <w:r w:rsidRPr="007C57D2">
        <w:rPr>
          <w:rFonts w:ascii="Times New Roman" w:hAnsi="Times New Roman"/>
          <w:sz w:val="28"/>
          <w:szCs w:val="28"/>
        </w:rPr>
        <w:t xml:space="preserve">La obligación de eliminación de información se extiende a todos los repositorios </w:t>
      </w:r>
      <w:r w:rsidRPr="007C57D2">
        <w:rPr>
          <w:rFonts w:ascii="Times New Roman" w:hAnsi="Times New Roman"/>
          <w:sz w:val="28"/>
          <w:szCs w:val="28"/>
        </w:rPr>
        <w:t>digitales y físicos de los receptores de la Alerta, en cumplimiento del principio de supresión integral y de la finalidad temporal de la Alerta Colombia.</w:t>
      </w:r>
    </w:p>
    <w:p w:rsidR="001E19D5"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sz w:val="28"/>
          <w:szCs w:val="28"/>
          <w:lang w:val="es-ES"/>
        </w:rPr>
        <w:t xml:space="preserve"> </w:t>
      </w:r>
    </w:p>
    <w:p w:rsidR="001E19D5" w:rsidRPr="007C57D2" w:rsidRDefault="007C57D2" w:rsidP="008F3DAB">
      <w:pPr>
        <w:spacing w:after="0" w:line="240" w:lineRule="auto"/>
        <w:jc w:val="both"/>
        <w:rPr>
          <w:rFonts w:ascii="Times New Roman" w:hAnsi="Times New Roman"/>
          <w:sz w:val="28"/>
          <w:szCs w:val="28"/>
          <w:lang w:val="es-ES"/>
        </w:rPr>
      </w:pPr>
      <w:r w:rsidRPr="007C57D2">
        <w:rPr>
          <w:rFonts w:ascii="Times New Roman" w:hAnsi="Times New Roman"/>
          <w:b/>
          <w:bCs/>
          <w:sz w:val="28"/>
          <w:szCs w:val="28"/>
        </w:rPr>
        <w:t>Noveno</w:t>
      </w:r>
      <w:r w:rsidRPr="007C57D2">
        <w:rPr>
          <w:rFonts w:ascii="Times New Roman" w:hAnsi="Times New Roman"/>
          <w:b/>
          <w:bCs/>
          <w:sz w:val="28"/>
          <w:szCs w:val="28"/>
          <w:lang w:val="es-ES"/>
        </w:rPr>
        <w:t>.</w:t>
      </w:r>
      <w:r w:rsidRPr="007C57D2">
        <w:rPr>
          <w:rFonts w:ascii="Times New Roman" w:hAnsi="Times New Roman"/>
          <w:sz w:val="28"/>
          <w:szCs w:val="28"/>
          <w:lang w:val="es-ES"/>
        </w:rPr>
        <w:t xml:space="preserve"> </w:t>
      </w:r>
      <w:r w:rsidRPr="007C57D2">
        <w:rPr>
          <w:rFonts w:ascii="Times New Roman" w:hAnsi="Times New Roman"/>
          <w:b/>
          <w:bCs/>
          <w:sz w:val="28"/>
          <w:szCs w:val="28"/>
          <w:lang w:val="es-ES"/>
        </w:rPr>
        <w:t>REMITIR</w:t>
      </w:r>
      <w:r w:rsidRPr="007C57D2">
        <w:rPr>
          <w:rFonts w:ascii="Times New Roman" w:hAnsi="Times New Roman"/>
          <w:sz w:val="28"/>
          <w:szCs w:val="28"/>
          <w:lang w:val="es-ES"/>
        </w:rPr>
        <w:t xml:space="preserve"> al presidente del Congreso de la República el texto del </w:t>
      </w:r>
      <w:r w:rsidRPr="007C57D2">
        <w:rPr>
          <w:rFonts w:ascii="Times New Roman" w:hAnsi="Times New Roman"/>
          <w:sz w:val="28"/>
          <w:szCs w:val="28"/>
        </w:rPr>
        <w:t xml:space="preserve">proyecto de ley estatutaria número 266 de 2023 Cámara - 285 de 2024 Senado, </w:t>
      </w:r>
      <w:r w:rsidRPr="007C57D2">
        <w:rPr>
          <w:rFonts w:ascii="Times New Roman" w:hAnsi="Times New Roman"/>
          <w:sz w:val="28"/>
          <w:szCs w:val="28"/>
          <w:lang w:val="es-ES"/>
        </w:rPr>
        <w:t>“</w:t>
      </w:r>
      <w:r w:rsidRPr="007C57D2">
        <w:rPr>
          <w:rFonts w:ascii="Times New Roman" w:hAnsi="Times New Roman"/>
          <w:sz w:val="28"/>
          <w:szCs w:val="28"/>
        </w:rPr>
        <w:t>[p]or medio de la cual se crea y se reglamenta [la] Alerta Colombia Ley Sara Sofía y de dictan otras disposiciones”</w:t>
      </w:r>
      <w:r w:rsidRPr="007C57D2">
        <w:rPr>
          <w:rFonts w:ascii="Times New Roman" w:hAnsi="Times New Roman"/>
          <w:sz w:val="28"/>
          <w:szCs w:val="28"/>
          <w:lang w:val="es-ES"/>
        </w:rPr>
        <w:t xml:space="preserve">, para que sea ajustado conforme al </w:t>
      </w:r>
      <w:r w:rsidRPr="007C57D2">
        <w:rPr>
          <w:rFonts w:ascii="Times New Roman" w:hAnsi="Times New Roman"/>
          <w:sz w:val="28"/>
          <w:szCs w:val="28"/>
        </w:rPr>
        <w:t>A</w:t>
      </w:r>
      <w:r w:rsidRPr="007C57D2">
        <w:rPr>
          <w:rFonts w:ascii="Times New Roman" w:hAnsi="Times New Roman"/>
          <w:sz w:val="28"/>
          <w:szCs w:val="28"/>
          <w:lang w:val="es-ES"/>
        </w:rPr>
        <w:t>nexo de la presente sentenc</w:t>
      </w:r>
      <w:r w:rsidRPr="007C57D2">
        <w:rPr>
          <w:rFonts w:ascii="Times New Roman" w:hAnsi="Times New Roman"/>
          <w:sz w:val="28"/>
          <w:szCs w:val="28"/>
          <w:lang w:val="es-ES"/>
        </w:rPr>
        <w:t>ia, se firme por los presidentes de ambas cámaras y se remita al presidente de la República para su sanción y promulgación.</w:t>
      </w:r>
    </w:p>
    <w:p w:rsidR="001E19D5" w:rsidRPr="007C57D2" w:rsidRDefault="007C57D2" w:rsidP="008F3DAB">
      <w:pPr>
        <w:spacing w:after="0" w:line="240" w:lineRule="auto"/>
        <w:jc w:val="both"/>
        <w:rPr>
          <w:rFonts w:ascii="Times New Roman" w:hAnsi="Times New Roman"/>
          <w:sz w:val="28"/>
          <w:szCs w:val="28"/>
          <w:lang w:val="es-ES"/>
        </w:rPr>
      </w:pPr>
    </w:p>
    <w:p w:rsidR="00C97F25" w:rsidRPr="007C57D2" w:rsidRDefault="007C57D2" w:rsidP="008F3DAB">
      <w:pPr>
        <w:spacing w:after="0" w:line="240" w:lineRule="auto"/>
        <w:jc w:val="both"/>
        <w:rPr>
          <w:rFonts w:ascii="Times New Roman" w:hAnsi="Times New Roman"/>
          <w:sz w:val="28"/>
          <w:szCs w:val="28"/>
          <w:lang w:val="es-ES"/>
        </w:rPr>
      </w:pPr>
    </w:p>
    <w:p w:rsidR="00C97F25" w:rsidRPr="007C57D2" w:rsidRDefault="007C57D2" w:rsidP="008F3DAB">
      <w:pPr>
        <w:spacing w:after="0" w:line="240" w:lineRule="auto"/>
        <w:jc w:val="both"/>
        <w:rPr>
          <w:rFonts w:ascii="Times New Roman" w:hAnsi="Times New Roman"/>
          <w:sz w:val="28"/>
          <w:szCs w:val="28"/>
          <w:lang w:val="es-ES"/>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JORGE ENRIQUE IBÁÑEZ NAJAR</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Presidente</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Con aclaración de voto</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NATALIA ÁNGEL CABO</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Magistrada</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CARLOS CAMARGO ASSIS</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Magistrado</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HECTOR ALFONSO CARVAJAL LONDOÑO</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Magistrado</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Ausente con permiso</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JUAN CARLOS CORTÉS GONZÁLEZ</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Magistrado</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LINA MARCELA ESCOBAR MARTÍNEZ</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Magistrada</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VLADIMIR FERNÁNDEZ ANDRADE</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Magistrado</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PAOLA ANDREA MENESES MOSQUERA</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Magistrada</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 xml:space="preserve">MIGUEL POLO </w:t>
      </w:r>
      <w:r w:rsidRPr="007C57D2">
        <w:rPr>
          <w:rFonts w:ascii="Times New Roman" w:hAnsi="Times New Roman"/>
          <w:sz w:val="28"/>
          <w:szCs w:val="28"/>
          <w:lang w:val="es-ES_tradnl"/>
        </w:rPr>
        <w:t>ROSERO</w:t>
      </w: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Magistrado</w:t>
      </w: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C97F25" w:rsidRPr="007C57D2" w:rsidRDefault="007C57D2" w:rsidP="00D667E5">
      <w:pPr>
        <w:spacing w:after="0" w:line="240" w:lineRule="auto"/>
        <w:jc w:val="center"/>
        <w:rPr>
          <w:rFonts w:ascii="Times New Roman" w:hAnsi="Times New Roman"/>
          <w:sz w:val="28"/>
          <w:szCs w:val="28"/>
          <w:lang w:val="es-ES_tradnl"/>
        </w:rPr>
      </w:pPr>
    </w:p>
    <w:p w:rsidR="00D667E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ANDREA LILIANA ROMERO LOPEZ</w:t>
      </w:r>
    </w:p>
    <w:p w:rsidR="00C57815" w:rsidRPr="007C57D2" w:rsidRDefault="007C57D2" w:rsidP="00D667E5">
      <w:pPr>
        <w:spacing w:after="0" w:line="240" w:lineRule="auto"/>
        <w:jc w:val="center"/>
        <w:rPr>
          <w:rFonts w:ascii="Times New Roman" w:hAnsi="Times New Roman"/>
          <w:sz w:val="28"/>
          <w:szCs w:val="28"/>
          <w:lang w:val="es-ES_tradnl"/>
        </w:rPr>
      </w:pPr>
      <w:r w:rsidRPr="007C57D2">
        <w:rPr>
          <w:rFonts w:ascii="Times New Roman" w:hAnsi="Times New Roman"/>
          <w:sz w:val="28"/>
          <w:szCs w:val="28"/>
          <w:lang w:val="es-ES_tradnl"/>
        </w:rPr>
        <w:t>Secretaria General</w:t>
      </w:r>
    </w:p>
    <w:p w:rsidR="00C57815" w:rsidRPr="007C57D2" w:rsidRDefault="007C57D2">
      <w:pPr>
        <w:spacing w:after="0" w:line="240" w:lineRule="auto"/>
        <w:rPr>
          <w:rFonts w:ascii="Times New Roman" w:hAnsi="Times New Roman"/>
          <w:sz w:val="28"/>
          <w:szCs w:val="28"/>
          <w:lang w:val="es-ES_tradnl"/>
        </w:rPr>
      </w:pPr>
      <w:r w:rsidRPr="007C57D2">
        <w:rPr>
          <w:rFonts w:ascii="Times New Roman" w:hAnsi="Times New Roman"/>
          <w:sz w:val="28"/>
          <w:szCs w:val="28"/>
          <w:lang w:val="es-ES_tradnl"/>
        </w:rPr>
        <w:br w:type="page"/>
      </w:r>
    </w:p>
    <w:p w:rsidR="00C57815" w:rsidRPr="007C57D2" w:rsidRDefault="007C57D2" w:rsidP="00C57815">
      <w:pPr>
        <w:spacing w:after="0" w:line="240" w:lineRule="auto"/>
        <w:jc w:val="both"/>
        <w:rPr>
          <w:rFonts w:ascii="Times New Roman" w:hAnsi="Times New Roman"/>
          <w:sz w:val="28"/>
          <w:szCs w:val="28"/>
          <w:lang w:val="es-ES_tradnl"/>
        </w:rPr>
      </w:pPr>
      <w:r w:rsidRPr="007C57D2">
        <w:rPr>
          <w:rFonts w:ascii="Times New Roman" w:hAnsi="Times New Roman"/>
          <w:sz w:val="28"/>
          <w:szCs w:val="28"/>
          <w:lang w:val="es-ES_tradnl"/>
        </w:rPr>
        <w:t xml:space="preserve">ANEXO: </w:t>
      </w:r>
      <w:r w:rsidRPr="007C57D2">
        <w:rPr>
          <w:rFonts w:ascii="Times New Roman" w:hAnsi="Times New Roman"/>
          <w:sz w:val="28"/>
          <w:szCs w:val="28"/>
          <w:lang w:val="es-ES_tradnl"/>
        </w:rPr>
        <w:t xml:space="preserve">Texto del proyecto de ley estatutaria número 266 de 2023 Cámara - 285 de 2024 Senado, “[p]or medio de la cual se crea y se reglamenta [la] Alerta Colombia Ley Sara Sofía y de dictan otras disposiciones”, ajustado conforme a la decisión adoptada en la </w:t>
      </w:r>
      <w:r w:rsidRPr="007C57D2">
        <w:rPr>
          <w:rFonts w:ascii="Times New Roman" w:hAnsi="Times New Roman"/>
          <w:sz w:val="28"/>
          <w:szCs w:val="28"/>
          <w:lang w:val="es-ES_tradnl"/>
        </w:rPr>
        <w:t>S</w:t>
      </w:r>
      <w:r w:rsidRPr="007C57D2">
        <w:rPr>
          <w:rFonts w:ascii="Times New Roman" w:hAnsi="Times New Roman"/>
          <w:sz w:val="28"/>
          <w:szCs w:val="28"/>
          <w:lang w:val="es-ES_tradnl"/>
        </w:rPr>
        <w:t>ente</w:t>
      </w:r>
      <w:r w:rsidRPr="007C57D2">
        <w:rPr>
          <w:rFonts w:ascii="Times New Roman" w:hAnsi="Times New Roman"/>
          <w:sz w:val="28"/>
          <w:szCs w:val="28"/>
          <w:lang w:val="es-ES_tradnl"/>
        </w:rPr>
        <w:t>ncia C-468 de 2025:</w:t>
      </w:r>
    </w:p>
    <w:p w:rsidR="00C57815" w:rsidRPr="007C57D2" w:rsidRDefault="007C57D2" w:rsidP="00C57815">
      <w:pPr>
        <w:spacing w:after="0" w:line="240" w:lineRule="auto"/>
        <w:jc w:val="both"/>
        <w:rPr>
          <w:rFonts w:ascii="Times New Roman" w:hAnsi="Times New Roman"/>
          <w:sz w:val="28"/>
          <w:szCs w:val="28"/>
          <w:lang w:val="es-ES_tradnl" w:eastAsia="es-ES_tradnl"/>
        </w:rPr>
      </w:pPr>
    </w:p>
    <w:p w:rsidR="00C57815" w:rsidRPr="007C57D2" w:rsidRDefault="007C57D2" w:rsidP="00C57815">
      <w:pPr>
        <w:spacing w:after="0" w:line="240" w:lineRule="auto"/>
        <w:jc w:val="both"/>
        <w:rPr>
          <w:rFonts w:ascii="Times New Roman" w:hAnsi="Times New Roman"/>
          <w:sz w:val="28"/>
          <w:szCs w:val="28"/>
          <w:lang w:val="es-ES_tradnl" w:eastAsia="es-ES_tradnl"/>
        </w:rPr>
      </w:pPr>
    </w:p>
    <w:p w:rsidR="00C57815" w:rsidRPr="007C57D2" w:rsidRDefault="007C57D2" w:rsidP="00C57815">
      <w:pPr>
        <w:spacing w:after="0" w:line="240" w:lineRule="auto"/>
        <w:jc w:val="center"/>
        <w:rPr>
          <w:rFonts w:ascii="Times New Roman" w:hAnsi="Times New Roman"/>
          <w:sz w:val="28"/>
          <w:szCs w:val="28"/>
          <w:lang w:eastAsia="es-ES_tradnl"/>
        </w:rPr>
      </w:pPr>
      <w:r w:rsidRPr="007C57D2">
        <w:rPr>
          <w:rFonts w:ascii="Times New Roman" w:hAnsi="Times New Roman"/>
          <w:sz w:val="28"/>
          <w:szCs w:val="28"/>
          <w:lang w:eastAsia="es-ES_tradnl"/>
        </w:rPr>
        <w:t xml:space="preserve">Proyecto de Ley Estatutaria N° </w:t>
      </w:r>
      <w:r w:rsidRPr="007C57D2">
        <w:rPr>
          <w:rFonts w:ascii="Times New Roman" w:hAnsi="Times New Roman"/>
          <w:sz w:val="28"/>
          <w:szCs w:val="28"/>
          <w:lang w:eastAsia="es-ES_tradnl"/>
        </w:rPr>
        <w:t>266 de 2023 Cámara - 285 de 2024 Senado,</w:t>
      </w:r>
    </w:p>
    <w:p w:rsidR="00C57815" w:rsidRPr="007C57D2" w:rsidRDefault="007C57D2" w:rsidP="00C57815">
      <w:pPr>
        <w:spacing w:after="0" w:line="240" w:lineRule="auto"/>
        <w:ind w:left="360"/>
        <w:jc w:val="center"/>
        <w:rPr>
          <w:rFonts w:ascii="Times New Roman" w:hAnsi="Times New Roman"/>
          <w:sz w:val="28"/>
          <w:szCs w:val="28"/>
          <w:lang w:eastAsia="es-ES_tradnl"/>
        </w:rPr>
      </w:pPr>
      <w:r w:rsidRPr="007C57D2">
        <w:rPr>
          <w:rFonts w:ascii="Times New Roman" w:hAnsi="Times New Roman"/>
          <w:sz w:val="28"/>
          <w:szCs w:val="28"/>
          <w:lang w:val="es-ES_tradnl" w:eastAsia="es-ES_tradnl"/>
        </w:rPr>
        <w:t>“</w:t>
      </w:r>
      <w:r w:rsidRPr="007C57D2">
        <w:rPr>
          <w:rFonts w:ascii="Times New Roman" w:hAnsi="Times New Roman"/>
          <w:sz w:val="28"/>
          <w:szCs w:val="28"/>
          <w:lang w:eastAsia="es-ES_tradnl"/>
        </w:rPr>
        <w:t>[p]or medio de la cual se crea y se reglamenta [la] Alerta Colombia Ley Sara Sofía y de dictan otras disposiciones”.</w:t>
      </w:r>
    </w:p>
    <w:p w:rsidR="00C57815" w:rsidRPr="007C57D2" w:rsidRDefault="007C57D2" w:rsidP="00C57815">
      <w:pPr>
        <w:spacing w:after="0" w:line="240" w:lineRule="auto"/>
        <w:jc w:val="center"/>
        <w:rPr>
          <w:rFonts w:ascii="Times New Roman" w:hAnsi="Times New Roman"/>
          <w:sz w:val="28"/>
          <w:szCs w:val="28"/>
          <w:lang w:eastAsia="es-ES_tradnl"/>
        </w:rPr>
      </w:pPr>
    </w:p>
    <w:p w:rsidR="00C57815" w:rsidRPr="007C57D2" w:rsidRDefault="007C57D2" w:rsidP="00C57815">
      <w:pPr>
        <w:spacing w:after="0" w:line="240" w:lineRule="auto"/>
        <w:jc w:val="center"/>
        <w:rPr>
          <w:rFonts w:ascii="Times New Roman" w:hAnsi="Times New Roman"/>
          <w:sz w:val="28"/>
          <w:szCs w:val="28"/>
          <w:lang w:eastAsia="es-ES_tradnl"/>
        </w:rPr>
      </w:pPr>
      <w:r w:rsidRPr="007C57D2">
        <w:rPr>
          <w:rFonts w:ascii="Times New Roman" w:hAnsi="Times New Roman"/>
          <w:sz w:val="28"/>
          <w:szCs w:val="28"/>
          <w:lang w:eastAsia="es-ES_tradnl"/>
        </w:rPr>
        <w:t>EL CONGRESO DE COLOMBIA</w:t>
      </w:r>
    </w:p>
    <w:p w:rsidR="00C57815" w:rsidRPr="007C57D2" w:rsidRDefault="007C57D2" w:rsidP="00C57815">
      <w:pPr>
        <w:spacing w:after="0" w:line="240" w:lineRule="auto"/>
        <w:jc w:val="center"/>
        <w:rPr>
          <w:rFonts w:ascii="Times New Roman" w:hAnsi="Times New Roman"/>
          <w:sz w:val="28"/>
          <w:szCs w:val="28"/>
          <w:lang w:eastAsia="es-ES_tradnl"/>
        </w:rPr>
      </w:pPr>
    </w:p>
    <w:p w:rsidR="00C57815" w:rsidRPr="007C57D2" w:rsidRDefault="007C57D2" w:rsidP="00C57815">
      <w:pPr>
        <w:spacing w:after="0" w:line="240" w:lineRule="auto"/>
        <w:jc w:val="center"/>
        <w:rPr>
          <w:rFonts w:ascii="Times New Roman" w:hAnsi="Times New Roman"/>
          <w:sz w:val="28"/>
          <w:szCs w:val="28"/>
          <w:lang w:eastAsia="es-ES_tradnl"/>
        </w:rPr>
      </w:pPr>
      <w:r w:rsidRPr="007C57D2">
        <w:rPr>
          <w:rFonts w:ascii="Times New Roman" w:hAnsi="Times New Roman"/>
          <w:sz w:val="28"/>
          <w:szCs w:val="28"/>
          <w:lang w:eastAsia="es-ES_tradnl"/>
        </w:rPr>
        <w:t>DECRETA:</w:t>
      </w:r>
    </w:p>
    <w:p w:rsidR="00C57815" w:rsidRPr="007C57D2" w:rsidRDefault="007C57D2" w:rsidP="00C57815">
      <w:pPr>
        <w:spacing w:after="0" w:line="240" w:lineRule="auto"/>
        <w:jc w:val="center"/>
        <w:rPr>
          <w:rFonts w:ascii="Times New Roman" w:hAnsi="Times New Roman"/>
          <w:sz w:val="28"/>
          <w:szCs w:val="28"/>
          <w:lang w:eastAsia="es-ES_tradnl"/>
        </w:rPr>
      </w:pPr>
    </w:p>
    <w:p w:rsidR="00C57815" w:rsidRPr="007C57D2" w:rsidRDefault="007C57D2" w:rsidP="00C57815">
      <w:pPr>
        <w:spacing w:after="0" w:line="240" w:lineRule="auto"/>
        <w:jc w:val="center"/>
        <w:rPr>
          <w:rFonts w:ascii="Times New Roman" w:hAnsi="Times New Roman"/>
          <w:sz w:val="28"/>
          <w:szCs w:val="28"/>
          <w:lang w:eastAsia="es-ES_tradnl"/>
        </w:rPr>
      </w:pPr>
      <w:r w:rsidRPr="007C57D2">
        <w:rPr>
          <w:rFonts w:ascii="Times New Roman" w:hAnsi="Times New Roman"/>
          <w:sz w:val="28"/>
          <w:szCs w:val="28"/>
          <w:lang w:eastAsia="es-ES_tradnl"/>
        </w:rPr>
        <w:t>CAPÍTULO</w:t>
      </w:r>
      <w:r w:rsidRPr="007C57D2">
        <w:rPr>
          <w:rFonts w:ascii="Times New Roman" w:hAnsi="Times New Roman"/>
          <w:sz w:val="28"/>
          <w:szCs w:val="28"/>
          <w:lang w:eastAsia="es-ES_tradnl"/>
        </w:rPr>
        <w:t xml:space="preserve"> I</w:t>
      </w:r>
    </w:p>
    <w:p w:rsidR="00C57815" w:rsidRPr="007C57D2" w:rsidRDefault="007C57D2" w:rsidP="00C57815">
      <w:pPr>
        <w:spacing w:after="0" w:line="240" w:lineRule="auto"/>
        <w:jc w:val="center"/>
        <w:rPr>
          <w:rFonts w:ascii="Times New Roman" w:hAnsi="Times New Roman"/>
          <w:sz w:val="28"/>
          <w:szCs w:val="28"/>
          <w:lang w:eastAsia="es-ES_tradnl"/>
        </w:rPr>
      </w:pPr>
      <w:r w:rsidRPr="007C57D2">
        <w:rPr>
          <w:rFonts w:ascii="Times New Roman" w:hAnsi="Times New Roman"/>
          <w:sz w:val="28"/>
          <w:szCs w:val="28"/>
          <w:lang w:eastAsia="es-ES_tradnl"/>
        </w:rPr>
        <w:t>DISPOSICIONES GENERALES</w:t>
      </w:r>
    </w:p>
    <w:p w:rsidR="00C57815" w:rsidRPr="007C57D2" w:rsidRDefault="007C57D2" w:rsidP="00C57815">
      <w:pPr>
        <w:spacing w:after="0" w:line="240" w:lineRule="auto"/>
        <w:jc w:val="center"/>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61" w:name="_Toc208292070"/>
      <w:r w:rsidRPr="007C57D2">
        <w:rPr>
          <w:rFonts w:ascii="Times New Roman" w:hAnsi="Times New Roman"/>
          <w:sz w:val="28"/>
          <w:szCs w:val="28"/>
          <w:lang w:eastAsia="es-ES_tradnl"/>
        </w:rPr>
        <w:t>Artículo 1°. Objeto</w:t>
      </w:r>
      <w:bookmarkEnd w:id="61"/>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La presente ley tiene como objeto crear y reglamentar la Alerta Colombia como un sistema que incorpora una herramienta ágil de difusión de información de niños y niñas que se encuentren extraviados en el ter</w:t>
      </w:r>
      <w:r w:rsidRPr="007C57D2">
        <w:rPr>
          <w:rFonts w:ascii="Times New Roman" w:hAnsi="Times New Roman"/>
          <w:sz w:val="28"/>
          <w:szCs w:val="28"/>
          <w:lang w:eastAsia="es-ES_tradnl"/>
        </w:rPr>
        <w:t>ritorio colombiano, con el objetivo de lograr la búsqueda, localización y recuperación inmediata de estos.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62" w:name="_Toc208292071"/>
      <w:r w:rsidRPr="007C57D2">
        <w:rPr>
          <w:rFonts w:ascii="Times New Roman" w:hAnsi="Times New Roman"/>
          <w:sz w:val="28"/>
          <w:szCs w:val="28"/>
          <w:lang w:eastAsia="es-ES_tradnl"/>
        </w:rPr>
        <w:t>Artículo 2°. Definiciones.</w:t>
      </w:r>
      <w:bookmarkEnd w:id="62"/>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Para los efectos de la presente ley, entiéndase por:</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 Niños y niñas extraviadas:</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Son todas las personas </w:t>
      </w:r>
      <w:r w:rsidRPr="007C57D2">
        <w:rPr>
          <w:rFonts w:ascii="Times New Roman" w:hAnsi="Times New Roman"/>
          <w:sz w:val="28"/>
          <w:szCs w:val="28"/>
          <w:u w:val="single"/>
          <w:lang w:eastAsia="es-ES_tradnl"/>
        </w:rPr>
        <w:t xml:space="preserve">menores de 18 </w:t>
      </w:r>
      <w:r w:rsidRPr="007C57D2">
        <w:rPr>
          <w:rFonts w:ascii="Times New Roman" w:hAnsi="Times New Roman"/>
          <w:sz w:val="28"/>
          <w:szCs w:val="28"/>
          <w:u w:val="single"/>
          <w:lang w:eastAsia="es-ES_tradnl"/>
        </w:rPr>
        <w:t>años</w:t>
      </w:r>
      <w:r w:rsidRPr="007C57D2">
        <w:rPr>
          <w:rFonts w:ascii="Times New Roman" w:hAnsi="Times New Roman"/>
          <w:sz w:val="28"/>
          <w:szCs w:val="28"/>
          <w:lang w:eastAsia="es-ES_tradnl"/>
        </w:rPr>
        <w:t xml:space="preserve"> que salen o son extraídas de su domicilio, residencia, establecimiento educativo u otro lugar y no pueden retornar al mismo o a su hogar, y su familia o núcleo cercano no puede ubicarlas.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b. Personas llamadas a reportar: Los padres, representantes le</w:t>
      </w:r>
      <w:r w:rsidRPr="007C57D2">
        <w:rPr>
          <w:rFonts w:ascii="Times New Roman" w:hAnsi="Times New Roman"/>
          <w:sz w:val="28"/>
          <w:szCs w:val="28"/>
          <w:lang w:eastAsia="es-ES_tradnl"/>
        </w:rPr>
        <w:t>gales, quien ostente la custodia o cuidadores, familiares del niño o niña representantes legales o el Instituto Colombiano de Bienestar Familiar deberán realizar el debido reporte de forma inmediata a través de cualquiera de los medios digitales disponible</w:t>
      </w:r>
      <w:r w:rsidRPr="007C57D2">
        <w:rPr>
          <w:rFonts w:ascii="Times New Roman" w:hAnsi="Times New Roman"/>
          <w:sz w:val="28"/>
          <w:szCs w:val="28"/>
          <w:lang w:eastAsia="es-ES_tradnl"/>
        </w:rPr>
        <w:t>s, o de manera presencial cuando no se tenga acceso a servicios tecnológicos.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c. Alerta Colombia:</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Herramienta de difusión de información de los datos de niños y niñas extraviados para alertar, a través de los proveedores de redes y servicios de telecomuni</w:t>
      </w:r>
      <w:r w:rsidRPr="007C57D2">
        <w:rPr>
          <w:rFonts w:ascii="Times New Roman" w:hAnsi="Times New Roman"/>
          <w:sz w:val="28"/>
          <w:szCs w:val="28"/>
          <w:lang w:eastAsia="es-ES_tradnl"/>
        </w:rPr>
        <w:t>caciones móviles de forma gratuita y cualquier canal o medio tecnológico que sirva para la difusión masiva a las autoridades y a la ciudadanía sobre los niños y niñas extraviados, con el fin de activar mecanismos de búsqueda, localización y recuperación de</w:t>
      </w:r>
      <w:r w:rsidRPr="007C57D2">
        <w:rPr>
          <w:rFonts w:ascii="Times New Roman" w:hAnsi="Times New Roman"/>
          <w:sz w:val="28"/>
          <w:szCs w:val="28"/>
          <w:lang w:eastAsia="es-ES_tradnl"/>
        </w:rPr>
        <w:t xml:space="preserve"> éstos de forma inmediata.</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d. Datos biométricos:</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Son aquellos datos sensibles que permiten individualizar a una persona natural a través del reconocimiento de una característica física intransferible que la distingue de otra persona como lo son el reconoc</w:t>
      </w:r>
      <w:r w:rsidRPr="007C57D2">
        <w:rPr>
          <w:rFonts w:ascii="Times New Roman" w:hAnsi="Times New Roman"/>
          <w:sz w:val="28"/>
          <w:szCs w:val="28"/>
          <w:lang w:eastAsia="es-ES_tradnl"/>
        </w:rPr>
        <w:t>imiento facial a través de fotografías, entre otros.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e. Datos personales:</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Cualquier información vinculada o que pueda asociarse a una o varias personas naturales determinadas o determinables.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f. Autorización y divulgación del tratamiento de datos biométr</w:t>
      </w:r>
      <w:r w:rsidRPr="007C57D2">
        <w:rPr>
          <w:rFonts w:ascii="Times New Roman" w:hAnsi="Times New Roman"/>
          <w:sz w:val="28"/>
          <w:szCs w:val="28"/>
          <w:lang w:eastAsia="es-ES_tradnl"/>
        </w:rPr>
        <w:t>icos y personales de niños y niñas:</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Es aquel documento escrito que debe ser radicado en físico o cargado a la plataforma virtual dispuesta por el Instituto Colombiano de Bienestar Familiar y de manera física a la Policía Nacional, donde cualquiera de los p</w:t>
      </w:r>
      <w:r w:rsidRPr="007C57D2">
        <w:rPr>
          <w:rFonts w:ascii="Times New Roman" w:hAnsi="Times New Roman"/>
          <w:sz w:val="28"/>
          <w:szCs w:val="28"/>
          <w:lang w:eastAsia="es-ES_tradnl"/>
        </w:rPr>
        <w:t>adres, representantes legales, quien ostente la custodia o cuidadores autoricen y consientan la divulgación y el tratamiento de los datos biométricos y personales de los niños y niñas, en aras de activar la Alerta Colombia.</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g. Consentimiento informado:</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Do</w:t>
      </w:r>
      <w:r w:rsidRPr="007C57D2">
        <w:rPr>
          <w:rFonts w:ascii="Times New Roman" w:hAnsi="Times New Roman"/>
          <w:sz w:val="28"/>
          <w:szCs w:val="28"/>
          <w:lang w:eastAsia="es-ES_tradnl"/>
        </w:rPr>
        <w:t>cumento por el cual se establece el consentimiento informado de los padres, tutores o representantes legales, Instituto Colombiano de Bienestar Familiar, para el tratamiento de los datos biométricos y personales de los niños y niñas, garantizando así su pr</w:t>
      </w:r>
      <w:r w:rsidRPr="007C57D2">
        <w:rPr>
          <w:rFonts w:ascii="Times New Roman" w:hAnsi="Times New Roman"/>
          <w:sz w:val="28"/>
          <w:szCs w:val="28"/>
          <w:lang w:eastAsia="es-ES_tradnl"/>
        </w:rPr>
        <w:t>otección y el respeto a sus derechos fundamentales.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63" w:name="_Toc208292072"/>
      <w:r w:rsidRPr="007C57D2">
        <w:rPr>
          <w:rFonts w:ascii="Times New Roman" w:hAnsi="Times New Roman"/>
          <w:sz w:val="28"/>
          <w:szCs w:val="28"/>
          <w:lang w:eastAsia="es-ES_tradnl"/>
        </w:rPr>
        <w:t>Artículo 3°. Autorización</w:t>
      </w:r>
      <w:bookmarkEnd w:id="63"/>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Para activar la Alerta Colombia de manera expedita, ante situaciones de riesgo inminente, cualquiera de los padres quienes son los que ostentan la patria potestad, </w:t>
      </w:r>
      <w:r w:rsidRPr="007C57D2">
        <w:rPr>
          <w:rFonts w:ascii="Times New Roman" w:hAnsi="Times New Roman"/>
          <w:sz w:val="28"/>
          <w:szCs w:val="28"/>
          <w:lang w:eastAsia="es-ES_tradnl"/>
        </w:rPr>
        <w:t>representantes legales, quien tenga la custodia, cuidadores, familiares, o el Instituto Colombiano de Bienestar Familiar al momento del reporte de su extravío, deberán diligenciar y firmar de manera ágil el consentimiento informado que autorice hacer uso d</w:t>
      </w:r>
      <w:r w:rsidRPr="007C57D2">
        <w:rPr>
          <w:rFonts w:ascii="Times New Roman" w:hAnsi="Times New Roman"/>
          <w:sz w:val="28"/>
          <w:szCs w:val="28"/>
          <w:lang w:eastAsia="es-ES_tradnl"/>
        </w:rPr>
        <w:t>e los datos personales y biométricos de los niños y niñas extraviados en el territorio colombiano a la Policía Nacional. En caso de no tener autorización escrita, el Instituto Colombiano de Bienestar Familiar o quien haga sus veces en el territorio con mot</w:t>
      </w:r>
      <w:r w:rsidRPr="007C57D2">
        <w:rPr>
          <w:rFonts w:ascii="Times New Roman" w:hAnsi="Times New Roman"/>
          <w:sz w:val="28"/>
          <w:szCs w:val="28"/>
          <w:lang w:eastAsia="es-ES_tradnl"/>
        </w:rPr>
        <w:t>ivos fundados, solicitará a la Policía Nacional la activación de la Alerta.</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El consentimiento informado contendrá una nota que especifique que esta autorización para el uso y tratamiento de datos sólo tendrá efecto en el caso de activar la </w:t>
      </w:r>
      <w:r w:rsidRPr="007C57D2">
        <w:rPr>
          <w:rFonts w:ascii="Times New Roman" w:hAnsi="Times New Roman"/>
          <w:sz w:val="28"/>
          <w:szCs w:val="28"/>
          <w:lang w:eastAsia="es-ES_tradnl"/>
        </w:rPr>
        <w:t>Alerta Colombia.</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64" w:name="_Toc208292073"/>
      <w:r w:rsidRPr="007C57D2">
        <w:rPr>
          <w:rFonts w:ascii="Times New Roman" w:hAnsi="Times New Roman"/>
          <w:sz w:val="28"/>
          <w:szCs w:val="28"/>
          <w:lang w:eastAsia="es-ES_tradnl"/>
        </w:rPr>
        <w:t>Artículo 4°. Datos biométricos y personales</w:t>
      </w:r>
      <w:bookmarkEnd w:id="64"/>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Los datos biométricos y personales mínimos requeridos que se deben utilizar en la Alerta Colombia son los siguientes:</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 Nombres y apellidos del niño o niña.</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b. Número de identificación.</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c. Sex</w:t>
      </w:r>
      <w:r w:rsidRPr="007C57D2">
        <w:rPr>
          <w:rFonts w:ascii="Times New Roman" w:hAnsi="Times New Roman"/>
          <w:sz w:val="28"/>
          <w:szCs w:val="28"/>
          <w:lang w:eastAsia="es-ES_tradnl"/>
        </w:rPr>
        <w:t>o.</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d. Edad aproximada</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e. Descripción física.</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f. Última fotografía que garantice su individualización.</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g. Descripción de la última vestimenta con la que fue visto, si se llegase a contar con dicha información.</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h. Fecha, hora y lugar en la que se reporta la </w:t>
      </w:r>
      <w:r w:rsidRPr="007C57D2">
        <w:rPr>
          <w:rFonts w:ascii="Times New Roman" w:hAnsi="Times New Roman"/>
          <w:sz w:val="28"/>
          <w:szCs w:val="28"/>
          <w:lang w:eastAsia="es-ES_tradnl"/>
        </w:rPr>
        <w:t>desaparición del niño o niña, si se llegase a contar con dicha información.</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i. Información de contacto de los padres, representantes legales, quien ostente la custodia o cuidadores, familiares del niño o niña, incluyendo números de teléfono y direcciones d</w:t>
      </w:r>
      <w:r w:rsidRPr="007C57D2">
        <w:rPr>
          <w:rFonts w:ascii="Times New Roman" w:hAnsi="Times New Roman"/>
          <w:sz w:val="28"/>
          <w:szCs w:val="28"/>
          <w:lang w:eastAsia="es-ES_tradnl"/>
        </w:rPr>
        <w:t>e correo electrónico, si se llegase a contar con dicha información.</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1°.</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La Policía Nacional, en coordinación con el Instituto Colombiano de Bienestar Familiar, deberá recolectar estos datos para que, junto con los números a los cuales pueden com</w:t>
      </w:r>
      <w:r w:rsidRPr="007C57D2">
        <w:rPr>
          <w:rFonts w:ascii="Times New Roman" w:hAnsi="Times New Roman"/>
          <w:sz w:val="28"/>
          <w:szCs w:val="28"/>
          <w:lang w:eastAsia="es-ES_tradnl"/>
        </w:rPr>
        <w:t>unicarse los ciudadanos en caso de tener alguna información, sean entregados de manera inmediata a los proveedores de redes y servicios de telecomunicaciones móviles que operan en territorio colombiano, a quienes se les informará que solo podrán realizar e</w:t>
      </w:r>
      <w:r w:rsidRPr="007C57D2">
        <w:rPr>
          <w:rFonts w:ascii="Times New Roman" w:hAnsi="Times New Roman"/>
          <w:sz w:val="28"/>
          <w:szCs w:val="28"/>
          <w:lang w:eastAsia="es-ES_tradnl"/>
        </w:rPr>
        <w:t>l tratamiento de la información para las finalidades establecidas en la presente ley.</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65" w:name="_Toc208292074"/>
      <w:r w:rsidRPr="007C57D2">
        <w:rPr>
          <w:rFonts w:ascii="Times New Roman" w:hAnsi="Times New Roman"/>
          <w:sz w:val="28"/>
          <w:szCs w:val="28"/>
          <w:lang w:eastAsia="es-ES_tradnl"/>
        </w:rPr>
        <w:t>Artículo 5°. Sistema Nacional de Reporte Virtual.</w:t>
      </w:r>
      <w:bookmarkEnd w:id="65"/>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El Instituto Colombiano de bienestar Familiar dispondrá de una ventana especial de alerta en su página web oficial para</w:t>
      </w:r>
      <w:r w:rsidRPr="007C57D2">
        <w:rPr>
          <w:rFonts w:ascii="Times New Roman" w:hAnsi="Times New Roman"/>
          <w:sz w:val="28"/>
          <w:szCs w:val="28"/>
          <w:lang w:eastAsia="es-ES_tradnl"/>
        </w:rPr>
        <w:t xml:space="preserve"> que las personas puedan realizar de manera sencilla el respectivo reporte del niño o niña extraviado, incluyendo el consentimiento informado para el tratamiento de los datos biométricos y personales. La ventana virtual tendrá el instructivo para poder rea</w:t>
      </w:r>
      <w:r w:rsidRPr="007C57D2">
        <w:rPr>
          <w:rFonts w:ascii="Times New Roman" w:hAnsi="Times New Roman"/>
          <w:sz w:val="28"/>
          <w:szCs w:val="28"/>
          <w:lang w:eastAsia="es-ES_tradnl"/>
        </w:rPr>
        <w:t>lizar el reporte y brindar toda la información necesaria para activar la alerta en caso de riesgo inminente.</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El Instituto Colombiano de Bienestar Familiar garantizará el acceso al Sistema Nacional de Reporte Virtual a la Policía Nacional, con el fin de co</w:t>
      </w:r>
      <w:r w:rsidRPr="007C57D2">
        <w:rPr>
          <w:rFonts w:ascii="Times New Roman" w:hAnsi="Times New Roman"/>
          <w:sz w:val="28"/>
          <w:szCs w:val="28"/>
          <w:lang w:eastAsia="es-ES_tradnl"/>
        </w:rPr>
        <w:t>nsultar el reporte y generar la alerta.</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Cuando se haga uso de la plataforma virtual deberá indicarse expresamente el nombre e identificación de la persona que realiza el reporte.</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Lo anterior no impedirá que, en aquellos casos en que no se cuente con los </w:t>
      </w:r>
      <w:r w:rsidRPr="007C57D2">
        <w:rPr>
          <w:rFonts w:ascii="Times New Roman" w:hAnsi="Times New Roman"/>
          <w:sz w:val="28"/>
          <w:szCs w:val="28"/>
          <w:lang w:eastAsia="es-ES_tradnl"/>
        </w:rPr>
        <w:t>medios tecnológicos disponibles para interponer el reporte por medio de la página web oficial, el reporte del niño o niña extraviado se pueda realizar de manera presencial ante la defensoría de familia, comisaría de familia o inspección de policía más cerc</w:t>
      </w:r>
      <w:r w:rsidRPr="007C57D2">
        <w:rPr>
          <w:rFonts w:ascii="Times New Roman" w:hAnsi="Times New Roman"/>
          <w:sz w:val="28"/>
          <w:szCs w:val="28"/>
          <w:lang w:eastAsia="es-ES_tradnl"/>
        </w:rPr>
        <w:t>ano al lugar de la pérdida del niño o niña o la Policía Nacional en cualquiera de sus instalaciones, donde se dispondrán de los medios necesarios para que se realice el trámite relacionado con la autorización para el tratamiento de datos biométricos y pers</w:t>
      </w:r>
      <w:r w:rsidRPr="007C57D2">
        <w:rPr>
          <w:rFonts w:ascii="Times New Roman" w:hAnsi="Times New Roman"/>
          <w:sz w:val="28"/>
          <w:szCs w:val="28"/>
          <w:lang w:eastAsia="es-ES_tradnl"/>
        </w:rPr>
        <w:t>onales.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u w:val="single"/>
          <w:lang w:eastAsia="es-ES_tradnl"/>
        </w:rPr>
        <w:t>Inmediatamente después</w:t>
      </w:r>
      <w:r w:rsidRPr="007C57D2">
        <w:rPr>
          <w:rFonts w:ascii="Times New Roman" w:hAnsi="Times New Roman"/>
          <w:sz w:val="28"/>
          <w:szCs w:val="28"/>
          <w:lang w:eastAsia="es-ES_tradnl"/>
        </w:rPr>
        <w:t>, el Instituto Colombiano de Bienestar Familiar deberá presentar la denuncia ante la Fiscalía General de la Nación, quien deberá actuar en el marco de sus competencias.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66" w:name="_Toc208292075"/>
      <w:r w:rsidRPr="007C57D2">
        <w:rPr>
          <w:rFonts w:ascii="Times New Roman" w:hAnsi="Times New Roman"/>
          <w:sz w:val="28"/>
          <w:szCs w:val="28"/>
          <w:lang w:eastAsia="es-ES_tradnl"/>
        </w:rPr>
        <w:t>Artículo 6°. Divulgación.</w:t>
      </w:r>
      <w:bookmarkEnd w:id="66"/>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Fundamentado en los principio</w:t>
      </w:r>
      <w:r w:rsidRPr="007C57D2">
        <w:rPr>
          <w:rFonts w:ascii="Times New Roman" w:hAnsi="Times New Roman"/>
          <w:sz w:val="28"/>
          <w:szCs w:val="28"/>
          <w:lang w:eastAsia="es-ES_tradnl"/>
        </w:rPr>
        <w:t>s constitucionales de solidaridad, responsabilidad social y empresarial, los proveedores de redes y servicios de telecomunicaciones móviles deberán garantizar la divulgación, de forma gratuita e inmediata de la Alerta Colombia. La alerta será enviada a tod</w:t>
      </w:r>
      <w:r w:rsidRPr="007C57D2">
        <w:rPr>
          <w:rFonts w:ascii="Times New Roman" w:hAnsi="Times New Roman"/>
          <w:sz w:val="28"/>
          <w:szCs w:val="28"/>
          <w:lang w:eastAsia="es-ES_tradnl"/>
        </w:rPr>
        <w:t>os los teléfonos móviles que se encuentren en la zona donde se extravió el niño o niña, la cual deberá contener los datos señalados en el artículo 4 y los siguientes en caso de tenerlos: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a. </w:t>
      </w:r>
      <w:r w:rsidRPr="007C57D2">
        <w:rPr>
          <w:rFonts w:ascii="Times New Roman" w:hAnsi="Times New Roman"/>
          <w:sz w:val="28"/>
          <w:szCs w:val="28"/>
          <w:lang w:eastAsia="es-ES_tradnl"/>
        </w:rPr>
        <w:t>Fecha exacta en la que se extravió el niño o niña.</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b. Número </w:t>
      </w:r>
      <w:r w:rsidRPr="007C57D2">
        <w:rPr>
          <w:rFonts w:ascii="Times New Roman" w:hAnsi="Times New Roman"/>
          <w:sz w:val="28"/>
          <w:szCs w:val="28"/>
          <w:lang w:eastAsia="es-ES_tradnl"/>
        </w:rPr>
        <w:t>telefónico dispuesto por las autoridades.</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c. Número telefónico de los familiares.</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d. Ciudad o municipio, localidad, departamento o distrito.</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e. Zona donde se extravió el niño o niña.</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f. Vestimenta del niño o niña extraviado.</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g. Fotografía actualizada del </w:t>
      </w:r>
      <w:r w:rsidRPr="007C57D2">
        <w:rPr>
          <w:rFonts w:ascii="Times New Roman" w:hAnsi="Times New Roman"/>
          <w:sz w:val="28"/>
          <w:szCs w:val="28"/>
          <w:lang w:eastAsia="es-ES_tradnl"/>
        </w:rPr>
        <w:t>niño o niña que permita su individualización.</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h. Cualquier otra información que sirva para identificar y localizar al niño o niña extraviado, o a la persona que lo secuestró si se tiene certeza de su identidad</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o por lo menos la descripción física, so pena </w:t>
      </w:r>
      <w:r w:rsidRPr="007C57D2">
        <w:rPr>
          <w:rFonts w:ascii="Times New Roman" w:hAnsi="Times New Roman"/>
          <w:sz w:val="28"/>
          <w:szCs w:val="28"/>
          <w:lang w:eastAsia="es-ES_tradnl"/>
        </w:rPr>
        <w:t>de los delitos cometidos si resultara dolosamente falsa la información.</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1°.</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La alerta que emitan los proveedores de redes y servicios de telecomunicaciones móviles deberá ser gratuita e inmediata una vez recepcionen la información de la niña o n</w:t>
      </w:r>
      <w:r w:rsidRPr="007C57D2">
        <w:rPr>
          <w:rFonts w:ascii="Times New Roman" w:hAnsi="Times New Roman"/>
          <w:sz w:val="28"/>
          <w:szCs w:val="28"/>
          <w:lang w:eastAsia="es-ES_tradnl"/>
        </w:rPr>
        <w:t>iño por parte del Instituto Colombiano de Bienestar Familiar. La Alerta Colombia deberá llegar a la pantalla principal de los teléfonos móviles cumpliendo los requisitos del presente artículo. En caso de tratarse de dispositivos cuya reproducción de la ale</w:t>
      </w:r>
      <w:r w:rsidRPr="007C57D2">
        <w:rPr>
          <w:rFonts w:ascii="Times New Roman" w:hAnsi="Times New Roman"/>
          <w:sz w:val="28"/>
          <w:szCs w:val="28"/>
          <w:lang w:eastAsia="es-ES_tradnl"/>
        </w:rPr>
        <w:t>rta en la pantalla principal no sea posible, esta deberá realizarse a través de mensajes de texto de notificación especial.</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2°.</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La alerta que emitan los proveedores de redes y servicios de telecomunicaciones móviles deberá realizarse tres (3) ve</w:t>
      </w:r>
      <w:r w:rsidRPr="007C57D2">
        <w:rPr>
          <w:rFonts w:ascii="Times New Roman" w:hAnsi="Times New Roman"/>
          <w:sz w:val="28"/>
          <w:szCs w:val="28"/>
          <w:lang w:eastAsia="es-ES_tradnl"/>
        </w:rPr>
        <w:t>ces al día desde el reporte de la desaparición y mínimo durante la semana siguiente a la alerta inicial, salvo que antes de este término el niño o niña sea encontrado.</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3°.</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El Instituto Colombiano de Bienestar Familiar, dentro de los seis (6) mes</w:t>
      </w:r>
      <w:r w:rsidRPr="007C57D2">
        <w:rPr>
          <w:rFonts w:ascii="Times New Roman" w:hAnsi="Times New Roman"/>
          <w:sz w:val="28"/>
          <w:szCs w:val="28"/>
          <w:lang w:eastAsia="es-ES_tradnl"/>
        </w:rPr>
        <w:t>es contados a partir de la entrada en vigencia de la presente ley, dispondrá en su página web oficial una ventana denominada Alerta Colombia, a fin que los ciudadanos tengan acceso a la misma y puedan verificar las alertas activas.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4°.</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El funcio</w:t>
      </w:r>
      <w:r w:rsidRPr="007C57D2">
        <w:rPr>
          <w:rFonts w:ascii="Times New Roman" w:hAnsi="Times New Roman"/>
          <w:sz w:val="28"/>
          <w:szCs w:val="28"/>
          <w:lang w:eastAsia="es-ES_tradnl"/>
        </w:rPr>
        <w:t>nario que recepcione el reporte y no active la Alerta Colombia será objeto de las investigaciones de acuerdo con el régimen disciplinario que le sea aplicable.</w:t>
      </w:r>
    </w:p>
    <w:p w:rsidR="00C57815" w:rsidRPr="007C57D2" w:rsidRDefault="007C57D2" w:rsidP="00C57815">
      <w:pPr>
        <w:spacing w:after="0" w:line="240" w:lineRule="auto"/>
        <w:jc w:val="both"/>
        <w:rPr>
          <w:rFonts w:ascii="Times New Roman" w:hAnsi="Times New Roman"/>
          <w:sz w:val="28"/>
          <w:szCs w:val="28"/>
          <w:lang w:eastAsia="es-ES_tradnl"/>
        </w:rPr>
      </w:pPr>
      <w:bookmarkStart w:id="67" w:name="_Toc208292076"/>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7°. Tratamiento de datos personales</w:t>
      </w:r>
      <w:bookmarkEnd w:id="67"/>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El Tratamiento de los datos personales se llevará</w:t>
      </w:r>
      <w:r w:rsidRPr="007C57D2">
        <w:rPr>
          <w:rFonts w:ascii="Times New Roman" w:hAnsi="Times New Roman"/>
          <w:sz w:val="28"/>
          <w:szCs w:val="28"/>
          <w:lang w:eastAsia="es-ES_tradnl"/>
        </w:rPr>
        <w:t xml:space="preserve"> a cabo de acuerdo con lo establecido en la Ley Estatutaria 1581 de 2012. Los datos personales no podrán ser entregados a otras entidades diferentes de las que trata la presente ley y empresas nacionales o extranjeras so pena de incurrir en las sanciones c</w:t>
      </w:r>
      <w:r w:rsidRPr="007C57D2">
        <w:rPr>
          <w:rFonts w:ascii="Times New Roman" w:hAnsi="Times New Roman"/>
          <w:sz w:val="28"/>
          <w:szCs w:val="28"/>
          <w:lang w:eastAsia="es-ES_tradnl"/>
        </w:rPr>
        <w:t>onsagradas en el Título VII, Capítulos I y II de la Ley Estatutaria 1581 de 2012.</w:t>
      </w:r>
    </w:p>
    <w:p w:rsidR="00C57815" w:rsidRPr="007C57D2" w:rsidRDefault="007C57D2" w:rsidP="00C57815">
      <w:pPr>
        <w:spacing w:after="0" w:line="240" w:lineRule="auto"/>
        <w:jc w:val="both"/>
        <w:rPr>
          <w:rFonts w:ascii="Times New Roman" w:hAnsi="Times New Roman"/>
          <w:sz w:val="28"/>
          <w:szCs w:val="28"/>
          <w:lang w:eastAsia="es-ES_tradnl"/>
        </w:rPr>
      </w:pPr>
      <w:bookmarkStart w:id="68" w:name="_Toc208292077"/>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8°. Eliminación de Registro de los datos.</w:t>
      </w:r>
      <w:bookmarkEnd w:id="68"/>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Cuando el niño o niña sea encontrado, el Instituto Colombiano de Bienestar familiar (ICBF) comunicará a los proveedores de</w:t>
      </w:r>
      <w:r w:rsidRPr="007C57D2">
        <w:rPr>
          <w:rFonts w:ascii="Times New Roman" w:hAnsi="Times New Roman"/>
          <w:sz w:val="28"/>
          <w:szCs w:val="28"/>
          <w:lang w:eastAsia="es-ES_tradnl"/>
        </w:rPr>
        <w:t xml:space="preserve"> redes y servicios de telecomunicaciones móviles, quienes eliminarán de forma inmediata tanto datos personales como biométricos de los niños y niñas en sus bases de datos.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Por una sola vez, los proveedores de redes y servicios de telecomunicaci</w:t>
      </w:r>
      <w:r w:rsidRPr="007C57D2">
        <w:rPr>
          <w:rFonts w:ascii="Times New Roman" w:hAnsi="Times New Roman"/>
          <w:sz w:val="28"/>
          <w:szCs w:val="28"/>
          <w:lang w:eastAsia="es-ES_tradnl"/>
        </w:rPr>
        <w:t>ones móviles enviarán una alerta de éxito anunciando que el niño o niña extraviado fue encontrado.</w:t>
      </w:r>
    </w:p>
    <w:p w:rsidR="00C57815" w:rsidRPr="007C57D2" w:rsidRDefault="007C57D2" w:rsidP="00C57815">
      <w:pPr>
        <w:spacing w:after="0" w:line="240" w:lineRule="auto"/>
        <w:jc w:val="both"/>
        <w:rPr>
          <w:rFonts w:ascii="Times New Roman" w:hAnsi="Times New Roman"/>
          <w:sz w:val="28"/>
          <w:szCs w:val="28"/>
          <w:lang w:eastAsia="es-ES_tradnl"/>
        </w:rPr>
      </w:pPr>
      <w:bookmarkStart w:id="69" w:name="_Toc208292078"/>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9°. Activación de la Alerta Colombia</w:t>
      </w:r>
      <w:bookmarkEnd w:id="69"/>
      <w:r w:rsidRPr="007C57D2">
        <w:rPr>
          <w:rFonts w:ascii="Times New Roman" w:hAnsi="Times New Roman"/>
          <w:sz w:val="28"/>
          <w:szCs w:val="28"/>
          <w:lang w:eastAsia="es-ES_tradnl"/>
        </w:rPr>
        <w:t>. Para activar la alerta Colombia deberán cumplirse los siguientes requisitos: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a. </w:t>
      </w:r>
      <w:r w:rsidRPr="007C57D2">
        <w:rPr>
          <w:rFonts w:ascii="Times New Roman" w:hAnsi="Times New Roman"/>
          <w:sz w:val="28"/>
          <w:szCs w:val="28"/>
          <w:lang w:eastAsia="es-ES_tradnl"/>
        </w:rPr>
        <w:t>Al momento de extraviarse el</w:t>
      </w:r>
      <w:r w:rsidRPr="007C57D2">
        <w:rPr>
          <w:rFonts w:ascii="Times New Roman" w:hAnsi="Times New Roman"/>
          <w:sz w:val="28"/>
          <w:szCs w:val="28"/>
          <w:lang w:eastAsia="es-ES_tradnl"/>
        </w:rPr>
        <w:t xml:space="preserve"> niño o niña deberá tener </w:t>
      </w:r>
      <w:r w:rsidRPr="007C57D2">
        <w:rPr>
          <w:rFonts w:ascii="Times New Roman" w:hAnsi="Times New Roman"/>
          <w:sz w:val="28"/>
          <w:szCs w:val="28"/>
          <w:u w:val="single"/>
          <w:lang w:eastAsia="es-ES_tradnl"/>
        </w:rPr>
        <w:t>menos de 18 años</w:t>
      </w:r>
      <w:r w:rsidRPr="007C57D2">
        <w:rPr>
          <w:rFonts w:ascii="Times New Roman" w:hAnsi="Times New Roman"/>
          <w:sz w:val="28"/>
          <w:szCs w:val="28"/>
          <w:lang w:eastAsia="es-ES_tradnl"/>
        </w:rPr>
        <w:t>.</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b. El tiempo transcurrido entre el reporte de alerta en la ventana especial de la página web oficial del Instituto Colombiano de Bienestar Familiar ICBF, o el reporte presencial ante la Policía Nacional o las </w:t>
      </w:r>
      <w:r w:rsidRPr="007C57D2">
        <w:rPr>
          <w:rFonts w:ascii="Times New Roman" w:hAnsi="Times New Roman"/>
          <w:sz w:val="28"/>
          <w:szCs w:val="28"/>
          <w:lang w:eastAsia="es-ES_tradnl"/>
        </w:rPr>
        <w:t>Entidades del Sistema Nacional de Bienestar Familiar en cualquiera de sus instalaciones cuando no se cuente con los medios tecnológicos disponibles para interponer el reporte por medio de la página web oficial, y la activación inmediata de la alerta y no p</w:t>
      </w:r>
      <w:r w:rsidRPr="007C57D2">
        <w:rPr>
          <w:rFonts w:ascii="Times New Roman" w:hAnsi="Times New Roman"/>
          <w:sz w:val="28"/>
          <w:szCs w:val="28"/>
          <w:lang w:eastAsia="es-ES_tradnl"/>
        </w:rPr>
        <w:t>odrá ser superior a una (1) hora. La autorización para el uso de los datos biométricos y personales de los niños y niñas extraviados debe realizarse conforme al artículo 3 de la presente ley.</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c. Los padres, representantes legales, quien ostente la custodi</w:t>
      </w:r>
      <w:r w:rsidRPr="007C57D2">
        <w:rPr>
          <w:rFonts w:ascii="Times New Roman" w:hAnsi="Times New Roman"/>
          <w:sz w:val="28"/>
          <w:szCs w:val="28"/>
          <w:lang w:eastAsia="es-ES_tradnl"/>
        </w:rPr>
        <w:t>a, cuidadores, o el Instituto Colombiano de Bienestar Familiar o quien tenga conocimiento sobre un niño o niña extraviado deben disponer de información suficiente para qué al momento de emitir la alerta, la colaboración de la sociedad pueda arrojar resulta</w:t>
      </w:r>
      <w:r w:rsidRPr="007C57D2">
        <w:rPr>
          <w:rFonts w:ascii="Times New Roman" w:hAnsi="Times New Roman"/>
          <w:sz w:val="28"/>
          <w:szCs w:val="28"/>
          <w:lang w:eastAsia="es-ES_tradnl"/>
        </w:rPr>
        <w:t>dos positivos.</w:t>
      </w:r>
    </w:p>
    <w:p w:rsidR="00C57815" w:rsidRPr="007C57D2" w:rsidRDefault="007C57D2" w:rsidP="00C57815">
      <w:pPr>
        <w:spacing w:after="0" w:line="240" w:lineRule="auto"/>
        <w:jc w:val="both"/>
        <w:rPr>
          <w:rFonts w:ascii="Times New Roman" w:hAnsi="Times New Roman"/>
          <w:sz w:val="28"/>
          <w:szCs w:val="28"/>
          <w:lang w:eastAsia="es-ES_tradnl"/>
        </w:rPr>
      </w:pPr>
      <w:bookmarkStart w:id="70" w:name="_Toc208292079"/>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10°. Procedimiento para la difusión de la alerta.</w:t>
      </w:r>
      <w:bookmarkEnd w:id="70"/>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El procedimiento para la difusión de la Alerta Colombia deberá regirse por los principios de celeridad, eficacia y publicidad. Esto significa que no debe existir ningún tipo de dila</w:t>
      </w:r>
      <w:r w:rsidRPr="007C57D2">
        <w:rPr>
          <w:rFonts w:ascii="Times New Roman" w:hAnsi="Times New Roman"/>
          <w:sz w:val="28"/>
          <w:szCs w:val="28"/>
          <w:lang w:eastAsia="es-ES_tradnl"/>
        </w:rPr>
        <w:t>ciones por parte de las autoridades competentes. Los procedimientos de difusión serán los siguientes:</w:t>
      </w: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a. </w:t>
      </w:r>
      <w:r w:rsidRPr="007C57D2">
        <w:rPr>
          <w:rFonts w:ascii="Times New Roman" w:hAnsi="Times New Roman"/>
          <w:sz w:val="28"/>
          <w:szCs w:val="28"/>
          <w:lang w:eastAsia="es-ES_tradnl"/>
        </w:rPr>
        <w:t xml:space="preserve">Los proveedores de redes y servicios de telecomunicaciones móviles deberán emitir la Alerta Colombia difundiendo la información del niño o niña </w:t>
      </w:r>
      <w:r w:rsidRPr="007C57D2">
        <w:rPr>
          <w:rFonts w:ascii="Times New Roman" w:hAnsi="Times New Roman"/>
          <w:sz w:val="28"/>
          <w:szCs w:val="28"/>
          <w:lang w:eastAsia="es-ES_tradnl"/>
        </w:rPr>
        <w:t>extraviado de manera gratuita y oportuna conforme al artículo 6 de la presente ley.</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b. </w:t>
      </w:r>
      <w:r w:rsidRPr="007C57D2">
        <w:rPr>
          <w:rFonts w:ascii="Times New Roman" w:hAnsi="Times New Roman"/>
          <w:sz w:val="28"/>
          <w:szCs w:val="28"/>
          <w:lang w:eastAsia="es-ES_tradnl"/>
        </w:rPr>
        <w:t>Los proveedores de redes y servicios de telecomunicaciones móviles que prestan sus servicios en el país deberán, en un tiempo máximo de una (1) hora posterior a la acti</w:t>
      </w:r>
      <w:r w:rsidRPr="007C57D2">
        <w:rPr>
          <w:rFonts w:ascii="Times New Roman" w:hAnsi="Times New Roman"/>
          <w:sz w:val="28"/>
          <w:szCs w:val="28"/>
          <w:lang w:eastAsia="es-ES_tradnl"/>
        </w:rPr>
        <w:t>vación de la Alerta Colombia, difundir dicha alerta a todos los usuarios que se encuentren registrados en la zona en la cual el niño o niña se extravió. En todo caso, si existen indicios de que el niño o niña ha sido trasladado a otra ciudad o municipio, l</w:t>
      </w:r>
      <w:r w:rsidRPr="007C57D2">
        <w:rPr>
          <w:rFonts w:ascii="Times New Roman" w:hAnsi="Times New Roman"/>
          <w:sz w:val="28"/>
          <w:szCs w:val="28"/>
          <w:lang w:eastAsia="es-ES_tradnl"/>
        </w:rPr>
        <w:t>a alerta deberá ampliarse progresivamente.</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c. </w:t>
      </w:r>
      <w:r w:rsidRPr="007C57D2">
        <w:rPr>
          <w:rFonts w:ascii="Times New Roman" w:hAnsi="Times New Roman"/>
          <w:sz w:val="28"/>
          <w:szCs w:val="28"/>
          <w:lang w:eastAsia="es-ES_tradnl"/>
        </w:rPr>
        <w:t>Dicha alerta deberá ser emitida de manera ágil e inmediata al Ministerio de Relaciones Exteriores, Migración Colombia y a todas las demás autoridades en las fronteras, puertos y aeropuertos con el propósito de</w:t>
      </w:r>
      <w:r w:rsidRPr="007C57D2">
        <w:rPr>
          <w:rFonts w:ascii="Times New Roman" w:hAnsi="Times New Roman"/>
          <w:sz w:val="28"/>
          <w:szCs w:val="28"/>
          <w:lang w:eastAsia="es-ES_tradnl"/>
        </w:rPr>
        <w:t xml:space="preserve"> evitar que el niño o niña extraviado salga del país. Los operadores logísticos de los aeropuertos internacionales deberán difundir la alerta en sus instalaciones cuando un niño o niña se haya extraviado en su ciudad o municipio.</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d. </w:t>
      </w:r>
      <w:r w:rsidRPr="007C57D2">
        <w:rPr>
          <w:rFonts w:ascii="Times New Roman" w:hAnsi="Times New Roman"/>
          <w:sz w:val="28"/>
          <w:szCs w:val="28"/>
          <w:lang w:eastAsia="es-ES_tradnl"/>
        </w:rPr>
        <w:t>Así mismo, se deberá c</w:t>
      </w:r>
      <w:r w:rsidRPr="007C57D2">
        <w:rPr>
          <w:rFonts w:ascii="Times New Roman" w:hAnsi="Times New Roman"/>
          <w:sz w:val="28"/>
          <w:szCs w:val="28"/>
          <w:lang w:eastAsia="es-ES_tradnl"/>
        </w:rPr>
        <w:t>omunicar e informar a los países fronterizos con Colombia sobre la alerta emitida, con el fin de articular esfuerzos para recuperar al niño o niña.</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e. </w:t>
      </w:r>
      <w:r w:rsidRPr="007C57D2">
        <w:rPr>
          <w:rFonts w:ascii="Times New Roman" w:hAnsi="Times New Roman"/>
          <w:sz w:val="28"/>
          <w:szCs w:val="28"/>
          <w:lang w:eastAsia="es-ES_tradnl"/>
        </w:rPr>
        <w:t xml:space="preserve">La Alerta deberá cubrir toda la pantalla mínimo por 10 segundos en donde estará la información del niño </w:t>
      </w:r>
      <w:r w:rsidRPr="007C57D2">
        <w:rPr>
          <w:rFonts w:ascii="Times New Roman" w:hAnsi="Times New Roman"/>
          <w:sz w:val="28"/>
          <w:szCs w:val="28"/>
          <w:lang w:eastAsia="es-ES_tradnl"/>
        </w:rPr>
        <w:t>o niña. La fotografía deberá ocupar por lo menos el 70% de la pantalla del dispositivo celular y deberá vibrar. La señal de alerta será en color rojo de peligro y no se permitirá que el usuario del dispositivo móvil elimine la alerta antes de cumplido dich</w:t>
      </w:r>
      <w:r w:rsidRPr="007C57D2">
        <w:rPr>
          <w:rFonts w:ascii="Times New Roman" w:hAnsi="Times New Roman"/>
          <w:sz w:val="28"/>
          <w:szCs w:val="28"/>
          <w:lang w:eastAsia="es-ES_tradnl"/>
        </w:rPr>
        <w:t>o tiempo de duración.</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b/>
          <w:bCs/>
          <w:sz w:val="28"/>
          <w:szCs w:val="28"/>
          <w:lang w:eastAsia="es-ES_tradnl"/>
        </w:rPr>
        <w:t xml:space="preserve">f. </w:t>
      </w:r>
      <w:r w:rsidRPr="007C57D2">
        <w:rPr>
          <w:rFonts w:ascii="Times New Roman" w:hAnsi="Times New Roman"/>
          <w:sz w:val="28"/>
          <w:szCs w:val="28"/>
          <w:lang w:eastAsia="es-ES_tradnl"/>
        </w:rPr>
        <w:t>Además de la difusión mediante dispositivos móviles, se implementará la difusión de la alerta a través de otros medios de comunicación de amplia cobertura, como la radio, la televisión y los medios digitales, con el fin de alcanza</w:t>
      </w:r>
      <w:r w:rsidRPr="007C57D2">
        <w:rPr>
          <w:rFonts w:ascii="Times New Roman" w:hAnsi="Times New Roman"/>
          <w:sz w:val="28"/>
          <w:szCs w:val="28"/>
          <w:lang w:eastAsia="es-ES_tradnl"/>
        </w:rPr>
        <w:t>r la mayor cantidad posible de personas en el menor tiempo posible.</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1°.</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En cualquier momento, el contenido de la alerta podrá variar conforme a la información que reciban las autoridades y que sirva para localizar y recuperar al niño o niña extr</w:t>
      </w:r>
      <w:r w:rsidRPr="007C57D2">
        <w:rPr>
          <w:rFonts w:ascii="Times New Roman" w:hAnsi="Times New Roman"/>
          <w:sz w:val="28"/>
          <w:szCs w:val="28"/>
          <w:lang w:eastAsia="es-ES_tradnl"/>
        </w:rPr>
        <w:t>aviado.</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2°.</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La Alerta Colombia integrará también el gran Sistema de Alertas Tempranas sobre la niñez colombiana creado por el artículo 4 de la Ley 2242 de 2022 con el apoyo de la Agencia Nacional Digital, o cualquier Ley que la sustituya, modifi</w:t>
      </w:r>
      <w:r w:rsidRPr="007C57D2">
        <w:rPr>
          <w:rFonts w:ascii="Times New Roman" w:hAnsi="Times New Roman"/>
          <w:sz w:val="28"/>
          <w:szCs w:val="28"/>
          <w:lang w:eastAsia="es-ES_tradnl"/>
        </w:rPr>
        <w:t>que o adicione, sin perder su autonomía en su modalidad.</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3°.</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La Alerta deberá ser activada de conformidad con el juicio razonable de las instancias competentes, según el lugar donde se reportó el niño o niña extraviado, y deberá atender al inter</w:t>
      </w:r>
      <w:r w:rsidRPr="007C57D2">
        <w:rPr>
          <w:rFonts w:ascii="Times New Roman" w:hAnsi="Times New Roman"/>
          <w:sz w:val="28"/>
          <w:szCs w:val="28"/>
          <w:lang w:eastAsia="es-ES_tradnl"/>
        </w:rPr>
        <w:t>és superior de los niños y niñas involucrados.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La activación se realizará sin anteponer prejuicios y valores personales, o cualquier otro acto de discriminación que pueda impedir u obstaculizar la búsqueda del niño o niña. La información sobre los niños y</w:t>
      </w:r>
      <w:r w:rsidRPr="007C57D2">
        <w:rPr>
          <w:rFonts w:ascii="Times New Roman" w:hAnsi="Times New Roman"/>
          <w:sz w:val="28"/>
          <w:szCs w:val="28"/>
          <w:lang w:eastAsia="es-ES_tradnl"/>
        </w:rPr>
        <w:t xml:space="preserve"> niñas extraviados, será administrada bajo las condiciones de seguridad necesarias para impedir su consulta, uso o acceso no autorizado.</w:t>
      </w:r>
    </w:p>
    <w:p w:rsidR="00C57815" w:rsidRPr="007C57D2" w:rsidRDefault="007C57D2" w:rsidP="00C57815">
      <w:pPr>
        <w:spacing w:after="0" w:line="240" w:lineRule="auto"/>
        <w:jc w:val="both"/>
        <w:rPr>
          <w:rFonts w:ascii="Times New Roman" w:hAnsi="Times New Roman"/>
          <w:sz w:val="28"/>
          <w:szCs w:val="28"/>
          <w:lang w:eastAsia="es-ES_tradnl"/>
        </w:rPr>
      </w:pPr>
      <w:bookmarkStart w:id="71" w:name="_Toc208292080"/>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11°. Zona de difusión.</w:t>
      </w:r>
      <w:bookmarkEnd w:id="71"/>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Conforme a la situación particular de cada caso de niños o niñas extraviados, la zona </w:t>
      </w:r>
      <w:r w:rsidRPr="007C57D2">
        <w:rPr>
          <w:rFonts w:ascii="Times New Roman" w:hAnsi="Times New Roman"/>
          <w:sz w:val="28"/>
          <w:szCs w:val="28"/>
          <w:lang w:eastAsia="es-ES_tradnl"/>
        </w:rPr>
        <w:t>de difusión podrá ser local, municipal, departamental, regional o nacional. De no aparecer el niño o niña, ésta se irá ampliando progresivamente.</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El Ministerio de las Tecnologías de la Información y las Comunicaciones en coordinación con el </w:t>
      </w:r>
      <w:r w:rsidRPr="007C57D2">
        <w:rPr>
          <w:rFonts w:ascii="Times New Roman" w:hAnsi="Times New Roman"/>
          <w:sz w:val="28"/>
          <w:szCs w:val="28"/>
          <w:lang w:eastAsia="es-ES_tradnl"/>
        </w:rPr>
        <w:t>Institución Colombiano de Bienestar Familiar y la Policía Nacional deberá articular con los sujetos descritos en el artículo 6 de esta ley el protocolo de difusión de la Alerta Colombia en el país.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bookmarkStart w:id="72" w:name="_Toc208292081"/>
      <w:r w:rsidRPr="007C57D2">
        <w:rPr>
          <w:rFonts w:ascii="Times New Roman" w:hAnsi="Times New Roman"/>
          <w:sz w:val="28"/>
          <w:szCs w:val="28"/>
          <w:lang w:eastAsia="es-ES_tradnl"/>
        </w:rPr>
        <w:t>Artículo 12°. Mecanismos de búsqueda.</w:t>
      </w:r>
      <w:bookmarkEnd w:id="72"/>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Durante la activaci</w:t>
      </w:r>
      <w:r w:rsidRPr="007C57D2">
        <w:rPr>
          <w:rFonts w:ascii="Times New Roman" w:hAnsi="Times New Roman"/>
          <w:sz w:val="28"/>
          <w:szCs w:val="28"/>
          <w:lang w:eastAsia="es-ES_tradnl"/>
        </w:rPr>
        <w:t>ón de la alerta Colombia la Policía Nacional implementará los mecanismos de búsqueda pertinentes para la búsqueda, localización y recuperación inmediata de niños y niñas extraviados.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 xml:space="preserve">En estos mecanismos de búsqueda la ciudadanía podrá participar de forma </w:t>
      </w:r>
      <w:r w:rsidRPr="007C57D2">
        <w:rPr>
          <w:rFonts w:ascii="Times New Roman" w:hAnsi="Times New Roman"/>
          <w:sz w:val="28"/>
          <w:szCs w:val="28"/>
          <w:lang w:eastAsia="es-ES_tradnl"/>
        </w:rPr>
        <w:t>voluntaria en estricto cumplimiento del principio constitucional de solidaridad. Por lo tanto, dicha participación no generará ningún costo ni ingreso monetario para quienes colaboren en la búsqueda y localización del niño o niña extraviado.</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Además, de ac</w:t>
      </w:r>
      <w:r w:rsidRPr="007C57D2">
        <w:rPr>
          <w:rFonts w:ascii="Times New Roman" w:hAnsi="Times New Roman"/>
          <w:sz w:val="28"/>
          <w:szCs w:val="28"/>
          <w:lang w:eastAsia="es-ES_tradnl"/>
        </w:rPr>
        <w:t>uerdo con el principio de solidaridad empresarial, los proveedores de redes y servicios de telecomunicaciones móviles pondrán a disposición la tecnología necesaria para estos fines.</w:t>
      </w:r>
    </w:p>
    <w:p w:rsidR="00C57815" w:rsidRPr="007C57D2" w:rsidRDefault="007C57D2" w:rsidP="00C57815">
      <w:pPr>
        <w:spacing w:after="0" w:line="240" w:lineRule="auto"/>
        <w:jc w:val="both"/>
        <w:rPr>
          <w:rFonts w:ascii="Times New Roman" w:hAnsi="Times New Roman"/>
          <w:sz w:val="28"/>
          <w:szCs w:val="28"/>
          <w:lang w:eastAsia="es-ES_tradnl"/>
        </w:rPr>
      </w:pPr>
      <w:bookmarkStart w:id="73" w:name="_Toc208292082"/>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13°. Informe anual.</w:t>
      </w:r>
      <w:bookmarkEnd w:id="73"/>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El Instituto Colombiano de Bienestar Familia</w:t>
      </w:r>
      <w:r w:rsidRPr="007C57D2">
        <w:rPr>
          <w:rFonts w:ascii="Times New Roman" w:hAnsi="Times New Roman"/>
          <w:sz w:val="28"/>
          <w:szCs w:val="28"/>
          <w:lang w:eastAsia="es-ES_tradnl"/>
        </w:rPr>
        <w:t>r entregará anualmente un informe detallado al Congreso de la República sobre las cifras de los niños y niñas que se extraviaron, mecanismos de búsqueda implementados, los resultados obtenidos y nuevas metodologías para mejorar la búsqueda y localización d</w:t>
      </w:r>
      <w:r w:rsidRPr="007C57D2">
        <w:rPr>
          <w:rFonts w:ascii="Times New Roman" w:hAnsi="Times New Roman"/>
          <w:sz w:val="28"/>
          <w:szCs w:val="28"/>
          <w:lang w:eastAsia="es-ES_tradnl"/>
        </w:rPr>
        <w:t>e estos.</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Así mismo, el Instituto Nacional de Medicina Legal y Ciencias Forenses deberá entregar y sustentar un informe al Senado de la República y a la Cámara de Representantes sobre los niños, niñas que aún se encuentran desaparecidos en el territorio co</w:t>
      </w:r>
      <w:r w:rsidRPr="007C57D2">
        <w:rPr>
          <w:rFonts w:ascii="Times New Roman" w:hAnsi="Times New Roman"/>
          <w:sz w:val="28"/>
          <w:szCs w:val="28"/>
          <w:lang w:eastAsia="es-ES_tradnl"/>
        </w:rPr>
        <w:t>lombiano.</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1°.</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Entregados los informes por parte del Instituto Colombiano de Bienestar Familiar y el Instituto Nacional de Medicina Legal, las mesas directivas de cada una de las Cámaras cuentan con un plazo no mayor de dos (2) meses para citar a</w:t>
      </w:r>
      <w:r w:rsidRPr="007C57D2">
        <w:rPr>
          <w:rFonts w:ascii="Times New Roman" w:hAnsi="Times New Roman"/>
          <w:sz w:val="28"/>
          <w:szCs w:val="28"/>
          <w:lang w:eastAsia="es-ES_tradnl"/>
        </w:rPr>
        <w:t xml:space="preserve"> dichas entidades para que sustenten en sesión ordinaria los respectivos informes.</w:t>
      </w:r>
    </w:p>
    <w:p w:rsidR="00C57815" w:rsidRPr="007C57D2" w:rsidRDefault="007C57D2" w:rsidP="00C57815">
      <w:pPr>
        <w:spacing w:after="0" w:line="240" w:lineRule="auto"/>
        <w:jc w:val="both"/>
        <w:rPr>
          <w:rFonts w:ascii="Times New Roman" w:hAnsi="Times New Roman"/>
          <w:b/>
          <w:bCs/>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Parágrafo 2°.</w:t>
      </w:r>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El informe anual presentado por el Instituto Colombiano de Bienestar Familiar al Congreso de la República deberá incluir también un análisis detallado de los </w:t>
      </w:r>
      <w:r w:rsidRPr="007C57D2">
        <w:rPr>
          <w:rFonts w:ascii="Times New Roman" w:hAnsi="Times New Roman"/>
          <w:sz w:val="28"/>
          <w:szCs w:val="28"/>
          <w:lang w:eastAsia="es-ES_tradnl"/>
        </w:rPr>
        <w:t>factores que contribuyeron a los casos de niños y niñas extraviados, así como recomendaciones específicas para abordar y prevenir estas situaciones en el futuro.</w:t>
      </w:r>
    </w:p>
    <w:p w:rsidR="00C57815" w:rsidRPr="007C57D2" w:rsidRDefault="007C57D2" w:rsidP="00C57815">
      <w:pPr>
        <w:spacing w:after="0" w:line="240" w:lineRule="auto"/>
        <w:jc w:val="both"/>
        <w:rPr>
          <w:rFonts w:ascii="Times New Roman" w:hAnsi="Times New Roman"/>
          <w:sz w:val="28"/>
          <w:szCs w:val="28"/>
          <w:lang w:eastAsia="es-ES_tradnl"/>
        </w:rPr>
      </w:pPr>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Asimismo, se deberá destacar cualquier obstáculo o limitación encontrada durante el proceso d</w:t>
      </w:r>
      <w:r w:rsidRPr="007C57D2">
        <w:rPr>
          <w:rFonts w:ascii="Times New Roman" w:hAnsi="Times New Roman"/>
          <w:sz w:val="28"/>
          <w:szCs w:val="28"/>
          <w:lang w:eastAsia="es-ES_tradnl"/>
        </w:rPr>
        <w:t>e búsqueda y localización, junto con propuestas concretas para superarlos.</w:t>
      </w:r>
    </w:p>
    <w:p w:rsidR="00C57815" w:rsidRPr="007C57D2" w:rsidRDefault="007C57D2" w:rsidP="00C57815">
      <w:pPr>
        <w:spacing w:after="0" w:line="240" w:lineRule="auto"/>
        <w:jc w:val="both"/>
        <w:rPr>
          <w:rFonts w:ascii="Times New Roman" w:hAnsi="Times New Roman"/>
          <w:sz w:val="28"/>
          <w:szCs w:val="28"/>
          <w:lang w:eastAsia="es-ES_tradnl"/>
        </w:rPr>
      </w:pPr>
      <w:bookmarkStart w:id="74" w:name="_Toc208292083"/>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14°. Autorización.</w:t>
      </w:r>
      <w:bookmarkEnd w:id="74"/>
      <w:r w:rsidRPr="007C57D2">
        <w:rPr>
          <w:rFonts w:ascii="Times New Roman" w:hAnsi="Times New Roman"/>
          <w:b/>
          <w:bCs/>
          <w:sz w:val="28"/>
          <w:szCs w:val="28"/>
          <w:lang w:eastAsia="es-ES_tradnl"/>
        </w:rPr>
        <w:t xml:space="preserve"> </w:t>
      </w:r>
      <w:r w:rsidRPr="007C57D2">
        <w:rPr>
          <w:rFonts w:ascii="Times New Roman" w:hAnsi="Times New Roman"/>
          <w:sz w:val="28"/>
          <w:szCs w:val="28"/>
          <w:lang w:eastAsia="es-ES_tradnl"/>
        </w:rPr>
        <w:t xml:space="preserve">El Gobierno Nacional, en cabeza del Ministerio de Tecnologías de la Información y las Comunicaciones y en coordinación con la Comisión de Regulación de </w:t>
      </w:r>
      <w:r w:rsidRPr="007C57D2">
        <w:rPr>
          <w:rFonts w:ascii="Times New Roman" w:hAnsi="Times New Roman"/>
          <w:sz w:val="28"/>
          <w:szCs w:val="28"/>
          <w:lang w:eastAsia="es-ES_tradnl"/>
        </w:rPr>
        <w:t xml:space="preserve">Comunicaciones, reglamentará lo necesario para la aplicación de la presente ley en un plazo no mayor a seis (6) meses a partir de su entrada en vigencia. Esta reglamentación deberá hacerse en articulación con el Sistema Nacional de Alertas Tempranas sobre </w:t>
      </w:r>
      <w:r w:rsidRPr="007C57D2">
        <w:rPr>
          <w:rFonts w:ascii="Times New Roman" w:hAnsi="Times New Roman"/>
          <w:sz w:val="28"/>
          <w:szCs w:val="28"/>
          <w:lang w:eastAsia="es-ES_tradnl"/>
        </w:rPr>
        <w:t>la Niñez colombiana, creado por el artículo 4 de la Ley 2242 de 2022.</w:t>
      </w:r>
    </w:p>
    <w:p w:rsidR="00C57815" w:rsidRPr="007C57D2" w:rsidRDefault="007C57D2" w:rsidP="00C57815">
      <w:pPr>
        <w:spacing w:after="0" w:line="240" w:lineRule="auto"/>
        <w:jc w:val="both"/>
        <w:rPr>
          <w:rFonts w:ascii="Times New Roman" w:hAnsi="Times New Roman"/>
          <w:sz w:val="28"/>
          <w:szCs w:val="28"/>
          <w:lang w:eastAsia="es-ES_tradnl"/>
        </w:rPr>
      </w:pPr>
      <w:bookmarkStart w:id="75" w:name="_Toc208292084"/>
    </w:p>
    <w:p w:rsidR="00C57815" w:rsidRPr="007C57D2" w:rsidRDefault="007C57D2" w:rsidP="00C57815">
      <w:pPr>
        <w:spacing w:after="0" w:line="240" w:lineRule="auto"/>
        <w:jc w:val="both"/>
        <w:rPr>
          <w:rFonts w:ascii="Times New Roman" w:hAnsi="Times New Roman"/>
          <w:sz w:val="28"/>
          <w:szCs w:val="28"/>
          <w:lang w:eastAsia="es-ES_tradnl"/>
        </w:rPr>
      </w:pPr>
      <w:r w:rsidRPr="007C57D2">
        <w:rPr>
          <w:rFonts w:ascii="Times New Roman" w:hAnsi="Times New Roman"/>
          <w:sz w:val="28"/>
          <w:szCs w:val="28"/>
          <w:lang w:eastAsia="es-ES_tradnl"/>
        </w:rPr>
        <w:t>Artículo 15°. Vigencia.</w:t>
      </w:r>
      <w:bookmarkEnd w:id="75"/>
      <w:r w:rsidRPr="007C57D2">
        <w:rPr>
          <w:rFonts w:ascii="Times New Roman" w:hAnsi="Times New Roman"/>
          <w:sz w:val="28"/>
          <w:szCs w:val="28"/>
          <w:lang w:eastAsia="es-ES_tradnl"/>
        </w:rPr>
        <w:t xml:space="preserve"> La presente ley rige a partir de su promulgación y deroga todas las disposiciones que le sean contrarias.</w:t>
      </w:r>
    </w:p>
    <w:p w:rsidR="00D667E5" w:rsidRPr="007C57D2" w:rsidRDefault="007C57D2" w:rsidP="00D667E5">
      <w:pPr>
        <w:spacing w:after="0" w:line="240" w:lineRule="auto"/>
        <w:jc w:val="center"/>
        <w:rPr>
          <w:rFonts w:ascii="Times New Roman" w:hAnsi="Times New Roman"/>
          <w:sz w:val="28"/>
          <w:szCs w:val="28"/>
        </w:rPr>
      </w:pPr>
    </w:p>
    <w:sectPr w:rsidR="00D667E5" w:rsidRPr="007C57D2">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C57D2">
      <w:pPr>
        <w:spacing w:after="0" w:line="240" w:lineRule="auto"/>
      </w:pPr>
      <w:r>
        <w:separator/>
      </w:r>
    </w:p>
  </w:endnote>
  <w:endnote w:type="continuationSeparator" w:id="0">
    <w:p w:rsidR="00000000" w:rsidRDefault="007C5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C57D2">
      <w:pPr>
        <w:spacing w:after="0" w:line="240" w:lineRule="auto"/>
      </w:pPr>
      <w:r>
        <w:separator/>
      </w:r>
    </w:p>
  </w:footnote>
  <w:footnote w:type="continuationSeparator" w:id="0">
    <w:p w:rsidR="00000000" w:rsidRDefault="007C57D2">
      <w:pPr>
        <w:spacing w:after="0" w:line="240" w:lineRule="auto"/>
      </w:pPr>
      <w:r>
        <w:continuationSeparator/>
      </w:r>
    </w:p>
  </w:footnote>
  <w:footnote w:id="1">
    <w:p w:rsidR="00AF7F6A"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magistrada ponente invitó a intervenir en el proc</w:t>
      </w:r>
      <w:r w:rsidRPr="007C57D2">
        <w:rPr>
          <w:rFonts w:ascii="Times New Roman" w:hAnsi="Times New Roman"/>
        </w:rPr>
        <w:t>eso al Ministerio de Justicia y del Derecho, al Ministerio de la Igualdad y Equidad, al Ministerio de Tecnologías de la Información y las Comunicaciones, al Instituto Colombiano de Bienestar Familiar, a la Comisión de Regulación de Comunicaciones, a la Sup</w:t>
      </w:r>
      <w:r w:rsidRPr="007C57D2">
        <w:rPr>
          <w:rFonts w:ascii="Times New Roman" w:hAnsi="Times New Roman"/>
        </w:rPr>
        <w:t xml:space="preserve">erintendencia de Industria y Comercio, a la Policía Nacional, a la Unidad Administrativa Especial Migración Colombia, y al Ministerio de Relaciones Exteriores, la Asociación Colombiana de Datos y Privacidad, a Dejusticia, a la Fundación CRAN, a Red PaPaz, </w:t>
      </w:r>
      <w:r w:rsidRPr="007C57D2">
        <w:rPr>
          <w:rFonts w:ascii="Times New Roman" w:hAnsi="Times New Roman"/>
        </w:rPr>
        <w:t>a Aldeas Infantiles SOS, a la Alianza por la Niñez Colombiana, a Save the Children, a UNICEF Colombia, al Centro de Internet y Sociedad de la Universidad del Rosario, a la Fundación Karisma, al Índice Derechos Digitales, a la Fundación PLAN, a la Unidad de</w:t>
      </w:r>
      <w:r w:rsidRPr="007C57D2">
        <w:rPr>
          <w:rFonts w:ascii="Times New Roman" w:hAnsi="Times New Roman"/>
        </w:rPr>
        <w:t xml:space="preserve"> Búsqueda de Personas Dadas por Desaparecidas, a la Fiscalía General de la Nación, a la Registraduría General del Estado Civil, a la Defensoría del Pueblo, a la Unidad Nacional para la Gestión del Riesgo de Desastres, a la Organización Nacional Indígena de</w:t>
      </w:r>
      <w:r w:rsidRPr="007C57D2">
        <w:rPr>
          <w:rFonts w:ascii="Times New Roman" w:hAnsi="Times New Roman"/>
        </w:rPr>
        <w:t xml:space="preserve"> Colombia, al Consejo Nacional de Paz Afrocolombiano, así como a las facultades de derecho de las universidades Externado de Colombia, EAFIT, Javeriana, de los Andes, Nacional de Colombia, del Norte, Pontificia Bolivariana de Medellín, de la Sabana, del Ro</w:t>
      </w:r>
      <w:r w:rsidRPr="007C57D2">
        <w:rPr>
          <w:rFonts w:ascii="Times New Roman" w:hAnsi="Times New Roman"/>
        </w:rPr>
        <w:t xml:space="preserve">sario, del Valle, de Antioquia, de Medellín, de Cartagena, de Nariño, del Cauca, Javeriana de Cali, Autónoma de Bucaramanga, Industrial de Santander e ICESI. </w:t>
      </w:r>
    </w:p>
  </w:footnote>
  <w:footnote w:id="2">
    <w:p w:rsidR="00602B8C" w:rsidRPr="007C57D2" w:rsidRDefault="007C57D2" w:rsidP="00F543B3">
      <w:pPr>
        <w:pStyle w:val="Prrafodelista"/>
        <w:tabs>
          <w:tab w:val="left" w:pos="567"/>
        </w:tabs>
        <w:ind w:left="0"/>
        <w:jc w:val="both"/>
        <w:rPr>
          <w:rFonts w:ascii="Times New Roman" w:hAnsi="Times New Roman"/>
          <w:sz w:val="20"/>
          <w:szCs w:val="20"/>
        </w:rPr>
      </w:pPr>
      <w:r w:rsidRPr="007C57D2">
        <w:rPr>
          <w:rStyle w:val="Refdenotaalpie"/>
          <w:rFonts w:ascii="Times New Roman" w:hAnsi="Times New Roman"/>
          <w:sz w:val="20"/>
          <w:szCs w:val="20"/>
        </w:rPr>
        <w:footnoteRef/>
      </w:r>
      <w:r w:rsidRPr="007C57D2">
        <w:rPr>
          <w:rFonts w:ascii="Times New Roman" w:hAnsi="Times New Roman"/>
          <w:sz w:val="20"/>
          <w:szCs w:val="20"/>
        </w:rPr>
        <w:t xml:space="preserve"> Las intervenciones de</w:t>
      </w:r>
      <w:r w:rsidRPr="007C57D2">
        <w:rPr>
          <w:rFonts w:ascii="Times New Roman" w:hAnsi="Times New Roman"/>
          <w:sz w:val="20"/>
          <w:szCs w:val="20"/>
        </w:rPr>
        <w:t xml:space="preserve"> la Universidad de San Buenaventura (25 de abril de 2025) y</w:t>
      </w:r>
      <w:r w:rsidRPr="007C57D2">
        <w:rPr>
          <w:rFonts w:ascii="Times New Roman" w:hAnsi="Times New Roman"/>
          <w:sz w:val="20"/>
          <w:szCs w:val="20"/>
        </w:rPr>
        <w:t xml:space="preserve"> la Superintendencia de Industria y Comercio </w:t>
      </w:r>
      <w:r w:rsidRPr="007C57D2">
        <w:rPr>
          <w:rFonts w:ascii="Times New Roman" w:hAnsi="Times New Roman"/>
          <w:sz w:val="20"/>
          <w:szCs w:val="20"/>
        </w:rPr>
        <w:t>(</w:t>
      </w:r>
      <w:r w:rsidRPr="007C57D2">
        <w:rPr>
          <w:rFonts w:ascii="Times New Roman" w:hAnsi="Times New Roman"/>
          <w:sz w:val="20"/>
          <w:szCs w:val="20"/>
        </w:rPr>
        <w:t xml:space="preserve">25 y </w:t>
      </w:r>
      <w:r w:rsidRPr="007C57D2">
        <w:rPr>
          <w:rFonts w:ascii="Times New Roman" w:hAnsi="Times New Roman"/>
          <w:sz w:val="20"/>
          <w:szCs w:val="20"/>
        </w:rPr>
        <w:t xml:space="preserve">29 de abril de 2025) </w:t>
      </w:r>
      <w:r w:rsidRPr="007C57D2">
        <w:rPr>
          <w:rFonts w:ascii="Times New Roman" w:hAnsi="Times New Roman"/>
          <w:sz w:val="20"/>
          <w:szCs w:val="20"/>
        </w:rPr>
        <w:t>fueron presentadas con posterioridad al vencimiento del término de fijación en lista.</w:t>
      </w:r>
      <w:r w:rsidRPr="007C57D2">
        <w:rPr>
          <w:rFonts w:ascii="Times New Roman" w:hAnsi="Times New Roman"/>
          <w:sz w:val="20"/>
          <w:szCs w:val="20"/>
        </w:rPr>
        <w:t xml:space="preserve"> </w:t>
      </w:r>
    </w:p>
  </w:footnote>
  <w:footnote w:id="3">
    <w:p w:rsidR="0051300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Expediente digital:</w:t>
      </w:r>
      <w:r w:rsidRPr="007C57D2">
        <w:rPr>
          <w:rFonts w:ascii="Times New Roman" w:hAnsi="Times New Roman"/>
        </w:rPr>
        <w:t xml:space="preserve"> PE-00059.</w:t>
      </w:r>
      <w:r w:rsidRPr="007C57D2">
        <w:rPr>
          <w:rFonts w:ascii="Times New Roman" w:hAnsi="Times New Roman"/>
          <w:lang w:val="es-ES"/>
        </w:rPr>
        <w:t xml:space="preserve"> Archivo: “Concepto del Viceprocurador General de la Nación”, </w:t>
      </w:r>
      <w:r w:rsidRPr="007C57D2">
        <w:rPr>
          <w:rFonts w:ascii="Times New Roman" w:hAnsi="Times New Roman"/>
          <w:lang w:val="es-ES"/>
        </w:rPr>
        <w:t>p.</w:t>
      </w:r>
      <w:r w:rsidRPr="007C57D2">
        <w:rPr>
          <w:rFonts w:ascii="Times New Roman" w:hAnsi="Times New Roman"/>
          <w:lang w:val="es-ES"/>
        </w:rPr>
        <w:t xml:space="preserve"> 2</w:t>
      </w:r>
      <w:r w:rsidRPr="007C57D2">
        <w:rPr>
          <w:rFonts w:ascii="Times New Roman" w:hAnsi="Times New Roman"/>
          <w:lang w:val="es-ES"/>
        </w:rPr>
        <w:t xml:space="preserve">. </w:t>
      </w:r>
    </w:p>
  </w:footnote>
  <w:footnote w:id="4">
    <w:p w:rsidR="00E74A3A"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Expediente digital:</w:t>
      </w:r>
      <w:r w:rsidRPr="007C57D2">
        <w:rPr>
          <w:rFonts w:ascii="Times New Roman" w:hAnsi="Times New Roman"/>
        </w:rPr>
        <w:t xml:space="preserve"> PE-00059.</w:t>
      </w:r>
      <w:r w:rsidRPr="007C57D2">
        <w:rPr>
          <w:rFonts w:ascii="Times New Roman" w:hAnsi="Times New Roman"/>
          <w:lang w:val="es-ES"/>
        </w:rPr>
        <w:t xml:space="preserve"> Archivo: “Concepto del Viceprocurador General de la Nación”.</w:t>
      </w:r>
    </w:p>
  </w:footnote>
  <w:footnote w:id="5">
    <w:p w:rsidR="00E74A3A"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Aprobada por la Ley 1418 de 2010. “2. El Estado Parte que haya adoptado las medidas contempladas en el párrafo 1 del presente artículo procederá inmediatamente a una investigación preliminar o averiguación de los hechos. Informará a los Estados Partes a l</w:t>
      </w:r>
      <w:r w:rsidRPr="007C57D2">
        <w:rPr>
          <w:rFonts w:ascii="Times New Roman" w:hAnsi="Times New Roman"/>
        </w:rPr>
        <w:t>os que se hace referencia en el párrafo 1 del artículo </w:t>
      </w:r>
      <w:hyperlink r:id="rId1" w:anchor="9" w:history="1">
        <w:r w:rsidRPr="007C57D2">
          <w:rPr>
            <w:rStyle w:val="Hipervnculo"/>
            <w:rFonts w:ascii="Times New Roman" w:hAnsi="Times New Roman"/>
            <w:color w:val="auto"/>
            <w:u w:val="none"/>
          </w:rPr>
          <w:t>9</w:t>
        </w:r>
      </w:hyperlink>
      <w:r w:rsidRPr="007C57D2">
        <w:rPr>
          <w:rFonts w:ascii="Times New Roman" w:hAnsi="Times New Roman"/>
        </w:rPr>
        <w:t>, sobre las medidas adoptadas en aplicación del párrafo 1 del presente artículo, especialmente sobre la dete</w:t>
      </w:r>
      <w:r w:rsidRPr="007C57D2">
        <w:rPr>
          <w:rFonts w:ascii="Times New Roman" w:hAnsi="Times New Roman"/>
        </w:rPr>
        <w:t xml:space="preserve">nción y las circunstancias que la justifican, y sobre las conclusiones de su investigación preliminar o averiguación, indicándoles si tiene intención de ejercer su jurisdicción”. </w:t>
      </w:r>
    </w:p>
  </w:footnote>
  <w:footnote w:id="6">
    <w:p w:rsidR="00AF7F6A" w:rsidRPr="007C57D2" w:rsidRDefault="007C57D2" w:rsidP="00F543B3">
      <w:pPr>
        <w:pStyle w:val="Textonotapie"/>
        <w:jc w:val="both"/>
        <w:rPr>
          <w:rFonts w:ascii="Times New Roman" w:hAnsi="Times New Roman"/>
          <w:lang w:val="x-none"/>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 xml:space="preserve">Corte Constitucional, </w:t>
      </w:r>
      <w:r w:rsidRPr="007C57D2">
        <w:rPr>
          <w:rFonts w:ascii="Times New Roman" w:hAnsi="Times New Roman"/>
        </w:rPr>
        <w:t>sentencias C-340 de 2024, C-133 de 2022, C-282 de 20</w:t>
      </w:r>
      <w:r w:rsidRPr="007C57D2">
        <w:rPr>
          <w:rFonts w:ascii="Times New Roman" w:hAnsi="Times New Roman"/>
        </w:rPr>
        <w:t xml:space="preserve">21, C-150 de 2015, C-784 de 2014, C-274 de 2013, C-765 y C-540 de 2012, C-748 de 2011, </w:t>
      </w:r>
      <w:r w:rsidRPr="007C57D2">
        <w:rPr>
          <w:rFonts w:ascii="Times New Roman" w:hAnsi="Times New Roman"/>
          <w:lang w:val="x-none"/>
        </w:rPr>
        <w:t>C-713 de 2008</w:t>
      </w:r>
      <w:r w:rsidRPr="007C57D2">
        <w:rPr>
          <w:rFonts w:ascii="Times New Roman" w:hAnsi="Times New Roman"/>
        </w:rPr>
        <w:t xml:space="preserve">, C-502 de 2007, C-238 </w:t>
      </w:r>
      <w:r w:rsidRPr="007C57D2">
        <w:rPr>
          <w:rFonts w:ascii="Times New Roman" w:hAnsi="Times New Roman"/>
          <w:lang w:val="x-none"/>
        </w:rPr>
        <w:t>de 2006</w:t>
      </w:r>
      <w:r w:rsidRPr="007C57D2">
        <w:rPr>
          <w:rFonts w:ascii="Times New Roman" w:hAnsi="Times New Roman"/>
        </w:rPr>
        <w:t xml:space="preserve">, </w:t>
      </w:r>
      <w:r w:rsidRPr="007C57D2">
        <w:rPr>
          <w:rFonts w:ascii="Times New Roman" w:hAnsi="Times New Roman"/>
          <w:lang w:val="x-none"/>
        </w:rPr>
        <w:t>C-1153</w:t>
      </w:r>
      <w:r w:rsidRPr="007C57D2">
        <w:rPr>
          <w:rFonts w:ascii="Times New Roman" w:hAnsi="Times New Roman"/>
        </w:rPr>
        <w:t xml:space="preserve"> y C-473 de 2005, C-307 de 2004, </w:t>
      </w:r>
      <w:r w:rsidRPr="007C57D2">
        <w:rPr>
          <w:rFonts w:ascii="Times New Roman" w:hAnsi="Times New Roman"/>
          <w:lang w:val="x-none"/>
        </w:rPr>
        <w:t>C-292 de 2003</w:t>
      </w:r>
      <w:r w:rsidRPr="007C57D2">
        <w:rPr>
          <w:rFonts w:ascii="Times New Roman" w:hAnsi="Times New Roman"/>
        </w:rPr>
        <w:t xml:space="preserve"> y C-088 y </w:t>
      </w:r>
      <w:r w:rsidRPr="007C57D2">
        <w:rPr>
          <w:rFonts w:ascii="Times New Roman" w:hAnsi="Times New Roman"/>
          <w:lang w:val="x-none"/>
        </w:rPr>
        <w:t>C-011 de 1994</w:t>
      </w:r>
      <w:r w:rsidRPr="007C57D2">
        <w:rPr>
          <w:rFonts w:ascii="Times New Roman" w:hAnsi="Times New Roman"/>
        </w:rPr>
        <w:t>.</w:t>
      </w:r>
      <w:r w:rsidRPr="007C57D2">
        <w:rPr>
          <w:rFonts w:ascii="Times New Roman" w:hAnsi="Times New Roman"/>
          <w:lang w:val="x-none"/>
        </w:rPr>
        <w:t xml:space="preserve"> </w:t>
      </w:r>
    </w:p>
  </w:footnote>
  <w:footnote w:id="7">
    <w:p w:rsidR="00364A7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 la Sentencia C-332 de 2020, la Sala Plen</w:t>
      </w:r>
      <w:r w:rsidRPr="007C57D2">
        <w:rPr>
          <w:rFonts w:ascii="Times New Roman" w:hAnsi="Times New Roman"/>
        </w:rPr>
        <w:t xml:space="preserve">a admitió su competencia “para conocer de la constitucionalidad de leyes estatutarias con posterioridad a la revisión integral que realiza de forma previa a la sanción de la ley, siempre y cuando: (i) se esté en presencia de un vicio de forma frente a los </w:t>
      </w:r>
      <w:r w:rsidRPr="007C57D2">
        <w:rPr>
          <w:rFonts w:ascii="Times New Roman" w:hAnsi="Times New Roman"/>
        </w:rPr>
        <w:t>trámites subsiguientes que debe surtir el proyecto para convertirse en ley; o (ii) se presente una modificación posterior de la Constitución o de la conformación de las normas que integran el bloque de constitucionalidad. En ambos casos, técnicamente, no e</w:t>
      </w:r>
      <w:r w:rsidRPr="007C57D2">
        <w:rPr>
          <w:rFonts w:ascii="Times New Roman" w:hAnsi="Times New Roman"/>
        </w:rPr>
        <w:t xml:space="preserve">xiste cosa juzgada constitucional; en el primero, porque se trata de una irregularidad posterior al control previo y, en el segundo, porque el parámetro de comparación es distinto, lo que permite adelantar un juicio sobre dichas materias”. </w:t>
      </w:r>
    </w:p>
  </w:footnote>
  <w:footnote w:id="8">
    <w:p w:rsidR="00BE01F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w:t>
      </w:r>
      <w:r w:rsidRPr="007C57D2">
        <w:rPr>
          <w:rFonts w:ascii="Times New Roman" w:hAnsi="Times New Roman"/>
        </w:rPr>
        <w:t>s</w:t>
      </w:r>
      <w:r w:rsidRPr="007C57D2">
        <w:rPr>
          <w:rFonts w:ascii="Times New Roman" w:hAnsi="Times New Roman"/>
        </w:rPr>
        <w:t xml:space="preserve"> 2 a 5 del PLE.</w:t>
      </w:r>
    </w:p>
  </w:footnote>
  <w:footnote w:id="9">
    <w:p w:rsidR="00DE0651"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Parágrafo 2 del artículo 10 del PLE.</w:t>
      </w:r>
    </w:p>
  </w:footnote>
  <w:footnote w:id="10">
    <w:p w:rsidR="00BE01F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5 del PLE.</w:t>
      </w:r>
    </w:p>
  </w:footnote>
  <w:footnote w:id="11">
    <w:p w:rsidR="00BE01F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w:t>
      </w:r>
      <w:r w:rsidRPr="007C57D2">
        <w:rPr>
          <w:rFonts w:ascii="Times New Roman" w:hAnsi="Times New Roman"/>
        </w:rPr>
        <w:t>s</w:t>
      </w:r>
      <w:r w:rsidRPr="007C57D2">
        <w:rPr>
          <w:rFonts w:ascii="Times New Roman" w:hAnsi="Times New Roman"/>
        </w:rPr>
        <w:t xml:space="preserve"> 3 y 5 del PLE.</w:t>
      </w:r>
    </w:p>
  </w:footnote>
  <w:footnote w:id="12">
    <w:p w:rsidR="00BE01FD"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Artículo</w:t>
      </w:r>
      <w:r w:rsidRPr="007C57D2">
        <w:rPr>
          <w:rFonts w:ascii="Times New Roman" w:hAnsi="Times New Roman"/>
          <w:lang w:val="es-ES"/>
        </w:rPr>
        <w:t xml:space="preserve">s </w:t>
      </w:r>
      <w:r w:rsidRPr="007C57D2">
        <w:rPr>
          <w:rFonts w:ascii="Times New Roman" w:hAnsi="Times New Roman"/>
          <w:lang w:val="es-ES"/>
        </w:rPr>
        <w:t xml:space="preserve">9 </w:t>
      </w:r>
      <w:r w:rsidRPr="007C57D2">
        <w:rPr>
          <w:rFonts w:ascii="Times New Roman" w:hAnsi="Times New Roman"/>
          <w:lang w:val="es-ES"/>
        </w:rPr>
        <w:t xml:space="preserve">y 10 </w:t>
      </w:r>
      <w:r w:rsidRPr="007C57D2">
        <w:rPr>
          <w:rFonts w:ascii="Times New Roman" w:hAnsi="Times New Roman"/>
          <w:lang w:val="es-ES"/>
        </w:rPr>
        <w:t>del PLE.</w:t>
      </w:r>
    </w:p>
  </w:footnote>
  <w:footnote w:id="13">
    <w:p w:rsidR="00BE01F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5 del PLE.</w:t>
      </w:r>
    </w:p>
  </w:footnote>
  <w:footnote w:id="14">
    <w:p w:rsidR="005F1B1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Parágrafo 1 del artículo 4 del PLE.</w:t>
      </w:r>
    </w:p>
  </w:footnote>
  <w:footnote w:id="15">
    <w:p w:rsidR="005F1B1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6 del PLE.</w:t>
      </w:r>
    </w:p>
  </w:footnote>
  <w:footnote w:id="16">
    <w:p w:rsidR="00DE0651"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Artículos 10 y 11 del PLE.</w:t>
      </w:r>
    </w:p>
  </w:footnote>
  <w:footnote w:id="17">
    <w:p w:rsidR="005F1B1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Artículo 10</w:t>
      </w:r>
      <w:r w:rsidRPr="007C57D2">
        <w:rPr>
          <w:rFonts w:ascii="Times New Roman" w:hAnsi="Times New Roman"/>
        </w:rPr>
        <w:t xml:space="preserve"> del PLE</w:t>
      </w:r>
    </w:p>
  </w:footnote>
  <w:footnote w:id="18">
    <w:p w:rsidR="005F1B1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19">
    <w:p w:rsidR="00DE0651"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Ibidem.</w:t>
      </w:r>
    </w:p>
  </w:footnote>
  <w:footnote w:id="20">
    <w:p w:rsidR="00DE0651"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Ibidem.</w:t>
      </w:r>
    </w:p>
  </w:footnote>
  <w:footnote w:id="21">
    <w:p w:rsidR="00DE0651"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22">
    <w:p w:rsidR="00DE0651"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Ibidem.</w:t>
      </w:r>
    </w:p>
  </w:footnote>
  <w:footnote w:id="23">
    <w:p w:rsidR="003E072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 xml:space="preserve">Corte Constitucional, sentencias C-153 de 2022, C-022 de 2021, C-456 de 2020, C-370 de 2019, CC-484 y C-007 de 2017, C-713 de 2008, C-123 de 2006, C-981 de 2005, C-872 y C-229 de 2003 y C-313 de </w:t>
      </w:r>
      <w:r w:rsidRPr="007C57D2">
        <w:rPr>
          <w:rFonts w:ascii="Times New Roman" w:hAnsi="Times New Roman"/>
        </w:rPr>
        <w:t>1994.</w:t>
      </w:r>
    </w:p>
  </w:footnote>
  <w:footnote w:id="24">
    <w:p w:rsidR="008A359E"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C-278 de 2024, C-334 de 2023, C-212 y C-100 de 2022, C-171 y C-022 de 2021, C-370 de 2019, C-182 de 2010, C-662 de 2009, C-251 de 1998, C-226 y C-145 de 1994.</w:t>
      </w:r>
    </w:p>
  </w:footnote>
  <w:footnote w:id="25">
    <w:p w:rsidR="003E072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C-748 de 2011.</w:t>
      </w:r>
      <w:r w:rsidRPr="007C57D2">
        <w:rPr>
          <w:rFonts w:ascii="Times New Roman" w:hAnsi="Times New Roman"/>
          <w:lang w:val="pt-PT"/>
        </w:rPr>
        <w:t xml:space="preserve"> </w:t>
      </w:r>
      <w:r w:rsidRPr="007C57D2">
        <w:rPr>
          <w:rFonts w:ascii="Times New Roman" w:hAnsi="Times New Roman"/>
        </w:rPr>
        <w:t>Respect</w:t>
      </w:r>
      <w:r w:rsidRPr="007C57D2">
        <w:rPr>
          <w:rFonts w:ascii="Times New Roman" w:hAnsi="Times New Roman"/>
        </w:rPr>
        <w:t xml:space="preserve">o de las excepciones al régimen de protección de los derechos fundamentales, en la Sentencia C-425 de 1994, la Corte indicó que toda aquella regulación que introduzca “límites, restricciones, excepciones y prohibiciones”, que afecten el núcleo esencial de </w:t>
      </w:r>
      <w:r w:rsidRPr="007C57D2">
        <w:rPr>
          <w:rFonts w:ascii="Times New Roman" w:hAnsi="Times New Roman"/>
        </w:rPr>
        <w:t xml:space="preserve">los derechos fundamentales, “únicamente procede, en términos constitucionales, mediante el trámite de ley estatutaria”. Este criterio ha sido reiterado, entre otras, en las sentencias </w:t>
      </w:r>
      <w:r w:rsidRPr="007C57D2">
        <w:rPr>
          <w:rFonts w:ascii="Times New Roman" w:hAnsi="Times New Roman"/>
        </w:rPr>
        <w:t>C-136 de 2024, C-134 de 2023, -022 y C-282 de 2021, C-007 de 2017, C-951</w:t>
      </w:r>
      <w:r w:rsidRPr="007C57D2">
        <w:rPr>
          <w:rFonts w:ascii="Times New Roman" w:hAnsi="Times New Roman"/>
        </w:rPr>
        <w:t xml:space="preserve"> de 2014, C-981 de 2005, C-1338 de 2000, C-251 de 1998, C-374 de 1997 y </w:t>
      </w:r>
      <w:r w:rsidRPr="007C57D2">
        <w:rPr>
          <w:rFonts w:ascii="Times New Roman" w:hAnsi="Times New Roman"/>
        </w:rPr>
        <w:t>C-247 de 1995</w:t>
      </w:r>
      <w:r w:rsidRPr="007C57D2">
        <w:rPr>
          <w:rFonts w:ascii="Times New Roman" w:hAnsi="Times New Roman"/>
        </w:rPr>
        <w:t>.</w:t>
      </w:r>
    </w:p>
  </w:footnote>
  <w:footnote w:id="26">
    <w:p w:rsidR="0080141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 xml:space="preserve">En el mismo sentido, se puede consultar </w:t>
      </w:r>
      <w:r w:rsidRPr="007C57D2">
        <w:rPr>
          <w:rFonts w:ascii="Times New Roman" w:hAnsi="Times New Roman"/>
          <w:shd w:val="clear" w:color="auto" w:fill="FFFFFF"/>
        </w:rPr>
        <w:t>Corte Constitucional, sentencia</w:t>
      </w:r>
      <w:r w:rsidRPr="007C57D2">
        <w:rPr>
          <w:rFonts w:ascii="Times New Roman" w:hAnsi="Times New Roman"/>
          <w:shd w:val="clear" w:color="auto" w:fill="FFFFFF"/>
        </w:rPr>
        <w:t>s</w:t>
      </w:r>
      <w:r w:rsidRPr="007C57D2">
        <w:rPr>
          <w:rFonts w:ascii="Times New Roman" w:hAnsi="Times New Roman"/>
          <w:shd w:val="clear" w:color="auto" w:fill="FFFFFF"/>
        </w:rPr>
        <w:t xml:space="preserve"> </w:t>
      </w:r>
      <w:r w:rsidRPr="007C57D2">
        <w:rPr>
          <w:rFonts w:ascii="Times New Roman" w:hAnsi="Times New Roman"/>
          <w:shd w:val="clear" w:color="auto" w:fill="FFFFFF"/>
        </w:rPr>
        <w:t xml:space="preserve">C-1011 de 2008, C-877 de 2005, C-993 de 2004, C-687 de 2002, C-729 y </w:t>
      </w:r>
      <w:r w:rsidRPr="007C57D2">
        <w:rPr>
          <w:rFonts w:ascii="Times New Roman" w:hAnsi="Times New Roman"/>
          <w:shd w:val="clear" w:color="auto" w:fill="FFFFFF"/>
        </w:rPr>
        <w:t>C-384 de 2000</w:t>
      </w:r>
      <w:r w:rsidRPr="007C57D2">
        <w:rPr>
          <w:rFonts w:ascii="Times New Roman" w:hAnsi="Times New Roman"/>
          <w:shd w:val="clear" w:color="auto" w:fill="FFFFFF"/>
        </w:rPr>
        <w:t xml:space="preserve">, </w:t>
      </w:r>
      <w:r w:rsidRPr="007C57D2">
        <w:rPr>
          <w:rFonts w:ascii="Times New Roman" w:hAnsi="Times New Roman"/>
          <w:shd w:val="clear" w:color="auto" w:fill="FFFFFF"/>
        </w:rPr>
        <w:t xml:space="preserve">C-567 de 1997 </w:t>
      </w:r>
      <w:r w:rsidRPr="007C57D2">
        <w:rPr>
          <w:rFonts w:ascii="Times New Roman" w:hAnsi="Times New Roman"/>
          <w:shd w:val="clear" w:color="auto" w:fill="FFFFFF"/>
        </w:rPr>
        <w:t>y C-008 de 1995</w:t>
      </w:r>
      <w:r w:rsidRPr="007C57D2">
        <w:rPr>
          <w:rFonts w:ascii="Times New Roman" w:hAnsi="Times New Roman"/>
          <w:shd w:val="clear" w:color="auto" w:fill="FFFFFF"/>
        </w:rPr>
        <w:t>.</w:t>
      </w:r>
    </w:p>
  </w:footnote>
  <w:footnote w:id="27">
    <w:p w:rsidR="006C0741"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C-340 de 2024, C-080 y C-018 de 2018, C-540 de 2012, C-778 de 2003, C-295 de 2002, C-114 de 1999, C-600A de 1995 y C-353 de 1994.</w:t>
      </w:r>
    </w:p>
  </w:footnote>
  <w:footnote w:id="28">
    <w:p w:rsidR="006C0741"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C-406 de 2013.</w:t>
      </w:r>
    </w:p>
  </w:footnote>
  <w:footnote w:id="29">
    <w:p w:rsidR="0010270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Escrito de intervención, p. 10.</w:t>
      </w:r>
    </w:p>
  </w:footnote>
  <w:footnote w:id="30">
    <w:p w:rsidR="00384CB1"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Literal g del artículo 3 de la Ley 1581 de 2012.</w:t>
      </w:r>
    </w:p>
  </w:footnote>
  <w:footnote w:id="31">
    <w:p w:rsidR="00E03F87"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C-432 de 2017.</w:t>
      </w:r>
    </w:p>
  </w:footnote>
  <w:footnote w:id="32">
    <w:p w:rsidR="00DC5109"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Los fundamentos jurídicos introductorios de este acápite (53 a 55) son tomados de la Sentencia C-340 de 2024.</w:t>
      </w:r>
    </w:p>
  </w:footnote>
  <w:footnote w:id="33">
    <w:p w:rsidR="00AF7F6A"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rPr>
        <w:t xml:space="preserve">Corte </w:t>
      </w:r>
      <w:r w:rsidRPr="007C57D2">
        <w:rPr>
          <w:rFonts w:ascii="Times New Roman" w:hAnsi="Times New Roman"/>
        </w:rPr>
        <w:t>Constitucional, s</w:t>
      </w:r>
      <w:r w:rsidRPr="007C57D2">
        <w:rPr>
          <w:rFonts w:ascii="Times New Roman" w:hAnsi="Times New Roman"/>
        </w:rPr>
        <w:t>entencias C-134 de 2023, C-133 de 2022, C-282 y C-032 de 2021, C-080 y 018 de 2018, C-379 de 2016, C-150 de 2015, C-951 y C-313 de 2014 y C-274 de 2013, entre otras.</w:t>
      </w:r>
    </w:p>
  </w:footnote>
  <w:footnote w:id="34">
    <w:p w:rsidR="00AF7F6A"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204 de la Ley 5 de 1992.</w:t>
      </w:r>
    </w:p>
  </w:footnote>
  <w:footnote w:id="35">
    <w:p w:rsidR="00AF7F6A"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rPr>
        <w:t xml:space="preserve">Artículos 153 de la Constitución y </w:t>
      </w:r>
      <w:r w:rsidRPr="007C57D2">
        <w:rPr>
          <w:rFonts w:ascii="Times New Roman" w:hAnsi="Times New Roman"/>
        </w:rPr>
        <w:t>117.2 y 119.4 de la Ley 5 de 1992.</w:t>
      </w:r>
    </w:p>
  </w:footnote>
  <w:footnote w:id="36">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Ibidem. Al respecto, también se debe consultar la Sentencia C-133 de 2022.</w:t>
      </w:r>
    </w:p>
  </w:footnote>
  <w:footnote w:id="37">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Artículos 157 de la Constitución y 144 de la Ley 5 de 1992.</w:t>
      </w:r>
    </w:p>
  </w:footnote>
  <w:footnote w:id="38">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2 de la Ley 3 de 1992.</w:t>
      </w:r>
    </w:p>
  </w:footnote>
  <w:footnote w:id="39">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Artículos 163 de la Constitución y 169.2 y 191</w:t>
      </w:r>
      <w:r w:rsidRPr="007C57D2">
        <w:rPr>
          <w:rFonts w:ascii="Times New Roman" w:hAnsi="Times New Roman"/>
          <w:shd w:val="clear" w:color="auto" w:fill="FFFFFF"/>
        </w:rPr>
        <w:t xml:space="preserve"> de la Ley 5 de 1992.</w:t>
      </w:r>
    </w:p>
  </w:footnote>
  <w:footnote w:id="40">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Artículos 160 de la Constitución y 156 y 157 de la Ley 5 de 1992.</w:t>
      </w:r>
    </w:p>
  </w:footnote>
  <w:footnote w:id="41">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160 de la Constitución.</w:t>
      </w:r>
    </w:p>
  </w:footnote>
  <w:footnote w:id="42">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145 de la Constitución.</w:t>
      </w:r>
    </w:p>
  </w:footnote>
  <w:footnote w:id="43">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133 de la Constitución.</w:t>
      </w:r>
    </w:p>
  </w:footnote>
  <w:footnote w:id="44">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Ley 1431 de 2011.</w:t>
      </w:r>
    </w:p>
  </w:footnote>
  <w:footnote w:id="45">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 xml:space="preserve">Artículos 160 de la Constitución y 168 </w:t>
      </w:r>
      <w:r w:rsidRPr="007C57D2">
        <w:rPr>
          <w:rFonts w:ascii="Times New Roman" w:hAnsi="Times New Roman"/>
          <w:shd w:val="clear" w:color="auto" w:fill="FFFFFF"/>
        </w:rPr>
        <w:t>y 183 de la Ley 5 de 1992.</w:t>
      </w:r>
    </w:p>
  </w:footnote>
  <w:footnote w:id="46">
    <w:p w:rsidR="00AF7F6A"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shd w:val="clear" w:color="auto" w:fill="FFFFFF"/>
        </w:rPr>
        <w:t>Artículo 183 de la Ley 5 de 1992.</w:t>
      </w:r>
    </w:p>
  </w:footnote>
  <w:footnote w:id="47">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161 de la Constitución.</w:t>
      </w:r>
    </w:p>
  </w:footnote>
  <w:footnote w:id="48">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lang w:val="es-MX"/>
        </w:rPr>
        <w:t>Ibidem.</w:t>
      </w:r>
    </w:p>
  </w:footnote>
  <w:footnote w:id="49">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Artículos 157, 158, 160 y 169 de la Constitución.</w:t>
      </w:r>
    </w:p>
  </w:footnote>
  <w:footnote w:id="50">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6.1.a del Convenio 169 de la OIT, incorporado al ordenamiento jurídico interno median</w:t>
      </w:r>
      <w:r w:rsidRPr="007C57D2">
        <w:rPr>
          <w:rFonts w:ascii="Times New Roman" w:hAnsi="Times New Roman"/>
          <w:shd w:val="clear" w:color="auto" w:fill="FFFFFF"/>
        </w:rPr>
        <w:t>te la Ley 21 de 1991.</w:t>
      </w:r>
    </w:p>
  </w:footnote>
  <w:footnote w:id="51">
    <w:p w:rsidR="00AF7F6A" w:rsidRPr="007C57D2" w:rsidRDefault="007C57D2" w:rsidP="00F543B3">
      <w:pPr>
        <w:pStyle w:val="Textonotapie"/>
        <w:jc w:val="both"/>
        <w:rPr>
          <w:rFonts w:ascii="Times New Roman" w:hAnsi="Times New Roman"/>
          <w:vertAlign w:val="superscript"/>
          <w:lang w:val="es-ES"/>
        </w:rPr>
      </w:pPr>
      <w:r w:rsidRPr="007C57D2">
        <w:rPr>
          <w:rStyle w:val="Refdenotaalpie"/>
          <w:rFonts w:ascii="Times New Roman" w:hAnsi="Times New Roman"/>
        </w:rPr>
        <w:footnoteRef/>
      </w:r>
      <w:r w:rsidRPr="007C57D2">
        <w:rPr>
          <w:rFonts w:ascii="Times New Roman" w:hAnsi="Times New Roman"/>
          <w:vertAlign w:val="superscript"/>
        </w:rPr>
        <w:t xml:space="preserve"> </w:t>
      </w:r>
      <w:r w:rsidRPr="007C57D2">
        <w:rPr>
          <w:rFonts w:ascii="Times New Roman" w:hAnsi="Times New Roman"/>
          <w:shd w:val="clear" w:color="auto" w:fill="FFFFFF"/>
        </w:rPr>
        <w:t>Artículo 7 de la Ley Orgánica 819 de 2003.</w:t>
      </w:r>
    </w:p>
  </w:footnote>
  <w:footnote w:id="5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Expediente legislativo, </w:t>
      </w:r>
      <w:r w:rsidRPr="007C57D2">
        <w:rPr>
          <w:rFonts w:ascii="Times New Roman" w:hAnsi="Times New Roman"/>
          <w:lang w:val="es-ES_tradnl"/>
        </w:rPr>
        <w:t>p.</w:t>
      </w:r>
      <w:r w:rsidRPr="007C57D2">
        <w:rPr>
          <w:rFonts w:ascii="Times New Roman" w:hAnsi="Times New Roman"/>
          <w:lang w:val="es-ES_tradnl"/>
        </w:rPr>
        <w:t xml:space="preserve"> 4 a 26.</w:t>
      </w:r>
    </w:p>
  </w:footnote>
  <w:footnote w:id="53">
    <w:p w:rsidR="006B3D39"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Inciso 2 del artículo 154 de la Constitución.</w:t>
      </w:r>
    </w:p>
  </w:footnote>
  <w:footnote w:id="54">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1439 de 2023, </w:t>
      </w:r>
      <w:r w:rsidRPr="007C57D2">
        <w:rPr>
          <w:rFonts w:ascii="Times New Roman" w:hAnsi="Times New Roman"/>
          <w:lang w:val="es-ES_tradnl"/>
        </w:rPr>
        <w:t>p.</w:t>
      </w:r>
      <w:r w:rsidRPr="007C57D2">
        <w:rPr>
          <w:rFonts w:ascii="Times New Roman" w:hAnsi="Times New Roman"/>
          <w:lang w:val="es-ES_tradnl"/>
        </w:rPr>
        <w:t xml:space="preserve"> 1 a 7.</w:t>
      </w:r>
    </w:p>
  </w:footnote>
  <w:footnote w:id="5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Expediente legislativo, </w:t>
      </w:r>
      <w:r w:rsidRPr="007C57D2">
        <w:rPr>
          <w:rFonts w:ascii="Times New Roman" w:hAnsi="Times New Roman"/>
          <w:lang w:val="es-ES_tradnl"/>
        </w:rPr>
        <w:t>p.</w:t>
      </w:r>
      <w:r w:rsidRPr="007C57D2">
        <w:rPr>
          <w:rFonts w:ascii="Times New Roman" w:hAnsi="Times New Roman"/>
          <w:lang w:val="es-ES_tradnl"/>
        </w:rPr>
        <w:t xml:space="preserve"> 27 y 28.</w:t>
      </w:r>
    </w:p>
  </w:footnote>
  <w:footnote w:id="5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Ibidem., p. 29.</w:t>
      </w:r>
    </w:p>
  </w:footnote>
  <w:footnote w:id="5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Primer inciso del artículo 150 de la Ley 5 de 1992: “</w:t>
      </w:r>
      <w:r w:rsidRPr="007C57D2">
        <w:rPr>
          <w:rFonts w:ascii="Times New Roman" w:hAnsi="Times New Roman"/>
        </w:rPr>
        <w:t xml:space="preserve">Cada proyecto de ley tendrá un ponente, o varios, si las conveniencias lo aconsejan”. </w:t>
      </w:r>
    </w:p>
  </w:footnote>
  <w:footnote w:id="58">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Artículo 156 de la Ley 5 de 1992.</w:t>
      </w:r>
    </w:p>
  </w:footnote>
  <w:footnote w:id="5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Expediente legislativo, </w:t>
      </w:r>
      <w:r w:rsidRPr="007C57D2">
        <w:rPr>
          <w:rFonts w:ascii="Times New Roman" w:hAnsi="Times New Roman"/>
          <w:lang w:val="es-ES_tradnl"/>
        </w:rPr>
        <w:t>p.</w:t>
      </w:r>
      <w:r w:rsidRPr="007C57D2">
        <w:rPr>
          <w:rFonts w:ascii="Times New Roman" w:hAnsi="Times New Roman"/>
          <w:lang w:val="es-ES_tradnl"/>
        </w:rPr>
        <w:t xml:space="preserve"> 31 a 57.</w:t>
      </w:r>
    </w:p>
  </w:footnote>
  <w:footnote w:id="6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w:t>
      </w:r>
      <w:r w:rsidRPr="007C57D2">
        <w:rPr>
          <w:rFonts w:ascii="Times New Roman" w:hAnsi="Times New Roman"/>
        </w:rPr>
        <w:t xml:space="preserve">.º 1495 del 26 de octubre de 2023, </w:t>
      </w:r>
      <w:r w:rsidRPr="007C57D2">
        <w:rPr>
          <w:rFonts w:ascii="Times New Roman" w:hAnsi="Times New Roman"/>
        </w:rPr>
        <w:t>p.</w:t>
      </w:r>
      <w:r w:rsidRPr="007C57D2">
        <w:rPr>
          <w:rFonts w:ascii="Times New Roman" w:hAnsi="Times New Roman"/>
        </w:rPr>
        <w:t xml:space="preserve"> 1 a 11.</w:t>
      </w:r>
    </w:p>
  </w:footnote>
  <w:footnote w:id="61">
    <w:p w:rsidR="004E3E5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C-340 de 2024.</w:t>
      </w:r>
    </w:p>
  </w:footnote>
  <w:footnote w:id="62">
    <w:p w:rsidR="004E3E5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 </w:t>
      </w:r>
    </w:p>
  </w:footnote>
  <w:footnote w:id="63">
    <w:p w:rsidR="004E3E5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C-133 de 2022.</w:t>
      </w:r>
    </w:p>
  </w:footnote>
  <w:footnote w:id="64">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Gaceta del Congreso </w:t>
      </w:r>
      <w:r w:rsidRPr="007C57D2">
        <w:rPr>
          <w:rFonts w:ascii="Times New Roman" w:hAnsi="Times New Roman"/>
        </w:rPr>
        <w:t>n.º 1682 del 29 de noviembre de 2023,</w:t>
      </w:r>
      <w:r w:rsidRPr="007C57D2">
        <w:rPr>
          <w:rFonts w:ascii="Times New Roman" w:hAnsi="Times New Roman"/>
        </w:rPr>
        <w:t xml:space="preserve"> p</w:t>
      </w:r>
      <w:r w:rsidRPr="007C57D2">
        <w:rPr>
          <w:rFonts w:ascii="Times New Roman" w:hAnsi="Times New Roman"/>
        </w:rPr>
        <w:t xml:space="preserve">. 33, y certificación expedida por la secretaria de la Comisión Primera Constitucional Permanente de la Cámara de Representantes el 3 de diciembre de 2024. </w:t>
      </w:r>
    </w:p>
  </w:footnote>
  <w:footnote w:id="6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Gaceta del Congreso </w:t>
      </w:r>
      <w:r w:rsidRPr="007C57D2">
        <w:rPr>
          <w:rFonts w:ascii="Times New Roman" w:hAnsi="Times New Roman"/>
        </w:rPr>
        <w:t>n.º 1682 del 29 de noviembre de 2023, p. 34.</w:t>
      </w:r>
    </w:p>
  </w:footnote>
  <w:footnote w:id="6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1683 d</w:t>
      </w:r>
      <w:r w:rsidRPr="007C57D2">
        <w:rPr>
          <w:rFonts w:ascii="Times New Roman" w:hAnsi="Times New Roman"/>
        </w:rPr>
        <w:t xml:space="preserve">el 29 de noviembre de 2023, </w:t>
      </w:r>
      <w:r w:rsidRPr="007C57D2">
        <w:rPr>
          <w:rFonts w:ascii="Times New Roman" w:hAnsi="Times New Roman"/>
        </w:rPr>
        <w:t>p.</w:t>
      </w:r>
      <w:r w:rsidRPr="007C57D2">
        <w:rPr>
          <w:rFonts w:ascii="Times New Roman" w:hAnsi="Times New Roman"/>
        </w:rPr>
        <w:t xml:space="preserve"> 23 a 30.</w:t>
      </w:r>
    </w:p>
  </w:footnote>
  <w:footnote w:id="6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De acuerdo con la información publicada en el calendario de sesiones de la Comisión Primera de la Cámara de Representantes, disponible en su</w:t>
      </w:r>
      <w:r w:rsidRPr="007C57D2">
        <w:rPr>
          <w:rFonts w:ascii="Times New Roman" w:hAnsi="Times New Roman"/>
          <w:lang w:val="es-ES_tradnl"/>
        </w:rPr>
        <w:t xml:space="preserve"> p</w:t>
      </w:r>
      <w:r w:rsidRPr="007C57D2">
        <w:rPr>
          <w:rFonts w:ascii="Times New Roman" w:hAnsi="Times New Roman"/>
          <w:lang w:val="es-ES_tradnl"/>
        </w:rPr>
        <w:t>ina web, el punto tercero del orden del día del 8 de noviembre de 2023 i</w:t>
      </w:r>
      <w:r w:rsidRPr="007C57D2">
        <w:rPr>
          <w:rFonts w:ascii="Times New Roman" w:hAnsi="Times New Roman"/>
          <w:lang w:val="es-ES_tradnl"/>
        </w:rPr>
        <w:t>ncluía el proyecto objeto de control. Disponible en: https://www.camara.gov.co/orden-del-dia-196</w:t>
      </w:r>
      <w:r w:rsidRPr="007C57D2">
        <w:rPr>
          <w:rStyle w:val="Hipervnculo"/>
          <w:rFonts w:ascii="Times New Roman" w:hAnsi="Times New Roman"/>
          <w:color w:val="auto"/>
          <w:u w:val="none"/>
          <w:lang w:val="es-ES_tradnl"/>
        </w:rPr>
        <w:t>.</w:t>
      </w:r>
      <w:r w:rsidRPr="007C57D2">
        <w:rPr>
          <w:rFonts w:ascii="Times New Roman" w:hAnsi="Times New Roman"/>
          <w:lang w:val="es-ES_tradnl"/>
        </w:rPr>
        <w:t xml:space="preserve"> </w:t>
      </w:r>
    </w:p>
  </w:footnote>
  <w:footnote w:id="68">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Constitución Política, artículo 145: </w:t>
      </w:r>
      <w:bookmarkStart w:id="19" w:name="145"/>
      <w:bookmarkEnd w:id="19"/>
      <w:r w:rsidRPr="007C57D2">
        <w:rPr>
          <w:rFonts w:ascii="Times New Roman" w:hAnsi="Times New Roman"/>
        </w:rPr>
        <w:t>“El Congreso pleno, las Cámaras y sus comisiones no podrán abrir sesiones ni deliberar con menos de una cuarta parte d</w:t>
      </w:r>
      <w:r w:rsidRPr="007C57D2">
        <w:rPr>
          <w:rFonts w:ascii="Times New Roman" w:hAnsi="Times New Roman"/>
        </w:rPr>
        <w:t>e sus miembros. Las decisiones sólo podrán tomarse con la asistencia de la mayoría de los integrantes de la respectiva corporación, salvo que la Constitución determine un quórum diferente”.</w:t>
      </w:r>
    </w:p>
  </w:footnote>
  <w:footnote w:id="6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Constitución Política, artículo 133: “Los miembros de cuerpos co</w:t>
      </w:r>
      <w:r w:rsidRPr="007C57D2">
        <w:rPr>
          <w:rFonts w:ascii="Times New Roman" w:hAnsi="Times New Roman"/>
        </w:rPr>
        <w:t>legiados de elección directa representan al pueblo, y deberán actuar consultando la justicia y el bien común. El voto de sus miembros será nominal y público, excepto en los casos que determine la ley. El elegido es responsable políticamente ante la socieda</w:t>
      </w:r>
      <w:r w:rsidRPr="007C57D2">
        <w:rPr>
          <w:rFonts w:ascii="Times New Roman" w:hAnsi="Times New Roman"/>
        </w:rPr>
        <w:t>d y frente a sus electores del cumplimiento de las obligaciones propias de su investidura”.</w:t>
      </w:r>
    </w:p>
  </w:footnote>
  <w:footnote w:id="7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Constitución Política, artículo 153: “La aprobación, modificación o derogación de las leyes estatutarias exigirá la mayoría absoluta de los miembros del Congreso </w:t>
      </w:r>
      <w:r w:rsidRPr="007C57D2">
        <w:rPr>
          <w:rFonts w:ascii="Times New Roman" w:hAnsi="Times New Roman"/>
        </w:rPr>
        <w:t>y deberá efectuarse dentro de una sola legislatura”.</w:t>
      </w:r>
      <w:r w:rsidRPr="007C57D2">
        <w:rPr>
          <w:rFonts w:ascii="Times New Roman" w:eastAsia="Calibri" w:hAnsi="Times New Roman"/>
        </w:rPr>
        <w:t xml:space="preserve"> </w:t>
      </w:r>
    </w:p>
  </w:footnote>
  <w:footnote w:id="71">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Corte Constitucional, Sentencia C-133 de 2022, reiterada, entre otras, en la Sentencia C-340 de 2024.</w:t>
      </w:r>
    </w:p>
  </w:footnote>
  <w:footnote w:id="7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Conforme lo prevé el artículo 2º de la Ley 3ª de 1992 son 35 miembros, la Ley 1909 de 2018 asignó uno adicional, la Ley 1921 de 2018 incluyó dos miembros más para los cuatrienios legislativos 2018-2022 y 2022-2026 y Ley 2267 de 2022 asignó tres miembros a</w:t>
      </w:r>
      <w:r w:rsidRPr="007C57D2">
        <w:rPr>
          <w:rFonts w:ascii="Times New Roman" w:hAnsi="Times New Roman"/>
        </w:rPr>
        <w:t>dicionales para los cuatrienios 2022-2026 y 2026-2030.</w:t>
      </w:r>
    </w:p>
  </w:footnote>
  <w:footnote w:id="73">
    <w:p w:rsidR="004852E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shd w:val="clear" w:color="auto" w:fill="FFFFFF"/>
        </w:rPr>
        <w:t>Artículo 116.1 de la Ley 5 de 1992.</w:t>
      </w:r>
    </w:p>
  </w:footnote>
  <w:footnote w:id="74">
    <w:p w:rsidR="004852E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shd w:val="clear" w:color="auto" w:fill="FFFFFF"/>
        </w:rPr>
        <w:t>Artículo 116.2 de la Ley 5 de 1992.</w:t>
      </w:r>
    </w:p>
  </w:footnote>
  <w:footnote w:id="75">
    <w:p w:rsidR="004852E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shd w:val="clear" w:color="auto" w:fill="FFFFFF"/>
        </w:rPr>
        <w:t>Artículo 117.2 de la Ley 5 de 1992.</w:t>
      </w:r>
    </w:p>
  </w:footnote>
  <w:footnote w:id="7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1683 del 29 de noviembre de 2023, </w:t>
      </w:r>
      <w:r w:rsidRPr="007C57D2">
        <w:rPr>
          <w:rFonts w:ascii="Times New Roman" w:hAnsi="Times New Roman"/>
        </w:rPr>
        <w:t>p.</w:t>
      </w:r>
      <w:r w:rsidRPr="007C57D2">
        <w:rPr>
          <w:rFonts w:ascii="Times New Roman" w:hAnsi="Times New Roman"/>
        </w:rPr>
        <w:t xml:space="preserve"> 1 y 2.</w:t>
      </w:r>
    </w:p>
  </w:footnote>
  <w:footnote w:id="77">
    <w:p w:rsidR="004E3E5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 </w:t>
      </w:r>
      <w:r w:rsidRPr="007C57D2">
        <w:rPr>
          <w:rFonts w:ascii="Times New Roman" w:hAnsi="Times New Roman"/>
          <w:lang w:val="pt-PT"/>
        </w:rPr>
        <w:t>p.</w:t>
      </w:r>
      <w:r w:rsidRPr="007C57D2">
        <w:rPr>
          <w:rFonts w:ascii="Times New Roman" w:hAnsi="Times New Roman"/>
          <w:lang w:val="pt-PT"/>
        </w:rPr>
        <w:t xml:space="preserve"> 23 y 24.</w:t>
      </w:r>
    </w:p>
  </w:footnote>
  <w:footnote w:id="78">
    <w:p w:rsidR="00041F0D"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w:t>
      </w:r>
    </w:p>
  </w:footnote>
  <w:footnote w:id="79">
    <w:p w:rsidR="004E3E5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 </w:t>
      </w:r>
      <w:r w:rsidRPr="007C57D2">
        <w:rPr>
          <w:rFonts w:ascii="Times New Roman" w:hAnsi="Times New Roman"/>
          <w:lang w:val="pt-PT"/>
        </w:rPr>
        <w:t>p.</w:t>
      </w:r>
      <w:r w:rsidRPr="007C57D2">
        <w:rPr>
          <w:rFonts w:ascii="Times New Roman" w:hAnsi="Times New Roman"/>
          <w:lang w:val="pt-PT"/>
        </w:rPr>
        <w:t xml:space="preserve"> 26.</w:t>
      </w:r>
    </w:p>
  </w:footnote>
  <w:footnote w:id="80">
    <w:p w:rsidR="004852E0"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PT"/>
        </w:rPr>
        <w:t>Ibidem.</w:t>
      </w:r>
    </w:p>
  </w:footnote>
  <w:footnote w:id="81">
    <w:p w:rsidR="004E3E5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 </w:t>
      </w:r>
      <w:r w:rsidRPr="007C57D2">
        <w:rPr>
          <w:rFonts w:ascii="Times New Roman" w:hAnsi="Times New Roman"/>
          <w:lang w:val="pt-PT"/>
        </w:rPr>
        <w:t>p.</w:t>
      </w:r>
      <w:r w:rsidRPr="007C57D2">
        <w:rPr>
          <w:rFonts w:ascii="Times New Roman" w:hAnsi="Times New Roman"/>
          <w:lang w:val="pt-PT"/>
        </w:rPr>
        <w:t xml:space="preserve"> 29.</w:t>
      </w:r>
    </w:p>
  </w:footnote>
  <w:footnote w:id="82">
    <w:p w:rsidR="00041F0D"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w:t>
      </w:r>
    </w:p>
  </w:footnote>
  <w:footnote w:id="83">
    <w:p w:rsidR="00966D56"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Expediente legislativo, </w:t>
      </w:r>
      <w:r w:rsidRPr="007C57D2">
        <w:rPr>
          <w:rFonts w:ascii="Times New Roman" w:hAnsi="Times New Roman"/>
          <w:lang w:val="pt-PT"/>
        </w:rPr>
        <w:t>p.</w:t>
      </w:r>
      <w:r w:rsidRPr="007C57D2">
        <w:rPr>
          <w:rFonts w:ascii="Times New Roman" w:hAnsi="Times New Roman"/>
          <w:lang w:val="pt-PT"/>
        </w:rPr>
        <w:t xml:space="preserve"> 73 a 93.</w:t>
      </w:r>
    </w:p>
  </w:footnote>
  <w:footnote w:id="84">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Ibidem., p. 30.</w:t>
      </w:r>
    </w:p>
  </w:footnote>
  <w:footnote w:id="85">
    <w:p w:rsidR="00041F0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Ibidem.</w:t>
      </w:r>
    </w:p>
  </w:footnote>
  <w:footnote w:id="8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1675 del 28 de noviembre de 2023, </w:t>
      </w:r>
      <w:r w:rsidRPr="007C57D2">
        <w:rPr>
          <w:rFonts w:ascii="Times New Roman" w:hAnsi="Times New Roman"/>
        </w:rPr>
        <w:t>p.</w:t>
      </w:r>
      <w:r w:rsidRPr="007C57D2">
        <w:rPr>
          <w:rFonts w:ascii="Times New Roman" w:hAnsi="Times New Roman"/>
        </w:rPr>
        <w:t xml:space="preserve"> 16 a 18.</w:t>
      </w:r>
    </w:p>
  </w:footnote>
  <w:footnote w:id="8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1683 del 29 de noviembre de 2023, p. 30.</w:t>
      </w:r>
    </w:p>
  </w:footnote>
  <w:footnote w:id="88">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1675 del 28 de noviembre de 2023, </w:t>
      </w:r>
      <w:r w:rsidRPr="007C57D2">
        <w:rPr>
          <w:rFonts w:ascii="Times New Roman" w:hAnsi="Times New Roman"/>
        </w:rPr>
        <w:t>p.</w:t>
      </w:r>
      <w:r w:rsidRPr="007C57D2">
        <w:rPr>
          <w:rFonts w:ascii="Times New Roman" w:hAnsi="Times New Roman"/>
        </w:rPr>
        <w:t xml:space="preserve"> 8 a 16.</w:t>
      </w:r>
    </w:p>
  </w:footnote>
  <w:footnote w:id="8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1052 del 26 de julio de 2024, p. 76.</w:t>
      </w:r>
    </w:p>
  </w:footnote>
  <w:footnote w:id="9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Información certificada por el secretario general de l</w:t>
      </w:r>
      <w:r w:rsidRPr="007C57D2">
        <w:rPr>
          <w:rFonts w:ascii="Times New Roman" w:hAnsi="Times New Roman"/>
          <w:lang w:val="es-ES_tradnl"/>
        </w:rPr>
        <w:t>a Cámara de Representantes mediante oficio del 18 de diciembre de 2024.</w:t>
      </w:r>
    </w:p>
  </w:footnote>
  <w:footnote w:id="91">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31 a 58.</w:t>
      </w:r>
    </w:p>
  </w:footnote>
  <w:footnote w:id="9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Información certificada por el secretario general de la Cámara de Representantes mediante oficio del 18 de </w:t>
      </w:r>
      <w:r w:rsidRPr="007C57D2">
        <w:rPr>
          <w:rFonts w:ascii="Times New Roman" w:hAnsi="Times New Roman"/>
          <w:lang w:val="es-ES_tradnl"/>
        </w:rPr>
        <w:t>diciembre de 2024.</w:t>
      </w:r>
    </w:p>
  </w:footnote>
  <w:footnote w:id="93">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Decreto 1066 de 2015, artículo 2.3.1.3.6.</w:t>
      </w:r>
    </w:p>
  </w:footnote>
  <w:footnote w:id="94">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Ley 5 de 1991, artículo 116, numeral 1.</w:t>
      </w:r>
    </w:p>
  </w:footnote>
  <w:footnote w:id="9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Ley 5 de 1991, artículo 116, numeral 2.</w:t>
      </w:r>
    </w:p>
  </w:footnote>
  <w:footnote w:id="9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Información certificada por el secretario general de la Cámara de Representantes mediante oficio del 18 de </w:t>
      </w:r>
      <w:r w:rsidRPr="007C57D2">
        <w:rPr>
          <w:rFonts w:ascii="Times New Roman" w:hAnsi="Times New Roman"/>
          <w:lang w:val="es-ES_tradnl"/>
        </w:rPr>
        <w:t>diciembre de 2024.</w:t>
      </w:r>
    </w:p>
  </w:footnote>
  <w:footnote w:id="9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Expediente digital, oficio SG.2-2379/2924 del 3 de diciembre de 2024.</w:t>
      </w:r>
    </w:p>
  </w:footnote>
  <w:footnote w:id="98">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3 a 5.</w:t>
      </w:r>
    </w:p>
  </w:footnote>
  <w:footnote w:id="9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Veinticinco (25) de los votos por el SÍ fueron manuales. El voto del representante Heráclito Lan</w:t>
      </w:r>
      <w:r w:rsidRPr="007C57D2">
        <w:rPr>
          <w:rFonts w:ascii="Times New Roman" w:hAnsi="Times New Roman"/>
        </w:rPr>
        <w:t>dínez Suárez, inicialmente contabilizado como manual, fue corregido al constatarse que había sido electrónico.</w:t>
      </w:r>
    </w:p>
  </w:footnote>
  <w:footnote w:id="10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33 y 34.</w:t>
      </w:r>
    </w:p>
  </w:footnote>
  <w:footnote w:id="101">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registro de los votos electrónicos y manuales consta en la Gaceta del C</w:t>
      </w:r>
      <w:r w:rsidRPr="007C57D2">
        <w:rPr>
          <w:rFonts w:ascii="Times New Roman" w:hAnsi="Times New Roman"/>
        </w:rPr>
        <w:t>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44 y 45.</w:t>
      </w:r>
    </w:p>
  </w:footnote>
  <w:footnote w:id="102">
    <w:p w:rsidR="000A608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w:t>
      </w:r>
    </w:p>
  </w:footnote>
  <w:footnote w:id="103">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registro de los votos electrónicos y manuales consta en la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46 y 47.</w:t>
      </w:r>
    </w:p>
  </w:footnote>
  <w:footnote w:id="104">
    <w:p w:rsidR="000A608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w:t>
      </w:r>
    </w:p>
  </w:footnote>
  <w:footnote w:id="10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registro de los votos electrónicos y manuales consta en la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48 y 49.</w:t>
      </w:r>
    </w:p>
  </w:footnote>
  <w:footnote w:id="10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registro de los votos electrónicos y manuales consta en la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50 y</w:t>
      </w:r>
      <w:r w:rsidRPr="007C57D2">
        <w:rPr>
          <w:rFonts w:ascii="Times New Roman" w:hAnsi="Times New Roman"/>
        </w:rPr>
        <w:t xml:space="preserve"> 51.</w:t>
      </w:r>
    </w:p>
  </w:footnote>
  <w:footnote w:id="10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registro de los votos electrónicos y manuales consta en la Gaceta del Congreso n.º</w:t>
      </w:r>
      <w:r w:rsidRPr="007C57D2">
        <w:rPr>
          <w:rFonts w:ascii="Times New Roman" w:hAnsi="Times New Roman"/>
          <w:b/>
          <w:bCs/>
        </w:rPr>
        <w:t xml:space="preserve"> </w:t>
      </w:r>
      <w:r w:rsidRPr="007C57D2">
        <w:rPr>
          <w:rFonts w:ascii="Times New Roman" w:hAnsi="Times New Roman"/>
        </w:rPr>
        <w:t xml:space="preserve">1211 del 28 de agosto de 2024, </w:t>
      </w:r>
      <w:r w:rsidRPr="007C57D2">
        <w:rPr>
          <w:rFonts w:ascii="Times New Roman" w:hAnsi="Times New Roman"/>
        </w:rPr>
        <w:t>p.</w:t>
      </w:r>
      <w:r w:rsidRPr="007C57D2">
        <w:rPr>
          <w:rFonts w:ascii="Times New Roman" w:hAnsi="Times New Roman"/>
        </w:rPr>
        <w:t xml:space="preserve"> 54 y 55.</w:t>
      </w:r>
    </w:p>
  </w:footnote>
  <w:footnote w:id="108">
    <w:p w:rsidR="000A608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10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registro de los votos electrónicos y manuales consta en la Gaceta del Congreso n.º</w:t>
      </w:r>
      <w:r w:rsidRPr="007C57D2">
        <w:rPr>
          <w:rFonts w:ascii="Times New Roman" w:hAnsi="Times New Roman"/>
          <w:b/>
          <w:bCs/>
        </w:rPr>
        <w:t xml:space="preserve"> </w:t>
      </w:r>
      <w:r w:rsidRPr="007C57D2">
        <w:rPr>
          <w:rFonts w:ascii="Times New Roman" w:hAnsi="Times New Roman"/>
        </w:rPr>
        <w:t xml:space="preserve">1211 del 28 de agosto </w:t>
      </w:r>
      <w:r w:rsidRPr="007C57D2">
        <w:rPr>
          <w:rFonts w:ascii="Times New Roman" w:hAnsi="Times New Roman"/>
        </w:rPr>
        <w:t xml:space="preserve">de 2024, </w:t>
      </w:r>
      <w:r w:rsidRPr="007C57D2">
        <w:rPr>
          <w:rFonts w:ascii="Times New Roman" w:hAnsi="Times New Roman"/>
        </w:rPr>
        <w:t>p.</w:t>
      </w:r>
      <w:r w:rsidRPr="007C57D2">
        <w:rPr>
          <w:rFonts w:ascii="Times New Roman" w:hAnsi="Times New Roman"/>
        </w:rPr>
        <w:t xml:space="preserve"> 56 y 57.</w:t>
      </w:r>
    </w:p>
  </w:footnote>
  <w:footnote w:id="11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567 del 10 de mayo de 2024, </w:t>
      </w:r>
      <w:r w:rsidRPr="007C57D2">
        <w:rPr>
          <w:rFonts w:ascii="Times New Roman" w:hAnsi="Times New Roman"/>
        </w:rPr>
        <w:t>p.</w:t>
      </w:r>
      <w:r w:rsidRPr="007C57D2">
        <w:rPr>
          <w:rFonts w:ascii="Times New Roman" w:hAnsi="Times New Roman"/>
        </w:rPr>
        <w:t xml:space="preserve"> 29 a 33.</w:t>
      </w:r>
    </w:p>
  </w:footnote>
  <w:footnote w:id="111">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Expediente legislativo, </w:t>
      </w:r>
      <w:r w:rsidRPr="007C57D2">
        <w:rPr>
          <w:rFonts w:ascii="Times New Roman" w:hAnsi="Times New Roman"/>
          <w:lang w:val="es-ES_tradnl"/>
        </w:rPr>
        <w:t>p.</w:t>
      </w:r>
      <w:r w:rsidRPr="007C57D2">
        <w:rPr>
          <w:rFonts w:ascii="Times New Roman" w:hAnsi="Times New Roman"/>
          <w:lang w:val="es-ES_tradnl"/>
        </w:rPr>
        <w:t xml:space="preserve"> 401 y 402.</w:t>
      </w:r>
    </w:p>
  </w:footnote>
  <w:footnote w:id="11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Ibidem., p</w:t>
      </w:r>
      <w:r w:rsidRPr="007C57D2">
        <w:rPr>
          <w:rFonts w:ascii="Times New Roman" w:hAnsi="Times New Roman"/>
        </w:rPr>
        <w:t>.</w:t>
      </w:r>
      <w:r w:rsidRPr="007C57D2">
        <w:rPr>
          <w:rFonts w:ascii="Times New Roman" w:hAnsi="Times New Roman"/>
        </w:rPr>
        <w:t xml:space="preserve"> 404.</w:t>
      </w:r>
    </w:p>
  </w:footnote>
  <w:footnote w:id="113">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Primer inciso del artículo 150 de la Ley 5 de 1992: “</w:t>
      </w:r>
      <w:r w:rsidRPr="007C57D2">
        <w:rPr>
          <w:rFonts w:ascii="Times New Roman" w:hAnsi="Times New Roman"/>
        </w:rPr>
        <w:t xml:space="preserve">Cada proyecto de ley tendrá un ponente, o varios, si las conveniencias lo aconsejan”. </w:t>
      </w:r>
    </w:p>
  </w:footnote>
  <w:footnote w:id="114">
    <w:p w:rsidR="005B1FE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El informe de ponencia expone </w:t>
      </w:r>
      <w:r w:rsidRPr="007C57D2">
        <w:rPr>
          <w:rFonts w:ascii="Times New Roman" w:hAnsi="Times New Roman"/>
        </w:rPr>
        <w:t>el objeto de la iniciativa, su trámite, justificación, pliego de modificaciones, marco normativo, conflicto de intereses y proposición. A</w:t>
      </w:r>
      <w:r w:rsidRPr="007C57D2">
        <w:rPr>
          <w:rFonts w:ascii="Times New Roman" w:hAnsi="Times New Roman"/>
        </w:rPr>
        <w:t xml:space="preserve">demás, incorpora un capítulo relativo al impacto fiscal. </w:t>
      </w:r>
    </w:p>
  </w:footnote>
  <w:footnote w:id="11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625 del 21 de mayo de 2024, </w:t>
      </w:r>
      <w:r w:rsidRPr="007C57D2">
        <w:rPr>
          <w:rFonts w:ascii="Times New Roman" w:hAnsi="Times New Roman"/>
        </w:rPr>
        <w:t>p.</w:t>
      </w:r>
      <w:r w:rsidRPr="007C57D2">
        <w:rPr>
          <w:rFonts w:ascii="Times New Roman" w:hAnsi="Times New Roman"/>
        </w:rPr>
        <w:t xml:space="preserve"> 2 a 13.</w:t>
      </w:r>
    </w:p>
  </w:footnote>
  <w:footnote w:id="11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Acta 50 del 28 de mayo de 2024, publicada en la </w:t>
      </w:r>
      <w:r w:rsidRPr="007C57D2">
        <w:rPr>
          <w:rFonts w:ascii="Times New Roman" w:hAnsi="Times New Roman"/>
        </w:rPr>
        <w:t xml:space="preserve">Gaceta del Congreso n.º 1366 del 11 de septiembre de 2024, </w:t>
      </w:r>
      <w:r w:rsidRPr="007C57D2">
        <w:rPr>
          <w:rFonts w:ascii="Times New Roman" w:hAnsi="Times New Roman"/>
        </w:rPr>
        <w:t>p.</w:t>
      </w:r>
      <w:r w:rsidRPr="007C57D2">
        <w:rPr>
          <w:rFonts w:ascii="Times New Roman" w:hAnsi="Times New Roman"/>
        </w:rPr>
        <w:t xml:space="preserve"> 9 a 19.</w:t>
      </w:r>
    </w:p>
  </w:footnote>
  <w:footnote w:id="117">
    <w:p w:rsidR="00360B2D"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Ver certificación expedida por la secretaria general de la Comisión Primera del Senado de la República, Yuri Lineth Sierra Torres, el 4 de marzo de 2024 (Expediente digital, informe de pruebas de 19 de diciembre de 2024, p. 13).</w:t>
      </w:r>
    </w:p>
  </w:footnote>
  <w:footnote w:id="118">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señor Rodolfo Hernánd</w:t>
      </w:r>
      <w:r w:rsidRPr="007C57D2">
        <w:rPr>
          <w:rFonts w:ascii="Times New Roman" w:hAnsi="Times New Roman"/>
        </w:rPr>
        <w:t xml:space="preserve">ez Suárez ocupó una curul en el Senado en virtud de lo dispuesto en el inciso cuatro del artículo 112 de la Constitución, a cuyo tenor </w:t>
      </w:r>
      <w:r w:rsidRPr="007C57D2">
        <w:rPr>
          <w:rFonts w:ascii="Times New Roman" w:hAnsi="Times New Roman"/>
        </w:rPr>
        <w:t>“</w:t>
      </w:r>
      <w:r w:rsidRPr="007C57D2">
        <w:rPr>
          <w:rFonts w:ascii="Times New Roman" w:hAnsi="Times New Roman"/>
        </w:rPr>
        <w:t xml:space="preserve">[e]l candidato que le siga en votos a quien la autoridad electoral declare elegido en el cargo de presidente […] tendrá </w:t>
      </w:r>
      <w:r w:rsidRPr="007C57D2">
        <w:rPr>
          <w:rFonts w:ascii="Times New Roman" w:hAnsi="Times New Roman"/>
        </w:rPr>
        <w:t>el derecho personal a ocupar una curul en el Senado, […] durante el período de la correspondiente corporación</w:t>
      </w:r>
      <w:r w:rsidRPr="007C57D2">
        <w:rPr>
          <w:rFonts w:ascii="Times New Roman" w:hAnsi="Times New Roman"/>
        </w:rPr>
        <w:t>”</w:t>
      </w:r>
      <w:r w:rsidRPr="007C57D2">
        <w:rPr>
          <w:rFonts w:ascii="Times New Roman" w:hAnsi="Times New Roman"/>
        </w:rPr>
        <w:t>. En consecuencia, luego de que renunció a partir del 25 de octubre de 2022, y dado que se trata de un derecho personal, esta falta absoluta no fu</w:t>
      </w:r>
      <w:r w:rsidRPr="007C57D2">
        <w:rPr>
          <w:rFonts w:ascii="Times New Roman" w:hAnsi="Times New Roman"/>
        </w:rPr>
        <w:t>e proveída.</w:t>
      </w:r>
    </w:p>
  </w:footnote>
  <w:footnote w:id="11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Ley 5 de 1992, artículo 116.1: “cuarta parte de los miembros de la respectiva corporación o comisión permanente”.</w:t>
      </w:r>
    </w:p>
  </w:footnote>
  <w:footnote w:id="12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Ley 5 de 1992, artículo 116.2: “mayoría de los integrantes de la respectiva corporación”.</w:t>
      </w:r>
    </w:p>
  </w:footnote>
  <w:footnote w:id="121">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Ley 5 de 1992, artículo 117.2: la </w:t>
      </w:r>
      <w:r w:rsidRPr="007C57D2">
        <w:rPr>
          <w:rFonts w:ascii="Times New Roman" w:hAnsi="Times New Roman"/>
        </w:rPr>
        <w:t>mayoría “de los votos de los integrantes”.</w:t>
      </w:r>
    </w:p>
  </w:footnote>
  <w:footnote w:id="12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1366 del 11 de septiembre de 2024</w:t>
      </w:r>
      <w:r w:rsidRPr="007C57D2">
        <w:rPr>
          <w:rFonts w:ascii="Times New Roman" w:hAnsi="Times New Roman"/>
        </w:rPr>
        <w:t xml:space="preserve"> (</w:t>
      </w:r>
      <w:r w:rsidRPr="007C57D2">
        <w:rPr>
          <w:rFonts w:ascii="Times New Roman" w:hAnsi="Times New Roman"/>
        </w:rPr>
        <w:t>p. 1</w:t>
      </w:r>
      <w:r w:rsidRPr="007C57D2">
        <w:rPr>
          <w:rFonts w:ascii="Times New Roman" w:hAnsi="Times New Roman"/>
        </w:rPr>
        <w:t xml:space="preserve">) </w:t>
      </w:r>
      <w:r w:rsidRPr="007C57D2">
        <w:rPr>
          <w:rFonts w:ascii="Times New Roman" w:hAnsi="Times New Roman"/>
        </w:rPr>
        <w:t xml:space="preserve">y certificación expedida por la secretaria general de la Comisión Primera del Senado de la República, Yuri Lineth Sierra Torres, el 4 de marzo de </w:t>
      </w:r>
      <w:r w:rsidRPr="007C57D2">
        <w:rPr>
          <w:rFonts w:ascii="Times New Roman" w:hAnsi="Times New Roman"/>
        </w:rPr>
        <w:t>2024 (Expediente digital, informe de pruebas de 19 de diciembre de 2024</w:t>
      </w:r>
      <w:r w:rsidRPr="007C57D2">
        <w:rPr>
          <w:rFonts w:ascii="Times New Roman" w:hAnsi="Times New Roman"/>
        </w:rPr>
        <w:t>, p. 13</w:t>
      </w:r>
      <w:r w:rsidRPr="007C57D2">
        <w:rPr>
          <w:rFonts w:ascii="Times New Roman" w:hAnsi="Times New Roman"/>
        </w:rPr>
        <w:t xml:space="preserve">). </w:t>
      </w:r>
    </w:p>
  </w:footnote>
  <w:footnote w:id="123">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1366 del 11 de septiembre de 2024, </w:t>
      </w:r>
      <w:r w:rsidRPr="007C57D2">
        <w:rPr>
          <w:rFonts w:ascii="Times New Roman" w:hAnsi="Times New Roman"/>
        </w:rPr>
        <w:t>p.</w:t>
      </w:r>
      <w:r w:rsidRPr="007C57D2">
        <w:rPr>
          <w:rFonts w:ascii="Times New Roman" w:hAnsi="Times New Roman"/>
        </w:rPr>
        <w:t xml:space="preserve"> 9 y 10.</w:t>
      </w:r>
    </w:p>
  </w:footnote>
  <w:footnote w:id="124">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Ver certificación expedida por la secretaria general de la Comisión Primera del Senado de la Repúbli</w:t>
      </w:r>
      <w:r w:rsidRPr="007C57D2">
        <w:rPr>
          <w:rFonts w:ascii="Times New Roman" w:hAnsi="Times New Roman"/>
        </w:rPr>
        <w:t>ca, Yuri Lineth Sierra Torres, el 4 de marzo de 2024.</w:t>
      </w:r>
    </w:p>
  </w:footnote>
  <w:footnote w:id="12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1366 del 11 de septiembre de 2024</w:t>
      </w:r>
      <w:r w:rsidRPr="007C57D2">
        <w:rPr>
          <w:rFonts w:ascii="Times New Roman" w:hAnsi="Times New Roman"/>
        </w:rPr>
        <w:t xml:space="preserve"> (</w:t>
      </w:r>
      <w:r w:rsidRPr="007C57D2">
        <w:rPr>
          <w:rFonts w:ascii="Times New Roman" w:hAnsi="Times New Roman"/>
        </w:rPr>
        <w:t>p.</w:t>
      </w:r>
      <w:r w:rsidRPr="007C57D2">
        <w:rPr>
          <w:rFonts w:ascii="Times New Roman" w:hAnsi="Times New Roman"/>
        </w:rPr>
        <w:t xml:space="preserve"> 10 a 15</w:t>
      </w:r>
      <w:r w:rsidRPr="007C57D2">
        <w:rPr>
          <w:rFonts w:ascii="Times New Roman" w:hAnsi="Times New Roman"/>
        </w:rPr>
        <w:t xml:space="preserve">) y certificación expedida por la secretaria general de la Comisión Primera del Senado de la República, Yuri Lineth Sierra Torres, </w:t>
      </w:r>
      <w:r w:rsidRPr="007C57D2">
        <w:rPr>
          <w:rFonts w:ascii="Times New Roman" w:hAnsi="Times New Roman"/>
        </w:rPr>
        <w:t xml:space="preserve">el 4 de marzo de 2024 (Expediente digital, informe de pruebas de 19 de diciembre de 2024, </w:t>
      </w:r>
      <w:r w:rsidRPr="007C57D2">
        <w:rPr>
          <w:rFonts w:ascii="Times New Roman" w:hAnsi="Times New Roman"/>
        </w:rPr>
        <w:t>p.</w:t>
      </w:r>
      <w:r w:rsidRPr="007C57D2">
        <w:rPr>
          <w:rFonts w:ascii="Times New Roman" w:hAnsi="Times New Roman"/>
        </w:rPr>
        <w:t xml:space="preserve"> 15 a 33)</w:t>
      </w:r>
      <w:r w:rsidRPr="007C57D2">
        <w:rPr>
          <w:rFonts w:ascii="Times New Roman" w:hAnsi="Times New Roman"/>
        </w:rPr>
        <w:t>. A diferencia de la Cámara de Representantes, en</w:t>
      </w:r>
      <w:r w:rsidRPr="007C57D2">
        <w:rPr>
          <w:rFonts w:ascii="Times New Roman" w:hAnsi="Times New Roman"/>
        </w:rPr>
        <w:t xml:space="preserve"> esta oportunidad </w:t>
      </w:r>
      <w:r w:rsidRPr="007C57D2">
        <w:rPr>
          <w:rFonts w:ascii="Times New Roman" w:hAnsi="Times New Roman"/>
        </w:rPr>
        <w:t xml:space="preserve">las proposiciones fueron numeradas. </w:t>
      </w:r>
    </w:p>
  </w:footnote>
  <w:footnote w:id="12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Según consta en el acta, el pliego de modificaciones comprendió: el artículo 1º en el texto del pliego; el artículo 2º con la modificación de las proposiciones 206 (senador De la Calle) y 207 (senador Chacón); el artículo 3º con la proposición 208 (senado</w:t>
      </w:r>
      <w:r w:rsidRPr="007C57D2">
        <w:rPr>
          <w:rFonts w:ascii="Times New Roman" w:hAnsi="Times New Roman"/>
        </w:rPr>
        <w:t>r Chacón); el artículo 4º con la proposición 209 (senador Chacón); el artículo 5º con la proposición 210 (senador Chacón); el artículo 6º con las proposiciones 211 (senador De la Calle) y 212 (senador Chacón); el artículo 7º en el texto del pliego; el artí</w:t>
      </w:r>
      <w:r w:rsidRPr="007C57D2">
        <w:rPr>
          <w:rFonts w:ascii="Times New Roman" w:hAnsi="Times New Roman"/>
        </w:rPr>
        <w:t>culo 8º con la proposición 213 (senador Chacón); el artículo 9º con la proposición 214 (senador Chacón); el artículo 10 en el texto del pliego; el artículo 11 con la proposición 215 (senador Chacón); el artículo 12 en el texto del pliego; el artículo 13 co</w:t>
      </w:r>
      <w:r w:rsidRPr="007C57D2">
        <w:rPr>
          <w:rFonts w:ascii="Times New Roman" w:hAnsi="Times New Roman"/>
        </w:rPr>
        <w:t>n la proposición 216 (senador Chacón), y los artículos 14 y 15 en el texto del pliego.</w:t>
      </w:r>
    </w:p>
  </w:footnote>
  <w:footnote w:id="12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1366 del 11 de septiembre de 2024, p. 15.</w:t>
      </w:r>
    </w:p>
  </w:footnote>
  <w:footnote w:id="128">
    <w:p w:rsidR="005B1FE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129">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Ver certificación expedida por la secretaria general de la Comisión Primera del Senado de</w:t>
      </w:r>
      <w:r w:rsidRPr="007C57D2">
        <w:rPr>
          <w:rFonts w:ascii="Times New Roman" w:hAnsi="Times New Roman"/>
        </w:rPr>
        <w:t xml:space="preserve"> la República, Yuri Lineth Sierra Torres, el 4 de marzo de 2024 (Expediente digital, informe de pruebas de 19 de diciembre de 2024).</w:t>
      </w:r>
    </w:p>
  </w:footnote>
  <w:footnote w:id="13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Ibidem., </w:t>
      </w:r>
      <w:r w:rsidRPr="007C57D2">
        <w:rPr>
          <w:rFonts w:ascii="Times New Roman" w:hAnsi="Times New Roman"/>
        </w:rPr>
        <w:t>p.</w:t>
      </w:r>
      <w:r w:rsidRPr="007C57D2">
        <w:rPr>
          <w:rFonts w:ascii="Times New Roman" w:hAnsi="Times New Roman"/>
        </w:rPr>
        <w:t xml:space="preserve"> 16 y 16.</w:t>
      </w:r>
    </w:p>
  </w:footnote>
  <w:footnote w:id="131">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759 del 5 de junio de 2024, </w:t>
      </w:r>
      <w:r w:rsidRPr="007C57D2">
        <w:rPr>
          <w:rFonts w:ascii="Times New Roman" w:hAnsi="Times New Roman"/>
        </w:rPr>
        <w:t>p.</w:t>
      </w:r>
      <w:r w:rsidRPr="007C57D2">
        <w:rPr>
          <w:rFonts w:ascii="Times New Roman" w:hAnsi="Times New Roman"/>
        </w:rPr>
        <w:t xml:space="preserve"> 9 a 11.</w:t>
      </w:r>
    </w:p>
  </w:footnote>
  <w:footnote w:id="13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1366 del </w:t>
      </w:r>
      <w:r w:rsidRPr="007C57D2">
        <w:rPr>
          <w:rFonts w:ascii="Times New Roman" w:hAnsi="Times New Roman"/>
        </w:rPr>
        <w:t>11 de septiembre de 2024, p. 18.</w:t>
      </w:r>
    </w:p>
  </w:footnote>
  <w:footnote w:id="133">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759 del 5 de junio de 2024, </w:t>
      </w:r>
      <w:r w:rsidRPr="007C57D2">
        <w:rPr>
          <w:rFonts w:ascii="Times New Roman" w:hAnsi="Times New Roman"/>
        </w:rPr>
        <w:t>p.</w:t>
      </w:r>
      <w:r w:rsidRPr="007C57D2">
        <w:rPr>
          <w:rFonts w:ascii="Times New Roman" w:hAnsi="Times New Roman"/>
        </w:rPr>
        <w:t xml:space="preserve"> 1 a 8.</w:t>
      </w:r>
    </w:p>
  </w:footnote>
  <w:footnote w:id="134">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13 del 28 de enero de 2025, p. 38.</w:t>
      </w:r>
    </w:p>
  </w:footnote>
  <w:footnote w:id="13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w:t>
      </w:r>
      <w:r w:rsidRPr="007C57D2">
        <w:rPr>
          <w:rFonts w:ascii="Times New Roman" w:hAnsi="Times New Roman"/>
          <w:b/>
          <w:bCs/>
        </w:rPr>
        <w:t xml:space="preserve"> </w:t>
      </w:r>
      <w:r w:rsidRPr="007C57D2">
        <w:rPr>
          <w:rFonts w:ascii="Times New Roman" w:hAnsi="Times New Roman"/>
        </w:rPr>
        <w:t xml:space="preserve">27 del 5 de febrero de 2025, </w:t>
      </w:r>
      <w:r w:rsidRPr="007C57D2">
        <w:rPr>
          <w:rFonts w:ascii="Times New Roman" w:hAnsi="Times New Roman"/>
        </w:rPr>
        <w:t>p.</w:t>
      </w:r>
      <w:r w:rsidRPr="007C57D2">
        <w:rPr>
          <w:rFonts w:ascii="Times New Roman" w:hAnsi="Times New Roman"/>
        </w:rPr>
        <w:t xml:space="preserve"> 84-90.</w:t>
      </w:r>
    </w:p>
  </w:footnote>
  <w:footnote w:id="13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Ibidem., p. 5.</w:t>
      </w:r>
    </w:p>
  </w:footnote>
  <w:footnote w:id="137">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w:t>
      </w:r>
      <w:r w:rsidRPr="007C57D2">
        <w:rPr>
          <w:rFonts w:ascii="Times New Roman" w:hAnsi="Times New Roman"/>
        </w:rPr>
        <w:t xml:space="preserve">greso n.º 27 del 5 de febrero de 2025, </w:t>
      </w:r>
      <w:r w:rsidRPr="007C57D2">
        <w:rPr>
          <w:rFonts w:ascii="Times New Roman" w:hAnsi="Times New Roman"/>
        </w:rPr>
        <w:t>p.</w:t>
      </w:r>
      <w:r w:rsidRPr="007C57D2">
        <w:rPr>
          <w:rFonts w:ascii="Times New Roman" w:hAnsi="Times New Roman"/>
        </w:rPr>
        <w:t xml:space="preserve"> 84 y 85.</w:t>
      </w:r>
    </w:p>
  </w:footnote>
  <w:footnote w:id="138">
    <w:p w:rsidR="000A4A3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Ibidem.</w:t>
      </w:r>
    </w:p>
  </w:footnote>
  <w:footnote w:id="139">
    <w:p w:rsidR="006D13C9"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“Han quedado como constancias, una proposición del Senador Antonio José Correa, hay otra de la Senadora Soledad Tamayo y una más de la Senadora Soledad Tamayo, son tres proposiciones que han quedado como constancias”. Las proposiciones se encuentr</w:t>
      </w:r>
      <w:r w:rsidRPr="007C57D2">
        <w:rPr>
          <w:rFonts w:ascii="Times New Roman" w:hAnsi="Times New Roman"/>
        </w:rPr>
        <w:t>an publicadas en la Gaceta del Congreso n.º 27 del 5 de febrero de 2025, p. 85.</w:t>
      </w:r>
    </w:p>
  </w:footnote>
  <w:footnote w:id="140">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Expediente legislativo, </w:t>
      </w:r>
      <w:r w:rsidRPr="007C57D2">
        <w:rPr>
          <w:rFonts w:ascii="Times New Roman" w:hAnsi="Times New Roman"/>
          <w:lang w:val="es-ES_tradnl"/>
        </w:rPr>
        <w:t>p.</w:t>
      </w:r>
      <w:r w:rsidRPr="007C57D2">
        <w:rPr>
          <w:rFonts w:ascii="Times New Roman" w:hAnsi="Times New Roman"/>
          <w:lang w:val="es-ES_tradnl"/>
        </w:rPr>
        <w:t xml:space="preserve"> 522 a 529.</w:t>
      </w:r>
    </w:p>
  </w:footnote>
  <w:footnote w:id="141">
    <w:p w:rsidR="004E3E5E"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Esta proposición había sido presentada por el senador Humberto De la Calle Lombana durante el primer debate de la iniciativa. No obstante, debido a un error involuntario en el informe de ponencia para el segundo debate, no fue incluida.</w:t>
      </w:r>
    </w:p>
  </w:footnote>
  <w:footnote w:id="142">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Esta proposición</w:t>
      </w:r>
      <w:r w:rsidRPr="007C57D2">
        <w:rPr>
          <w:rFonts w:ascii="Times New Roman" w:hAnsi="Times New Roman"/>
        </w:rPr>
        <w:t xml:space="preserve"> había sido presentada por el senador Humberto De la Calle Lombana durante el primer debate de la iniciativa. No obstante, debido a un error involuntario en el informe de ponencia para el segundo debate, no fue incluida.</w:t>
      </w:r>
    </w:p>
  </w:footnote>
  <w:footnote w:id="143">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27 del 5 </w:t>
      </w:r>
      <w:r w:rsidRPr="007C57D2">
        <w:rPr>
          <w:rFonts w:ascii="Times New Roman" w:hAnsi="Times New Roman"/>
        </w:rPr>
        <w:t>de febrero de 2025, p. 87.</w:t>
      </w:r>
    </w:p>
  </w:footnote>
  <w:footnote w:id="144">
    <w:p w:rsidR="006D13C9"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145">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Ver certificación expedida por el secretario general (e) del Senado de la República, Saúl Cruz Bonilla el 5 de diciembre de 2024. </w:t>
      </w:r>
    </w:p>
  </w:footnote>
  <w:footnote w:id="146">
    <w:p w:rsidR="004E3E5E"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Gaceta del Congreso n.º 874 del 13 de junio de 2024, </w:t>
      </w:r>
      <w:r w:rsidRPr="007C57D2">
        <w:rPr>
          <w:rFonts w:ascii="Times New Roman" w:hAnsi="Times New Roman"/>
        </w:rPr>
        <w:t>p.</w:t>
      </w:r>
      <w:r w:rsidRPr="007C57D2">
        <w:rPr>
          <w:rFonts w:ascii="Times New Roman" w:hAnsi="Times New Roman"/>
        </w:rPr>
        <w:t xml:space="preserve"> 12 a 14.</w:t>
      </w:r>
    </w:p>
  </w:footnote>
  <w:footnote w:id="147">
    <w:p w:rsidR="00E84710"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w:t>
      </w:r>
      <w:r w:rsidRPr="007C57D2">
        <w:rPr>
          <w:rFonts w:ascii="Times New Roman" w:hAnsi="Times New Roman"/>
          <w:lang w:val="pt-PT"/>
        </w:rPr>
        <w:t xml:space="preserve">, </w:t>
      </w:r>
      <w:r w:rsidRPr="007C57D2">
        <w:rPr>
          <w:rFonts w:ascii="Times New Roman" w:hAnsi="Times New Roman"/>
          <w:lang w:val="pt-PT"/>
        </w:rPr>
        <w:t>Sentencia C-435 de 2023.</w:t>
      </w:r>
    </w:p>
  </w:footnote>
  <w:footnote w:id="148">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w:t>
      </w:r>
      <w:r w:rsidRPr="007C57D2">
        <w:rPr>
          <w:rFonts w:ascii="Times New Roman" w:hAnsi="Times New Roman"/>
        </w:rPr>
        <w:t xml:space="preserve"> </w:t>
      </w:r>
      <w:r w:rsidRPr="007C57D2">
        <w:rPr>
          <w:rFonts w:ascii="Times New Roman" w:hAnsi="Times New Roman"/>
        </w:rPr>
        <w:t>s</w:t>
      </w:r>
      <w:r w:rsidRPr="007C57D2">
        <w:rPr>
          <w:rFonts w:ascii="Times New Roman" w:hAnsi="Times New Roman"/>
        </w:rPr>
        <w:t>entencias C-435 de 2023 y C-340 de 2025.</w:t>
      </w:r>
    </w:p>
  </w:footnote>
  <w:footnote w:id="149">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 xml:space="preserve">, </w:t>
      </w:r>
      <w:r w:rsidRPr="007C57D2">
        <w:rPr>
          <w:rFonts w:ascii="Times New Roman" w:hAnsi="Times New Roman"/>
        </w:rPr>
        <w:t>Sentencia C-076 de 2012: “En primer lugar, la lectura presentada implicaría un resultado absurdo, pues podría conducir</w:t>
      </w:r>
      <w:r w:rsidRPr="007C57D2">
        <w:rPr>
          <w:rFonts w:ascii="Times New Roman" w:hAnsi="Times New Roman"/>
        </w:rPr>
        <w:t xml:space="preserve"> a que las comisiones accidentales necesariamente estuviesen integradas por un número tal de miembros del Congreso que, por elevado, dificulte el consenso en torno al texto que deba adoptarse. Piénsese, por ejemplo, en el caso de que el autor de un proyect</w:t>
      </w:r>
      <w:r w:rsidRPr="007C57D2">
        <w:rPr>
          <w:rFonts w:ascii="Times New Roman" w:hAnsi="Times New Roman"/>
        </w:rPr>
        <w:t>o sea una bancada completa; o que se trate de un proyecto que tuvo una nutrida participación de los congresistas durante los debates de comisión y plenaria. Entender que la comisión de conciliación debe estar integrada por todos estos participes del proced</w:t>
      </w:r>
      <w:r w:rsidRPr="007C57D2">
        <w:rPr>
          <w:rFonts w:ascii="Times New Roman" w:hAnsi="Times New Roman"/>
        </w:rPr>
        <w:t>imiento legislativo niega el principio de celeridad y división del trabajo que anima la conformación y asignación de funciones a este tipo de cuerpos colegiados dentro del procedimiento legislativo”.</w:t>
      </w:r>
      <w:r w:rsidRPr="007C57D2">
        <w:rPr>
          <w:rFonts w:ascii="Times New Roman" w:hAnsi="Times New Roman"/>
        </w:rPr>
        <w:t xml:space="preserve"> También se puede consultar </w:t>
      </w:r>
      <w:r w:rsidRPr="007C57D2">
        <w:rPr>
          <w:rFonts w:ascii="Times New Roman" w:hAnsi="Times New Roman"/>
        </w:rPr>
        <w:t>las s</w:t>
      </w:r>
      <w:r w:rsidRPr="007C57D2">
        <w:rPr>
          <w:rFonts w:ascii="Times New Roman" w:hAnsi="Times New Roman"/>
        </w:rPr>
        <w:t>entencia</w:t>
      </w:r>
      <w:r w:rsidRPr="007C57D2">
        <w:rPr>
          <w:rFonts w:ascii="Times New Roman" w:hAnsi="Times New Roman"/>
        </w:rPr>
        <w:t>s C-034 de 2024,</w:t>
      </w:r>
      <w:r w:rsidRPr="007C57D2">
        <w:rPr>
          <w:rFonts w:ascii="Times New Roman" w:hAnsi="Times New Roman"/>
        </w:rPr>
        <w:t xml:space="preserve"> </w:t>
      </w:r>
      <w:r w:rsidRPr="007C57D2">
        <w:rPr>
          <w:rFonts w:ascii="Times New Roman" w:hAnsi="Times New Roman"/>
        </w:rPr>
        <w:t xml:space="preserve">C-313 de 2014 y </w:t>
      </w:r>
      <w:r w:rsidRPr="007C57D2">
        <w:rPr>
          <w:rFonts w:ascii="Times New Roman" w:hAnsi="Times New Roman"/>
        </w:rPr>
        <w:t>C-730 de 2011</w:t>
      </w:r>
      <w:r w:rsidRPr="007C57D2">
        <w:rPr>
          <w:rFonts w:ascii="Times New Roman" w:hAnsi="Times New Roman"/>
        </w:rPr>
        <w:t>.</w:t>
      </w:r>
    </w:p>
  </w:footnote>
  <w:footnote w:id="150">
    <w:p w:rsidR="00E84710"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w:t>
      </w:r>
      <w:r w:rsidRPr="007C57D2">
        <w:rPr>
          <w:rFonts w:ascii="Times New Roman" w:hAnsi="Times New Roman"/>
          <w:lang w:val="pt-PT"/>
        </w:rPr>
        <w:t xml:space="preserve">, </w:t>
      </w:r>
      <w:r w:rsidRPr="007C57D2">
        <w:rPr>
          <w:rFonts w:ascii="Times New Roman" w:hAnsi="Times New Roman"/>
          <w:lang w:val="pt-PT"/>
        </w:rPr>
        <w:t>Sentencia C-340 de 2025.</w:t>
      </w:r>
    </w:p>
  </w:footnote>
  <w:footnote w:id="151">
    <w:p w:rsidR="00EB2A5A"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PT"/>
        </w:rPr>
        <w:t>Corte Constitucional, Sentencia C-345 de 2023.</w:t>
      </w:r>
    </w:p>
  </w:footnote>
  <w:footnote w:id="152">
    <w:p w:rsidR="00E84710"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w:t>
      </w:r>
      <w:r w:rsidRPr="007C57D2">
        <w:rPr>
          <w:rFonts w:ascii="Times New Roman" w:hAnsi="Times New Roman"/>
          <w:lang w:val="pt-PT"/>
        </w:rPr>
        <w:t xml:space="preserve">, </w:t>
      </w:r>
      <w:r w:rsidRPr="007C57D2">
        <w:rPr>
          <w:rFonts w:ascii="Times New Roman" w:hAnsi="Times New Roman"/>
          <w:lang w:val="pt-PT"/>
        </w:rPr>
        <w:t>Sentencia C-435 de 2023.</w:t>
      </w:r>
    </w:p>
  </w:footnote>
  <w:footnote w:id="153">
    <w:p w:rsidR="00E84710"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Ibidem</w:t>
      </w:r>
      <w:r w:rsidRPr="007C57D2">
        <w:rPr>
          <w:rFonts w:ascii="Times New Roman" w:hAnsi="Times New Roman"/>
          <w:lang w:val="pt-BR"/>
        </w:rPr>
        <w:t>.</w:t>
      </w:r>
    </w:p>
  </w:footnote>
  <w:footnote w:id="154">
    <w:p w:rsidR="00E84710"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Ibidem</w:t>
      </w:r>
      <w:r w:rsidRPr="007C57D2">
        <w:rPr>
          <w:rFonts w:ascii="Times New Roman" w:hAnsi="Times New Roman"/>
          <w:lang w:val="pt-BR"/>
        </w:rPr>
        <w:t>.</w:t>
      </w:r>
    </w:p>
  </w:footnote>
  <w:footnote w:id="155">
    <w:p w:rsidR="00E84710"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Ibidem</w:t>
      </w:r>
      <w:r w:rsidRPr="007C57D2">
        <w:rPr>
          <w:rFonts w:ascii="Times New Roman" w:hAnsi="Times New Roman"/>
          <w:lang w:val="pt-BR"/>
        </w:rPr>
        <w:t>.</w:t>
      </w:r>
    </w:p>
  </w:footnote>
  <w:footnote w:id="156">
    <w:p w:rsidR="00E84710"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w:t>
      </w:r>
      <w:r w:rsidRPr="007C57D2">
        <w:rPr>
          <w:rFonts w:ascii="Times New Roman" w:hAnsi="Times New Roman"/>
          <w:lang w:val="pt-BR"/>
        </w:rPr>
        <w:t>,</w:t>
      </w:r>
      <w:r w:rsidRPr="007C57D2">
        <w:rPr>
          <w:rFonts w:ascii="Times New Roman" w:hAnsi="Times New Roman"/>
          <w:lang w:val="pt-BR"/>
        </w:rPr>
        <w:t xml:space="preserve"> Sentencia SU-150 de 2021.</w:t>
      </w:r>
    </w:p>
  </w:footnote>
  <w:footnote w:id="157">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w:t>
      </w:r>
    </w:p>
  </w:footnote>
  <w:footnote w:id="158">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 xml:space="preserve">, </w:t>
      </w:r>
      <w:r w:rsidRPr="007C57D2">
        <w:rPr>
          <w:rFonts w:ascii="Times New Roman" w:hAnsi="Times New Roman"/>
        </w:rPr>
        <w:t>Sentencia SU-150 de 2021: “</w:t>
      </w:r>
      <w:r w:rsidRPr="007C57D2">
        <w:rPr>
          <w:rFonts w:ascii="Times New Roman" w:hAnsi="Times New Roman"/>
          <w:lang w:val="es-ES"/>
        </w:rPr>
        <w:t xml:space="preserve">Una vez la comisión logra la unificación del proyecto en un único texto (por consenso o por mayoría), </w:t>
      </w:r>
      <w:r w:rsidRPr="007C57D2">
        <w:rPr>
          <w:rFonts w:ascii="Times New Roman" w:hAnsi="Times New Roman"/>
          <w:lang w:val="es-ES"/>
        </w:rPr>
        <w:t>e</w:t>
      </w:r>
      <w:r w:rsidRPr="007C57D2">
        <w:rPr>
          <w:rFonts w:ascii="Times New Roman" w:hAnsi="Times New Roman"/>
          <w:lang w:val="es-ES"/>
        </w:rPr>
        <w:t xml:space="preserve">ste deberá ser sometido a discusión y aprobación de las </w:t>
      </w:r>
      <w:r w:rsidRPr="007C57D2">
        <w:rPr>
          <w:rFonts w:ascii="Times New Roman" w:hAnsi="Times New Roman"/>
          <w:lang w:val="es-ES"/>
        </w:rPr>
        <w:t>respectivas plenarias, previa publicación del informe de conciliación con un día por lo menos de anticipación. Nótese que en el artículo 161 la Constitución se dispone que, en esta etapa del procedimiento legislativo, lo que se lleva a cabo es </w:t>
      </w:r>
      <w:r w:rsidRPr="007C57D2">
        <w:rPr>
          <w:rFonts w:ascii="Times New Roman" w:hAnsi="Times New Roman"/>
          <w:lang w:val="es-ES"/>
        </w:rPr>
        <w:t>‘</w:t>
      </w:r>
      <w:r w:rsidRPr="007C57D2">
        <w:rPr>
          <w:rFonts w:ascii="Times New Roman" w:hAnsi="Times New Roman"/>
          <w:lang w:val="es-ES"/>
        </w:rPr>
        <w:t>(…) la repe</w:t>
      </w:r>
      <w:r w:rsidRPr="007C57D2">
        <w:rPr>
          <w:rFonts w:ascii="Times New Roman" w:hAnsi="Times New Roman"/>
          <w:lang w:val="es-ES"/>
        </w:rPr>
        <w:t>tición del segundo debate</w:t>
      </w:r>
      <w:r w:rsidRPr="007C57D2">
        <w:rPr>
          <w:rFonts w:ascii="Times New Roman" w:hAnsi="Times New Roman"/>
          <w:lang w:val="es-ES"/>
        </w:rPr>
        <w:t>’</w:t>
      </w:r>
      <w:r w:rsidRPr="007C57D2">
        <w:rPr>
          <w:rFonts w:ascii="Times New Roman" w:hAnsi="Times New Roman"/>
          <w:lang w:val="es-ES"/>
        </w:rPr>
        <w:t>, pero con un alcance claramente limitado a la facultad de conciliar los textos aprobados por cada cámara. No se trata entonces de reabrir la discusión sobre la totalidad del proyecto, sino de decidir sobre la aquiescencia en un t</w:t>
      </w:r>
      <w:r w:rsidRPr="007C57D2">
        <w:rPr>
          <w:rFonts w:ascii="Times New Roman" w:hAnsi="Times New Roman"/>
          <w:lang w:val="es-ES"/>
        </w:rPr>
        <w:t>exto único que se somete a su aprobación y que refleja una voluntad integrada por parte del legislativo. De esta manera, la actuación se concreta en ratificar un informe acordado por unos delegatorios, en el que se presenta un mismo articulado para ambas c</w:t>
      </w:r>
      <w:r w:rsidRPr="007C57D2">
        <w:rPr>
          <w:rFonts w:ascii="Times New Roman" w:hAnsi="Times New Roman"/>
          <w:lang w:val="es-ES"/>
        </w:rPr>
        <w:t>ámaras</w:t>
      </w:r>
      <w:r w:rsidRPr="007C57D2">
        <w:rPr>
          <w:rFonts w:ascii="Times New Roman" w:hAnsi="Times New Roman"/>
        </w:rPr>
        <w:t>”</w:t>
      </w:r>
      <w:r w:rsidRPr="007C57D2">
        <w:rPr>
          <w:rFonts w:ascii="Times New Roman" w:hAnsi="Times New Roman"/>
        </w:rPr>
        <w:t>.</w:t>
      </w:r>
    </w:p>
  </w:footnote>
  <w:footnote w:id="159">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 xml:space="preserve">, </w:t>
      </w:r>
      <w:r w:rsidRPr="007C57D2">
        <w:rPr>
          <w:rFonts w:ascii="Times New Roman" w:hAnsi="Times New Roman"/>
        </w:rPr>
        <w:t>Sentencia SU-150 de 2021.</w:t>
      </w:r>
    </w:p>
  </w:footnote>
  <w:footnote w:id="160">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w:t>
      </w:r>
    </w:p>
  </w:footnote>
  <w:footnote w:id="161">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w:t>
      </w:r>
    </w:p>
  </w:footnote>
  <w:footnote w:id="162">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w:t>
      </w:r>
    </w:p>
  </w:footnote>
  <w:footnote w:id="163">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907 del 17 de junio de 2024, p. 1.</w:t>
      </w:r>
    </w:p>
  </w:footnote>
  <w:footnote w:id="164">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w:t>
      </w:r>
    </w:p>
  </w:footnote>
  <w:footnote w:id="165">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904 del 17 de junio de 2024. Gaceta del Congreso n.° 907 del 17 de jun</w:t>
      </w:r>
      <w:r w:rsidRPr="007C57D2">
        <w:rPr>
          <w:rFonts w:ascii="Times New Roman" w:hAnsi="Times New Roman"/>
        </w:rPr>
        <w:t>io de 2024.</w:t>
      </w:r>
    </w:p>
  </w:footnote>
  <w:footnote w:id="166">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Debe advertirse que en las Gacetas del Congreso n.° 1619 del 1 de octubre de 2024 y 1799 del 24 de octubre de 2024 se presenta un error tipográfico. En ellas se indica que el proyecto de ley es 266 de 2022, Cámara, cuando, en realidad, es 266</w:t>
      </w:r>
      <w:r w:rsidRPr="007C57D2">
        <w:rPr>
          <w:rFonts w:ascii="Times New Roman" w:hAnsi="Times New Roman"/>
        </w:rPr>
        <w:t xml:space="preserve"> de 2023, Cámara.</w:t>
      </w:r>
    </w:p>
  </w:footnote>
  <w:footnote w:id="167">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Acta número 154 del 18 de junio de 2024. En: Gaceta del Congreso n.° 1619 del 1 de octubre de 2024, p. 105.</w:t>
      </w:r>
      <w:r w:rsidRPr="007C57D2">
        <w:rPr>
          <w:rFonts w:ascii="Times New Roman" w:hAnsi="Times New Roman"/>
        </w:rPr>
        <w:t xml:space="preserve"> </w:t>
      </w:r>
      <w:r w:rsidRPr="007C57D2">
        <w:rPr>
          <w:rFonts w:ascii="Times New Roman" w:hAnsi="Times New Roman"/>
          <w:lang w:eastAsia="es-ES"/>
        </w:rPr>
        <w:t xml:space="preserve">En palabras del secretario: “Secretario general, Jaime Luis Lacouture Peñaloza: || Se anuncian los siguientes proyectos para la </w:t>
      </w:r>
      <w:r w:rsidRPr="007C57D2">
        <w:rPr>
          <w:rFonts w:ascii="Times New Roman" w:hAnsi="Times New Roman"/>
          <w:lang w:eastAsia="es-ES"/>
        </w:rPr>
        <w:t>sesión Plenaria de mañana miércoles 19 de junio del 2024 a las 10 de la mañana o para la siguiente sesión Plenaria en la cual se debatan proyectos de ley o acto legislativo. || […] || Proyecto de Ley Estatutaria número 266 de 2022 (sic) Cámara, 285 de 2024</w:t>
      </w:r>
      <w:r w:rsidRPr="007C57D2">
        <w:rPr>
          <w:rFonts w:ascii="Times New Roman" w:hAnsi="Times New Roman"/>
          <w:lang w:eastAsia="es-ES"/>
        </w:rPr>
        <w:t xml:space="preserve"> Senado”.</w:t>
      </w:r>
    </w:p>
  </w:footnote>
  <w:footnote w:id="168">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Acta número 155 del 19 de junio de 2024. En: Gaceta del Congreso n.° 1799 del 24 de octubre de 2024, p. 6.</w:t>
      </w:r>
    </w:p>
  </w:footnote>
  <w:footnote w:id="169">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 p. 28.</w:t>
      </w:r>
    </w:p>
  </w:footnote>
  <w:footnote w:id="170">
    <w:p w:rsidR="00AD35CE"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Acta número 79 del 17 de junio de 2024. En: Gaceta del Congreso n.° 30 del 7 de febrero de 2025.</w:t>
      </w:r>
    </w:p>
  </w:footnote>
  <w:footnote w:id="171">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161 del 24 de febrero de 2025, pp. 1 y ss.</w:t>
      </w:r>
    </w:p>
  </w:footnote>
  <w:footnote w:id="172">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 p. 7.</w:t>
      </w:r>
    </w:p>
  </w:footnote>
  <w:footnote w:id="173">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Acta número 80 del 18 de junio de 2024. En: Gaceta del Congreso n.° 161 del 24 de febrero de 2025, p. 31.</w:t>
      </w:r>
    </w:p>
  </w:footnote>
  <w:footnote w:id="174">
    <w:p w:rsidR="00AD35CE"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175">
    <w:p w:rsidR="00E8471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 p. 32.</w:t>
      </w:r>
    </w:p>
  </w:footnote>
  <w:footnote w:id="176">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 s</w:t>
      </w:r>
      <w:r w:rsidRPr="007C57D2">
        <w:rPr>
          <w:rFonts w:ascii="Times New Roman" w:hAnsi="Times New Roman"/>
        </w:rPr>
        <w:t>entencias C-</w:t>
      </w:r>
      <w:r w:rsidRPr="007C57D2">
        <w:rPr>
          <w:rFonts w:ascii="Times New Roman" w:hAnsi="Times New Roman"/>
        </w:rPr>
        <w:t>282 de 2021, C-316 de 2024, C-317 de 2024 y C-340 de 2024.</w:t>
      </w:r>
    </w:p>
  </w:footnote>
  <w:footnote w:id="177">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Anteriormente, la legislatura comprendía dos periodos: (i) entre el 20 de julio de y el 16 de diciembre; y (ii) entre el 16 de marzo y el 20 de junio. El cambio en la duración del segundo periodo</w:t>
      </w:r>
      <w:r w:rsidRPr="007C57D2">
        <w:rPr>
          <w:rFonts w:ascii="Times New Roman" w:hAnsi="Times New Roman"/>
        </w:rPr>
        <w:t xml:space="preserve"> se dio a través del artículo 2 del Acto Legislativo 2 de 2023.</w:t>
      </w:r>
    </w:p>
  </w:footnote>
  <w:footnote w:id="178">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1439 del 10 de octubre de 2023, p. 7.</w:t>
      </w:r>
    </w:p>
  </w:footnote>
  <w:footnote w:id="179">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Acta número 155 del 19 de junio de 2024. En: Gaceta del Congreso n.° 1799 del 24 de octubre de 2024.</w:t>
      </w:r>
    </w:p>
  </w:footnote>
  <w:footnote w:id="180">
    <w:p w:rsidR="007B5913"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w:t>
      </w:r>
      <w:r w:rsidRPr="007C57D2">
        <w:rPr>
          <w:rFonts w:ascii="Times New Roman" w:hAnsi="Times New Roman"/>
        </w:rPr>
        <w:t>s</w:t>
      </w:r>
      <w:r w:rsidRPr="007C57D2">
        <w:rPr>
          <w:rFonts w:ascii="Times New Roman" w:hAnsi="Times New Roman"/>
        </w:rPr>
        <w:t xml:space="preserve">entencias C-340 de 2024, C-134 de 2023, </w:t>
      </w:r>
      <w:r w:rsidRPr="007C57D2">
        <w:rPr>
          <w:rFonts w:ascii="Times New Roman" w:eastAsia="Calibri" w:hAnsi="Times New Roman"/>
        </w:rPr>
        <w:t>C-133 de 2022 y C-282 de 2021.</w:t>
      </w:r>
    </w:p>
  </w:footnote>
  <w:footnote w:id="181">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 s</w:t>
      </w:r>
      <w:r w:rsidRPr="007C57D2">
        <w:rPr>
          <w:rFonts w:ascii="Times New Roman" w:hAnsi="Times New Roman"/>
        </w:rPr>
        <w:t>entencias C-136 de 2024, C-317 de 2024 y C-340 de 2024.</w:t>
      </w:r>
    </w:p>
  </w:footnote>
  <w:footnote w:id="182">
    <w:p w:rsidR="009354F4"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w:t>
      </w:r>
      <w:r w:rsidRPr="007C57D2">
        <w:rPr>
          <w:rFonts w:ascii="Times New Roman" w:hAnsi="Times New Roman"/>
          <w:lang w:val="pt-BR"/>
        </w:rPr>
        <w:t xml:space="preserve">, </w:t>
      </w:r>
      <w:r w:rsidRPr="007C57D2">
        <w:rPr>
          <w:rFonts w:ascii="Times New Roman" w:hAnsi="Times New Roman"/>
          <w:lang w:val="pt-BR"/>
        </w:rPr>
        <w:t>Sentencia C-317 de 2024.</w:t>
      </w:r>
    </w:p>
  </w:footnote>
  <w:footnote w:id="183">
    <w:p w:rsidR="009354F4"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 xml:space="preserve">Corte Constitucional, </w:t>
      </w:r>
      <w:r w:rsidRPr="007C57D2">
        <w:rPr>
          <w:rFonts w:ascii="Times New Roman" w:hAnsi="Times New Roman"/>
          <w:lang w:val="pt-BR"/>
        </w:rPr>
        <w:t>Sentencia C-136 de 2024.</w:t>
      </w:r>
    </w:p>
  </w:footnote>
  <w:footnote w:id="184">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C-317 de 2024.</w:t>
      </w:r>
    </w:p>
  </w:footnote>
  <w:footnote w:id="185">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C-340 de 2024.</w:t>
      </w:r>
    </w:p>
  </w:footnote>
  <w:footnote w:id="186">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C-136 de 2024.</w:t>
      </w:r>
    </w:p>
  </w:footnote>
  <w:footnote w:id="187">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PT"/>
        </w:rPr>
        <w:t>Corte Constitucional, s</w:t>
      </w:r>
      <w:r w:rsidRPr="007C57D2">
        <w:rPr>
          <w:rFonts w:ascii="Times New Roman" w:hAnsi="Times New Roman"/>
          <w:lang w:val="pt-PT"/>
        </w:rPr>
        <w:t>entencias C-490 de 2011, C-379 de 2016, C-018 de 2018, C-282 de 2021, C-133 de 2022, C</w:t>
      </w:r>
      <w:r w:rsidRPr="007C57D2">
        <w:rPr>
          <w:rFonts w:ascii="Times New Roman" w:hAnsi="Times New Roman"/>
          <w:lang w:val="pt-PT"/>
        </w:rPr>
        <w:t>-136 de 2024, C-317 de 2024 y C-340 de 2024.</w:t>
      </w:r>
    </w:p>
  </w:footnote>
  <w:footnote w:id="188">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C-133 de 2022.</w:t>
      </w:r>
    </w:p>
  </w:footnote>
  <w:footnote w:id="189">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C-282 de 2021.</w:t>
      </w:r>
    </w:p>
  </w:footnote>
  <w:footnote w:id="190">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C-317 de 2024.</w:t>
      </w:r>
    </w:p>
  </w:footnote>
  <w:footnote w:id="191">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BR"/>
        </w:rPr>
        <w:t xml:space="preserve">Corte Constitucional, </w:t>
      </w:r>
      <w:r w:rsidRPr="007C57D2">
        <w:rPr>
          <w:rFonts w:ascii="Times New Roman" w:hAnsi="Times New Roman"/>
          <w:lang w:val="pt-PT"/>
        </w:rPr>
        <w:t>Sentencia C-340 de 2024.</w:t>
      </w:r>
    </w:p>
  </w:footnote>
  <w:footnote w:id="192">
    <w:p w:rsidR="009354F4"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BR"/>
        </w:rPr>
        <w:t xml:space="preserve">Corte Constitucional, </w:t>
      </w:r>
      <w:r w:rsidRPr="007C57D2">
        <w:rPr>
          <w:rFonts w:ascii="Times New Roman" w:hAnsi="Times New Roman"/>
          <w:lang w:val="pt-PT"/>
        </w:rPr>
        <w:t>Sentencia C-317 de 2024.</w:t>
      </w:r>
    </w:p>
  </w:footnote>
  <w:footnote w:id="193">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r w:rsidRPr="007C57D2">
        <w:rPr>
          <w:rFonts w:ascii="Times New Roman" w:hAnsi="Times New Roman"/>
        </w:rPr>
        <w:t>.</w:t>
      </w:r>
    </w:p>
  </w:footnote>
  <w:footnote w:id="194">
    <w:p w:rsidR="009354F4"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 los informes de ponencia de primer y segundo debate en Cámara, así como en los informes de primer y segundo debate en Senado, se indicó que el objeto del proyecto es “crear y reglamentar la Aler</w:t>
      </w:r>
      <w:r w:rsidRPr="007C57D2">
        <w:rPr>
          <w:rFonts w:ascii="Times New Roman" w:hAnsi="Times New Roman"/>
        </w:rPr>
        <w:t>ta Colombia como una herramienta ágil de difusión de información de niños y niñas que se encuentren extraviados en el territorio colombiano, con el objetivo de lograr la búsqueda, localización y recuperación inmediata de estos”. Gacetas del Congreso n.° 14</w:t>
      </w:r>
      <w:r w:rsidRPr="007C57D2">
        <w:rPr>
          <w:rFonts w:ascii="Times New Roman" w:hAnsi="Times New Roman"/>
        </w:rPr>
        <w:t>95 del 26 de octubre de 2023, p. 1, 1675 del 28 de noviembre de 2023, p. 1, 625 del 21 de mayo de 2024, p. 2, y 759 del 5 de junio de 2024, p. 1.</w:t>
      </w:r>
      <w:r w:rsidRPr="007C57D2">
        <w:rPr>
          <w:rFonts w:ascii="Times New Roman" w:hAnsi="Times New Roman"/>
        </w:rPr>
        <w:t xml:space="preserve"> </w:t>
      </w:r>
    </w:p>
  </w:footnote>
  <w:footnote w:id="195">
    <w:p w:rsidR="00F8289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eastAsia="es-MX"/>
        </w:rPr>
        <w:t xml:space="preserve">Gaceta del Congreso n.º 1439 del 10 de octubre de 2023, p. </w:t>
      </w:r>
      <w:r w:rsidRPr="007C57D2">
        <w:rPr>
          <w:rFonts w:ascii="Times New Roman" w:hAnsi="Times New Roman"/>
          <w:lang w:eastAsia="es-MX"/>
        </w:rPr>
        <w:t>3.</w:t>
      </w:r>
    </w:p>
  </w:footnote>
  <w:footnote w:id="196">
    <w:p w:rsidR="00F3297F"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w:t>
      </w:r>
      <w:r w:rsidRPr="007C57D2">
        <w:rPr>
          <w:rFonts w:ascii="Times New Roman" w:hAnsi="Times New Roman"/>
        </w:rPr>
        <w:t>, s</w:t>
      </w:r>
      <w:r w:rsidRPr="007C57D2">
        <w:rPr>
          <w:rFonts w:ascii="Times New Roman" w:hAnsi="Times New Roman"/>
        </w:rPr>
        <w:t xml:space="preserve">entencias C-490 de </w:t>
      </w:r>
      <w:r w:rsidRPr="007C57D2">
        <w:rPr>
          <w:rFonts w:ascii="Times New Roman" w:hAnsi="Times New Roman"/>
        </w:rPr>
        <w:t>2011, C-379 de 2016, C-080 de 2018, C-282 de 2021, C-133 de 2022, C-136 de 2024, C-317 de 2024 y C-340 de 2024.</w:t>
      </w:r>
    </w:p>
  </w:footnote>
  <w:footnote w:id="197">
    <w:p w:rsidR="00F3297F"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w:t>
      </w:r>
      <w:r w:rsidRPr="007C57D2">
        <w:rPr>
          <w:rFonts w:ascii="Times New Roman" w:hAnsi="Times New Roman"/>
          <w:lang w:val="pt-PT"/>
        </w:rPr>
        <w:t xml:space="preserve">, </w:t>
      </w:r>
      <w:r w:rsidRPr="007C57D2">
        <w:rPr>
          <w:rFonts w:ascii="Times New Roman" w:hAnsi="Times New Roman"/>
          <w:lang w:val="pt-PT"/>
        </w:rPr>
        <w:t>Sentencia C-136 de 2024.</w:t>
      </w:r>
    </w:p>
  </w:footnote>
  <w:footnote w:id="198">
    <w:p w:rsidR="00F3297F"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w:t>
      </w:r>
      <w:r w:rsidRPr="007C57D2">
        <w:rPr>
          <w:rFonts w:ascii="Times New Roman" w:hAnsi="Times New Roman"/>
          <w:lang w:val="pt-PT"/>
        </w:rPr>
        <w:t>,</w:t>
      </w:r>
      <w:r w:rsidRPr="007C57D2">
        <w:rPr>
          <w:rFonts w:ascii="Times New Roman" w:hAnsi="Times New Roman"/>
          <w:lang w:val="pt-PT"/>
        </w:rPr>
        <w:t xml:space="preserve"> Sentencia C-317 de 2024.</w:t>
      </w:r>
    </w:p>
  </w:footnote>
  <w:footnote w:id="199">
    <w:p w:rsidR="00F3297F"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Ibidem</w:t>
      </w:r>
      <w:r w:rsidRPr="007C57D2">
        <w:rPr>
          <w:rFonts w:ascii="Times New Roman" w:hAnsi="Times New Roman"/>
          <w:lang w:val="pt-BR"/>
        </w:rPr>
        <w:t>.</w:t>
      </w:r>
    </w:p>
  </w:footnote>
  <w:footnote w:id="200">
    <w:p w:rsidR="00F3297F"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w:t>
      </w:r>
      <w:r w:rsidRPr="007C57D2">
        <w:rPr>
          <w:rFonts w:ascii="Times New Roman" w:hAnsi="Times New Roman"/>
          <w:lang w:val="pt-PT"/>
        </w:rPr>
        <w:t xml:space="preserve">, </w:t>
      </w:r>
      <w:r w:rsidRPr="007C57D2">
        <w:rPr>
          <w:rFonts w:ascii="Times New Roman" w:hAnsi="Times New Roman"/>
          <w:lang w:val="pt-PT"/>
        </w:rPr>
        <w:t>Sentencia C-</w:t>
      </w:r>
      <w:r w:rsidRPr="007C57D2">
        <w:rPr>
          <w:rFonts w:ascii="Times New Roman" w:hAnsi="Times New Roman"/>
          <w:lang w:val="pt-PT"/>
        </w:rPr>
        <w:t>317 de 2024.</w:t>
      </w:r>
    </w:p>
  </w:footnote>
  <w:footnote w:id="201">
    <w:p w:rsidR="00F3297F"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Ib</w:t>
      </w:r>
      <w:r w:rsidRPr="007C57D2">
        <w:rPr>
          <w:rFonts w:ascii="Times New Roman" w:hAnsi="Times New Roman"/>
          <w:lang w:val="pt-BR"/>
        </w:rPr>
        <w:t>idem</w:t>
      </w:r>
      <w:r w:rsidRPr="007C57D2">
        <w:rPr>
          <w:rFonts w:ascii="Times New Roman" w:hAnsi="Times New Roman"/>
          <w:lang w:val="pt-BR"/>
        </w:rPr>
        <w:t>.</w:t>
      </w:r>
    </w:p>
  </w:footnote>
  <w:footnote w:id="202">
    <w:p w:rsidR="0011550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w:t>
      </w:r>
      <w:r w:rsidRPr="007C57D2">
        <w:rPr>
          <w:rFonts w:ascii="Times New Roman" w:hAnsi="Times New Roman"/>
          <w:shd w:val="clear" w:color="auto" w:fill="FFFFFF"/>
          <w:lang w:val="pt-BR"/>
        </w:rPr>
        <w:t>Sentencia C-133 de 2022.</w:t>
      </w:r>
    </w:p>
  </w:footnote>
  <w:footnote w:id="203">
    <w:p w:rsidR="0011550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C-332 de 2005.</w:t>
      </w:r>
    </w:p>
  </w:footnote>
  <w:footnote w:id="204">
    <w:p w:rsidR="0011550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Ibidem.</w:t>
      </w:r>
    </w:p>
  </w:footnote>
  <w:footnote w:id="205">
    <w:p w:rsidR="0011550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w:t>
      </w:r>
      <w:r w:rsidRPr="007C57D2">
        <w:rPr>
          <w:rFonts w:ascii="Times New Roman" w:hAnsi="Times New Roman"/>
          <w:shd w:val="clear" w:color="auto" w:fill="FFFFFF"/>
          <w:lang w:val="pt-BR"/>
        </w:rPr>
        <w:t>Sentencia </w:t>
      </w:r>
      <w:r w:rsidRPr="007C57D2">
        <w:rPr>
          <w:rStyle w:val="normaltextrun"/>
          <w:rFonts w:ascii="Times New Roman" w:hAnsi="Times New Roman"/>
          <w:shd w:val="clear" w:color="auto" w:fill="FFFFFF"/>
          <w:lang w:val="pt-BR"/>
        </w:rPr>
        <w:t>C-590 de 2019.</w:t>
      </w:r>
    </w:p>
  </w:footnote>
  <w:footnote w:id="206">
    <w:p w:rsidR="0011550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w:t>
      </w:r>
      <w:r w:rsidRPr="007C57D2">
        <w:rPr>
          <w:rFonts w:ascii="Times New Roman" w:hAnsi="Times New Roman"/>
          <w:shd w:val="clear" w:color="auto" w:fill="FFFFFF"/>
          <w:lang w:val="pt-BR"/>
        </w:rPr>
        <w:t xml:space="preserve">Sentencia C-702 de 1999, precedente reiterado en la </w:t>
      </w:r>
      <w:r w:rsidRPr="007C57D2">
        <w:rPr>
          <w:rFonts w:ascii="Times New Roman" w:hAnsi="Times New Roman"/>
          <w:shd w:val="clear" w:color="auto" w:fill="FFFFFF"/>
          <w:lang w:val="pt-BR"/>
        </w:rPr>
        <w:t>Sentencia C-133 de 2022.</w:t>
      </w:r>
    </w:p>
  </w:footnote>
  <w:footnote w:id="207">
    <w:p w:rsidR="00F3297F"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w:t>
      </w:r>
      <w:r w:rsidRPr="007C57D2">
        <w:rPr>
          <w:rFonts w:ascii="Times New Roman" w:hAnsi="Times New Roman"/>
          <w:lang w:val="pt-BR"/>
        </w:rPr>
        <w:t>,</w:t>
      </w:r>
      <w:r w:rsidRPr="007C57D2">
        <w:rPr>
          <w:rFonts w:ascii="Times New Roman" w:hAnsi="Times New Roman"/>
          <w:lang w:val="pt-BR"/>
        </w:rPr>
        <w:t xml:space="preserve"> Sentencia C-340 de 2024.</w:t>
      </w:r>
    </w:p>
  </w:footnote>
  <w:footnote w:id="208">
    <w:p w:rsidR="009B4916"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w:t>
      </w:r>
      <w:r w:rsidRPr="007C57D2">
        <w:rPr>
          <w:rFonts w:ascii="Times New Roman" w:hAnsi="Times New Roman"/>
          <w:lang w:val="pt-BR"/>
        </w:rPr>
        <w:t>S</w:t>
      </w:r>
      <w:r w:rsidRPr="007C57D2">
        <w:rPr>
          <w:rFonts w:ascii="Times New Roman" w:hAnsi="Times New Roman"/>
          <w:lang w:val="pt-BR"/>
        </w:rPr>
        <w:t xml:space="preserve">entencia C-379 de 2016.  </w:t>
      </w:r>
    </w:p>
  </w:footnote>
  <w:footnote w:id="209">
    <w:p w:rsidR="00F3297F"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Gacetas del Congreso n.° 1683 del 29 de noviembre de 2023, 1211 del 28 de agosto de 2024, 1366 del 11 de septiembre de 2024 y 27 del 5 de febrero de 2025.</w:t>
      </w:r>
    </w:p>
  </w:footnote>
  <w:footnote w:id="210">
    <w:p w:rsidR="005D1B5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Este convenio fue incorporado al ordenamiento jurídico interno mediante la Ley 21 de 1991.</w:t>
      </w:r>
    </w:p>
  </w:footnote>
  <w:footnote w:id="211">
    <w:p w:rsidR="005D1B5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w:t>
      </w:r>
      <w:r w:rsidRPr="007C57D2">
        <w:rPr>
          <w:rFonts w:ascii="Times New Roman" w:hAnsi="Times New Roman"/>
        </w:rPr>
        <w:t xml:space="preserve"> Constitucional, </w:t>
      </w:r>
      <w:r w:rsidRPr="007C57D2">
        <w:rPr>
          <w:rFonts w:ascii="Times New Roman" w:hAnsi="Times New Roman"/>
        </w:rPr>
        <w:t>s</w:t>
      </w:r>
      <w:r w:rsidRPr="007C57D2">
        <w:rPr>
          <w:rFonts w:ascii="Times New Roman" w:hAnsi="Times New Roman"/>
        </w:rPr>
        <w:t>entencias C-020 y C-013 de 2018, C-730, C-674, C-290, C-214 y C-067 de 2017, C-184 y C-157 de 2016, C-317 de 2012, C-882 de 2011, C-941, C-702 y C-608 de 2010, entre otras.</w:t>
      </w:r>
    </w:p>
  </w:footnote>
  <w:footnote w:id="212">
    <w:p w:rsidR="005D1B5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SU-123 de 2018.</w:t>
      </w:r>
    </w:p>
  </w:footnote>
  <w:footnote w:id="213">
    <w:p w:rsidR="005D1B5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w:t>
      </w:r>
      <w:r w:rsidRPr="007C57D2">
        <w:rPr>
          <w:rFonts w:ascii="Times New Roman" w:hAnsi="Times New Roman"/>
        </w:rPr>
        <w:t xml:space="preserve">ucional, sentencias </w:t>
      </w:r>
      <w:r w:rsidRPr="007C57D2">
        <w:rPr>
          <w:rFonts w:ascii="Times New Roman" w:hAnsi="Times New Roman"/>
        </w:rPr>
        <w:t xml:space="preserve">C-340, C-317 y C-136 de 2024, C-134 de 2023, C-133 de 2022, C-282 y C-032 de 2021, C-484 de 2017, C-379 y C-154 de 2016, C-150 de 2015, C-951 y C-313 de 2014, C-274 de 2013, C-862, C-765 y C-540 de 2012, </w:t>
      </w:r>
      <w:r w:rsidRPr="007C57D2">
        <w:rPr>
          <w:rFonts w:ascii="Times New Roman" w:hAnsi="Times New Roman"/>
        </w:rPr>
        <w:t xml:space="preserve">y </w:t>
      </w:r>
      <w:r w:rsidRPr="007C57D2">
        <w:rPr>
          <w:rFonts w:ascii="Times New Roman" w:hAnsi="Times New Roman"/>
        </w:rPr>
        <w:t>C-748 y C-490 de 2011</w:t>
      </w:r>
      <w:r w:rsidRPr="007C57D2">
        <w:rPr>
          <w:rFonts w:ascii="Times New Roman" w:hAnsi="Times New Roman"/>
        </w:rPr>
        <w:t>.</w:t>
      </w:r>
      <w:r w:rsidRPr="007C57D2">
        <w:rPr>
          <w:rFonts w:ascii="Times New Roman" w:hAnsi="Times New Roman"/>
        </w:rPr>
        <w:t xml:space="preserve"> </w:t>
      </w:r>
    </w:p>
  </w:footnote>
  <w:footnote w:id="214">
    <w:p w:rsidR="00177586"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w:t>
      </w:r>
      <w:r w:rsidRPr="007C57D2">
        <w:rPr>
          <w:rFonts w:ascii="Times New Roman" w:hAnsi="Times New Roman"/>
          <w:lang w:val="pt-BR"/>
        </w:rPr>
        <w:t>e Constitucional, Sentencia C-369 de 2019.</w:t>
      </w:r>
    </w:p>
  </w:footnote>
  <w:footnote w:id="215">
    <w:p w:rsidR="00177586"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C-274 de 2013.</w:t>
      </w:r>
    </w:p>
  </w:footnote>
  <w:footnote w:id="216">
    <w:p w:rsidR="00177586"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Sobre el particular, ver Corte Constitucional, Sentencia C-194 de 2013.</w:t>
      </w:r>
    </w:p>
  </w:footnote>
  <w:footnote w:id="217">
    <w:p w:rsidR="00177586"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C-369 de 2019.</w:t>
      </w:r>
    </w:p>
  </w:footnote>
  <w:footnote w:id="218">
    <w:p w:rsidR="00177586"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Sentencias C-389 de 2016, C-196 de 2012, C-366 de 2011, C-175 de 2009 y C-030 de 2008. </w:t>
      </w:r>
    </w:p>
  </w:footnote>
  <w:footnote w:id="219">
    <w:p w:rsidR="0003033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texto completo del artículo 7 de la Ley Orgánica 819 de 2003 es el siguiente: </w:t>
      </w:r>
      <w:r w:rsidRPr="007C57D2">
        <w:rPr>
          <w:rFonts w:ascii="Times New Roman" w:hAnsi="Times New Roman"/>
        </w:rPr>
        <w:t>“</w:t>
      </w:r>
      <w:r w:rsidRPr="007C57D2">
        <w:rPr>
          <w:rFonts w:ascii="Times New Roman" w:hAnsi="Times New Roman"/>
        </w:rPr>
        <w:t>Análisis del impacto fiscal de las normas: En todo momento, e</w:t>
      </w:r>
      <w:r w:rsidRPr="007C57D2">
        <w:rPr>
          <w:rFonts w:ascii="Times New Roman" w:hAnsi="Times New Roman"/>
        </w:rPr>
        <w:t>l impacto fiscal de cualquier proyecto de ley, ordenanza o acuerdo, que ordene gasto o que otorgue beneficios tributarios, deberá hacerse explícito y deberá ser compatible con el Marco Fiscal de Mediano Plazo. || Para estos propósitos, deberá incluirse exp</w:t>
      </w:r>
      <w:r w:rsidRPr="007C57D2">
        <w:rPr>
          <w:rFonts w:ascii="Times New Roman" w:hAnsi="Times New Roman"/>
        </w:rPr>
        <w:t>resamente en la exposición de motivos y en las ponencias de trámite respectivas los costos fiscales de la iniciativa y la fuente de ingreso adicional generada para el financiamiento de dicho costo. || El Ministerio de Hacienda y Crédito Público, en cualqui</w:t>
      </w:r>
      <w:r w:rsidRPr="007C57D2">
        <w:rPr>
          <w:rFonts w:ascii="Times New Roman" w:hAnsi="Times New Roman"/>
        </w:rPr>
        <w:t>er tiempo durante el respectivo trámite en el Congreso de la República, deberá rendir su concepto frente a la consistencia de lo dispuesto en el inciso anterior. En ningún caso este concepto podrá ir en contravía del Marco Fiscal de Mediano Plazo. Este inf</w:t>
      </w:r>
      <w:r w:rsidRPr="007C57D2">
        <w:rPr>
          <w:rFonts w:ascii="Times New Roman" w:hAnsi="Times New Roman"/>
        </w:rPr>
        <w:t>orme será publicado en la Gaceta del Congreso. || Los proyectos de ley de iniciativa gubernamental, que planteen un gasto adicional o una reducción de ingresos, deberá contener la correspondiente fuente sustitutiva por disminución de gasto o aumentos de in</w:t>
      </w:r>
      <w:r w:rsidRPr="007C57D2">
        <w:rPr>
          <w:rFonts w:ascii="Times New Roman" w:hAnsi="Times New Roman"/>
        </w:rPr>
        <w:t>gresos, lo cual deberá ser analizado y aprobado por el Ministerio de Hacienda y Crédito Público. || En las entidades territoriales, el trámite previsto en el inciso anterior será surtido ante la respectiva Secretaría de Hacienda o quien haga sus veces</w:t>
      </w:r>
      <w:r w:rsidRPr="007C57D2">
        <w:rPr>
          <w:rFonts w:ascii="Times New Roman" w:hAnsi="Times New Roman"/>
        </w:rPr>
        <w:t>”</w:t>
      </w:r>
      <w:r w:rsidRPr="007C57D2">
        <w:rPr>
          <w:rFonts w:ascii="Times New Roman" w:hAnsi="Times New Roman"/>
        </w:rPr>
        <w:t>.</w:t>
      </w:r>
    </w:p>
  </w:footnote>
  <w:footnote w:id="220">
    <w:p w:rsidR="008B47D9"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PT"/>
        </w:rPr>
        <w:t xml:space="preserve">Corte Constitucional, Sentencia C-340 de 2024 (apartado 7.9). </w:t>
      </w:r>
    </w:p>
  </w:footnote>
  <w:footnote w:id="221">
    <w:p w:rsidR="00BD3D37"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 </w:t>
      </w:r>
    </w:p>
  </w:footnote>
  <w:footnote w:id="222">
    <w:p w:rsidR="00BD3D37"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 </w:t>
      </w:r>
    </w:p>
  </w:footnote>
  <w:footnote w:id="223">
    <w:p w:rsidR="00BD3D3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C-170 de 2021. </w:t>
      </w:r>
      <w:r w:rsidRPr="007C57D2">
        <w:rPr>
          <w:rFonts w:ascii="Times New Roman" w:hAnsi="Times New Roman"/>
        </w:rPr>
        <w:t xml:space="preserve">Al respecto, se puede consultar la Sentencia C-502 de 2007, en la cual la Corte estudió por primera vez esta materia. </w:t>
      </w:r>
    </w:p>
  </w:footnote>
  <w:footnote w:id="224">
    <w:p w:rsidR="00BD3D3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w:t>
      </w:r>
    </w:p>
  </w:footnote>
  <w:footnote w:id="225">
    <w:p w:rsidR="00954D3B"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 xml:space="preserve">Corte Constitucional, </w:t>
      </w:r>
      <w:r w:rsidRPr="007C57D2">
        <w:rPr>
          <w:rFonts w:ascii="Times New Roman" w:hAnsi="Times New Roman"/>
          <w:lang w:val="es-ES_tradnl"/>
        </w:rPr>
        <w:t>Sentencia C-451 de 2020:</w:t>
      </w:r>
      <w:r w:rsidRPr="007C57D2">
        <w:rPr>
          <w:rFonts w:ascii="Times New Roman" w:eastAsia="Calibri" w:hAnsi="Times New Roman"/>
        </w:rPr>
        <w:t xml:space="preserve"> </w:t>
      </w:r>
      <w:bookmarkStart w:id="21" w:name="_Ref54361038"/>
      <w:r w:rsidRPr="007C57D2">
        <w:rPr>
          <w:rFonts w:ascii="Times New Roman" w:hAnsi="Times New Roman"/>
        </w:rPr>
        <w:t>“en ningún caso, el juez constitucional puede volverse un juez de conveniencia del gasto público, ni debe entrar a comparar las proyecciones fiscales del marco de mediano plazo con los costos del p</w:t>
      </w:r>
      <w:r w:rsidRPr="007C57D2">
        <w:rPr>
          <w:rFonts w:ascii="Times New Roman" w:hAnsi="Times New Roman"/>
        </w:rPr>
        <w:t>royecto, pues, se reitera, su papel se limita a verificar que este debate se haya dado al interior del Congreso con el Gobierno, al amparo del principio de colaboración armónica; ni se busca establecer una especie de control constitucional de la calidad de</w:t>
      </w:r>
      <w:r w:rsidRPr="007C57D2">
        <w:rPr>
          <w:rFonts w:ascii="Times New Roman" w:hAnsi="Times New Roman"/>
        </w:rPr>
        <w:t>l debate. </w:t>
      </w:r>
      <w:bookmarkStart w:id="22" w:name="_Ref52286391"/>
      <w:bookmarkEnd w:id="21"/>
      <w:r w:rsidRPr="007C57D2">
        <w:rPr>
          <w:rFonts w:ascii="Times New Roman" w:hAnsi="Times New Roman"/>
        </w:rPr>
        <w:t>No obstante, también precisó la Sala [en la Sentencia C-110 de 2019] que, de manera excepcional, las reglas precedentes no se oponen para que la Corte (i) controle la validez de una medida</w:t>
      </w:r>
      <w:r w:rsidRPr="007C57D2">
        <w:rPr>
          <w:rFonts w:ascii="Times New Roman" w:hAnsi="Times New Roman"/>
        </w:rPr>
        <w:t xml:space="preserve"> </w:t>
      </w:r>
      <w:r w:rsidRPr="007C57D2">
        <w:rPr>
          <w:rFonts w:ascii="Times New Roman" w:hAnsi="Times New Roman"/>
        </w:rPr>
        <w:t>cuando los debates en el Congreso se apoyen en premisas o</w:t>
      </w:r>
      <w:r w:rsidRPr="007C57D2">
        <w:rPr>
          <w:rFonts w:ascii="Times New Roman" w:hAnsi="Times New Roman"/>
        </w:rPr>
        <w:t xml:space="preserve"> conclusiones evidentemente equivocadas,</w:t>
      </w:r>
      <w:r w:rsidRPr="007C57D2">
        <w:rPr>
          <w:rFonts w:ascii="Times New Roman" w:hAnsi="Times New Roman"/>
        </w:rPr>
        <w:t xml:space="preserve"> </w:t>
      </w:r>
      <w:r w:rsidRPr="007C57D2">
        <w:rPr>
          <w:rFonts w:ascii="Times New Roman" w:hAnsi="Times New Roman"/>
        </w:rPr>
        <w:t>al punto que la sostenibilidad fiscal pierda cualquier carácter orientador; ni (ii) que este tribunal valore con rigor variable el proceso deliberativo, exigiendo una mayor precisión en las fuentes de financiamiento</w:t>
      </w:r>
      <w:r w:rsidRPr="007C57D2">
        <w:rPr>
          <w:rFonts w:ascii="Times New Roman" w:hAnsi="Times New Roman"/>
        </w:rPr>
        <w:t xml:space="preserve"> y su impacto en las finanzas públicas, teniendo en cuenta, por ejemplo, el nivel de incidencia de la medida en las finanzas o los efectos que su aprobación o rechazo tenga sobre los fines del Estado y la materialización de derechos”.</w:t>
      </w:r>
      <w:bookmarkEnd w:id="22"/>
    </w:p>
  </w:footnote>
  <w:footnote w:id="226">
    <w:p w:rsidR="008530D9"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w:t>
      </w:r>
      <w:r w:rsidRPr="007C57D2">
        <w:rPr>
          <w:rFonts w:ascii="Times New Roman" w:hAnsi="Times New Roman"/>
          <w:lang w:val="pt-PT"/>
        </w:rPr>
        <w:t>l, Sentencia C-09</w:t>
      </w:r>
      <w:r w:rsidRPr="007C57D2">
        <w:rPr>
          <w:rFonts w:ascii="Times New Roman" w:hAnsi="Times New Roman"/>
          <w:lang w:val="pt-PT"/>
        </w:rPr>
        <w:t>3</w:t>
      </w:r>
      <w:r w:rsidRPr="007C57D2">
        <w:rPr>
          <w:rFonts w:ascii="Times New Roman" w:hAnsi="Times New Roman"/>
          <w:lang w:val="pt-PT"/>
        </w:rPr>
        <w:t xml:space="preserve"> de 2021.</w:t>
      </w:r>
    </w:p>
  </w:footnote>
  <w:footnote w:id="227">
    <w:p w:rsidR="008530D9"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C-317 de 2024.</w:t>
      </w:r>
    </w:p>
  </w:footnote>
  <w:footnote w:id="228">
    <w:p w:rsidR="0094269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w:t>
      </w:r>
      <w:r w:rsidRPr="007C57D2">
        <w:rPr>
          <w:rFonts w:ascii="Times New Roman" w:hAnsi="Times New Roman"/>
          <w:shd w:val="clear" w:color="auto" w:fill="FFFFFF"/>
        </w:rPr>
        <w:t>s</w:t>
      </w:r>
      <w:r w:rsidRPr="007C57D2">
        <w:rPr>
          <w:rFonts w:ascii="Times New Roman" w:hAnsi="Times New Roman"/>
          <w:shd w:val="clear" w:color="auto" w:fill="FFFFFF"/>
        </w:rPr>
        <w:t>entencia</w:t>
      </w:r>
      <w:r w:rsidRPr="007C57D2">
        <w:rPr>
          <w:rFonts w:ascii="Times New Roman" w:hAnsi="Times New Roman"/>
          <w:shd w:val="clear" w:color="auto" w:fill="FFFFFF"/>
        </w:rPr>
        <w:t>s</w:t>
      </w:r>
      <w:r w:rsidRPr="007C57D2">
        <w:rPr>
          <w:rFonts w:ascii="Times New Roman" w:hAnsi="Times New Roman"/>
          <w:shd w:val="clear" w:color="auto" w:fill="FFFFFF"/>
        </w:rPr>
        <w:t xml:space="preserve"> C-</w:t>
      </w:r>
      <w:r w:rsidRPr="007C57D2">
        <w:rPr>
          <w:rFonts w:ascii="Times New Roman" w:hAnsi="Times New Roman"/>
          <w:shd w:val="clear" w:color="auto" w:fill="FFFFFF"/>
        </w:rPr>
        <w:t xml:space="preserve">110 de 2019, C-093, C-051, C-026 y C-018 de 2018, C-274 de 2013, C-490 de 2011, C-767, C-373 y C-238 de 2010, </w:t>
      </w:r>
      <w:r w:rsidRPr="007C57D2">
        <w:rPr>
          <w:rFonts w:ascii="Times New Roman" w:hAnsi="Times New Roman"/>
          <w:shd w:val="clear" w:color="auto" w:fill="FFFFFF"/>
        </w:rPr>
        <w:t xml:space="preserve">C-506, C-441, C-286, C-015A de 2009, C-1200, C-1139 y C-731 de 2008, C-856 de 2006 y C-473 de 2005. </w:t>
      </w:r>
    </w:p>
  </w:footnote>
  <w:footnote w:id="229">
    <w:p w:rsidR="006949C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w:t>
      </w:r>
      <w:r w:rsidRPr="007C57D2">
        <w:rPr>
          <w:rFonts w:ascii="Times New Roman" w:hAnsi="Times New Roman"/>
          <w:shd w:val="clear" w:color="auto" w:fill="FFFFFF"/>
          <w:lang w:val="pt-PT"/>
        </w:rPr>
        <w:t>Sentencia C-373 de 2010.</w:t>
      </w:r>
    </w:p>
  </w:footnote>
  <w:footnote w:id="230">
    <w:p w:rsidR="006949C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C-093 de 2024, que reiteró la Sentencia C-490 de 2011.</w:t>
      </w:r>
    </w:p>
  </w:footnote>
  <w:footnote w:id="231">
    <w:p w:rsidR="006949C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C-093 de 2024, que reiteró la Sentencia C-274 de 2013.</w:t>
      </w:r>
    </w:p>
  </w:footnote>
  <w:footnote w:id="232">
    <w:p w:rsidR="007578DC"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C-134 de 2023.</w:t>
      </w:r>
    </w:p>
  </w:footnote>
  <w:footnote w:id="233">
    <w:p w:rsidR="007578DC"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234">
    <w:p w:rsidR="00387C4B" w:rsidRPr="007C57D2" w:rsidRDefault="007C57D2" w:rsidP="00F543B3">
      <w:pPr>
        <w:shd w:val="clear" w:color="auto" w:fill="FFFFFF"/>
        <w:spacing w:after="0" w:line="240" w:lineRule="auto"/>
        <w:ind w:right="49"/>
        <w:jc w:val="both"/>
        <w:textAlignment w:val="baseline"/>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rPr>
        <w:t xml:space="preserve">Corte Constitucional, </w:t>
      </w:r>
      <w:r w:rsidRPr="007C57D2">
        <w:rPr>
          <w:rFonts w:ascii="Times New Roman" w:hAnsi="Times New Roman"/>
          <w:szCs w:val="20"/>
        </w:rPr>
        <w:t>Sentencia C-093 de 2024:</w:t>
      </w:r>
      <w:r w:rsidRPr="007C57D2">
        <w:rPr>
          <w:rFonts w:ascii="Times New Roman" w:hAnsi="Times New Roman"/>
          <w:szCs w:val="20"/>
          <w:lang w:val="es-ES"/>
        </w:rPr>
        <w:t xml:space="preserve"> “esta corporación ha descartado la aplicación de los efectos</w:t>
      </w:r>
      <w:r w:rsidRPr="007C57D2">
        <w:rPr>
          <w:rFonts w:ascii="Times New Roman" w:hAnsi="Times New Roman"/>
          <w:szCs w:val="20"/>
          <w:lang w:val="es-ES"/>
        </w:rPr>
        <w:t xml:space="preserve"> del artículo 7º de la Ley 819 de 2003, al interpretar expresiones cuyo contenido gramatical puede ser catalogado como imperativo, como, por ejemplo, la expresión “se financiarán”</w:t>
      </w:r>
      <w:bookmarkStart w:id="24" w:name="_ftnref155"/>
      <w:r w:rsidRPr="007C57D2">
        <w:rPr>
          <w:rFonts w:ascii="Times New Roman" w:hAnsi="Times New Roman"/>
          <w:szCs w:val="20"/>
          <w:lang w:val="es-ES"/>
        </w:rPr>
        <w:t xml:space="preserve"> [</w:t>
      </w:r>
      <w:bookmarkEnd w:id="24"/>
      <w:r w:rsidRPr="007C57D2">
        <w:rPr>
          <w:rFonts w:ascii="Times New Roman" w:hAnsi="Times New Roman"/>
          <w:szCs w:val="20"/>
          <w:shd w:val="clear" w:color="auto" w:fill="FFFFFF"/>
        </w:rPr>
        <w:t xml:space="preserve"> Cfr. Sentencia C-441 de 2009 (fj. 14)]</w:t>
      </w:r>
      <w:r w:rsidRPr="007C57D2">
        <w:rPr>
          <w:rFonts w:ascii="Times New Roman" w:hAnsi="Times New Roman"/>
          <w:szCs w:val="20"/>
          <w:lang w:val="es-ES"/>
        </w:rPr>
        <w:t xml:space="preserve">, frente a la cual se concluyó que </w:t>
      </w:r>
      <w:r w:rsidRPr="007C57D2">
        <w:rPr>
          <w:rFonts w:ascii="Times New Roman" w:hAnsi="Times New Roman"/>
          <w:szCs w:val="20"/>
          <w:lang w:val="es-ES"/>
        </w:rPr>
        <w:t>era necesario interpretarla como una “simple autorización” para los efectos del mencionado artículo orgánico, debido a que el GN podía decidir si incluía o no las correspondientes partidas en la Ley de Presupuesto Nacional. || Asumir que todas las disposic</w:t>
      </w:r>
      <w:r w:rsidRPr="007C57D2">
        <w:rPr>
          <w:rFonts w:ascii="Times New Roman" w:hAnsi="Times New Roman"/>
          <w:szCs w:val="20"/>
          <w:lang w:val="es-ES"/>
        </w:rPr>
        <w:t>iones que tengan efectos fiscales deben ser asimiladas con una orden de gastos para los efectos del artículo 7º de la Ley 819 de 2003, afecta los principios de separación de poderes y democrático, en el entendido de que casi todas las disposiciones normati</w:t>
      </w:r>
      <w:r w:rsidRPr="007C57D2">
        <w:rPr>
          <w:rFonts w:ascii="Times New Roman" w:hAnsi="Times New Roman"/>
          <w:szCs w:val="20"/>
          <w:lang w:val="es-ES"/>
        </w:rPr>
        <w:t>vas, directa o indirectamente, producen efectos fiscales y, por ende, todas las iniciativas legislativas tendrían que contar con el concepto del GN, así no tuvieren una orden de gastos propiamente dicha. Este tipo de “vetos” han sido censurados en la juris</w:t>
      </w:r>
      <w:r w:rsidRPr="007C57D2">
        <w:rPr>
          <w:rFonts w:ascii="Times New Roman" w:hAnsi="Times New Roman"/>
          <w:szCs w:val="20"/>
          <w:lang w:val="es-ES"/>
        </w:rPr>
        <w:t>prudencia sobre el artículo 7º de la Ley 819 de 2003, como se puede advertir, con algunos matices, en las sentencias C-874 de 2005, C-955 de 2007, C-1139 de 2008, C-662 de 2009, C-373 de 2010, C-154 de 2016 y C-018 de 2018. Incluso, tal postura generó la r</w:t>
      </w:r>
      <w:r w:rsidRPr="007C57D2">
        <w:rPr>
          <w:rFonts w:ascii="Times New Roman" w:hAnsi="Times New Roman"/>
          <w:szCs w:val="20"/>
          <w:lang w:val="es-ES"/>
        </w:rPr>
        <w:t>egla de unificación contenida en la Sentencia C-119 de 2019, relativa a las cargas del Congreso de la República y el Ministerio de Hacienda y Crédito Público y el efecto de su inobservancia”.</w:t>
      </w:r>
    </w:p>
  </w:footnote>
  <w:footnote w:id="235">
    <w:p w:rsidR="00D44F73"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lang w:val="pt-PT"/>
        </w:rPr>
        <w:t xml:space="preserve"> </w:t>
      </w:r>
      <w:r w:rsidRPr="007C57D2">
        <w:rPr>
          <w:rFonts w:ascii="Times New Roman" w:hAnsi="Times New Roman"/>
          <w:szCs w:val="20"/>
          <w:lang w:val="pt-PT"/>
        </w:rPr>
        <w:t>Corte Constitucional, s</w:t>
      </w:r>
      <w:r w:rsidRPr="007C57D2">
        <w:rPr>
          <w:rFonts w:ascii="Times New Roman" w:hAnsi="Times New Roman"/>
          <w:szCs w:val="20"/>
          <w:lang w:val="pt-PT"/>
        </w:rPr>
        <w:t>entencias C-134 de 2023, C-955 de 2007.</w:t>
      </w:r>
      <w:r w:rsidRPr="007C57D2">
        <w:rPr>
          <w:rFonts w:ascii="Times New Roman" w:hAnsi="Times New Roman"/>
          <w:szCs w:val="20"/>
          <w:lang w:val="pt-PT"/>
        </w:rPr>
        <w:t xml:space="preserve"> </w:t>
      </w:r>
      <w:r w:rsidRPr="007C57D2">
        <w:rPr>
          <w:rFonts w:ascii="Times New Roman" w:hAnsi="Times New Roman"/>
          <w:szCs w:val="20"/>
        </w:rPr>
        <w:t xml:space="preserve">Salvo cuando señalan que la financiación de esos costos debe darse con arreglo a los ajustes presupuestales que realice el ejecutivo. Al respecto ver la Sentencia C-1011 de 2008. </w:t>
      </w:r>
    </w:p>
  </w:footnote>
  <w:footnote w:id="236">
    <w:p w:rsidR="00D44F73"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rPr>
        <w:t xml:space="preserve">Corte Constitucional, </w:t>
      </w:r>
      <w:r w:rsidRPr="007C57D2">
        <w:rPr>
          <w:rFonts w:ascii="Times New Roman" w:hAnsi="Times New Roman"/>
          <w:szCs w:val="20"/>
        </w:rPr>
        <w:t xml:space="preserve">Sentencia C-075 de 2022. </w:t>
      </w:r>
    </w:p>
  </w:footnote>
  <w:footnote w:id="237">
    <w:p w:rsidR="00D44F73"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rPr>
        <w:t xml:space="preserve">Corte Constitucional, </w:t>
      </w:r>
      <w:r w:rsidRPr="007C57D2">
        <w:rPr>
          <w:rFonts w:ascii="Times New Roman" w:hAnsi="Times New Roman"/>
          <w:szCs w:val="20"/>
        </w:rPr>
        <w:t>S</w:t>
      </w:r>
      <w:r w:rsidRPr="007C57D2">
        <w:rPr>
          <w:rFonts w:ascii="Times New Roman" w:hAnsi="Times New Roman"/>
          <w:szCs w:val="20"/>
        </w:rPr>
        <w:t xml:space="preserve">entencia C-856 de 2006. </w:t>
      </w:r>
    </w:p>
  </w:footnote>
  <w:footnote w:id="238">
    <w:p w:rsidR="00D44F73"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Por ejemplo, a través de la Sentencia C-282 de 2021 esta Corte determinó, al estudiar la constitucionalidad de un proyecto de ley estatutaria sobre una política pública de educación financiera, que una disposición tendiente a ord</w:t>
      </w:r>
      <w:r w:rsidRPr="007C57D2">
        <w:rPr>
          <w:rFonts w:ascii="Times New Roman" w:hAnsi="Times New Roman"/>
          <w:szCs w:val="20"/>
        </w:rPr>
        <w:t>enar la publicación y revisión de material pedagógico por parte del Gobierno no constituía una orden de gasto y por ende no debía cumplir el requisito de análisis de impacto fiscal. Lo anterior, en el entendido de que una interpretación posible de la norma</w:t>
      </w:r>
      <w:r w:rsidRPr="007C57D2">
        <w:rPr>
          <w:rFonts w:ascii="Times New Roman" w:hAnsi="Times New Roman"/>
          <w:szCs w:val="20"/>
        </w:rPr>
        <w:t xml:space="preserve"> implicaba que el Gobierno Nacional podría cumplir la norma con recursos ya previstos en apropiaciones presupuestales existentes. En forma similar, en la Sentencia C-765 de 2012 la Corte determinó que una norma estatutaria que asignaba deberes, competencia</w:t>
      </w:r>
      <w:r w:rsidRPr="007C57D2">
        <w:rPr>
          <w:rFonts w:ascii="Times New Roman" w:hAnsi="Times New Roman"/>
          <w:szCs w:val="20"/>
        </w:rPr>
        <w:t>s y responsabilidades a entidades del Estado para garantizar el goce efectivo de derechos por parte de las personas con discapacidad no debía cumplir el requisito de impacto fiscal porque, aunque el cumplimiento de algunas de sus disposiciones podía requer</w:t>
      </w:r>
      <w:r w:rsidRPr="007C57D2">
        <w:rPr>
          <w:rFonts w:ascii="Times New Roman" w:hAnsi="Times New Roman"/>
          <w:szCs w:val="20"/>
        </w:rPr>
        <w:t>ir gasto, se trataba del reconocimiento de competencias administrativas que no implicaban erogación.</w:t>
      </w:r>
    </w:p>
  </w:footnote>
  <w:footnote w:id="239">
    <w:p w:rsidR="00D44F73" w:rsidRPr="007C57D2" w:rsidRDefault="007C57D2" w:rsidP="00F543B3">
      <w:pPr>
        <w:spacing w:after="0" w:line="240" w:lineRule="auto"/>
        <w:jc w:val="both"/>
        <w:rPr>
          <w:rFonts w:ascii="Times New Roman" w:hAnsi="Times New Roman"/>
          <w:szCs w:val="20"/>
          <w:lang w:val="pt-BR"/>
        </w:rPr>
      </w:pPr>
      <w:r w:rsidRPr="007C57D2">
        <w:rPr>
          <w:rStyle w:val="Refdenotaalpie"/>
          <w:rFonts w:ascii="Times New Roman" w:hAnsi="Times New Roman"/>
          <w:szCs w:val="20"/>
        </w:rPr>
        <w:footnoteRef/>
      </w:r>
      <w:r w:rsidRPr="007C57D2">
        <w:rPr>
          <w:rFonts w:ascii="Times New Roman" w:hAnsi="Times New Roman"/>
          <w:szCs w:val="20"/>
          <w:lang w:val="pt-BR"/>
        </w:rPr>
        <w:t xml:space="preserve"> </w:t>
      </w:r>
      <w:r w:rsidRPr="007C57D2">
        <w:rPr>
          <w:rFonts w:ascii="Times New Roman" w:hAnsi="Times New Roman"/>
          <w:szCs w:val="20"/>
          <w:lang w:val="pt-BR"/>
        </w:rPr>
        <w:t>Corte Constitucional,</w:t>
      </w:r>
      <w:r w:rsidRPr="007C57D2">
        <w:rPr>
          <w:rFonts w:ascii="Times New Roman" w:hAnsi="Times New Roman"/>
          <w:szCs w:val="20"/>
          <w:lang w:val="pt-BR"/>
        </w:rPr>
        <w:t xml:space="preserve"> Sentencia C-134 de 2023. </w:t>
      </w:r>
    </w:p>
  </w:footnote>
  <w:footnote w:id="240">
    <w:p w:rsidR="00D44F73" w:rsidRPr="007C57D2" w:rsidRDefault="007C57D2" w:rsidP="00F543B3">
      <w:pPr>
        <w:spacing w:after="0" w:line="240" w:lineRule="auto"/>
        <w:jc w:val="both"/>
        <w:rPr>
          <w:rFonts w:ascii="Times New Roman" w:hAnsi="Times New Roman"/>
          <w:szCs w:val="20"/>
          <w:lang w:val="pt-BR"/>
        </w:rPr>
      </w:pPr>
      <w:r w:rsidRPr="007C57D2">
        <w:rPr>
          <w:rStyle w:val="Refdenotaalpie"/>
          <w:rFonts w:ascii="Times New Roman" w:hAnsi="Times New Roman"/>
          <w:szCs w:val="20"/>
        </w:rPr>
        <w:footnoteRef/>
      </w:r>
      <w:r w:rsidRPr="007C57D2">
        <w:rPr>
          <w:rFonts w:ascii="Times New Roman" w:hAnsi="Times New Roman"/>
          <w:szCs w:val="20"/>
          <w:lang w:val="pt-BR"/>
        </w:rPr>
        <w:t xml:space="preserve"> </w:t>
      </w:r>
      <w:r w:rsidRPr="007C57D2">
        <w:rPr>
          <w:rFonts w:ascii="Times New Roman" w:hAnsi="Times New Roman"/>
          <w:szCs w:val="20"/>
          <w:lang w:val="pt-BR"/>
        </w:rPr>
        <w:t>Ibidem.</w:t>
      </w:r>
    </w:p>
  </w:footnote>
  <w:footnote w:id="241">
    <w:p w:rsidR="00D31E41"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C-317 de 2024.</w:t>
      </w:r>
    </w:p>
  </w:footnote>
  <w:footnote w:id="242">
    <w:p w:rsidR="00D31E41"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w:t>
      </w:r>
    </w:p>
  </w:footnote>
  <w:footnote w:id="243">
    <w:p w:rsidR="00D31E41"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Sentencia C-134 de 2023, que al respecto reitera las sentencias C-085 de 2022 y C-395 de 2021. </w:t>
      </w:r>
    </w:p>
  </w:footnote>
  <w:footnote w:id="244">
    <w:p w:rsidR="00D31E41"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C-317 de 2024.</w:t>
      </w:r>
    </w:p>
  </w:footnote>
  <w:footnote w:id="245">
    <w:p w:rsidR="007D5457"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w:t>
      </w:r>
      <w:r w:rsidRPr="007C57D2">
        <w:rPr>
          <w:rFonts w:ascii="Times New Roman" w:hAnsi="Times New Roman"/>
          <w:lang w:val="pt-PT"/>
        </w:rPr>
        <w:t>Ibidem</w:t>
      </w:r>
      <w:r w:rsidRPr="007C57D2">
        <w:rPr>
          <w:rFonts w:ascii="Times New Roman" w:hAnsi="Times New Roman"/>
          <w:lang w:val="pt-PT"/>
        </w:rPr>
        <w:t>.</w:t>
      </w:r>
    </w:p>
  </w:footnote>
  <w:footnote w:id="246">
    <w:p w:rsidR="00065756"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Ibidem.</w:t>
      </w:r>
    </w:p>
  </w:footnote>
  <w:footnote w:id="247">
    <w:p w:rsidR="00B24B16"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C-018 de 2018.</w:t>
      </w:r>
    </w:p>
  </w:footnote>
  <w:footnote w:id="248">
    <w:p w:rsidR="006A65EE"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C-317 de 2024.</w:t>
      </w:r>
    </w:p>
  </w:footnote>
  <w:footnote w:id="249">
    <w:p w:rsidR="00962E66" w:rsidRPr="007C57D2" w:rsidRDefault="007C57D2" w:rsidP="00F543B3">
      <w:pPr>
        <w:pStyle w:val="Prrafodelista"/>
        <w:tabs>
          <w:tab w:val="left" w:pos="851"/>
        </w:tabs>
        <w:ind w:left="0"/>
        <w:jc w:val="both"/>
        <w:rPr>
          <w:rFonts w:ascii="Times New Roman" w:hAnsi="Times New Roman"/>
          <w:sz w:val="20"/>
          <w:szCs w:val="20"/>
        </w:rPr>
      </w:pPr>
      <w:r w:rsidRPr="007C57D2">
        <w:rPr>
          <w:rStyle w:val="Refdenotaalpie"/>
          <w:rFonts w:ascii="Times New Roman" w:hAnsi="Times New Roman"/>
          <w:sz w:val="20"/>
          <w:szCs w:val="20"/>
        </w:rPr>
        <w:footnoteRef/>
      </w:r>
      <w:r w:rsidRPr="007C57D2">
        <w:rPr>
          <w:rFonts w:ascii="Times New Roman" w:hAnsi="Times New Roman"/>
          <w:sz w:val="20"/>
          <w:szCs w:val="20"/>
        </w:rPr>
        <w:t xml:space="preserve"> En la Sentencia C-805 de 2001, la Corte explicó que cuando la ley atribuye a un ministerio o un departamento administrativo la función de expedir el reglamento debe entenderse: (i) “que [esa función] consti</w:t>
      </w:r>
      <w:r w:rsidRPr="007C57D2">
        <w:rPr>
          <w:rFonts w:ascii="Times New Roman" w:hAnsi="Times New Roman"/>
          <w:sz w:val="20"/>
          <w:szCs w:val="20"/>
        </w:rPr>
        <w:t>tuye simplemente una manera de atribuir competencia en razón de la materia”; y (ii) que en la órbita propia de las funciones de cada ministerio o departamento administrativo, con subordinación tanto a las directrices del presidente como a los reglamentos q</w:t>
      </w:r>
      <w:r w:rsidRPr="007C57D2">
        <w:rPr>
          <w:rFonts w:ascii="Times New Roman" w:hAnsi="Times New Roman"/>
          <w:sz w:val="20"/>
          <w:szCs w:val="20"/>
        </w:rPr>
        <w:t>ue este haya expedido, los ministerios y los departamentos administrativos también pueden expedir reglamentos. No obstante, “en ningún caso, estos pueden desplazar a la competencia reglamentaria del presidente de la República, frente a la cual tienen un ca</w:t>
      </w:r>
      <w:r w:rsidRPr="007C57D2">
        <w:rPr>
          <w:rFonts w:ascii="Times New Roman" w:hAnsi="Times New Roman"/>
          <w:sz w:val="20"/>
          <w:szCs w:val="20"/>
        </w:rPr>
        <w:t>rácter residual y subordinado”.</w:t>
      </w:r>
    </w:p>
  </w:footnote>
  <w:footnote w:id="250">
    <w:p w:rsidR="00962E6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C-894 de 2006: “</w:t>
      </w:r>
      <w:r w:rsidRPr="007C57D2">
        <w:rPr>
          <w:rFonts w:ascii="Times New Roman" w:hAnsi="Times New Roman"/>
          <w:shd w:val="clear" w:color="auto" w:fill="FFFFFF"/>
        </w:rPr>
        <w:t xml:space="preserve">Frente a la potestad reglamentaria de la ley, la Corte Constitucional ha señalado entre otros aspectos, que aquélla se desprende directamente del numeral 11 del artículo 189 </w:t>
      </w:r>
      <w:r w:rsidRPr="007C57D2">
        <w:rPr>
          <w:rFonts w:ascii="Times New Roman" w:hAnsi="Times New Roman"/>
          <w:shd w:val="clear" w:color="auto" w:fill="FFFFFF"/>
        </w:rPr>
        <w:t xml:space="preserve">de la Constitución Política y, en esa medida, para su ejercicio no se requiere, como tal, de autorización legislativa. Por tanto, no es necesaria una referencia o habilitación expresa en la ley para que ésta pueda ser reglamentada, pues ello corresponde a </w:t>
      </w:r>
      <w:r w:rsidRPr="007C57D2">
        <w:rPr>
          <w:rFonts w:ascii="Times New Roman" w:hAnsi="Times New Roman"/>
          <w:shd w:val="clear" w:color="auto" w:fill="FFFFFF"/>
        </w:rPr>
        <w:t>una función constitucional propia del presidente de la República, que éste habrá de ejercer siempre que sea necesario para garantizar la cumplida ejecución de la ley”.</w:t>
      </w:r>
    </w:p>
  </w:footnote>
  <w:footnote w:id="251">
    <w:p w:rsidR="009417E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67 del Código Penal: “Deber de denunciar. Toda persona debe denunciar a la autoridad los delitos de cuya comisión tenga conocimiento y que deban investigarse de oficio. || El servidor público que conozca de la comisión de un delito que deba inves</w:t>
      </w:r>
      <w:r w:rsidRPr="007C57D2">
        <w:rPr>
          <w:rFonts w:ascii="Times New Roman" w:hAnsi="Times New Roman"/>
        </w:rPr>
        <w:t>tigarse de oficio, iniciará sin tardanza la investigación si tuviere competencia para ello; en caso contrario, pondrá inmediatamente el hecho en conocimiento ante la autoridad competente”.</w:t>
      </w:r>
    </w:p>
  </w:footnote>
  <w:footnote w:id="252">
    <w:p w:rsidR="00AE5F93"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C-317 de 2024.</w:t>
      </w:r>
      <w:r w:rsidRPr="007C57D2">
        <w:rPr>
          <w:rFonts w:ascii="Times New Roman" w:hAnsi="Times New Roman"/>
          <w:lang w:val="pt-PT"/>
        </w:rPr>
        <w:t xml:space="preserve"> </w:t>
      </w:r>
      <w:r w:rsidRPr="007C57D2">
        <w:rPr>
          <w:rFonts w:ascii="Times New Roman" w:hAnsi="Times New Roman"/>
        </w:rPr>
        <w:t xml:space="preserve">En estos términos </w:t>
      </w:r>
      <w:r w:rsidRPr="007C57D2">
        <w:rPr>
          <w:rFonts w:ascii="Times New Roman" w:hAnsi="Times New Roman"/>
        </w:rPr>
        <w:t xml:space="preserve">se refirió la Sala Plena al literal </w:t>
      </w:r>
      <w:r w:rsidRPr="007C57D2">
        <w:rPr>
          <w:rFonts w:ascii="Times New Roman" w:hAnsi="Times New Roman"/>
        </w:rPr>
        <w:t>o) del artículo 9 de la ley estatutaria objeto de control, el cual dispone que El Gobierno nacional a través del Ministerio del Interior en coordinación con la Consejería Presidencial para la Equidad de la Mujer, el Mini</w:t>
      </w:r>
      <w:r w:rsidRPr="007C57D2">
        <w:rPr>
          <w:rFonts w:ascii="Times New Roman" w:hAnsi="Times New Roman"/>
        </w:rPr>
        <w:t>sterio de Igualdad y Equidad o quien haga sus veces, y articulados con las Secretarías Departamentales, Municipales y Distritales de Gobierno o del Interior y de la Mujer y demás instancias que tengan a su cargo la promoción y garantía de los derechos polí</w:t>
      </w:r>
      <w:r w:rsidRPr="007C57D2">
        <w:rPr>
          <w:rFonts w:ascii="Times New Roman" w:hAnsi="Times New Roman"/>
        </w:rPr>
        <w:t>ticos de las y los ciudadanos, diseñarán e implementarán las políticas, planes, programas y proyectos necesarios para promover el derecho de las mujeres a participar en la vida pública y política del país en condiciones de igualdad y libre de toda forma de</w:t>
      </w:r>
      <w:r w:rsidRPr="007C57D2">
        <w:rPr>
          <w:rFonts w:ascii="Times New Roman" w:hAnsi="Times New Roman"/>
        </w:rPr>
        <w:t xml:space="preserve"> violencia. Los lineamientos que orientarán el desarrollo de estas acciones serán: (…) o) Presentar ante la Comisión Legal para la Equidad de la Mujer del Congreso de la República, dentro de los primeros tres (3) meses de cada anualidad, un informe estadís</w:t>
      </w:r>
      <w:r w:rsidRPr="007C57D2">
        <w:rPr>
          <w:rFonts w:ascii="Times New Roman" w:hAnsi="Times New Roman"/>
        </w:rPr>
        <w:t xml:space="preserve">tico que muestre, por lo menos, los datos de que tratan los literales b) y e) del presente artículo”. </w:t>
      </w:r>
    </w:p>
  </w:footnote>
  <w:footnote w:id="253">
    <w:p w:rsidR="00671C8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Inciso 1 del artículo 4 de la Ley 2242 de 2022: “El Ministerio de las Tecnologías de la Información y las Comunicaciones, liderará la articulación de l</w:t>
      </w:r>
      <w:r w:rsidRPr="007C57D2">
        <w:rPr>
          <w:rFonts w:ascii="Times New Roman" w:hAnsi="Times New Roman"/>
        </w:rPr>
        <w:t>os sistemas de información existentes, en un gran sistema de alertas tempranas sobre la niñez colombiana. El Sistema de Seguimiento al Desarrollo Integral de la Primera Infancia -SSD IPI, el Sistema Nacional de Alertas Tempranas para la Prevención de la Vi</w:t>
      </w:r>
      <w:r w:rsidRPr="007C57D2">
        <w:rPr>
          <w:rFonts w:ascii="Times New Roman" w:hAnsi="Times New Roman"/>
        </w:rPr>
        <w:t>olencia Sexual contra Niños, Niñas y Adolescentes, el Sistema de Información Misional - SIM, entre otros, se integrarán y complementarán para garantizar la emisión de alertas tempranas que permitan la oportuna intervención de las entidades estatales para p</w:t>
      </w:r>
      <w:r w:rsidRPr="007C57D2">
        <w:rPr>
          <w:rFonts w:ascii="Times New Roman" w:hAnsi="Times New Roman"/>
        </w:rPr>
        <w:t>revenir afectaciones de los derechos de los niños, niñas y adolescentes”.</w:t>
      </w:r>
    </w:p>
  </w:footnote>
  <w:footnote w:id="254">
    <w:p w:rsidR="00831B4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Ver concepto de la CRC al PLE, publicado en la Gaceta del Congreso n.° 323 del 1 de abril de 2024</w:t>
      </w:r>
      <w:r w:rsidRPr="007C57D2">
        <w:rPr>
          <w:rFonts w:ascii="Times New Roman" w:hAnsi="Times New Roman"/>
        </w:rPr>
        <w:t>.</w:t>
      </w:r>
    </w:p>
  </w:footnote>
  <w:footnote w:id="255">
    <w:p w:rsidR="00671C8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1 de la Resolución 6141 del 21 de enero de 2022, expedida por la CRC.</w:t>
      </w:r>
    </w:p>
  </w:footnote>
  <w:footnote w:id="256">
    <w:p w:rsidR="00671C8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257">
    <w:p w:rsidR="00671C87"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rPr>
        <w:t xml:space="preserve">Corte </w:t>
      </w:r>
      <w:r w:rsidRPr="007C57D2">
        <w:rPr>
          <w:rFonts w:ascii="Times New Roman" w:hAnsi="Times New Roman"/>
          <w:szCs w:val="20"/>
        </w:rPr>
        <w:t xml:space="preserve">Constitucional, </w:t>
      </w:r>
      <w:r w:rsidRPr="007C57D2">
        <w:rPr>
          <w:rFonts w:ascii="Times New Roman" w:hAnsi="Times New Roman"/>
          <w:szCs w:val="20"/>
        </w:rPr>
        <w:t>Sentencia C-134 de 2023</w:t>
      </w:r>
      <w:r w:rsidRPr="007C57D2">
        <w:rPr>
          <w:rFonts w:ascii="Times New Roman" w:hAnsi="Times New Roman"/>
          <w:szCs w:val="20"/>
        </w:rPr>
        <w:t>;</w:t>
      </w:r>
      <w:r w:rsidRPr="007C57D2">
        <w:rPr>
          <w:rFonts w:ascii="Times New Roman" w:hAnsi="Times New Roman"/>
          <w:szCs w:val="20"/>
        </w:rPr>
        <w:t xml:space="preserve"> que al respecto reitera las sentencias C-085 de 2022 y C-395 de 2021. </w:t>
      </w:r>
    </w:p>
  </w:footnote>
  <w:footnote w:id="258">
    <w:p w:rsidR="00671C8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C-317 de 2024.</w:t>
      </w:r>
    </w:p>
  </w:footnote>
  <w:footnote w:id="259">
    <w:p w:rsidR="00671C87" w:rsidRPr="007C57D2" w:rsidRDefault="007C57D2" w:rsidP="00F543B3">
      <w:pPr>
        <w:pStyle w:val="Textonotapie"/>
        <w:jc w:val="both"/>
        <w:rPr>
          <w:rFonts w:ascii="Times New Roman" w:hAnsi="Times New Roman"/>
          <w:lang w:val="pt-PT"/>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C-110 de 2019.</w:t>
      </w:r>
    </w:p>
  </w:footnote>
  <w:footnote w:id="260">
    <w:p w:rsidR="00FF125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Inciso 2 del artículo 25 d</w:t>
      </w:r>
      <w:r w:rsidRPr="007C57D2">
        <w:rPr>
          <w:rFonts w:ascii="Times New Roman" w:hAnsi="Times New Roman"/>
        </w:rPr>
        <w:t>e Ley 2326 de 2023: “Las plataformas, aplicativos, registro de que trata la presente ley podrán unificarse o articularse con las existentes relacionadas con la materia”.</w:t>
      </w:r>
    </w:p>
  </w:footnote>
  <w:footnote w:id="261">
    <w:p w:rsidR="00671C8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pt-PT"/>
        </w:rPr>
        <w:t xml:space="preserve"> Corte Constitucional, Sentencia </w:t>
      </w:r>
      <w:r w:rsidRPr="007C57D2">
        <w:rPr>
          <w:rFonts w:ascii="Times New Roman" w:hAnsi="Times New Roman"/>
          <w:lang w:val="pt-PT" w:eastAsia="es-MX"/>
        </w:rPr>
        <w:t>C-274 de 2013</w:t>
      </w:r>
      <w:r w:rsidRPr="007C57D2">
        <w:rPr>
          <w:rFonts w:ascii="Times New Roman" w:hAnsi="Times New Roman"/>
          <w:lang w:val="pt-PT"/>
        </w:rPr>
        <w:t xml:space="preserve">. </w:t>
      </w:r>
      <w:r w:rsidRPr="007C57D2">
        <w:rPr>
          <w:rFonts w:ascii="Times New Roman" w:hAnsi="Times New Roman"/>
        </w:rPr>
        <w:t>Al respecto, también se puede consult</w:t>
      </w:r>
      <w:r w:rsidRPr="007C57D2">
        <w:rPr>
          <w:rFonts w:ascii="Times New Roman" w:hAnsi="Times New Roman"/>
        </w:rPr>
        <w:t xml:space="preserve">ar la Sentencia </w:t>
      </w:r>
      <w:r w:rsidRPr="007C57D2">
        <w:rPr>
          <w:rFonts w:ascii="Times New Roman" w:hAnsi="Times New Roman"/>
          <w:lang w:val="es-ES"/>
        </w:rPr>
        <w:t>C-026 de 2018.</w:t>
      </w:r>
    </w:p>
  </w:footnote>
  <w:footnote w:id="262">
    <w:p w:rsidR="0065148E"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w:t>
      </w:r>
      <w:r w:rsidRPr="007C57D2">
        <w:rPr>
          <w:rFonts w:ascii="Times New Roman" w:hAnsi="Times New Roman"/>
        </w:rPr>
        <w:t>5</w:t>
      </w:r>
      <w:r w:rsidRPr="007C57D2">
        <w:rPr>
          <w:rFonts w:ascii="Times New Roman" w:hAnsi="Times New Roman"/>
        </w:rPr>
        <w:t xml:space="preserve"> del Proyecto de Ley Estatutaria número 266 de 2023 Cámara: “La Policía Nacional dispondrá de un botón de alerta en su</w:t>
      </w:r>
      <w:r w:rsidRPr="007C57D2">
        <w:rPr>
          <w:rFonts w:ascii="Times New Roman" w:hAnsi="Times New Roman"/>
        </w:rPr>
        <w:t xml:space="preserve"> p</w:t>
      </w:r>
      <w:r w:rsidRPr="007C57D2">
        <w:rPr>
          <w:rFonts w:ascii="Times New Roman" w:hAnsi="Times New Roman"/>
        </w:rPr>
        <w:t xml:space="preserve">ina web principal para que las personas puedan realizar el respectivo reporte de extravío de un niño o niña incluyendo la autorización para el tratamiento de los datos biométricos y personales. (…)”. Gaceta del Congreso n.° 1439 del 10 de octubre de 2023, </w:t>
      </w:r>
      <w:r w:rsidRPr="007C57D2">
        <w:rPr>
          <w:rFonts w:ascii="Times New Roman" w:hAnsi="Times New Roman"/>
        </w:rPr>
        <w:t>p.</w:t>
      </w:r>
      <w:r w:rsidRPr="007C57D2">
        <w:rPr>
          <w:rFonts w:ascii="Times New Roman" w:hAnsi="Times New Roman"/>
        </w:rPr>
        <w:t xml:space="preserve"> 2.</w:t>
      </w:r>
    </w:p>
  </w:footnote>
  <w:footnote w:id="263">
    <w:p w:rsidR="0065148E"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272 del 18 de marzo de 2024</w:t>
      </w:r>
      <w:r w:rsidRPr="007C57D2">
        <w:rPr>
          <w:rFonts w:ascii="Times New Roman" w:hAnsi="Times New Roman"/>
        </w:rPr>
        <w:t xml:space="preserve">, </w:t>
      </w:r>
      <w:r w:rsidRPr="007C57D2">
        <w:rPr>
          <w:rFonts w:ascii="Times New Roman" w:hAnsi="Times New Roman"/>
        </w:rPr>
        <w:t>p.</w:t>
      </w:r>
      <w:r w:rsidRPr="007C57D2">
        <w:rPr>
          <w:rFonts w:ascii="Times New Roman" w:hAnsi="Times New Roman"/>
        </w:rPr>
        <w:t xml:space="preserve"> 9</w:t>
      </w:r>
      <w:r w:rsidRPr="007C57D2">
        <w:rPr>
          <w:rFonts w:ascii="Times New Roman" w:hAnsi="Times New Roman"/>
        </w:rPr>
        <w:t>.</w:t>
      </w:r>
    </w:p>
  </w:footnote>
  <w:footnote w:id="264">
    <w:p w:rsidR="003200A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625 del 21 de mayo de 2024, </w:t>
      </w:r>
      <w:r w:rsidRPr="007C57D2">
        <w:rPr>
          <w:rFonts w:ascii="Times New Roman" w:hAnsi="Times New Roman"/>
        </w:rPr>
        <w:t>p.</w:t>
      </w:r>
      <w:r w:rsidRPr="007C57D2">
        <w:rPr>
          <w:rFonts w:ascii="Times New Roman" w:hAnsi="Times New Roman"/>
        </w:rPr>
        <w:t xml:space="preserve"> 10 y 11.</w:t>
      </w:r>
    </w:p>
  </w:footnote>
  <w:footnote w:id="265">
    <w:p w:rsidR="0085368F"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w:t>
      </w:r>
      <w:r w:rsidRPr="007C57D2">
        <w:rPr>
          <w:rFonts w:ascii="Times New Roman" w:hAnsi="Times New Roman"/>
        </w:rPr>
        <w:t>1366</w:t>
      </w:r>
      <w:r w:rsidRPr="007C57D2">
        <w:rPr>
          <w:rFonts w:ascii="Times New Roman" w:hAnsi="Times New Roman"/>
        </w:rPr>
        <w:t xml:space="preserve"> del </w:t>
      </w:r>
      <w:r w:rsidRPr="007C57D2">
        <w:rPr>
          <w:rFonts w:ascii="Times New Roman" w:hAnsi="Times New Roman"/>
        </w:rPr>
        <w:t>11</w:t>
      </w:r>
      <w:r w:rsidRPr="007C57D2">
        <w:rPr>
          <w:rFonts w:ascii="Times New Roman" w:hAnsi="Times New Roman"/>
        </w:rPr>
        <w:t xml:space="preserve"> de </w:t>
      </w:r>
      <w:r w:rsidRPr="007C57D2">
        <w:rPr>
          <w:rFonts w:ascii="Times New Roman" w:hAnsi="Times New Roman"/>
        </w:rPr>
        <w:t>septiembre</w:t>
      </w:r>
      <w:r w:rsidRPr="007C57D2">
        <w:rPr>
          <w:rFonts w:ascii="Times New Roman" w:hAnsi="Times New Roman"/>
        </w:rPr>
        <w:t xml:space="preserve"> de 2024, </w:t>
      </w:r>
      <w:r w:rsidRPr="007C57D2">
        <w:rPr>
          <w:rFonts w:ascii="Times New Roman" w:hAnsi="Times New Roman"/>
        </w:rPr>
        <w:t>p.</w:t>
      </w:r>
      <w:r w:rsidRPr="007C57D2">
        <w:rPr>
          <w:rFonts w:ascii="Times New Roman" w:hAnsi="Times New Roman"/>
        </w:rPr>
        <w:t xml:space="preserve"> 12.</w:t>
      </w:r>
    </w:p>
  </w:footnote>
  <w:footnote w:id="266">
    <w:p w:rsidR="00DF6A6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w:t>
      </w:r>
      <w:r w:rsidRPr="007C57D2">
        <w:rPr>
          <w:rFonts w:ascii="Times New Roman" w:hAnsi="Times New Roman"/>
        </w:rPr>
        <w:t>p.</w:t>
      </w:r>
      <w:r w:rsidRPr="007C57D2">
        <w:rPr>
          <w:rFonts w:ascii="Times New Roman" w:hAnsi="Times New Roman"/>
        </w:rPr>
        <w:t xml:space="preserve"> 16.</w:t>
      </w:r>
    </w:p>
  </w:footnote>
  <w:footnote w:id="267">
    <w:p w:rsidR="0085368F"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759 del 5 de junio de 2024, </w:t>
      </w:r>
      <w:r w:rsidRPr="007C57D2">
        <w:rPr>
          <w:rFonts w:ascii="Times New Roman" w:hAnsi="Times New Roman"/>
        </w:rPr>
        <w:t>p.</w:t>
      </w:r>
      <w:r w:rsidRPr="007C57D2">
        <w:rPr>
          <w:rFonts w:ascii="Times New Roman" w:hAnsi="Times New Roman"/>
        </w:rPr>
        <w:t xml:space="preserve"> 6.</w:t>
      </w:r>
    </w:p>
  </w:footnote>
  <w:footnote w:id="268">
    <w:p w:rsidR="00DF6A6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27 del 5 de febrero de 2025, </w:t>
      </w:r>
      <w:r w:rsidRPr="007C57D2">
        <w:rPr>
          <w:rFonts w:ascii="Times New Roman" w:hAnsi="Times New Roman"/>
        </w:rPr>
        <w:t>p.</w:t>
      </w:r>
      <w:r w:rsidRPr="007C57D2">
        <w:rPr>
          <w:rFonts w:ascii="Times New Roman" w:hAnsi="Times New Roman"/>
        </w:rPr>
        <w:t xml:space="preserve"> 83.</w:t>
      </w:r>
    </w:p>
  </w:footnote>
  <w:footnote w:id="269">
    <w:p w:rsidR="003E2DC7"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Gaceta del Congreso n.° 838 del 12 de junio de 2024, </w:t>
      </w:r>
      <w:r w:rsidRPr="007C57D2">
        <w:rPr>
          <w:rFonts w:ascii="Times New Roman" w:hAnsi="Times New Roman"/>
        </w:rPr>
        <w:t>p.</w:t>
      </w:r>
      <w:r w:rsidRPr="007C57D2">
        <w:rPr>
          <w:rFonts w:ascii="Times New Roman" w:hAnsi="Times New Roman"/>
        </w:rPr>
        <w:t xml:space="preserve"> 1.</w:t>
      </w:r>
    </w:p>
  </w:footnote>
  <w:footnote w:id="270">
    <w:p w:rsidR="004E745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archivo “concepto PGN.pdf”, p. 15.</w:t>
      </w:r>
    </w:p>
  </w:footnote>
  <w:footnote w:id="27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w:t>
      </w:r>
      <w:r w:rsidRPr="007C57D2">
        <w:rPr>
          <w:rFonts w:ascii="Times New Roman" w:hAnsi="Times New Roman"/>
        </w:rPr>
        <w:t xml:space="preserve"> del PLE.</w:t>
      </w:r>
    </w:p>
  </w:footnote>
  <w:footnote w:id="27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Literal b del artículo 2 del PLE.</w:t>
      </w:r>
    </w:p>
  </w:footnote>
  <w:footnote w:id="27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4 del PLE.</w:t>
      </w:r>
    </w:p>
  </w:footnote>
  <w:footnote w:id="27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Artículos 4 y 6 del PLE.</w:t>
      </w:r>
    </w:p>
  </w:footnote>
  <w:footnote w:id="27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Literal c) del artículo 2 y literal a) del artículo 10 del PLE</w:t>
      </w:r>
    </w:p>
  </w:footnote>
  <w:footnote w:id="27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Literal f) del artículo 10 del PLE.</w:t>
      </w:r>
    </w:p>
  </w:footnote>
  <w:footnote w:id="27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Parágrafo 1 del artículo 6</w:t>
      </w:r>
      <w:r w:rsidRPr="007C57D2">
        <w:rPr>
          <w:rFonts w:ascii="Times New Roman" w:hAnsi="Times New Roman"/>
          <w:lang w:val="es-MX"/>
        </w:rPr>
        <w:t xml:space="preserve"> del PLE.</w:t>
      </w:r>
    </w:p>
  </w:footnote>
  <w:footnote w:id="27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Parágrafo 1 del artículo 6 del PLE.</w:t>
      </w:r>
    </w:p>
  </w:footnote>
  <w:footnote w:id="27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Literal e) del artículo 10 del PLE.</w:t>
      </w:r>
    </w:p>
  </w:footnote>
  <w:footnote w:id="28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Parágrafo segundo del artículo 10 del PLE.</w:t>
      </w:r>
    </w:p>
  </w:footnote>
  <w:footnote w:id="28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Parágrafo del artículo 11 del PLE.</w:t>
      </w:r>
    </w:p>
  </w:footnote>
  <w:footnote w:id="28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w:t>
      </w:r>
      <w:r w:rsidRPr="007C57D2">
        <w:rPr>
          <w:rFonts w:ascii="Times New Roman" w:hAnsi="Times New Roman"/>
          <w:lang w:val="es-MX"/>
        </w:rPr>
        <w:t>Artículo 14 del PLE.</w:t>
      </w:r>
    </w:p>
  </w:footnote>
  <w:footnote w:id="28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4 del PLE.</w:t>
      </w:r>
    </w:p>
  </w:footnote>
  <w:footnote w:id="28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w:t>
      </w:r>
      <w:r w:rsidRPr="007C57D2">
        <w:rPr>
          <w:rFonts w:ascii="Times New Roman" w:hAnsi="Times New Roman"/>
        </w:rPr>
        <w:t>lo 6 del PLE.</w:t>
      </w:r>
    </w:p>
  </w:footnote>
  <w:footnote w:id="28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i) del artículo 4 del PLE.</w:t>
      </w:r>
    </w:p>
  </w:footnote>
  <w:footnote w:id="28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b) del artículo 6 del PLE.</w:t>
      </w:r>
    </w:p>
  </w:footnote>
  <w:footnote w:id="28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Artículos 11 y 14 del PLE.</w:t>
      </w:r>
    </w:p>
  </w:footnote>
  <w:footnote w:id="288">
    <w:p w:rsidR="001E19D5" w:rsidRPr="007C57D2" w:rsidRDefault="007C57D2" w:rsidP="00F543B3">
      <w:pPr>
        <w:pStyle w:val="Sinespaciado"/>
        <w:jc w:val="both"/>
        <w:rPr>
          <w:rFonts w:ascii="Times New Roman" w:hAnsi="Times New Roman"/>
          <w:sz w:val="20"/>
          <w:szCs w:val="20"/>
          <w:lang w:val="es-MX"/>
        </w:rPr>
      </w:pPr>
      <w:r w:rsidRPr="007C57D2">
        <w:rPr>
          <w:rStyle w:val="Refdenotaalpie"/>
          <w:rFonts w:ascii="Times New Roman" w:hAnsi="Times New Roman"/>
          <w:sz w:val="20"/>
          <w:szCs w:val="20"/>
        </w:rPr>
        <w:footnoteRef/>
      </w:r>
      <w:r w:rsidRPr="007C57D2">
        <w:rPr>
          <w:rFonts w:ascii="Times New Roman" w:hAnsi="Times New Roman"/>
          <w:sz w:val="20"/>
          <w:szCs w:val="20"/>
        </w:rPr>
        <w:t xml:space="preserve"> Cfr. Artículos 2, 3, 4, 5, 6,8, 9, 13 del PLE.</w:t>
      </w:r>
    </w:p>
  </w:footnote>
  <w:footnote w:id="28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Artículos </w:t>
      </w:r>
      <w:r w:rsidRPr="007C57D2">
        <w:rPr>
          <w:rFonts w:ascii="Times New Roman" w:hAnsi="Times New Roman"/>
          <w:lang w:val="es-MX"/>
        </w:rPr>
        <w:t>2, 3, 4, 5 9, 11, 12 del PLE.</w:t>
      </w:r>
    </w:p>
  </w:footnote>
  <w:footnote w:id="29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14 del PLE.</w:t>
      </w:r>
    </w:p>
  </w:footnote>
  <w:footnote w:id="29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Artículos 4, 6, 8, 10 y 12 del PLE. </w:t>
      </w:r>
    </w:p>
  </w:footnote>
  <w:footnote w:id="292">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Artículo 9 del PLE.</w:t>
      </w:r>
    </w:p>
  </w:footnote>
  <w:footnote w:id="29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10 del PLE.</w:t>
      </w:r>
    </w:p>
  </w:footnote>
  <w:footnote w:id="29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10 del PLE.</w:t>
      </w:r>
    </w:p>
  </w:footnote>
  <w:footnote w:id="29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f) del artículo 10 del PLE.</w:t>
      </w:r>
    </w:p>
  </w:footnote>
  <w:footnote w:id="29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13 del PLE.</w:t>
      </w:r>
    </w:p>
  </w:footnote>
  <w:footnote w:id="29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13 del PLE.</w:t>
      </w:r>
    </w:p>
  </w:footnote>
  <w:footnote w:id="29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5 del PLE.</w:t>
      </w:r>
    </w:p>
  </w:footnote>
  <w:footnote w:id="29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5 del PLE.</w:t>
      </w:r>
    </w:p>
  </w:footnote>
  <w:footnote w:id="30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12 del PLE.</w:t>
      </w:r>
    </w:p>
  </w:footnote>
  <w:footnote w:id="30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2, 3 y 9 del PLE.</w:t>
      </w:r>
    </w:p>
  </w:footnote>
  <w:footnote w:id="302">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Este artículo de la Constitución establece que el “(…) Estado protegerá especialmente a aquellas personas que por su condición económica, física o mental, se </w:t>
      </w:r>
      <w:r w:rsidRPr="007C57D2">
        <w:rPr>
          <w:rFonts w:ascii="Times New Roman" w:hAnsi="Times New Roman"/>
          <w:lang w:val="es-ES_tradnl"/>
        </w:rPr>
        <w:t>encuentren en circunstancia de debilidad manifiesta y sancionará los abusos o maltratos que contra ellas se cometan”.</w:t>
      </w:r>
    </w:p>
  </w:footnote>
  <w:footnote w:id="303">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Este artículo de la Constitución versa sobre los derechos fundamentales de los niños y las niñas. </w:t>
      </w:r>
    </w:p>
  </w:footnote>
  <w:footnote w:id="304">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Esta disposición menciona los derec</w:t>
      </w:r>
      <w:r w:rsidRPr="007C57D2">
        <w:rPr>
          <w:rFonts w:ascii="Times New Roman" w:hAnsi="Times New Roman"/>
          <w:lang w:val="es-ES_tradnl"/>
        </w:rPr>
        <w:t xml:space="preserve">hos de los adolescentes. </w:t>
      </w:r>
    </w:p>
  </w:footnote>
  <w:footnote w:id="30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C-017 de 2019.</w:t>
      </w:r>
    </w:p>
  </w:footnote>
  <w:footnote w:id="30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T-468 de 2018.</w:t>
      </w:r>
    </w:p>
  </w:footnote>
  <w:footnote w:id="30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C-017 de 2019; reiterada en la Sentencia C-028 de 2024.</w:t>
      </w:r>
    </w:p>
  </w:footnote>
  <w:footnote w:id="30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Ibidem</w:t>
      </w:r>
      <w:r w:rsidRPr="007C57D2">
        <w:rPr>
          <w:rFonts w:ascii="Times New Roman" w:hAnsi="Times New Roman"/>
          <w:lang w:val="pt-BR"/>
        </w:rPr>
        <w:t xml:space="preserve">. </w:t>
      </w:r>
    </w:p>
  </w:footnote>
  <w:footnote w:id="309">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w:t>
      </w:r>
      <w:r w:rsidRPr="007C57D2">
        <w:rPr>
          <w:rFonts w:ascii="Times New Roman" w:hAnsi="Times New Roman"/>
          <w:lang w:val="pt-BR"/>
        </w:rPr>
        <w:t xml:space="preserve">ntencias C-569 de 2016, T-468 de 2018, SU- 180 de 2022, entre otras. </w:t>
      </w:r>
    </w:p>
  </w:footnote>
  <w:footnote w:id="310">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C-028 de 2024. </w:t>
      </w:r>
      <w:r w:rsidRPr="007C57D2">
        <w:rPr>
          <w:rFonts w:ascii="Times New Roman" w:hAnsi="Times New Roman"/>
          <w:lang w:val="es-ES_tradnl"/>
        </w:rPr>
        <w:t>Ver también</w:t>
      </w:r>
      <w:r w:rsidRPr="007C57D2">
        <w:rPr>
          <w:rFonts w:ascii="Times New Roman" w:hAnsi="Times New Roman"/>
          <w:lang w:val="es-ES_tradnl"/>
        </w:rPr>
        <w:t xml:space="preserve"> la</w:t>
      </w:r>
      <w:r w:rsidRPr="007C57D2">
        <w:rPr>
          <w:rFonts w:ascii="Times New Roman" w:hAnsi="Times New Roman"/>
          <w:lang w:val="es-ES_tradnl"/>
        </w:rPr>
        <w:t xml:space="preserve"> Sentencia C-127 de 2023.</w:t>
      </w:r>
    </w:p>
  </w:footnote>
  <w:footnote w:id="31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SU-180 de 2022.</w:t>
      </w:r>
    </w:p>
  </w:footnote>
  <w:footnote w:id="31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C-028 de 2024.</w:t>
      </w:r>
    </w:p>
  </w:footnote>
  <w:footnote w:id="31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medio de la cual se expide un estatuto para prevenir y contrarrestar la explotación, la pornografía y el turismo sexual con menores, en desarrollo del artículo 44 de la Constitución”.</w:t>
      </w:r>
    </w:p>
  </w:footnote>
  <w:footnote w:id="31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eastAsia="Aptos" w:hAnsi="Times New Roman"/>
        </w:rPr>
        <w:t>“Por medio de l</w:t>
      </w:r>
      <w:r w:rsidRPr="007C57D2">
        <w:rPr>
          <w:rFonts w:ascii="Times New Roman" w:eastAsia="Aptos" w:hAnsi="Times New Roman"/>
        </w:rPr>
        <w:t>a cual se adiciona y robustece la Ley 679 de 2001, de lucha contra la explotación, la pornografía y el turismo sexual con niños, niñas y adolescentes”.</w:t>
      </w:r>
    </w:p>
  </w:footnote>
  <w:footnote w:id="315">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Por medio de la cual se establecen disposiciones para el desarrollo de entornos digitales sanos y segu</w:t>
      </w:r>
      <w:r w:rsidRPr="007C57D2">
        <w:rPr>
          <w:rFonts w:ascii="Times New Roman" w:hAnsi="Times New Roman"/>
          <w:lang w:val="es-ES_tradnl"/>
        </w:rPr>
        <w:t>ros para los niños, niñas y adolescentes del país.</w:t>
      </w:r>
    </w:p>
  </w:footnote>
  <w:footnote w:id="31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Este sistema le corresponde implementarlo a al Ministerio de Educación Nacional, en coordinación con el Instituto Colombiano de Bienestar Familiar, el Ministerio de Defensa, el Ministerio de Justicia, la</w:t>
      </w:r>
      <w:r w:rsidRPr="007C57D2">
        <w:rPr>
          <w:rFonts w:ascii="Times New Roman" w:hAnsi="Times New Roman"/>
        </w:rPr>
        <w:t xml:space="preserve"> Fiscalía General de la Nación y el acompañamiento técnico del Ministerio de Tecnologías de la Información y las Comunicaciones (Artículo 1 de la Ley 2489 de 2025)</w:t>
      </w:r>
    </w:p>
  </w:footnote>
  <w:footnote w:id="317">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Artículo 1 de la Ley 2489 de 2025.</w:t>
      </w:r>
    </w:p>
  </w:footnote>
  <w:footnote w:id="318">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Artículo 1 de la Ley 2489 de 2025.</w:t>
      </w:r>
    </w:p>
  </w:footnote>
  <w:footnote w:id="31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Naciones Unidas,</w:t>
      </w:r>
      <w:r w:rsidRPr="007C57D2">
        <w:rPr>
          <w:rFonts w:ascii="Times New Roman" w:hAnsi="Times New Roman"/>
        </w:rPr>
        <w:t xml:space="preserve"> Asamblea General, Consejo de Seguridad, “Los niños y los conflictos armados”, 17 de junio de 2025. Documento electrónico disponible en: https://docs.un.org/es/S/2025/247.</w:t>
      </w:r>
    </w:p>
  </w:footnote>
  <w:footnote w:id="32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Texto adoptado por el Estado colombiano en la Ley 1418 de 2010; declarada exequibl</w:t>
      </w:r>
      <w:r w:rsidRPr="007C57D2">
        <w:rPr>
          <w:rFonts w:ascii="Times New Roman" w:hAnsi="Times New Roman"/>
        </w:rPr>
        <w:t>e en la Sentencia C-620 de 2011.</w:t>
      </w:r>
    </w:p>
  </w:footnote>
  <w:footnote w:id="32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Convención aprobada en la Ley 707 de 2001 y declarada exequible en la Sentencia C-580 de 2002.</w:t>
      </w:r>
    </w:p>
  </w:footnote>
  <w:footnote w:id="32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C-580 de 2002.</w:t>
      </w:r>
    </w:p>
  </w:footnote>
  <w:footnote w:id="32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Los datos personales so definidos como “cualquier información vinculada o q</w:t>
      </w:r>
      <w:r w:rsidRPr="007C57D2">
        <w:rPr>
          <w:rFonts w:ascii="Times New Roman" w:hAnsi="Times New Roman"/>
        </w:rPr>
        <w:t>ue pueda asociarse a una o varias personas naturales determinadas o determinables” (Literal -c- del artículo 3 de la Ley Estatutaria 1581 de 2012, por la cual se dictan disposiciones generales para la protección de datos personales.)</w:t>
      </w:r>
    </w:p>
  </w:footnote>
  <w:footnote w:id="32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termino tratamien</w:t>
      </w:r>
      <w:r w:rsidRPr="007C57D2">
        <w:rPr>
          <w:rFonts w:ascii="Times New Roman" w:hAnsi="Times New Roman"/>
        </w:rPr>
        <w:t>to se refiere a “cualquier operación o conjunto de operaciones sobre datos personales, tales como la recolección, almacenamiento, uso, circulación o supresión”. (Literal -g- del artículo 3 de la Ley Estatutaria 1581 de 2012, por la cual se dictan disposici</w:t>
      </w:r>
      <w:r w:rsidRPr="007C57D2">
        <w:rPr>
          <w:rFonts w:ascii="Times New Roman" w:hAnsi="Times New Roman"/>
        </w:rPr>
        <w:t>ones generales para la protección de datos personales.)</w:t>
      </w:r>
    </w:p>
  </w:footnote>
  <w:footnote w:id="32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la cual se dictan disposiciones generales para la protección de datos personales. Sobre esta ley la Corte se pronunció en la </w:t>
      </w:r>
      <w:r w:rsidRPr="007C57D2">
        <w:rPr>
          <w:rFonts w:ascii="Times New Roman" w:hAnsi="Times New Roman"/>
        </w:rPr>
        <w:t>S</w:t>
      </w:r>
      <w:r w:rsidRPr="007C57D2">
        <w:rPr>
          <w:rFonts w:ascii="Times New Roman" w:hAnsi="Times New Roman"/>
        </w:rPr>
        <w:t>entencia C-748 de 2011.</w:t>
      </w:r>
    </w:p>
  </w:footnote>
  <w:footnote w:id="32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la cual se dictan las disposiciones generales del hábeas data y se regula el manejo de la información contenida en bases de datos personales, en especial la financiera, crediticia, comercial, de servicios y la proveniente de terceros países y se dicta</w:t>
      </w:r>
      <w:r w:rsidRPr="007C57D2">
        <w:rPr>
          <w:rFonts w:ascii="Times New Roman" w:hAnsi="Times New Roman"/>
        </w:rPr>
        <w:t xml:space="preserve">n otras disposiciones. Sobre esta ley la Corte se pronunció en la </w:t>
      </w:r>
      <w:r w:rsidRPr="007C57D2">
        <w:rPr>
          <w:rFonts w:ascii="Times New Roman" w:hAnsi="Times New Roman"/>
        </w:rPr>
        <w:t>S</w:t>
      </w:r>
      <w:r w:rsidRPr="007C57D2">
        <w:rPr>
          <w:rFonts w:ascii="Times New Roman" w:hAnsi="Times New Roman"/>
        </w:rPr>
        <w:t xml:space="preserve">entencia C-1011 de 2008 </w:t>
      </w:r>
    </w:p>
  </w:footnote>
  <w:footnote w:id="32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medio de la cual se modifica y adiciona la ley estatutaria 1266 de 2008, y se dictan disposiciones generales del habeas data con relación a la información fin</w:t>
      </w:r>
      <w:r w:rsidRPr="007C57D2">
        <w:rPr>
          <w:rFonts w:ascii="Times New Roman" w:hAnsi="Times New Roman"/>
        </w:rPr>
        <w:t xml:space="preserve">anciera, crediticia, comercial, de servicios y la proveniente de terceros países y se dictan otras disposiciones. Sobre esta ley la Corte se pronunció en la </w:t>
      </w:r>
      <w:r w:rsidRPr="007C57D2">
        <w:rPr>
          <w:rFonts w:ascii="Times New Roman" w:hAnsi="Times New Roman"/>
        </w:rPr>
        <w:t>S</w:t>
      </w:r>
      <w:r w:rsidRPr="007C57D2">
        <w:rPr>
          <w:rFonts w:ascii="Times New Roman" w:hAnsi="Times New Roman"/>
        </w:rPr>
        <w:t xml:space="preserve">entencia C-282 de 2021. </w:t>
      </w:r>
    </w:p>
  </w:footnote>
  <w:footnote w:id="32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O la información financiera, crediticia, comercial, de servicios y la proveniente de terceros países.</w:t>
      </w:r>
    </w:p>
  </w:footnote>
  <w:footnote w:id="32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el cual se determina la forma en la cual los operadores de los bancos de datos de información financiera, crediticia, comercial, de servicios y la </w:t>
      </w:r>
      <w:r w:rsidRPr="007C57D2">
        <w:rPr>
          <w:rFonts w:ascii="Times New Roman" w:hAnsi="Times New Roman"/>
        </w:rPr>
        <w:t>proveniente de terceros países, deben presentar la información de los titulares de la información</w:t>
      </w:r>
    </w:p>
  </w:footnote>
  <w:footnote w:id="33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el cual se reglamentan los artículos 12 y 13 de la Ley 1266 de 2008.</w:t>
      </w:r>
    </w:p>
  </w:footnote>
  <w:footnote w:id="33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el cual se reglamenta parcialmente la Ley 1581 de 2012.</w:t>
      </w:r>
    </w:p>
  </w:footnote>
  <w:footnote w:id="33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el cual se regl</w:t>
      </w:r>
      <w:r w:rsidRPr="007C57D2">
        <w:rPr>
          <w:rFonts w:ascii="Times New Roman" w:hAnsi="Times New Roman"/>
        </w:rPr>
        <w:t>amenta el artículo 25 de la Ley 1581 de 2012, relativo al Registro Nacional de Bases de Datos</w:t>
      </w:r>
    </w:p>
  </w:footnote>
  <w:footnote w:id="33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medio del cual se expide el Decreto Único Reglamentario del Sector Comercio, Industria y Turismo.</w:t>
      </w:r>
    </w:p>
  </w:footnote>
  <w:footnote w:id="33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medio de la cual se modifica el Código Penal, se cre</w:t>
      </w:r>
      <w:r w:rsidRPr="007C57D2">
        <w:rPr>
          <w:rFonts w:ascii="Times New Roman" w:hAnsi="Times New Roman"/>
        </w:rPr>
        <w:t>a un nuevo bien jurídico tutelado - denominado “de la protección de la información y de los datos”- y se preservan integralmente los sistemas que utilicen las tecnologías de la información y las comunicaciones, entre otras disposiciones.</w:t>
      </w:r>
    </w:p>
  </w:footnote>
  <w:footnote w:id="33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artículo 1 de</w:t>
      </w:r>
      <w:r w:rsidRPr="007C57D2">
        <w:rPr>
          <w:rFonts w:ascii="Times New Roman" w:hAnsi="Times New Roman"/>
        </w:rPr>
        <w:t xml:space="preserve"> la Ley 1273 de 2009 adicionó al Código Penal el Título VII BIS denominado “De la Protección de la información y de los datos”, y tipificó la siguiente conducta penal: “Artículo 269F: Violación de datos personales. El que, sin estar facultado para ello, co</w:t>
      </w:r>
      <w:r w:rsidRPr="007C57D2">
        <w:rPr>
          <w:rFonts w:ascii="Times New Roman" w:hAnsi="Times New Roman"/>
        </w:rPr>
        <w:t xml:space="preserve">n provecho propio o de un tercero, obtenga, compile, sustraiga, ofrezca, venda, intercambie, envíe, compre, intercepte, divulgue, modifique o emplee códigos personales, datos personales contenidos en ficheros, archivos, bases de datos o medios semejantes, </w:t>
      </w:r>
      <w:r w:rsidRPr="007C57D2">
        <w:rPr>
          <w:rFonts w:ascii="Times New Roman" w:hAnsi="Times New Roman"/>
        </w:rPr>
        <w:t>incurrirá en pena de prisión de cuarenta y ocho (48) a noventa y seis (96) meses y en multa de 100 a 1000 salarios mínimos legales mensuales vigentes.”</w:t>
      </w:r>
    </w:p>
  </w:footnote>
  <w:footnote w:id="33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T-176 A de 2014.</w:t>
      </w:r>
    </w:p>
  </w:footnote>
  <w:footnote w:id="33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C-282 de </w:t>
      </w:r>
      <w:r w:rsidRPr="007C57D2">
        <w:rPr>
          <w:rFonts w:ascii="Times New Roman" w:hAnsi="Times New Roman"/>
          <w:lang w:val="pt-BR"/>
        </w:rPr>
        <w:t xml:space="preserve">2021. </w:t>
      </w:r>
    </w:p>
  </w:footnote>
  <w:footnote w:id="33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sentencias C-1011 de 2008, C-748 de 2011, T-176 A de 2014, C-282 de 2021, T-203 de 2025.</w:t>
      </w:r>
    </w:p>
  </w:footnote>
  <w:footnote w:id="339">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sentencias T-1135 de 2008, T-1145 de 2008, T-260 de 2012, C-282 de 2021, T-203 de 2025.</w:t>
      </w:r>
    </w:p>
  </w:footnote>
  <w:footnote w:id="34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w:t>
      </w:r>
      <w:r w:rsidRPr="007C57D2">
        <w:rPr>
          <w:rFonts w:ascii="Times New Roman" w:hAnsi="Times New Roman"/>
          <w:lang w:val="pt-BR"/>
        </w:rPr>
        <w:t>onstitucional, Sentencia C-334 de 2010.</w:t>
      </w:r>
    </w:p>
  </w:footnote>
  <w:footnote w:id="341">
    <w:p w:rsidR="001E19D5" w:rsidRPr="007C57D2" w:rsidRDefault="007C57D2" w:rsidP="00F543B3">
      <w:pPr>
        <w:pStyle w:val="Textonotapie"/>
        <w:jc w:val="both"/>
        <w:rPr>
          <w:rFonts w:ascii="Times New Roman" w:hAnsi="Times New Roman"/>
          <w:lang w:val="fr-FR"/>
        </w:rPr>
      </w:pPr>
      <w:r w:rsidRPr="007C57D2">
        <w:rPr>
          <w:rStyle w:val="Refdenotaalpie"/>
          <w:rFonts w:ascii="Times New Roman" w:hAnsi="Times New Roman"/>
        </w:rPr>
        <w:footnoteRef/>
      </w:r>
      <w:r w:rsidRPr="007C57D2">
        <w:rPr>
          <w:rFonts w:ascii="Times New Roman" w:hAnsi="Times New Roman"/>
          <w:lang w:val="fr-FR"/>
        </w:rPr>
        <w:t xml:space="preserve"> Cfr. Corte Constitucional, </w:t>
      </w:r>
      <w:r w:rsidRPr="007C57D2">
        <w:rPr>
          <w:rFonts w:ascii="Times New Roman" w:hAnsi="Times New Roman"/>
          <w:lang w:val="fr-FR"/>
        </w:rPr>
        <w:t>s</w:t>
      </w:r>
      <w:r w:rsidRPr="007C57D2">
        <w:rPr>
          <w:rFonts w:ascii="Times New Roman" w:hAnsi="Times New Roman"/>
          <w:lang w:val="fr-FR"/>
        </w:rPr>
        <w:t>entencia</w:t>
      </w:r>
      <w:r w:rsidRPr="007C57D2">
        <w:rPr>
          <w:rFonts w:ascii="Times New Roman" w:hAnsi="Times New Roman"/>
          <w:lang w:val="fr-FR"/>
        </w:rPr>
        <w:t>s</w:t>
      </w:r>
      <w:r w:rsidRPr="007C57D2">
        <w:rPr>
          <w:rFonts w:ascii="Times New Roman" w:hAnsi="Times New Roman"/>
          <w:lang w:val="fr-FR"/>
        </w:rPr>
        <w:t xml:space="preserve"> T-307 de 1999, C-336 de 2007, T-771 de 2007, T-137 de 2008, T-260 de 2012, C-640 de 2010, T-658 de 2011.</w:t>
      </w:r>
    </w:p>
  </w:footnote>
  <w:footnote w:id="34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Esta última expresión se utiliza en la </w:t>
      </w:r>
      <w:r w:rsidRPr="007C57D2">
        <w:rPr>
          <w:rFonts w:ascii="Times New Roman" w:hAnsi="Times New Roman"/>
        </w:rPr>
        <w:t>S</w:t>
      </w:r>
      <w:r w:rsidRPr="007C57D2">
        <w:rPr>
          <w:rFonts w:ascii="Times New Roman" w:hAnsi="Times New Roman"/>
        </w:rPr>
        <w:t>entencia T-260 de 2012</w:t>
      </w:r>
    </w:p>
  </w:footnote>
  <w:footnote w:id="34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Literales b) y d) del artículo 21 de la Ley Estatutaria 1581 de 2012 por la cual se dictan disposiciones generales para la protección de datos personales</w:t>
      </w:r>
    </w:p>
  </w:footnote>
  <w:footnote w:id="34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CIDH concluyó lo siguiente en la Sentencia Serie C n.° 506 de 18 de octubre de 2023: “A jui</w:t>
      </w:r>
      <w:r w:rsidRPr="007C57D2">
        <w:rPr>
          <w:rFonts w:ascii="Times New Roman" w:hAnsi="Times New Roman"/>
        </w:rPr>
        <w:t>cio de la Corte Interamericana, los elementos anteriores dan configuración a un derecho humano autónomo: el derecho a la autodeterminación informativa, reconocido en distintos ordenamientos jurídicos de la región, y que encuentra acogida en el contenido tu</w:t>
      </w:r>
      <w:r w:rsidRPr="007C57D2">
        <w:rPr>
          <w:rFonts w:ascii="Times New Roman" w:hAnsi="Times New Roman"/>
        </w:rPr>
        <w:t>telar de la Convención Americana, en particular a partir de los derechos recogidos en los artículos 11 y 13, y, en la dimensión de su protección jurisdiccional, en el derecho que garantiza el artículo 25 (…) En definitiva, se trata de un derecho autónomo q</w:t>
      </w:r>
      <w:r w:rsidRPr="007C57D2">
        <w:rPr>
          <w:rFonts w:ascii="Times New Roman" w:hAnsi="Times New Roman"/>
        </w:rPr>
        <w:t>ue sirve, a su vez, de garantía de otros derechos, como los concernientes a la privacidad, a la protección de la honra, a la salvaguarda de la reputación y, en general, a la dignidad de la persona. Es preciso acotar que el derecho alcanza, con las limitaci</w:t>
      </w:r>
      <w:r w:rsidRPr="007C57D2">
        <w:rPr>
          <w:rFonts w:ascii="Times New Roman" w:hAnsi="Times New Roman"/>
        </w:rPr>
        <w:t>ones aplicables (infra párr.. 601 a 608), a cualquier dato de carácter personal en poder de todo órgano público, y opera igualmente respecto de registros o bases de datos a cargo de particulares, cuestiones sobre las que no se ahonda debido al objeto de es</w:t>
      </w:r>
      <w:r w:rsidRPr="007C57D2">
        <w:rPr>
          <w:rFonts w:ascii="Times New Roman" w:hAnsi="Times New Roman"/>
        </w:rPr>
        <w:t>te proceso internacional”. Corte Interamericana de Derechos Humanos, Sentencia del 18 de octubre de 2023. Serie C No. 506. El texto oficial de la sentencia puede consultarse en: https://jurisprudencia.corteidh.or.cr/vid/953775991.</w:t>
      </w:r>
    </w:p>
  </w:footnote>
  <w:footnote w:id="34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CIDH señal</w:t>
      </w:r>
      <w:r w:rsidRPr="007C57D2">
        <w:rPr>
          <w:rFonts w:ascii="Times New Roman" w:hAnsi="Times New Roman"/>
        </w:rPr>
        <w:t xml:space="preserve">ó </w:t>
      </w:r>
      <w:r w:rsidRPr="007C57D2">
        <w:rPr>
          <w:rFonts w:ascii="Times New Roman" w:hAnsi="Times New Roman"/>
        </w:rPr>
        <w:t>lo que s</w:t>
      </w:r>
      <w:r w:rsidRPr="007C57D2">
        <w:rPr>
          <w:rFonts w:ascii="Times New Roman" w:hAnsi="Times New Roman"/>
        </w:rPr>
        <w:t xml:space="preserve">igue a continuación en la </w:t>
      </w:r>
      <w:r w:rsidRPr="007C57D2">
        <w:rPr>
          <w:rFonts w:ascii="Times New Roman" w:hAnsi="Times New Roman"/>
        </w:rPr>
        <w:t>S</w:t>
      </w:r>
      <w:r w:rsidRPr="007C57D2">
        <w:rPr>
          <w:rFonts w:ascii="Times New Roman" w:hAnsi="Times New Roman"/>
        </w:rPr>
        <w:t>entencia Serie C No. 506 de 18 de octubre de 2023: “En todo caso, la Corte Interamericana reitera que la efectividad del derecho a la autodeterminación informativa exige que los Estados prevean mecanismos o procedimientos adecuad</w:t>
      </w:r>
      <w:r w:rsidRPr="007C57D2">
        <w:rPr>
          <w:rFonts w:ascii="Times New Roman" w:hAnsi="Times New Roman"/>
        </w:rPr>
        <w:t>os, ágiles, gratuitos y eficaces para dar trámite y atender, por parte de la misma autoridad que administra los datos o por otra institución competente en materia de protección de datos personales o de supervisión (supra párr. 582), (…) Esta exigencia, der</w:t>
      </w:r>
      <w:r w:rsidRPr="007C57D2">
        <w:rPr>
          <w:rFonts w:ascii="Times New Roman" w:hAnsi="Times New Roman"/>
        </w:rPr>
        <w:t>ivada del deber que establece el artículo 2 de la Convención Americana, en cuanto abarca la expedición de normas y el desarrollo de prácticas conducentes a la observancia de los derechos humanos757, incluidos procedimientos administrativos apropiados, cons</w:t>
      </w:r>
      <w:r w:rsidRPr="007C57D2">
        <w:rPr>
          <w:rFonts w:ascii="Times New Roman" w:hAnsi="Times New Roman"/>
        </w:rPr>
        <w:t>tituye una garantía esencial para hacer valer y ejercer el derecho.” Corte Interamericana de Derechos Humanos</w:t>
      </w:r>
      <w:r w:rsidRPr="007C57D2">
        <w:rPr>
          <w:rFonts w:ascii="Times New Roman" w:hAnsi="Times New Roman"/>
        </w:rPr>
        <w:t>,</w:t>
      </w:r>
      <w:r w:rsidRPr="007C57D2">
        <w:rPr>
          <w:rFonts w:ascii="Times New Roman" w:hAnsi="Times New Roman"/>
        </w:rPr>
        <w:t xml:space="preserve"> Sentencia del 18 de octubre de 2023. Serie C No. 506. El texto oficial de la sentencia puede consultarse en: https://jurisprudencia.corteidh.or.c</w:t>
      </w:r>
      <w:r w:rsidRPr="007C57D2">
        <w:rPr>
          <w:rFonts w:ascii="Times New Roman" w:hAnsi="Times New Roman"/>
        </w:rPr>
        <w:t>r/vid/953775991.</w:t>
      </w:r>
    </w:p>
  </w:footnote>
  <w:footnote w:id="346">
    <w:p w:rsidR="001E19D5" w:rsidRPr="007C57D2" w:rsidRDefault="007C57D2" w:rsidP="00F543B3">
      <w:pPr>
        <w:pStyle w:val="Textonotapie"/>
        <w:jc w:val="both"/>
        <w:rPr>
          <w:rFonts w:ascii="Times New Roman" w:hAnsi="Times New Roman"/>
          <w:lang w:val="fr-FR"/>
        </w:rPr>
      </w:pPr>
      <w:r w:rsidRPr="007C57D2">
        <w:rPr>
          <w:rStyle w:val="Refdenotaalpie"/>
          <w:rFonts w:ascii="Times New Roman" w:hAnsi="Times New Roman"/>
        </w:rPr>
        <w:footnoteRef/>
      </w:r>
      <w:r w:rsidRPr="007C57D2">
        <w:rPr>
          <w:rFonts w:ascii="Times New Roman" w:hAnsi="Times New Roman"/>
          <w:lang w:val="fr-FR"/>
        </w:rPr>
        <w:t xml:space="preserve"> Cfr. Corte Constitucional, sentencias T-783 de 2002, T-542 de 2003, T-565 de 2004, C-851 de 2005, T-160 de 2005, T-266 de 2005, T-565 de 2005; T-657 de 2005, T-718 de 2005, T-684 de 2006, T-1067 de 2007, T-002 de 2009.</w:t>
      </w:r>
    </w:p>
  </w:footnote>
  <w:footnote w:id="347">
    <w:p w:rsidR="001E19D5" w:rsidRPr="007C57D2" w:rsidRDefault="007C57D2" w:rsidP="00F543B3">
      <w:pPr>
        <w:pStyle w:val="Textonotapie"/>
        <w:jc w:val="both"/>
        <w:rPr>
          <w:rFonts w:ascii="Times New Roman" w:hAnsi="Times New Roman"/>
          <w:lang w:val="fr-FR"/>
        </w:rPr>
      </w:pPr>
      <w:r w:rsidRPr="007C57D2">
        <w:rPr>
          <w:rStyle w:val="Refdenotaalpie"/>
          <w:rFonts w:ascii="Times New Roman" w:hAnsi="Times New Roman"/>
        </w:rPr>
        <w:footnoteRef/>
      </w:r>
      <w:r w:rsidRPr="007C57D2">
        <w:rPr>
          <w:rFonts w:ascii="Times New Roman" w:hAnsi="Times New Roman"/>
          <w:lang w:val="fr-FR"/>
        </w:rPr>
        <w:t xml:space="preserve"> Cfr. Corte Const</w:t>
      </w:r>
      <w:r w:rsidRPr="007C57D2">
        <w:rPr>
          <w:rFonts w:ascii="Times New Roman" w:hAnsi="Times New Roman"/>
          <w:lang w:val="fr-FR"/>
        </w:rPr>
        <w:t>itucional, sentencias T-131 de 1998, T-856 de 2000, T-257 de 2002, T-268 de 2002, T-589 de 2002, T-814 de 2002, T-60 de 2003, C-993 de 2004, T-487 de 2004, T-526 de 204, T-846 de 2004, C-877 de 2005, C-981 de 2005, T-129 de 2005, T-266 de 2005; T-565 de 20</w:t>
      </w:r>
      <w:r w:rsidRPr="007C57D2">
        <w:rPr>
          <w:rFonts w:ascii="Times New Roman" w:hAnsi="Times New Roman"/>
          <w:lang w:val="fr-FR"/>
        </w:rPr>
        <w:t>05; T-657 de 2005, T-1319 de 2005, T-204 de 2006, T-684 de 2006, T-943 de 2006;T-67 de 2007,T-272 de 2007, T-599 de 2007, T-168 de 2008, T-1017 de 2008, T-1137 de 2008, C-640 de 2010.</w:t>
      </w:r>
    </w:p>
  </w:footnote>
  <w:footnote w:id="34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T-947 de 2008.</w:t>
      </w:r>
    </w:p>
  </w:footnote>
  <w:footnote w:id="349">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w:t>
      </w:r>
      <w:r w:rsidRPr="007C57D2">
        <w:rPr>
          <w:rFonts w:ascii="Times New Roman" w:hAnsi="Times New Roman"/>
          <w:lang w:val="pt-BR"/>
        </w:rPr>
        <w:t>itucional, Sentencia T-176 A de 2014.</w:t>
      </w:r>
    </w:p>
  </w:footnote>
  <w:footnote w:id="350">
    <w:p w:rsidR="006D7D7B"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La Corte ha desarrollado los princípios, entre otras, en</w:t>
      </w:r>
      <w:r w:rsidRPr="007C57D2">
        <w:rPr>
          <w:rFonts w:ascii="Times New Roman" w:hAnsi="Times New Roman"/>
          <w:lang w:val="pt-BR"/>
        </w:rPr>
        <w:t xml:space="preserve"> las siguientes sentencias: T-414 de 1992, T-729 de 2002, C-185 de 2003, C-692 de 2003, T-160 de 2005, T-657 de 2005, T-718 de 2005, C-336 de 2007, T-798 de 2007, T-1067 de 2007, T-137 de 2008, T-947 de 2008, T-1037 de 2008, C-1011 de 2008, T-361 de 2009, </w:t>
      </w:r>
      <w:r w:rsidRPr="007C57D2">
        <w:rPr>
          <w:rFonts w:ascii="Times New Roman" w:hAnsi="Times New Roman"/>
          <w:lang w:val="pt-BR"/>
        </w:rPr>
        <w:t>C-640 de 2010, C-490 de 2011, C-748 de 2011, C-540 de 2012.</w:t>
      </w:r>
    </w:p>
  </w:footnote>
  <w:footnote w:id="351">
    <w:p w:rsidR="006D7D7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definición y alcance de estos principios puede consultarse en las sentencias C-1011 de 2008, C-748 de 2012, C-540 de 2012, C-032 de 2021, C-282 de 2021.</w:t>
      </w:r>
    </w:p>
  </w:footnote>
  <w:footnote w:id="352">
    <w:p w:rsidR="006D7D7B"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w:t>
      </w:r>
      <w:r w:rsidRPr="007C57D2">
        <w:rPr>
          <w:rFonts w:ascii="Times New Roman" w:hAnsi="Times New Roman"/>
          <w:lang w:val="pt-BR"/>
        </w:rPr>
        <w:t xml:space="preserve"> T-987 de 2012. </w:t>
      </w:r>
    </w:p>
  </w:footnote>
  <w:footnote w:id="353">
    <w:p w:rsidR="006D7D7B"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numeral 2.6.3. </w:t>
      </w:r>
    </w:p>
  </w:footnote>
  <w:footnote w:id="354">
    <w:p w:rsidR="005650AC" w:rsidRPr="007C57D2" w:rsidRDefault="007C57D2" w:rsidP="00F543B3">
      <w:pPr>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Cfr. Literal g) del artículo 3º de la Ley 1581 de 2012.</w:t>
      </w:r>
    </w:p>
  </w:footnote>
  <w:footnote w:id="35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T-987 de 2012.</w:t>
      </w:r>
    </w:p>
  </w:footnote>
  <w:footnote w:id="35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T-684 de 2006.</w:t>
      </w:r>
    </w:p>
  </w:footnote>
  <w:footnote w:id="357">
    <w:p w:rsidR="00083532" w:rsidRPr="007C57D2" w:rsidRDefault="007C57D2" w:rsidP="00F543B3">
      <w:pPr>
        <w:pStyle w:val="Textonotapie"/>
        <w:jc w:val="both"/>
        <w:rPr>
          <w:rFonts w:ascii="Times New Roman" w:hAnsi="Times New Roman"/>
          <w:kern w:val="2"/>
        </w:rPr>
      </w:pPr>
      <w:r w:rsidRPr="007C57D2">
        <w:rPr>
          <w:rStyle w:val="Refdenotaalpie"/>
          <w:rFonts w:ascii="Times New Roman" w:hAnsi="Times New Roman"/>
        </w:rPr>
        <w:footnoteRef/>
      </w:r>
      <w:r w:rsidRPr="007C57D2">
        <w:rPr>
          <w:rFonts w:ascii="Times New Roman" w:hAnsi="Times New Roman"/>
        </w:rPr>
        <w:t xml:space="preserve"> El PLE ordena lo siguiente : “</w:t>
      </w:r>
      <w:r w:rsidRPr="007C57D2">
        <w:rPr>
          <w:rFonts w:ascii="Times New Roman" w:hAnsi="Times New Roman"/>
          <w:kern w:val="2"/>
        </w:rPr>
        <w:t>Artículo 7°. Tratamiento de datos personales</w:t>
      </w:r>
      <w:r w:rsidRPr="007C57D2">
        <w:rPr>
          <w:rFonts w:ascii="Times New Roman" w:hAnsi="Times New Roman"/>
          <w:b/>
          <w:bCs/>
          <w:kern w:val="2"/>
        </w:rPr>
        <w:t xml:space="preserve">. </w:t>
      </w:r>
      <w:r w:rsidRPr="007C57D2">
        <w:rPr>
          <w:rFonts w:ascii="Times New Roman" w:hAnsi="Times New Roman"/>
          <w:kern w:val="2"/>
        </w:rPr>
        <w:t xml:space="preserve">El Tratamiento de los datos personales se llevará a cabo de acuerdo con lo establecido en la Ley Estatutaria 1581 de 2012. Los datos personales no podrán ser entregados a otras </w:t>
      </w:r>
      <w:r w:rsidRPr="007C57D2">
        <w:rPr>
          <w:rFonts w:ascii="Times New Roman" w:hAnsi="Times New Roman"/>
          <w:kern w:val="2"/>
        </w:rPr>
        <w:t>entidades diferentes de las que trata la presente ley y empresas nacionales o extranjeras so pena de incurrir en las sanciones consagradas en el Título VII, Capítulos I y II de la Ley Estatutaria 1581 de 2012.</w:t>
      </w:r>
      <w:r w:rsidRPr="007C57D2">
        <w:rPr>
          <w:rFonts w:ascii="Times New Roman" w:hAnsi="Times New Roman"/>
        </w:rPr>
        <w:t>”</w:t>
      </w:r>
    </w:p>
    <w:p w:rsidR="00083532" w:rsidRPr="007C57D2" w:rsidRDefault="007C57D2" w:rsidP="00F543B3">
      <w:pPr>
        <w:pStyle w:val="Textonotapie"/>
        <w:jc w:val="both"/>
        <w:rPr>
          <w:rFonts w:ascii="Times New Roman" w:hAnsi="Times New Roman"/>
        </w:rPr>
      </w:pPr>
    </w:p>
  </w:footnote>
  <w:footnote w:id="358">
    <w:p w:rsidR="00083532"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w:t>
      </w:r>
      <w:r w:rsidRPr="007C57D2">
        <w:rPr>
          <w:rFonts w:ascii="Times New Roman" w:hAnsi="Times New Roman"/>
          <w:lang w:val="pt-BR"/>
        </w:rPr>
        <w:t xml:space="preserve"> de 2011, num 2.5.7.2.</w:t>
      </w:r>
    </w:p>
  </w:footnote>
  <w:footnote w:id="359">
    <w:p w:rsidR="00083532" w:rsidRPr="007C57D2" w:rsidRDefault="007C57D2" w:rsidP="00F543B3">
      <w:pPr>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Cfr. Literal f) del artículo 3º de la Ley </w:t>
      </w:r>
      <w:r w:rsidRPr="007C57D2">
        <w:rPr>
          <w:rFonts w:ascii="Times New Roman" w:hAnsi="Times New Roman"/>
          <w:szCs w:val="20"/>
        </w:rPr>
        <w:t xml:space="preserve">Estatutaria </w:t>
      </w:r>
      <w:r w:rsidRPr="007C57D2">
        <w:rPr>
          <w:rFonts w:ascii="Times New Roman" w:hAnsi="Times New Roman"/>
          <w:szCs w:val="20"/>
        </w:rPr>
        <w:t>1581 de 2012.</w:t>
      </w:r>
    </w:p>
  </w:footnote>
  <w:footnote w:id="360">
    <w:p w:rsidR="00083532" w:rsidRPr="007C57D2" w:rsidRDefault="007C57D2" w:rsidP="00F543B3">
      <w:pPr>
        <w:pStyle w:val="Textonotapie"/>
        <w:jc w:val="both"/>
        <w:rPr>
          <w:rFonts w:ascii="Times New Roman" w:hAnsi="Times New Roman"/>
          <w:kern w:val="2"/>
          <w:lang w:val="es-ES_tradnl"/>
        </w:rPr>
      </w:pPr>
      <w:r w:rsidRPr="007C57D2">
        <w:rPr>
          <w:rStyle w:val="Refdenotaalpie"/>
          <w:rFonts w:ascii="Times New Roman" w:hAnsi="Times New Roman"/>
        </w:rPr>
        <w:footnoteRef/>
      </w:r>
      <w:r w:rsidRPr="007C57D2">
        <w:rPr>
          <w:rFonts w:ascii="Times New Roman" w:hAnsi="Times New Roman"/>
        </w:rPr>
        <w:t xml:space="preserve"> Refiriéndose al Responsable y al Encargado, l</w:t>
      </w:r>
      <w:r w:rsidRPr="007C57D2">
        <w:rPr>
          <w:rFonts w:ascii="Times New Roman" w:hAnsi="Times New Roman"/>
          <w:kern w:val="2"/>
          <w:lang w:val="es-ES_tradnl"/>
        </w:rPr>
        <w:t>a Corte ha señalado que “</w:t>
      </w:r>
      <w:r w:rsidRPr="007C57D2">
        <w:rPr>
          <w:rFonts w:ascii="Times New Roman" w:hAnsi="Times New Roman"/>
          <w:kern w:val="2"/>
        </w:rPr>
        <w:t>la diferenciación de estos dos sujetos era determinante, por cuanto de ello depende el ámbi</w:t>
      </w:r>
      <w:r w:rsidRPr="007C57D2">
        <w:rPr>
          <w:rFonts w:ascii="Times New Roman" w:hAnsi="Times New Roman"/>
          <w:kern w:val="2"/>
        </w:rPr>
        <w:t>to de sus deberes, enumerados en el título VI del proyecto, de modo que dichas definiciones están ligadas al principio de legalidad en materia sancionatoria y son una garantía para el titular del dato respecto de quién es obligado a cumplir diferentes prer</w:t>
      </w:r>
      <w:r w:rsidRPr="007C57D2">
        <w:rPr>
          <w:rFonts w:ascii="Times New Roman" w:hAnsi="Times New Roman"/>
          <w:kern w:val="2"/>
        </w:rPr>
        <w:t>rogativas que se desprenden del habeas data.”</w:t>
      </w:r>
      <w:r w:rsidRPr="007C57D2">
        <w:rPr>
          <w:rFonts w:ascii="Times New Roman" w:hAnsi="Times New Roman"/>
          <w:kern w:val="2"/>
        </w:rPr>
        <w:t xml:space="preserve"> </w:t>
      </w:r>
      <w:r w:rsidRPr="007C57D2">
        <w:rPr>
          <w:rFonts w:ascii="Times New Roman" w:hAnsi="Times New Roman"/>
          <w:kern w:val="2"/>
        </w:rPr>
        <w:t>( Cfr. Corte Constitucional, Sentencia C-748 de 2011, num 2.5.7.1.)</w:t>
      </w:r>
    </w:p>
    <w:p w:rsidR="00083532" w:rsidRPr="007C57D2" w:rsidRDefault="007C57D2" w:rsidP="00F543B3">
      <w:pPr>
        <w:pStyle w:val="Textonotapie"/>
        <w:jc w:val="both"/>
        <w:rPr>
          <w:rFonts w:ascii="Times New Roman" w:hAnsi="Times New Roman"/>
        </w:rPr>
      </w:pPr>
    </w:p>
  </w:footnote>
  <w:footnote w:id="361">
    <w:p w:rsidR="00083532" w:rsidRPr="007C57D2" w:rsidRDefault="007C57D2" w:rsidP="00B60453">
      <w:pPr>
        <w:pStyle w:val="Textonotapie"/>
        <w:jc w:val="both"/>
        <w:rPr>
          <w:rFonts w:ascii="Times New Roman" w:hAnsi="Times New Roman"/>
          <w:kern w:val="2"/>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En el artículo 4 del PLE se solicita, por ejemplo, </w:t>
      </w:r>
      <w:r w:rsidRPr="007C57D2">
        <w:rPr>
          <w:rFonts w:ascii="Times New Roman" w:hAnsi="Times New Roman"/>
        </w:rPr>
        <w:t>i</w:t>
      </w:r>
      <w:r w:rsidRPr="007C57D2">
        <w:rPr>
          <w:rFonts w:ascii="Times New Roman" w:hAnsi="Times New Roman"/>
          <w:kern w:val="2"/>
        </w:rPr>
        <w:t>nformación de contacto de los padres, representantes legales, quien ostente la custodia</w:t>
      </w:r>
      <w:r w:rsidRPr="007C57D2">
        <w:rPr>
          <w:rFonts w:ascii="Times New Roman" w:hAnsi="Times New Roman"/>
          <w:kern w:val="2"/>
        </w:rPr>
        <w:t xml:space="preserve"> o cuidadores, familiares del niño o niña, incluyendo números de teléfono y direcciones de correo electrónico, si se llegase a contar con dicha información.</w:t>
      </w:r>
      <w:r w:rsidRPr="007C57D2">
        <w:rPr>
          <w:rFonts w:ascii="Times New Roman" w:hAnsi="Times New Roman"/>
        </w:rPr>
        <w:t xml:space="preserve"> (Literal -i- del artículo 4)</w:t>
      </w:r>
    </w:p>
  </w:footnote>
  <w:footnote w:id="362">
    <w:p w:rsidR="0008353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Literal e) del artículo 3 de la ley 1581 de 2012</w:t>
      </w:r>
    </w:p>
  </w:footnote>
  <w:footnote w:id="363">
    <w:p w:rsidR="00083532" w:rsidRPr="007C57D2" w:rsidRDefault="007C57D2" w:rsidP="00B60453">
      <w:pPr>
        <w:pStyle w:val="Textonotapie"/>
        <w:jc w:val="both"/>
        <w:rPr>
          <w:rFonts w:ascii="Times New Roman" w:hAnsi="Times New Roman"/>
          <w:kern w:val="2"/>
        </w:rPr>
      </w:pPr>
      <w:r w:rsidRPr="007C57D2">
        <w:rPr>
          <w:rStyle w:val="Refdenotaalpie"/>
          <w:rFonts w:ascii="Times New Roman" w:hAnsi="Times New Roman"/>
        </w:rPr>
        <w:footnoteRef/>
      </w:r>
      <w:r w:rsidRPr="007C57D2">
        <w:rPr>
          <w:rFonts w:ascii="Times New Roman" w:hAnsi="Times New Roman"/>
        </w:rPr>
        <w:t xml:space="preserve"> La Corte Constitu</w:t>
      </w:r>
      <w:r w:rsidRPr="007C57D2">
        <w:rPr>
          <w:rFonts w:ascii="Times New Roman" w:hAnsi="Times New Roman"/>
        </w:rPr>
        <w:t>cional, teniendo como referencia la Directiva Europea 95/46/CE señaló, a título enunciativo, algunas alternativas para definir quién es el Responsable: “</w:t>
      </w:r>
      <w:r w:rsidRPr="007C57D2">
        <w:rPr>
          <w:rFonts w:ascii="Times New Roman" w:hAnsi="Times New Roman"/>
          <w:kern w:val="2"/>
          <w:lang w:val="es-ES_tradnl"/>
        </w:rPr>
        <w:t xml:space="preserve">el responsable del tratamiento puede surgir: (i) cuando en el cumplimiento de una determinada función, </w:t>
      </w:r>
      <w:r w:rsidRPr="007C57D2">
        <w:rPr>
          <w:rFonts w:ascii="Times New Roman" w:hAnsi="Times New Roman"/>
          <w:kern w:val="2"/>
          <w:lang w:val="es-ES_tradnl"/>
        </w:rPr>
        <w:t>se impone la recolección de datos, por ejemplo, en el caso de la seguridad social; la directiva en comento denomina esta situación </w:t>
      </w:r>
      <w:r w:rsidRPr="007C57D2">
        <w:rPr>
          <w:rFonts w:ascii="Times New Roman" w:hAnsi="Times New Roman"/>
          <w:i/>
          <w:iCs/>
          <w:kern w:val="2"/>
        </w:rPr>
        <w:t>competencia legal explícita; </w:t>
      </w:r>
      <w:r w:rsidRPr="007C57D2">
        <w:rPr>
          <w:rFonts w:ascii="Times New Roman" w:hAnsi="Times New Roman"/>
          <w:kern w:val="2"/>
        </w:rPr>
        <w:t>(</w:t>
      </w:r>
      <w:r w:rsidRPr="007C57D2">
        <w:rPr>
          <w:rFonts w:ascii="Times New Roman" w:hAnsi="Times New Roman"/>
          <w:kern w:val="2"/>
          <w:lang w:val="es-ES_tradnl"/>
        </w:rPr>
        <w:t xml:space="preserve">ii) cuando en el ámbito propio de la actividad se produce el tratamiento, se trata del caso de </w:t>
      </w:r>
      <w:r w:rsidRPr="007C57D2">
        <w:rPr>
          <w:rFonts w:ascii="Times New Roman" w:hAnsi="Times New Roman"/>
          <w:kern w:val="2"/>
          <w:lang w:val="es-ES_tradnl"/>
        </w:rPr>
        <w:t>los empleadores frente a sus trabajadores, lo que se denomina </w:t>
      </w:r>
      <w:r w:rsidRPr="007C57D2">
        <w:rPr>
          <w:rFonts w:ascii="Times New Roman" w:hAnsi="Times New Roman"/>
          <w:i/>
          <w:iCs/>
          <w:kern w:val="2"/>
        </w:rPr>
        <w:t>competencia jurídica implícita;</w:t>
      </w:r>
      <w:r w:rsidRPr="007C57D2">
        <w:rPr>
          <w:rFonts w:ascii="Times New Roman" w:hAnsi="Times New Roman"/>
          <w:kern w:val="2"/>
          <w:lang w:val="es-ES_tradnl"/>
        </w:rPr>
        <w:t> y </w:t>
      </w:r>
      <w:r w:rsidRPr="007C57D2">
        <w:rPr>
          <w:rFonts w:ascii="Times New Roman" w:hAnsi="Times New Roman"/>
          <w:b/>
          <w:bCs/>
          <w:kern w:val="2"/>
          <w:lang w:val="es-ES_tradnl"/>
        </w:rPr>
        <w:t>(iii)</w:t>
      </w:r>
      <w:r w:rsidRPr="007C57D2">
        <w:rPr>
          <w:rFonts w:ascii="Times New Roman" w:hAnsi="Times New Roman"/>
          <w:kern w:val="2"/>
          <w:lang w:val="es-ES_tradnl"/>
        </w:rPr>
        <w:t> cuando sin existir las competencias anteriores, se tiene la capacidad de determinación, hecho que se denomina</w:t>
      </w:r>
      <w:r w:rsidRPr="007C57D2">
        <w:rPr>
          <w:rFonts w:ascii="Times New Roman" w:hAnsi="Times New Roman"/>
          <w:i/>
          <w:iCs/>
          <w:kern w:val="2"/>
        </w:rPr>
        <w:t> capacidad de influencia de hecho.</w:t>
      </w:r>
      <w:r w:rsidRPr="007C57D2">
        <w:rPr>
          <w:rFonts w:ascii="Times New Roman" w:hAnsi="Times New Roman"/>
          <w:i/>
          <w:iCs/>
        </w:rPr>
        <w:t xml:space="preserve">” </w:t>
      </w:r>
      <w:r w:rsidRPr="007C57D2">
        <w:rPr>
          <w:rFonts w:ascii="Times New Roman" w:hAnsi="Times New Roman"/>
        </w:rPr>
        <w:t>(Corte Co</w:t>
      </w:r>
      <w:r w:rsidRPr="007C57D2">
        <w:rPr>
          <w:rFonts w:ascii="Times New Roman" w:hAnsi="Times New Roman"/>
        </w:rPr>
        <w:t>nstitucional, Sentencia C-748 de 2011, num 2.5.7.2.)</w:t>
      </w:r>
    </w:p>
  </w:footnote>
  <w:footnote w:id="364">
    <w:p w:rsidR="0008353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b) del artículo 17 de la Ley Estatutaria 1581 de 2012.</w:t>
      </w:r>
    </w:p>
  </w:footnote>
  <w:footnote w:id="365">
    <w:p w:rsidR="0008353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12 de la Ley Estatutaria 1581 de 2012.</w:t>
      </w:r>
    </w:p>
  </w:footnote>
  <w:footnote w:id="366">
    <w:p w:rsidR="0008353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Literal d) del artículo 3 de la Ley Estatutaria 1581 de 2012.</w:t>
      </w:r>
    </w:p>
  </w:footnote>
  <w:footnote w:id="367">
    <w:p w:rsidR="00083532"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w:t>
      </w:r>
      <w:r w:rsidRPr="007C57D2">
        <w:rPr>
          <w:rFonts w:ascii="Times New Roman" w:hAnsi="Times New Roman"/>
          <w:lang w:val="pt-BR"/>
        </w:rPr>
        <w:t>onstitucional, Sentencia C-748 de 2011, num 2.5.7.2.</w:t>
      </w:r>
    </w:p>
  </w:footnote>
  <w:footnote w:id="368">
    <w:p w:rsidR="00083532"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 2.5.7.2.</w:t>
      </w:r>
    </w:p>
  </w:footnote>
  <w:footnote w:id="369">
    <w:p w:rsidR="00083532" w:rsidRPr="007C57D2" w:rsidRDefault="007C57D2" w:rsidP="00F543B3">
      <w:pPr>
        <w:pStyle w:val="Textonotapie"/>
        <w:jc w:val="both"/>
        <w:rPr>
          <w:rFonts w:ascii="Times New Roman" w:hAnsi="Times New Roman"/>
          <w:bCs/>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bCs/>
        </w:rPr>
        <w:t xml:space="preserve">Artículo 17. </w:t>
      </w:r>
      <w:r w:rsidRPr="007C57D2">
        <w:rPr>
          <w:rFonts w:ascii="Times New Roman" w:hAnsi="Times New Roman"/>
          <w:bCs/>
          <w:lang w:val="es-ES"/>
        </w:rPr>
        <w:t>Deberes de los Responsables del Tratamiento. Los Responsables del Tratamiento deberán cumplir los siguientes deberes, sin</w:t>
      </w:r>
      <w:r w:rsidRPr="007C57D2">
        <w:rPr>
          <w:rFonts w:ascii="Times New Roman" w:hAnsi="Times New Roman"/>
          <w:bCs/>
          <w:lang w:val="es-ES"/>
        </w:rPr>
        <w:t xml:space="preserve"> perjuicio de las demás disposiciones previstas en la presente ley y en otras que rijan su actividad:</w:t>
      </w:r>
    </w:p>
    <w:p w:rsidR="00083532" w:rsidRPr="007C57D2" w:rsidRDefault="007C57D2" w:rsidP="00F543B3">
      <w:pPr>
        <w:pStyle w:val="Textonotapie"/>
        <w:jc w:val="both"/>
        <w:rPr>
          <w:rFonts w:ascii="Times New Roman" w:hAnsi="Times New Roman"/>
          <w:bCs/>
          <w:lang w:val="es-ES"/>
        </w:rPr>
      </w:pPr>
      <w:r w:rsidRPr="007C57D2">
        <w:rPr>
          <w:rFonts w:ascii="Times New Roman" w:hAnsi="Times New Roman"/>
          <w:bCs/>
          <w:lang w:val="es-ES"/>
        </w:rPr>
        <w:t>(…)</w:t>
      </w:r>
    </w:p>
    <w:p w:rsidR="00083532" w:rsidRPr="007C57D2" w:rsidRDefault="007C57D2" w:rsidP="00F543B3">
      <w:pPr>
        <w:pStyle w:val="Textonotapie"/>
        <w:jc w:val="both"/>
        <w:rPr>
          <w:rFonts w:ascii="Times New Roman" w:hAnsi="Times New Roman"/>
          <w:bCs/>
          <w:lang w:val="es-ES"/>
        </w:rPr>
      </w:pPr>
      <w:r w:rsidRPr="007C57D2">
        <w:rPr>
          <w:rFonts w:ascii="Times New Roman" w:hAnsi="Times New Roman"/>
          <w:bCs/>
          <w:lang w:val="es-ES"/>
        </w:rPr>
        <w:t>b) Solicitar y conservar, en las condiciones previstas en la presente ley, copia de la respectiva autorización otorgada por el Titular;</w:t>
      </w:r>
    </w:p>
    <w:p w:rsidR="00083532" w:rsidRPr="007C57D2" w:rsidRDefault="007C57D2" w:rsidP="00F543B3">
      <w:pPr>
        <w:pStyle w:val="Textonotapie"/>
        <w:jc w:val="both"/>
        <w:rPr>
          <w:rFonts w:ascii="Times New Roman" w:hAnsi="Times New Roman"/>
          <w:bCs/>
          <w:lang w:val="es-ES"/>
        </w:rPr>
      </w:pPr>
      <w:r w:rsidRPr="007C57D2">
        <w:rPr>
          <w:rFonts w:ascii="Times New Roman" w:hAnsi="Times New Roman"/>
          <w:bCs/>
          <w:lang w:val="es-ES"/>
        </w:rPr>
        <w:t>(…)</w:t>
      </w:r>
    </w:p>
    <w:p w:rsidR="00083532" w:rsidRPr="007C57D2" w:rsidRDefault="007C57D2" w:rsidP="00F543B3">
      <w:pPr>
        <w:pStyle w:val="Textonotapie"/>
        <w:jc w:val="both"/>
        <w:rPr>
          <w:rFonts w:ascii="Times New Roman" w:hAnsi="Times New Roman"/>
          <w:bCs/>
          <w:lang w:val="pt-BR"/>
        </w:rPr>
      </w:pPr>
      <w:r w:rsidRPr="007C57D2">
        <w:rPr>
          <w:rFonts w:ascii="Times New Roman" w:hAnsi="Times New Roman"/>
          <w:bCs/>
        </w:rPr>
        <w:t>h) Suminis</w:t>
      </w:r>
      <w:r w:rsidRPr="007C57D2">
        <w:rPr>
          <w:rFonts w:ascii="Times New Roman" w:hAnsi="Times New Roman"/>
          <w:bCs/>
        </w:rPr>
        <w:t xml:space="preserve">trar al Encargado del Tratamiento, según el caso, únicamente datos cuyo Tratamiento esté previamente autorizado de conformidad con lo previsto en la presente ley; (…)” </w:t>
      </w:r>
      <w:r w:rsidRPr="007C57D2">
        <w:rPr>
          <w:rFonts w:ascii="Times New Roman" w:hAnsi="Times New Roman"/>
          <w:bCs/>
          <w:lang w:val="pt-BR"/>
        </w:rPr>
        <w:t xml:space="preserve">(Ley Estatutaria 1581 de 2012) </w:t>
      </w:r>
    </w:p>
    <w:p w:rsidR="00083532" w:rsidRPr="007C57D2" w:rsidRDefault="007C57D2" w:rsidP="00F543B3">
      <w:pPr>
        <w:pStyle w:val="Textonotapie"/>
        <w:jc w:val="both"/>
        <w:rPr>
          <w:rFonts w:ascii="Times New Roman" w:hAnsi="Times New Roman"/>
          <w:lang w:val="pt-BR"/>
        </w:rPr>
      </w:pPr>
    </w:p>
  </w:footnote>
  <w:footnote w:id="370">
    <w:p w:rsidR="00083532" w:rsidRPr="007C57D2" w:rsidRDefault="007C57D2" w:rsidP="00B60453">
      <w:pPr>
        <w:pStyle w:val="Textonotapie"/>
        <w:jc w:val="both"/>
        <w:rPr>
          <w:rFonts w:ascii="Times New Roman" w:hAnsi="Times New Roman"/>
          <w:bCs/>
          <w:kern w:val="2"/>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bCs/>
          <w:kern w:val="2"/>
          <w:lang w:val="pt-BR"/>
        </w:rPr>
        <w:t xml:space="preserve"> Cfr. Corte Constitucional, Sentencia C-748 de 2011, </w:t>
      </w:r>
      <w:r w:rsidRPr="007C57D2">
        <w:rPr>
          <w:rFonts w:ascii="Times New Roman" w:hAnsi="Times New Roman"/>
          <w:bCs/>
          <w:kern w:val="2"/>
          <w:lang w:val="pt-BR"/>
        </w:rPr>
        <w:t>num 2.17.3</w:t>
      </w:r>
      <w:r w:rsidRPr="007C57D2">
        <w:rPr>
          <w:rFonts w:ascii="Times New Roman" w:hAnsi="Times New Roman"/>
          <w:bCs/>
          <w:lang w:val="pt-BR"/>
        </w:rPr>
        <w:t>.</w:t>
      </w:r>
    </w:p>
  </w:footnote>
  <w:footnote w:id="371">
    <w:p w:rsidR="00083532"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 2.5.7.3.</w:t>
      </w:r>
    </w:p>
  </w:footnote>
  <w:footnote w:id="372">
    <w:p w:rsidR="00083532"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w:t>
      </w:r>
      <w:r w:rsidRPr="007C57D2">
        <w:rPr>
          <w:rFonts w:ascii="Times New Roman" w:hAnsi="Times New Roman"/>
          <w:lang w:val="pt-BR"/>
        </w:rPr>
        <w:t>Ibidem.</w:t>
      </w:r>
    </w:p>
  </w:footnote>
  <w:footnote w:id="373">
    <w:p w:rsidR="00083532"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 2.17.3</w:t>
      </w:r>
    </w:p>
  </w:footnote>
  <w:footnote w:id="374">
    <w:p w:rsidR="00083532" w:rsidRPr="007C57D2" w:rsidRDefault="007C57D2" w:rsidP="006C1969">
      <w:pPr>
        <w:pStyle w:val="Textonotapie"/>
        <w:jc w:val="both"/>
        <w:rPr>
          <w:rFonts w:ascii="Times New Roman" w:hAnsi="Times New Roman"/>
          <w:b/>
          <w:bCs/>
          <w:kern w:val="2"/>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Cfr. Literal d) del artículo 12 de la Ley Estatutaria 1581 de 2012. </w:t>
      </w:r>
      <w:r w:rsidRPr="007C57D2">
        <w:rPr>
          <w:rFonts w:ascii="Times New Roman" w:hAnsi="Times New Roman"/>
          <w:kern w:val="2"/>
        </w:rPr>
        <w:t xml:space="preserve">La Corte declaró exequible el </w:t>
      </w:r>
      <w:r w:rsidRPr="007C57D2">
        <w:rPr>
          <w:rFonts w:ascii="Times New Roman" w:hAnsi="Times New Roman"/>
          <w:kern w:val="2"/>
        </w:rPr>
        <w:t>artículo 12 de la Ley Estatutaria 1581 de 2012  (Cfr. Corte Constitucional, Sentencia C-748 de 2011</w:t>
      </w:r>
      <w:r w:rsidRPr="007C57D2">
        <w:rPr>
          <w:rFonts w:ascii="Times New Roman" w:hAnsi="Times New Roman"/>
        </w:rPr>
        <w:t>).</w:t>
      </w:r>
    </w:p>
  </w:footnote>
  <w:footnote w:id="375">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a) del artículo 17 de la Ley Estatutaria 1581 de 2012.</w:t>
      </w:r>
    </w:p>
  </w:footnote>
  <w:footnote w:id="376">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b) del artículo 17 de la Ley Estatutaria 1581 de 2012.</w:t>
      </w:r>
    </w:p>
  </w:footnote>
  <w:footnote w:id="377">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w:t>
      </w:r>
      <w:r w:rsidRPr="007C57D2">
        <w:rPr>
          <w:rFonts w:ascii="Times New Roman" w:hAnsi="Times New Roman"/>
          <w:lang w:val="es-ES_tradnl"/>
        </w:rPr>
        <w:t xml:space="preserve"> d) del artículo 17 de la Ley Estatutaria 1581 de 2012.</w:t>
      </w:r>
    </w:p>
  </w:footnote>
  <w:footnote w:id="378">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e) del artículo 17 de la Ley Estatutaria 1581 de 2012.</w:t>
      </w:r>
    </w:p>
  </w:footnote>
  <w:footnote w:id="379">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f) del artículo 17 de la Ley Estatutaria 1581 de 2012.</w:t>
      </w:r>
    </w:p>
  </w:footnote>
  <w:footnote w:id="380">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g) del artículo 17 de la Ley Estatutaria 1581</w:t>
      </w:r>
      <w:r w:rsidRPr="007C57D2">
        <w:rPr>
          <w:rFonts w:ascii="Times New Roman" w:hAnsi="Times New Roman"/>
          <w:lang w:val="es-ES_tradnl"/>
        </w:rPr>
        <w:t xml:space="preserve"> de 2012.</w:t>
      </w:r>
    </w:p>
  </w:footnote>
  <w:footnote w:id="381">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h) del artículo 17 de la Ley Estatutaria 1581 de 2012.</w:t>
      </w:r>
    </w:p>
  </w:footnote>
  <w:footnote w:id="382">
    <w:p w:rsidR="00083532"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Cfr. Literal i) del artículo 17 de la Ley Estatutaria 1581 de 2012.</w:t>
      </w:r>
    </w:p>
  </w:footnote>
  <w:footnote w:id="38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T-203 de 2025.</w:t>
      </w:r>
    </w:p>
  </w:footnote>
  <w:footnote w:id="38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Esta clasificación surgió principalmente a partir de la </w:t>
      </w:r>
      <w:r w:rsidRPr="007C57D2">
        <w:rPr>
          <w:rFonts w:ascii="Times New Roman" w:hAnsi="Times New Roman"/>
        </w:rPr>
        <w:t>S</w:t>
      </w:r>
      <w:r w:rsidRPr="007C57D2">
        <w:rPr>
          <w:rFonts w:ascii="Times New Roman" w:hAnsi="Times New Roman"/>
        </w:rPr>
        <w:t>entencia T-729 de 2002 y luego fue reiterada y ampliada en otras sentencias como las siguientes: C-692 de 2003, T-592 de 2003, T-216 de 2004, C-336 de 2007, T-599 de 2007, T-705 de 2007, T-1037</w:t>
      </w:r>
      <w:r w:rsidRPr="007C57D2">
        <w:rPr>
          <w:rFonts w:ascii="Times New Roman" w:hAnsi="Times New Roman"/>
        </w:rPr>
        <w:t xml:space="preserve"> de 2008, C-1011 de 2008, C-640 de 2010, C-490 de 2011, C-748 de 2011, C-540 de 2012 y C-313 de 2014. </w:t>
      </w:r>
    </w:p>
  </w:footnote>
  <w:footnote w:id="38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h) del artículo 3 de la Ley Estatutaria 1266 de 2008.</w:t>
      </w:r>
    </w:p>
  </w:footnote>
  <w:footnote w:id="38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g) del artículo 3 de la Ley Estatutaria 1266 de 2008.</w:t>
      </w:r>
    </w:p>
  </w:footnote>
  <w:footnote w:id="38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w:t>
      </w:r>
      <w:r w:rsidRPr="007C57D2">
        <w:rPr>
          <w:rFonts w:ascii="Times New Roman" w:hAnsi="Times New Roman"/>
        </w:rPr>
        <w:t xml:space="preserve"> 5 de la Ley Estatutaria 1581 de 2012 y numeral 3 del artículo 3 del Decreto 1377 de 2013. </w:t>
      </w:r>
    </w:p>
  </w:footnote>
  <w:footnote w:id="38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Numeral 2 del artículo 3 del Decreto 1377 de 2013 y literal f) del artículo 3 de la Ley Estatutaria 1266 de 2008.</w:t>
      </w:r>
    </w:p>
  </w:footnote>
  <w:footnote w:id="38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5 de la Ley Estatutaria 1581 de </w:t>
      </w:r>
      <w:r w:rsidRPr="007C57D2">
        <w:rPr>
          <w:rFonts w:ascii="Times New Roman" w:hAnsi="Times New Roman"/>
        </w:rPr>
        <w:t>2012, repetido en el numeral 3 del artículo 3 del Decreto 1377 de 2013.</w:t>
      </w:r>
    </w:p>
  </w:footnote>
  <w:footnote w:id="39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numeral 2.7.3.</w:t>
      </w:r>
    </w:p>
  </w:footnote>
  <w:footnote w:id="39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6 de la Ley 1581 de 2012 y del Decreto 1377 de 2013.</w:t>
      </w:r>
    </w:p>
  </w:footnote>
  <w:footnote w:id="392">
    <w:p w:rsidR="001E19D5" w:rsidRPr="007C57D2" w:rsidRDefault="007C57D2" w:rsidP="00F543B3">
      <w:pPr>
        <w:spacing w:after="0" w:line="240" w:lineRule="auto"/>
        <w:ind w:right="57"/>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lang w:val="es-ES"/>
        </w:rPr>
        <w:t>“Las excepciones a las protecciones del habe</w:t>
      </w:r>
      <w:r w:rsidRPr="007C57D2">
        <w:rPr>
          <w:rFonts w:ascii="Times New Roman" w:hAnsi="Times New Roman"/>
          <w:szCs w:val="20"/>
          <w:lang w:val="es-ES"/>
        </w:rPr>
        <w:t>as data, en este caso a la prohibición de someter a tratamiento los datos sensibles, son de interpretación restrictiva”. Corte Constitucional, Sentencia C-748 de 2011, numeral 2.8.4.2.</w:t>
      </w:r>
    </w:p>
  </w:footnote>
  <w:footnote w:id="393">
    <w:p w:rsidR="001E19D5" w:rsidRPr="007C57D2" w:rsidRDefault="007C57D2" w:rsidP="00F543B3">
      <w:pPr>
        <w:spacing w:after="0" w:line="240" w:lineRule="auto"/>
        <w:jc w:val="both"/>
        <w:rPr>
          <w:rFonts w:ascii="Times New Roman" w:hAnsi="Times New Roman"/>
          <w:szCs w:val="20"/>
          <w:lang w:val="pt-BR"/>
        </w:rPr>
      </w:pPr>
      <w:r w:rsidRPr="007C57D2">
        <w:rPr>
          <w:rStyle w:val="Refdenotaalpie"/>
          <w:rFonts w:ascii="Times New Roman" w:hAnsi="Times New Roman"/>
          <w:szCs w:val="20"/>
        </w:rPr>
        <w:footnoteRef/>
      </w:r>
      <w:r w:rsidRPr="007C57D2">
        <w:rPr>
          <w:rFonts w:ascii="Times New Roman" w:hAnsi="Times New Roman"/>
          <w:szCs w:val="20"/>
        </w:rPr>
        <w:t xml:space="preserve"> “(…) las excepciones, en tanto limitaciones de alcance general al der</w:t>
      </w:r>
      <w:r w:rsidRPr="007C57D2">
        <w:rPr>
          <w:rFonts w:ascii="Times New Roman" w:hAnsi="Times New Roman"/>
          <w:szCs w:val="20"/>
        </w:rPr>
        <w:t xml:space="preserve">echo al habeas data, al igual que en el caso de las excepciones del artículo 2, deben ser desarrolladas por el legislador estatutario”. </w:t>
      </w:r>
      <w:r w:rsidRPr="007C57D2">
        <w:rPr>
          <w:rFonts w:ascii="Times New Roman" w:hAnsi="Times New Roman"/>
          <w:szCs w:val="20"/>
          <w:lang w:val="pt-BR"/>
        </w:rPr>
        <w:t>Corte Constitucional, Sentencia C-748 de 2011, numeral 2.8.4.</w:t>
      </w:r>
    </w:p>
  </w:footnote>
  <w:footnote w:id="394">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numeral</w:t>
      </w:r>
      <w:r w:rsidRPr="007C57D2">
        <w:rPr>
          <w:rFonts w:ascii="Times New Roman" w:hAnsi="Times New Roman"/>
          <w:lang w:val="pt-BR"/>
        </w:rPr>
        <w:t xml:space="preserve"> 2.8.4.</w:t>
      </w:r>
    </w:p>
  </w:footnote>
  <w:footnote w:id="395">
    <w:p w:rsidR="001E19D5"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Gómez Córdoba, Ana Isabel. Remolina Angarita, Nelson. “Los sistemas de identificación biométrica y la información biométrica desde la perspectiva de la protección de datos personales” en</w:t>
      </w:r>
      <w:r w:rsidRPr="007C57D2">
        <w:rPr>
          <w:rFonts w:ascii="Times New Roman" w:hAnsi="Times New Roman"/>
          <w:szCs w:val="20"/>
        </w:rPr>
        <w:t>: Derecho &amp; TIC 10.0. Bogotá: Ediciones Uniandes y Editorial Temis, 2011, pp. 223-268.</w:t>
      </w:r>
    </w:p>
  </w:footnote>
  <w:footnote w:id="39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Saini, Nirmala y Sinha, Aloka. ”Soft biometrics in conjunction with optics based biohashing. Optics Communications”, Volume 284, Issue 3, 2011, p. 756.</w:t>
      </w:r>
    </w:p>
  </w:footnote>
  <w:footnote w:id="39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Según el artí</w:t>
      </w:r>
      <w:r w:rsidRPr="007C57D2">
        <w:rPr>
          <w:rFonts w:ascii="Times New Roman" w:hAnsi="Times New Roman"/>
        </w:rPr>
        <w:t xml:space="preserve">culo 243 de la Ley 1564 de 2012, “son documentos los escritos, impresos, planos, dibujos, cuadros, mensajes de datos, </w:t>
      </w:r>
      <w:r w:rsidRPr="007C57D2">
        <w:rPr>
          <w:rFonts w:ascii="Times New Roman" w:hAnsi="Times New Roman"/>
          <w:b/>
        </w:rPr>
        <w:t>fotografías</w:t>
      </w:r>
      <w:r w:rsidRPr="007C57D2">
        <w:rPr>
          <w:rFonts w:ascii="Times New Roman" w:hAnsi="Times New Roman"/>
        </w:rPr>
        <w:t xml:space="preserve">, (…) </w:t>
      </w:r>
      <w:r w:rsidRPr="007C57D2">
        <w:rPr>
          <w:rFonts w:ascii="Times New Roman" w:hAnsi="Times New Roman"/>
          <w:b/>
        </w:rPr>
        <w:t>videograbaciones</w:t>
      </w:r>
      <w:r w:rsidRPr="007C57D2">
        <w:rPr>
          <w:rFonts w:ascii="Times New Roman" w:hAnsi="Times New Roman"/>
        </w:rPr>
        <w:t>, (..) y, en general, todo objeto mueble que tenga carácter representativo o declarativo, y las inscripci</w:t>
      </w:r>
      <w:r w:rsidRPr="007C57D2">
        <w:rPr>
          <w:rFonts w:ascii="Times New Roman" w:hAnsi="Times New Roman"/>
        </w:rPr>
        <w:t>ones en lápidas, monumentos, edificios o similares”. (Destacamos)</w:t>
      </w:r>
    </w:p>
  </w:footnote>
  <w:footnote w:id="39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 la regulación europea, los datos biométricos, son definidos como: “datos personales obtenidos a partir de un tratamiento técnico específico, </w:t>
      </w:r>
      <w:r w:rsidRPr="007C57D2">
        <w:rPr>
          <w:rFonts w:ascii="Times New Roman" w:hAnsi="Times New Roman"/>
          <w:b/>
        </w:rPr>
        <w:t>relativos a las características físicas</w:t>
      </w:r>
      <w:r w:rsidRPr="007C57D2">
        <w:rPr>
          <w:rFonts w:ascii="Times New Roman" w:hAnsi="Times New Roman"/>
        </w:rPr>
        <w:t xml:space="preserve">, fisiológicas o conductuales de una persona física que permitan o confirmen la identificación única de dicha persona, </w:t>
      </w:r>
      <w:r w:rsidRPr="007C57D2">
        <w:rPr>
          <w:rFonts w:ascii="Times New Roman" w:hAnsi="Times New Roman"/>
          <w:b/>
        </w:rPr>
        <w:t xml:space="preserve">como imágenes faciales </w:t>
      </w:r>
      <w:r w:rsidRPr="007C57D2">
        <w:rPr>
          <w:rFonts w:ascii="Times New Roman" w:hAnsi="Times New Roman"/>
        </w:rPr>
        <w:t xml:space="preserve">o datos dactiloscópicos”. Cfr. Numeral 14 del artículo 4 del Reglamento Europeo de Protección de Datos (2016) del </w:t>
      </w:r>
      <w:r w:rsidRPr="007C57D2">
        <w:rPr>
          <w:rFonts w:ascii="Times New Roman" w:hAnsi="Times New Roman"/>
        </w:rPr>
        <w:t>Parlamento Europeo y el Consejo de la Unión Europea; relativo a la protección de las personas físicas en lo que respecta al Tratamiento de Datos Personales y a la libre circulación de estos datos y por el que se deroga la Directiva 95/46/CE (Reglamento Gen</w:t>
      </w:r>
      <w:r w:rsidRPr="007C57D2">
        <w:rPr>
          <w:rFonts w:ascii="Times New Roman" w:hAnsi="Times New Roman"/>
        </w:rPr>
        <w:t>eral de Protección de Datos).</w:t>
      </w:r>
    </w:p>
  </w:footnote>
  <w:footnote w:id="399">
    <w:p w:rsidR="006A5597"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En la </w:t>
      </w:r>
      <w:r w:rsidRPr="007C57D2">
        <w:rPr>
          <w:rFonts w:ascii="Times New Roman" w:hAnsi="Times New Roman"/>
        </w:rPr>
        <w:t>S</w:t>
      </w:r>
      <w:r w:rsidRPr="007C57D2">
        <w:rPr>
          <w:rFonts w:ascii="Times New Roman" w:hAnsi="Times New Roman"/>
        </w:rPr>
        <w:t>entencia T-254 de 2024 la Corte precisó que es factible que en un documento existan varias categorías de información. Por ejemplo, señala la Corte “</w:t>
      </w:r>
      <w:r w:rsidRPr="007C57D2">
        <w:rPr>
          <w:rFonts w:ascii="Times New Roman" w:hAnsi="Times New Roman"/>
          <w:lang w:val="es-ES"/>
        </w:rPr>
        <w:t>en las sentencias judiciales ejecutoriadas, documentos de carácter público que, en principio, permitiría concluir que solo contienen datos públicos en virtud de la clasificación presentada, pueden aparecer datos sensibles o semiprivados que, por su natural</w:t>
      </w:r>
      <w:r w:rsidRPr="007C57D2">
        <w:rPr>
          <w:rFonts w:ascii="Times New Roman" w:hAnsi="Times New Roman"/>
          <w:lang w:val="es-ES"/>
        </w:rPr>
        <w:t xml:space="preserve">eza particular, exijan una restricción a su acceso. De igual manera, puede haber datos públicos que en un contexto particular se usen para generar discriminación contra su titular, lo que permitiría calificarlos como datos sensibles según el artículo 5 de </w:t>
      </w:r>
      <w:r w:rsidRPr="007C57D2">
        <w:rPr>
          <w:rFonts w:ascii="Times New Roman" w:hAnsi="Times New Roman"/>
          <w:lang w:val="es-ES"/>
        </w:rPr>
        <w:t xml:space="preserve">la Ley 1581 de 2012.” </w:t>
      </w:r>
    </w:p>
    <w:p w:rsidR="006A5597" w:rsidRPr="007C57D2" w:rsidRDefault="007C57D2" w:rsidP="00F543B3">
      <w:pPr>
        <w:pStyle w:val="Textonotapie"/>
        <w:jc w:val="both"/>
        <w:rPr>
          <w:rFonts w:ascii="Times New Roman" w:hAnsi="Times New Roman"/>
          <w:lang w:val="es-ES"/>
        </w:rPr>
      </w:pPr>
    </w:p>
    <w:p w:rsidR="006A5597" w:rsidRPr="007C57D2" w:rsidRDefault="007C57D2" w:rsidP="00F543B3">
      <w:pPr>
        <w:pStyle w:val="Textonotapie"/>
        <w:jc w:val="both"/>
        <w:rPr>
          <w:rFonts w:ascii="Times New Roman" w:hAnsi="Times New Roman"/>
        </w:rPr>
      </w:pPr>
      <w:r w:rsidRPr="007C57D2">
        <w:rPr>
          <w:rFonts w:ascii="Times New Roman" w:hAnsi="Times New Roman"/>
          <w:lang w:val="es-ES"/>
        </w:rPr>
        <w:t>En el caso concreto objeto de análisis de la citada sentencia, concluyó esta Corporación que “</w:t>
      </w:r>
      <w:r w:rsidRPr="007C57D2">
        <w:rPr>
          <w:rFonts w:ascii="Times New Roman" w:hAnsi="Times New Roman"/>
        </w:rPr>
        <w:t>los datos personales del señor </w:t>
      </w:r>
      <w:r w:rsidRPr="007C57D2">
        <w:rPr>
          <w:rFonts w:ascii="Times New Roman" w:hAnsi="Times New Roman"/>
          <w:i/>
          <w:iCs/>
        </w:rPr>
        <w:t>Fernando</w:t>
      </w:r>
      <w:r w:rsidRPr="007C57D2">
        <w:rPr>
          <w:rFonts w:ascii="Times New Roman" w:hAnsi="Times New Roman"/>
        </w:rPr>
        <w:t> que el accionante solicitó al Colegio son, en su mayoría, datos semiprivados: la dirección de resi</w:t>
      </w:r>
      <w:r w:rsidRPr="007C57D2">
        <w:rPr>
          <w:rFonts w:ascii="Times New Roman" w:hAnsi="Times New Roman"/>
        </w:rPr>
        <w:t xml:space="preserve">dencia, el número de la línea celular, el correo electrónico, y el lugar donde trabaja. En efecto, se trata de información que no solo incumbe al titular, sino también a terceros, como pueden ser sus empleadores. Para el acceso a dichos datos, se requiere </w:t>
      </w:r>
      <w:r w:rsidRPr="007C57D2">
        <w:rPr>
          <w:rFonts w:ascii="Times New Roman" w:hAnsi="Times New Roman"/>
        </w:rPr>
        <w:t>autorización previa otorgada por el titular en los términos del artículo 9 de la Ley 1581 de 2012. </w:t>
      </w:r>
    </w:p>
    <w:p w:rsidR="006A5597" w:rsidRPr="007C57D2" w:rsidRDefault="007C57D2" w:rsidP="00F543B3">
      <w:pPr>
        <w:pStyle w:val="Textonotapie"/>
        <w:jc w:val="both"/>
        <w:rPr>
          <w:rFonts w:ascii="Times New Roman" w:hAnsi="Times New Roman"/>
        </w:rPr>
      </w:pPr>
      <w:r w:rsidRPr="007C57D2">
        <w:rPr>
          <w:rFonts w:ascii="Times New Roman" w:hAnsi="Times New Roman"/>
        </w:rPr>
        <w:t> </w:t>
      </w:r>
    </w:p>
    <w:p w:rsidR="006A5597" w:rsidRPr="007C57D2" w:rsidRDefault="007C57D2" w:rsidP="00DF7829">
      <w:pPr>
        <w:pStyle w:val="Textonotapie"/>
        <w:jc w:val="both"/>
        <w:rPr>
          <w:rFonts w:ascii="Times New Roman" w:hAnsi="Times New Roman"/>
        </w:rPr>
      </w:pPr>
      <w:r w:rsidRPr="007C57D2">
        <w:rPr>
          <w:rFonts w:ascii="Times New Roman" w:hAnsi="Times New Roman"/>
        </w:rPr>
        <w:t>No obstante, el número de la cédula de ciudadanía no entra en esa categoría porque es un dato público que consta en documento público. En virtud del incis</w:t>
      </w:r>
      <w:r w:rsidRPr="007C57D2">
        <w:rPr>
          <w:rFonts w:ascii="Times New Roman" w:hAnsi="Times New Roman"/>
        </w:rPr>
        <w:t>o segundo del artículo 243 del Código General del Proceso, la cédula de ciudadanía se categoriza como documento público otorgado “(…) por el funcionario público </w:t>
      </w:r>
      <w:r w:rsidRPr="007C57D2">
        <w:rPr>
          <w:rFonts w:ascii="Times New Roman" w:hAnsi="Times New Roman"/>
          <w:lang w:val="es-ES_tradnl"/>
        </w:rPr>
        <w:t>en ejercicio de sus funciones o con su intervención”. Por tanto, no se trata de un dato sensibl</w:t>
      </w:r>
      <w:r w:rsidRPr="007C57D2">
        <w:rPr>
          <w:rFonts w:ascii="Times New Roman" w:hAnsi="Times New Roman"/>
          <w:lang w:val="es-ES_tradnl"/>
        </w:rPr>
        <w:t xml:space="preserve">e, contrario a lo señalado en las decisiones que ahora se revisan, porque no hace parte de la intimidad del titular ni aparece un riesgo cierto de discriminación por su uso indebido en el caso concreto. Por el contrario, se trata de un dato público que no </w:t>
      </w:r>
      <w:r w:rsidRPr="007C57D2">
        <w:rPr>
          <w:rFonts w:ascii="Times New Roman" w:hAnsi="Times New Roman"/>
          <w:lang w:val="es-ES_tradnl"/>
        </w:rPr>
        <w:t>requiere de autorización del titular para ser divulgado. Según el artículo 10 de la Ley 1581 de 2012, no es necesaria la autorización previa del titular de la información para divulgar datos públicos a terceros</w:t>
      </w:r>
      <w:r w:rsidRPr="007C57D2">
        <w:rPr>
          <w:rFonts w:ascii="Times New Roman" w:hAnsi="Times New Roman"/>
          <w:u w:val="single"/>
          <w:vertAlign w:val="superscript"/>
          <w:lang w:val="es-ES_tradnl"/>
        </w:rPr>
        <w:t>”</w:t>
      </w:r>
    </w:p>
  </w:footnote>
  <w:footnote w:id="40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Incorporado en el Decreto 1074 de 2015.</w:t>
      </w:r>
    </w:p>
  </w:footnote>
  <w:footnote w:id="40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Artículo 6 de la Ley Estatutaria 1581 de 2012.</w:t>
      </w:r>
    </w:p>
  </w:footnote>
  <w:footnote w:id="40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c) del artículo 4 de la Ley 1581 de 2012.</w:t>
      </w:r>
    </w:p>
  </w:footnote>
  <w:footnote w:id="40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9 de la Ley 1581 de 2012.</w:t>
      </w:r>
    </w:p>
  </w:footnote>
  <w:footnote w:id="40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5 del Decreto 1377 de 2013.</w:t>
      </w:r>
    </w:p>
  </w:footnote>
  <w:footnote w:id="40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8 del Decreto 1377 de 2013.</w:t>
      </w:r>
    </w:p>
  </w:footnote>
  <w:footnote w:id="40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b) del </w:t>
      </w:r>
      <w:r w:rsidRPr="007C57D2">
        <w:rPr>
          <w:rFonts w:ascii="Times New Roman" w:hAnsi="Times New Roman"/>
        </w:rPr>
        <w:t>artículo 8 de la Ley 1581 de 2012.</w:t>
      </w:r>
    </w:p>
  </w:footnote>
  <w:footnote w:id="40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4 del Decreto 1377 de 2013.</w:t>
      </w:r>
    </w:p>
  </w:footnote>
  <w:footnote w:id="40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párrafo 2 del artículo 5 del Decreto 1377 de 2013 ordena que “Los datos personales que se encuentren en fuentes de acceso público, con independencia del medio por el cual s</w:t>
      </w:r>
      <w:r w:rsidRPr="007C57D2">
        <w:rPr>
          <w:rFonts w:ascii="Times New Roman" w:hAnsi="Times New Roman"/>
        </w:rPr>
        <w:t>e tenga acceso, entendiéndose por tales aquellos datos o bases de datos que se encuentren a disposición del público, pueden ser tratados por cualquier persona siempre y cuando, por su naturaleza, sean datos públicos.”</w:t>
      </w:r>
    </w:p>
  </w:footnote>
  <w:footnote w:id="409">
    <w:p w:rsidR="001E19D5" w:rsidRPr="007C57D2" w:rsidRDefault="007C57D2" w:rsidP="00F543B3">
      <w:pPr>
        <w:pStyle w:val="Textonotapie"/>
        <w:jc w:val="both"/>
        <w:rPr>
          <w:rFonts w:ascii="Times New Roman" w:hAnsi="Times New Roman"/>
          <w:lang w:val="fr-FR"/>
        </w:rPr>
      </w:pPr>
      <w:r w:rsidRPr="007C57D2">
        <w:rPr>
          <w:rStyle w:val="Refdenotaalpie"/>
          <w:rFonts w:ascii="Times New Roman" w:hAnsi="Times New Roman"/>
        </w:rPr>
        <w:footnoteRef/>
      </w:r>
      <w:r w:rsidRPr="007C57D2">
        <w:rPr>
          <w:rFonts w:ascii="Times New Roman" w:hAnsi="Times New Roman"/>
          <w:lang w:val="fr-FR"/>
        </w:rPr>
        <w:t xml:space="preserve"> Cfr. Corte Constitucional, sentencias SU-82 de 1995, T-592 de 2003, T-67 de 2007, T-272 de 2007, T-599 de 2007, T-1017 de 2008, T-361 de 2009, C-282 de 2021.</w:t>
      </w:r>
    </w:p>
  </w:footnote>
  <w:footnote w:id="41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T- 361 de 2009.</w:t>
      </w:r>
    </w:p>
  </w:footnote>
  <w:footnote w:id="411">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sentencias C-</w:t>
      </w:r>
      <w:r w:rsidRPr="007C57D2">
        <w:rPr>
          <w:rFonts w:ascii="Times New Roman" w:hAnsi="Times New Roman"/>
          <w:lang w:val="pt-BR"/>
        </w:rPr>
        <w:t>993 de 2004, C-981 de 2005, T-657 de 2005, T-684 de 2006, T-272 de 2007.</w:t>
      </w:r>
    </w:p>
  </w:footnote>
  <w:footnote w:id="41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T-1017 de 2008.</w:t>
      </w:r>
    </w:p>
  </w:footnote>
  <w:footnote w:id="41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Loc. cit. </w:t>
      </w:r>
    </w:p>
  </w:footnote>
  <w:footnote w:id="414">
    <w:p w:rsidR="001E19D5"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 el derecho fundamental al habeas data resulta vulnerado cuando la información contenida en el archivo de dat</w:t>
      </w:r>
      <w:r w:rsidRPr="007C57D2">
        <w:rPr>
          <w:rFonts w:ascii="Times New Roman" w:hAnsi="Times New Roman"/>
          <w:szCs w:val="20"/>
        </w:rPr>
        <w:t>os sea recogida “de manera ilegal, sin el consentimiento del titular del dato (i), sea errónea (ii) o recaiga sobre aspectos íntimos de la vida de su titular no susceptibles de ser conocidos públicamente (iii)”. Corte Constitucional, sentencias T-176 de 19</w:t>
      </w:r>
      <w:r w:rsidRPr="007C57D2">
        <w:rPr>
          <w:rFonts w:ascii="Times New Roman" w:hAnsi="Times New Roman"/>
          <w:szCs w:val="20"/>
        </w:rPr>
        <w:t>95 y C-640 de 2010.</w:t>
      </w:r>
    </w:p>
  </w:footnote>
  <w:footnote w:id="415">
    <w:p w:rsidR="001E19D5" w:rsidRPr="007C57D2" w:rsidRDefault="007C57D2" w:rsidP="00F543B3">
      <w:pPr>
        <w:spacing w:after="0" w:line="240" w:lineRule="auto"/>
        <w:ind w:right="57"/>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lang w:val="es-ES"/>
        </w:rPr>
        <w:t>En estos casos deberán cumplirse con todos los principios que rigen el tratamiento de datos personales, en especial cobrará importancia el principio de finalidad, según el cual el dato sensible solamente podrá ser tratado para las fi</w:t>
      </w:r>
      <w:r w:rsidRPr="007C57D2">
        <w:rPr>
          <w:rFonts w:ascii="Times New Roman" w:hAnsi="Times New Roman"/>
          <w:szCs w:val="20"/>
          <w:lang w:val="es-ES"/>
        </w:rPr>
        <w:t>nalidades expresamente autorizadas por el titular y que en todo caso deben ser importantes desde el punto de vista constitucional”. Corte Constitucional, Sentencia C-748 de 2011, numeral 2.8.4.1.</w:t>
      </w:r>
    </w:p>
  </w:footnote>
  <w:footnote w:id="41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b) del artículo 12 de la Ley Estatutaria 1581</w:t>
      </w:r>
      <w:r w:rsidRPr="007C57D2">
        <w:rPr>
          <w:rFonts w:ascii="Times New Roman" w:hAnsi="Times New Roman"/>
        </w:rPr>
        <w:t xml:space="preserve"> de 2012.</w:t>
      </w:r>
    </w:p>
  </w:footnote>
  <w:footnote w:id="417">
    <w:p w:rsidR="001E19D5" w:rsidRPr="007C57D2" w:rsidRDefault="007C57D2" w:rsidP="00F543B3">
      <w:pPr>
        <w:spacing w:after="0" w:line="240" w:lineRule="auto"/>
        <w:jc w:val="both"/>
        <w:rPr>
          <w:rFonts w:ascii="Times New Roman" w:hAnsi="Times New Roman"/>
          <w:szCs w:val="20"/>
          <w:lang w:val="es-ES_tradnl"/>
        </w:rPr>
      </w:pPr>
      <w:r w:rsidRPr="007C57D2">
        <w:rPr>
          <w:rStyle w:val="Refdenotaalpie"/>
          <w:rFonts w:ascii="Times New Roman" w:hAnsi="Times New Roman"/>
          <w:szCs w:val="20"/>
        </w:rPr>
        <w:footnoteRef/>
      </w:r>
      <w:r w:rsidRPr="007C57D2">
        <w:rPr>
          <w:rFonts w:ascii="Times New Roman" w:hAnsi="Times New Roman"/>
          <w:szCs w:val="20"/>
        </w:rPr>
        <w:t xml:space="preserve"> Cfr. ONU. Informe A/HRC/46/37 del 25 de enero de 2021: “La inteligencia artificial y la privacidad, así como la privacidad de los niños” - Informe del Relator Especial sobre el derecho a la privacidad, Joseph A. Cannataci. p. 24. </w:t>
      </w:r>
      <w:r w:rsidRPr="007C57D2">
        <w:rPr>
          <w:rFonts w:ascii="Times New Roman" w:hAnsi="Times New Roman"/>
          <w:szCs w:val="20"/>
          <w:lang w:val="es-ES_tradnl"/>
        </w:rPr>
        <w:t xml:space="preserve">En el informe </w:t>
      </w:r>
      <w:r w:rsidRPr="007C57D2">
        <w:rPr>
          <w:rFonts w:ascii="Times New Roman" w:hAnsi="Times New Roman"/>
          <w:szCs w:val="20"/>
          <w:lang w:val="es-ES_tradnl"/>
        </w:rPr>
        <w:t>también se concluyó que es necesario, entre otros, aprobar políticas, legislación y normas que: (i) “Consideren a los niños como titulares de derechos humanos, con un derecho inalienable a la intimidad, la autonomía y la igualdad; (ii) Incorporen el alcanc</w:t>
      </w:r>
      <w:r w:rsidRPr="007C57D2">
        <w:rPr>
          <w:rFonts w:ascii="Times New Roman" w:hAnsi="Times New Roman"/>
          <w:szCs w:val="20"/>
          <w:lang w:val="es-ES_tradnl"/>
        </w:rPr>
        <w:t>e general de la privacidad, y no sólo en relación con la protección de datos, para permitir el pleno desarrollo del potencial de los niños; (iii) Incorporen en las políticas públicas las opiniones de los niños, las estrategias de estos respecto de la priva</w:t>
      </w:r>
      <w:r w:rsidRPr="007C57D2">
        <w:rPr>
          <w:rFonts w:ascii="Times New Roman" w:hAnsi="Times New Roman"/>
          <w:szCs w:val="20"/>
          <w:lang w:val="es-ES_tradnl"/>
        </w:rPr>
        <w:t>cidad, las conclusiones de investigaciones centradas en los niños y/o las evaluaciones del impacto en la privacidad de los niños; y (iv) Proporcionen medios independientes para conciliar, arbitrar y reparar en el caso de vulneraciones individuales o sistém</w:t>
      </w:r>
      <w:r w:rsidRPr="007C57D2">
        <w:rPr>
          <w:rFonts w:ascii="Times New Roman" w:hAnsi="Times New Roman"/>
          <w:szCs w:val="20"/>
          <w:lang w:val="es-ES_tradnl"/>
        </w:rPr>
        <w:t>icas de los derechos humanos de los niños; y aseguren la adopción de medidas coercitivas en caso de infracción”</w:t>
      </w:r>
      <w:r w:rsidRPr="007C57D2">
        <w:rPr>
          <w:rStyle w:val="Refdenotaalpie"/>
          <w:rFonts w:ascii="Times New Roman" w:eastAsia="Calibri" w:hAnsi="Times New Roman"/>
          <w:szCs w:val="20"/>
          <w:lang w:val="es-ES_tradnl"/>
        </w:rPr>
        <w:t xml:space="preserve"> </w:t>
      </w:r>
      <w:r w:rsidRPr="007C57D2">
        <w:rPr>
          <w:rFonts w:ascii="Times New Roman" w:eastAsia="Calibri" w:hAnsi="Times New Roman"/>
          <w:szCs w:val="20"/>
          <w:lang w:val="es-ES_tradnl"/>
        </w:rPr>
        <w:t>(p 22). El texto del informe puede consultarse en:</w:t>
      </w:r>
      <w:r w:rsidRPr="007C57D2">
        <w:rPr>
          <w:rFonts w:ascii="Times New Roman" w:hAnsi="Times New Roman"/>
          <w:szCs w:val="20"/>
        </w:rPr>
        <w:t xml:space="preserve"> https://www.ohchr.org/es/documents/thematic-reports/ahrc4637-artificial-intelligence-and-privacy-and-childrens-privacy </w:t>
      </w:r>
    </w:p>
  </w:footnote>
  <w:footnote w:id="418">
    <w:p w:rsidR="00827C00" w:rsidRPr="007C57D2" w:rsidRDefault="007C57D2" w:rsidP="00DF7829">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Esta Carta no es jurídicamente vinculante a la República de Colombia. S</w:t>
      </w:r>
      <w:r w:rsidRPr="007C57D2">
        <w:rPr>
          <w:rFonts w:ascii="Times New Roman" w:hAnsi="Times New Roman"/>
        </w:rPr>
        <w:t>e cita como parámetro orientador de derecho comparado, no como</w:t>
      </w:r>
      <w:r w:rsidRPr="007C57D2">
        <w:rPr>
          <w:rFonts w:ascii="Times New Roman" w:hAnsi="Times New Roman"/>
        </w:rPr>
        <w:t xml:space="preserve"> norma internacional obligatoria.</w:t>
      </w:r>
    </w:p>
  </w:footnote>
  <w:footnote w:id="419">
    <w:p w:rsidR="001E19D5" w:rsidRPr="007C57D2" w:rsidRDefault="007C57D2" w:rsidP="00F543B3">
      <w:pPr>
        <w:pStyle w:val="Textonotapie"/>
        <w:jc w:val="both"/>
        <w:rPr>
          <w:rFonts w:ascii="Times New Roman" w:hAnsi="Times New Roman"/>
          <w:lang w:val="en-US"/>
        </w:rPr>
      </w:pPr>
      <w:r w:rsidRPr="007C57D2">
        <w:rPr>
          <w:rStyle w:val="Refdenotaalpie"/>
          <w:rFonts w:ascii="Times New Roman" w:hAnsi="Times New Roman"/>
        </w:rPr>
        <w:footnoteRef/>
      </w:r>
      <w:r w:rsidRPr="007C57D2">
        <w:rPr>
          <w:rFonts w:ascii="Times New Roman" w:hAnsi="Times New Roman"/>
          <w:lang w:val="en-US"/>
        </w:rPr>
        <w:t xml:space="preserve"> CIPDED. p. 16.</w:t>
      </w:r>
    </w:p>
  </w:footnote>
  <w:footnote w:id="420">
    <w:p w:rsidR="001E19D5" w:rsidRPr="007C57D2" w:rsidRDefault="007C57D2" w:rsidP="00F543B3">
      <w:pPr>
        <w:pStyle w:val="Textonotapie"/>
        <w:jc w:val="both"/>
        <w:rPr>
          <w:rFonts w:ascii="Times New Roman" w:hAnsi="Times New Roman"/>
          <w:lang w:val="en-US"/>
        </w:rPr>
      </w:pPr>
      <w:r w:rsidRPr="007C57D2">
        <w:rPr>
          <w:rStyle w:val="Refdenotaalpie"/>
          <w:rFonts w:ascii="Times New Roman" w:hAnsi="Times New Roman"/>
        </w:rPr>
        <w:footnoteRef/>
      </w:r>
      <w:r w:rsidRPr="007C57D2">
        <w:rPr>
          <w:rFonts w:ascii="Times New Roman" w:hAnsi="Times New Roman"/>
          <w:lang w:val="en-US"/>
        </w:rPr>
        <w:t xml:space="preserve"> CIPDED. p. 17.</w:t>
      </w:r>
    </w:p>
  </w:footnote>
  <w:footnote w:id="421">
    <w:p w:rsidR="001E19D5" w:rsidRPr="007C57D2" w:rsidRDefault="007C57D2" w:rsidP="00F543B3">
      <w:pPr>
        <w:pStyle w:val="Textonotapie"/>
        <w:jc w:val="both"/>
        <w:rPr>
          <w:rFonts w:ascii="Times New Roman" w:hAnsi="Times New Roman"/>
          <w:lang w:val="en-US"/>
        </w:rPr>
      </w:pPr>
      <w:r w:rsidRPr="007C57D2">
        <w:rPr>
          <w:rStyle w:val="Refdenotaalpie"/>
          <w:rFonts w:ascii="Times New Roman" w:hAnsi="Times New Roman"/>
        </w:rPr>
        <w:footnoteRef/>
      </w:r>
      <w:r w:rsidRPr="007C57D2">
        <w:rPr>
          <w:rFonts w:ascii="Times New Roman" w:hAnsi="Times New Roman"/>
          <w:lang w:val="en-US"/>
        </w:rPr>
        <w:t xml:space="preserve"> CIPDED. p. 17.</w:t>
      </w:r>
    </w:p>
  </w:footnote>
  <w:footnote w:id="422">
    <w:p w:rsidR="001E19D5" w:rsidRPr="007C57D2" w:rsidRDefault="007C57D2" w:rsidP="00F543B3">
      <w:pPr>
        <w:pStyle w:val="Textonotapie"/>
        <w:jc w:val="both"/>
        <w:rPr>
          <w:rFonts w:ascii="Times New Roman" w:hAnsi="Times New Roman"/>
          <w:lang w:val="en-US"/>
        </w:rPr>
      </w:pPr>
      <w:r w:rsidRPr="007C57D2">
        <w:rPr>
          <w:rStyle w:val="Refdenotaalpie"/>
          <w:rFonts w:ascii="Times New Roman" w:hAnsi="Times New Roman"/>
        </w:rPr>
        <w:footnoteRef/>
      </w:r>
      <w:r w:rsidRPr="007C57D2">
        <w:rPr>
          <w:rFonts w:ascii="Times New Roman" w:hAnsi="Times New Roman"/>
          <w:lang w:val="en-US"/>
        </w:rPr>
        <w:t xml:space="preserve"> CIPDED. p. 18.</w:t>
      </w:r>
    </w:p>
  </w:footnote>
  <w:footnote w:id="423">
    <w:p w:rsidR="001E19D5" w:rsidRPr="007C57D2" w:rsidRDefault="007C57D2" w:rsidP="00F543B3">
      <w:pPr>
        <w:pStyle w:val="Textonotapie"/>
        <w:jc w:val="both"/>
        <w:rPr>
          <w:rFonts w:ascii="Times New Roman" w:hAnsi="Times New Roman"/>
          <w:lang w:val="en-US"/>
        </w:rPr>
      </w:pPr>
      <w:r w:rsidRPr="007C57D2">
        <w:rPr>
          <w:rStyle w:val="Refdenotaalpie"/>
          <w:rFonts w:ascii="Times New Roman" w:hAnsi="Times New Roman"/>
        </w:rPr>
        <w:footnoteRef/>
      </w:r>
      <w:r w:rsidRPr="007C57D2">
        <w:rPr>
          <w:rFonts w:ascii="Times New Roman" w:hAnsi="Times New Roman"/>
          <w:lang w:val="en-US"/>
        </w:rPr>
        <w:t xml:space="preserve"> CIPDED. p. 12.</w:t>
      </w:r>
    </w:p>
  </w:footnote>
  <w:footnote w:id="424">
    <w:p w:rsidR="001E19D5" w:rsidRPr="007C57D2" w:rsidRDefault="007C57D2" w:rsidP="00F543B3">
      <w:pPr>
        <w:pStyle w:val="Textonotapie"/>
        <w:jc w:val="both"/>
        <w:rPr>
          <w:rFonts w:ascii="Times New Roman" w:hAnsi="Times New Roman"/>
          <w:lang w:val="en-US"/>
        </w:rPr>
      </w:pPr>
      <w:r w:rsidRPr="007C57D2">
        <w:rPr>
          <w:rStyle w:val="Refdenotaalpie"/>
          <w:rFonts w:ascii="Times New Roman" w:hAnsi="Times New Roman"/>
        </w:rPr>
        <w:footnoteRef/>
      </w:r>
      <w:r w:rsidRPr="007C57D2">
        <w:rPr>
          <w:rFonts w:ascii="Times New Roman" w:hAnsi="Times New Roman"/>
          <w:lang w:val="en-US"/>
        </w:rPr>
        <w:t xml:space="preserve"> CIPDED. p. 12.</w:t>
      </w:r>
    </w:p>
  </w:footnote>
  <w:footnote w:id="42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CIPDED. p. 12.</w:t>
      </w:r>
    </w:p>
  </w:footnote>
  <w:footnote w:id="42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CIPDED. p. 13.</w:t>
      </w:r>
    </w:p>
  </w:footnote>
  <w:footnote w:id="427">
    <w:p w:rsidR="00827C0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Esta Resolución no es jurídicamente vinculante a la República de Colombia. S</w:t>
      </w:r>
      <w:r w:rsidRPr="007C57D2">
        <w:rPr>
          <w:rFonts w:ascii="Times New Roman" w:hAnsi="Times New Roman"/>
        </w:rPr>
        <w:t xml:space="preserve">e cita </w:t>
      </w:r>
      <w:r w:rsidRPr="007C57D2">
        <w:rPr>
          <w:rFonts w:ascii="Times New Roman" w:hAnsi="Times New Roman"/>
        </w:rPr>
        <w:t>como parámetro orientador de derecho comparado, no como norma internacional obligatoria.</w:t>
      </w:r>
    </w:p>
    <w:p w:rsidR="00827C00" w:rsidRPr="007C57D2" w:rsidRDefault="007C57D2" w:rsidP="00F543B3">
      <w:pPr>
        <w:pStyle w:val="Textonotapie"/>
        <w:jc w:val="both"/>
        <w:rPr>
          <w:rFonts w:ascii="Times New Roman" w:hAnsi="Times New Roman"/>
          <w:lang w:val="es-ES_tradnl"/>
        </w:rPr>
      </w:pPr>
    </w:p>
  </w:footnote>
  <w:footnote w:id="42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en-US"/>
        </w:rPr>
        <w:t xml:space="preserve"> Cfr. Global Privacy Assembly, “Resolution on Children’s Online Privacy”, 30th International Conference of Data Protection and Privacy Commissioners. </w:t>
      </w:r>
      <w:r w:rsidRPr="007C57D2">
        <w:rPr>
          <w:rFonts w:ascii="Times New Roman" w:hAnsi="Times New Roman"/>
        </w:rPr>
        <w:t xml:space="preserve">Strasbourg, 17 </w:t>
      </w:r>
      <w:r w:rsidRPr="007C57D2">
        <w:rPr>
          <w:rFonts w:ascii="Times New Roman" w:hAnsi="Times New Roman"/>
        </w:rPr>
        <w:t>October 2008. El texto oficial puede consultarse en: https://globalprivacyassembly.com/wp-content/uploads/2015/02/Resolution-on-Childrens-Online-Privacy-.pdf.</w:t>
      </w:r>
    </w:p>
  </w:footnote>
  <w:footnote w:id="429">
    <w:p w:rsidR="00827C0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Esta Resolución no es jurídicamente vinculante a la República de Colombia. S</w:t>
      </w:r>
      <w:r w:rsidRPr="007C57D2">
        <w:rPr>
          <w:rFonts w:ascii="Times New Roman" w:hAnsi="Times New Roman"/>
        </w:rPr>
        <w:t>e cita como parámet</w:t>
      </w:r>
      <w:r w:rsidRPr="007C57D2">
        <w:rPr>
          <w:rFonts w:ascii="Times New Roman" w:hAnsi="Times New Roman"/>
        </w:rPr>
        <w:t>ro orientador de derecho comparado, no como norma internacional obligatoria.</w:t>
      </w:r>
    </w:p>
    <w:p w:rsidR="00827C00" w:rsidRPr="007C57D2" w:rsidRDefault="007C57D2" w:rsidP="00F543B3">
      <w:pPr>
        <w:pStyle w:val="Textonotapie"/>
        <w:jc w:val="both"/>
        <w:rPr>
          <w:rFonts w:ascii="Times New Roman" w:hAnsi="Times New Roman"/>
          <w:lang w:val="es-ES_tradnl"/>
        </w:rPr>
      </w:pPr>
    </w:p>
  </w:footnote>
  <w:footnote w:id="43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en-US"/>
        </w:rPr>
        <w:t xml:space="preserve"> Cfr. Global Privacy Assembly, “Resolution on children's digital rights”, 43rd Closed Session, October 2021. </w:t>
      </w:r>
      <w:r w:rsidRPr="007C57D2">
        <w:rPr>
          <w:rFonts w:ascii="Times New Roman" w:hAnsi="Times New Roman"/>
        </w:rPr>
        <w:t>El texto oficial puede consultarse en: https://globalprivacyassembly</w:t>
      </w:r>
      <w:r w:rsidRPr="007C57D2">
        <w:rPr>
          <w:rFonts w:ascii="Times New Roman" w:hAnsi="Times New Roman"/>
        </w:rPr>
        <w:t>.com/wp-content/uploads/2021/10/20211025-GPA-Resolution-Childrens-Digital-Rights-Final-Adopted.pdf.</w:t>
      </w:r>
    </w:p>
  </w:footnote>
  <w:footnote w:id="431">
    <w:p w:rsidR="00827C00"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Estos Estándares no son jurídicamente vinculantes a la República de Colombia. S</w:t>
      </w:r>
      <w:r w:rsidRPr="007C57D2">
        <w:rPr>
          <w:rFonts w:ascii="Times New Roman" w:hAnsi="Times New Roman"/>
        </w:rPr>
        <w:t>e cita como parámetro orientador de derecho comparado, no como norma intern</w:t>
      </w:r>
      <w:r w:rsidRPr="007C57D2">
        <w:rPr>
          <w:rFonts w:ascii="Times New Roman" w:hAnsi="Times New Roman"/>
        </w:rPr>
        <w:t>acional obligatoria.</w:t>
      </w:r>
    </w:p>
    <w:p w:rsidR="00827C00" w:rsidRPr="007C57D2" w:rsidRDefault="007C57D2" w:rsidP="00F543B3">
      <w:pPr>
        <w:pStyle w:val="Textonotapie"/>
        <w:jc w:val="both"/>
        <w:rPr>
          <w:rFonts w:ascii="Times New Roman" w:hAnsi="Times New Roman"/>
          <w:lang w:val="es-ES_tradnl"/>
        </w:rPr>
      </w:pPr>
    </w:p>
  </w:footnote>
  <w:footnote w:id="43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RIPD, Estándares Iberoamericanos de Protección de Datos Personales, aprobados en 2017 en Santiago de Chile. El texto oficial puede consultarse en: https://www.redipd.org/documento/estandares-iberoamericanos-2017.pdf </w:t>
      </w:r>
    </w:p>
  </w:footnote>
  <w:footnote w:id="43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Para la </w:t>
      </w:r>
      <w:r w:rsidRPr="007C57D2">
        <w:rPr>
          <w:rFonts w:ascii="Times New Roman" w:hAnsi="Times New Roman"/>
        </w:rPr>
        <w:t xml:space="preserve">Corte también es importante que </w:t>
      </w:r>
      <w:r w:rsidRPr="007C57D2">
        <w:rPr>
          <w:rFonts w:ascii="Times New Roman" w:hAnsi="Times New Roman"/>
          <w:lang w:val="es-ES_tradnl"/>
        </w:rPr>
        <w:t>a los menores de edad “se les asegure su derecho a ser escuchados en todos los asuntos que los afecten; y el tratamiento de sus datos, sin duda alguna, es un asunto que les concierne directamente. (…) la Corte considera rele</w:t>
      </w:r>
      <w:r w:rsidRPr="007C57D2">
        <w:rPr>
          <w:rFonts w:ascii="Times New Roman" w:hAnsi="Times New Roman"/>
          <w:lang w:val="es-ES_tradnl"/>
        </w:rPr>
        <w:t>vante que la opinión del menor de 18 años sea siempre tenida en cuenta, pues la madurez con que expresen sus juicios acerca de los hechos que los afectan debe analizarse caso por caso. La madurez y la autonomía no se encuentran asociadas a la edad, más bie</w:t>
      </w:r>
      <w:r w:rsidRPr="007C57D2">
        <w:rPr>
          <w:rFonts w:ascii="Times New Roman" w:hAnsi="Times New Roman"/>
          <w:lang w:val="es-ES_tradnl"/>
        </w:rPr>
        <w:t>n están relacionadas con el entorno familiar, social, cultural en el cual han crecido. En este contexto, la opinión del niño, niña, y adolescente siempre debe tenerse en cuenta, y el elemento subjetivo de la norma “madurez” deberá analizarse en concreto, e</w:t>
      </w:r>
      <w:r w:rsidRPr="007C57D2">
        <w:rPr>
          <w:rFonts w:ascii="Times New Roman" w:hAnsi="Times New Roman"/>
          <w:lang w:val="es-ES_tradnl"/>
        </w:rPr>
        <w:t xml:space="preserve">s decir, la capacidad que ellos tengan de entender lo que está sucediendo (el asunto que les concierne) y derivar sus posibles consecuencias.” </w:t>
      </w:r>
      <w:r w:rsidRPr="007C57D2">
        <w:rPr>
          <w:rFonts w:ascii="Times New Roman" w:hAnsi="Times New Roman"/>
        </w:rPr>
        <w:t xml:space="preserve">Corte Constitucional, Sentencia C-748 de 2011, </w:t>
      </w:r>
      <w:r w:rsidRPr="007C57D2">
        <w:rPr>
          <w:rFonts w:ascii="Times New Roman" w:hAnsi="Times New Roman"/>
          <w:bCs/>
        </w:rPr>
        <w:t>numeral 2.9.3.4.</w:t>
      </w:r>
    </w:p>
  </w:footnote>
  <w:footnote w:id="43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bCs/>
        </w:rPr>
        <w:t xml:space="preserve">Incorporado en el artículo 2.2.2.25.2.9. del </w:t>
      </w:r>
      <w:r w:rsidRPr="007C57D2">
        <w:rPr>
          <w:rFonts w:ascii="Times New Roman" w:hAnsi="Times New Roman"/>
          <w:bCs/>
        </w:rPr>
        <w:t>Decreto 1074 de 2015.</w:t>
      </w:r>
    </w:p>
  </w:footnote>
  <w:footnote w:id="43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C-265 de 2019.</w:t>
      </w:r>
    </w:p>
  </w:footnote>
  <w:footnote w:id="43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C-263 de 2011. </w:t>
      </w:r>
    </w:p>
  </w:footnote>
  <w:footnote w:id="43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C-029 de 2022.</w:t>
      </w:r>
    </w:p>
  </w:footnote>
  <w:footnote w:id="438">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Anteriormente, en Sentencia C-524 de 1995, la Corte había admitido que el legislador</w:t>
      </w:r>
      <w:r w:rsidRPr="007C57D2">
        <w:rPr>
          <w:rFonts w:ascii="Times New Roman" w:hAnsi="Times New Roman"/>
          <w:lang w:val="es-ES"/>
        </w:rPr>
        <w:t xml:space="preserve"> facultara al Consejo Nacional de Estupefacientes, para establecer horarios restringidos para la publicidad por radio y televisión de bebidas alcohólicas, cigarrillos y tabaco, con el fin de proteger los derechos de los niños y de los jóvenes.</w:t>
      </w:r>
    </w:p>
  </w:footnote>
  <w:footnote w:id="43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Artículo 1</w:t>
      </w:r>
      <w:r w:rsidRPr="007C57D2">
        <w:rPr>
          <w:rFonts w:ascii="Times New Roman" w:hAnsi="Times New Roman"/>
          <w:lang w:val="es-ES_tradnl"/>
        </w:rPr>
        <w:t xml:space="preserve"> de la </w:t>
      </w:r>
      <w:r w:rsidRPr="007C57D2">
        <w:rPr>
          <w:rFonts w:ascii="Times New Roman" w:hAnsi="Times New Roman"/>
        </w:rPr>
        <w:t>Ley 971 del 14 de julio de 2005 “Por medio de la cual se reglamenta el mecanismo de búsqueda urgente y se dictan otras disposiciones”. Diario Oficial No. 45.970 de 15 de julio de 2005.</w:t>
      </w:r>
    </w:p>
  </w:footnote>
  <w:footnote w:id="440">
    <w:p w:rsidR="001F47BF"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medio de la cual se adopta la alerta rosa y otras medidas</w:t>
      </w:r>
      <w:r w:rsidRPr="007C57D2">
        <w:rPr>
          <w:rFonts w:ascii="Times New Roman" w:hAnsi="Times New Roman"/>
        </w:rPr>
        <w:t xml:space="preserve"> de prevención, protección y reparación para las niñas, niños, jóvenes, adolescentes y mujeres víctimas de desaparición el congreso de Colombia”. La Corte Constitucional mediante </w:t>
      </w:r>
      <w:r w:rsidRPr="007C57D2">
        <w:rPr>
          <w:rFonts w:ascii="Times New Roman" w:hAnsi="Times New Roman"/>
        </w:rPr>
        <w:t>S</w:t>
      </w:r>
      <w:r w:rsidRPr="007C57D2">
        <w:rPr>
          <w:rFonts w:ascii="Times New Roman" w:hAnsi="Times New Roman"/>
        </w:rPr>
        <w:t>entencia C-473-05 de 24 de octubre de 2005, efectuó la revisión constitucion</w:t>
      </w:r>
      <w:r w:rsidRPr="007C57D2">
        <w:rPr>
          <w:rFonts w:ascii="Times New Roman" w:hAnsi="Times New Roman"/>
        </w:rPr>
        <w:t>al del Proyecto de Ley Estatutaria n.° 065 de 2003 Senado, 197 de 2003, Cámara, “Por medio de la cual se reglamenta el mecanismo de búsqueda urgente y se dictan otras disposiciones”, y lo declaró exequible.</w:t>
      </w:r>
      <w:r w:rsidRPr="007C57D2">
        <w:rPr>
          <w:rFonts w:ascii="Times New Roman" w:hAnsi="Times New Roman"/>
        </w:rPr>
        <w:t xml:space="preserve"> En la citada </w:t>
      </w:r>
      <w:r w:rsidRPr="007C57D2">
        <w:rPr>
          <w:rFonts w:ascii="Times New Roman" w:hAnsi="Times New Roman"/>
        </w:rPr>
        <w:t>S</w:t>
      </w:r>
      <w:r w:rsidRPr="007C57D2">
        <w:rPr>
          <w:rFonts w:ascii="Times New Roman" w:hAnsi="Times New Roman"/>
        </w:rPr>
        <w:t>entencia C-473, la Corte se refirió</w:t>
      </w:r>
      <w:r w:rsidRPr="007C57D2">
        <w:rPr>
          <w:rFonts w:ascii="Times New Roman" w:hAnsi="Times New Roman"/>
        </w:rPr>
        <w:t>, entre otros, a los siguientes temas</w:t>
      </w:r>
      <w:r w:rsidRPr="007C57D2">
        <w:rPr>
          <w:rFonts w:ascii="Times New Roman" w:hAnsi="Times New Roman"/>
        </w:rPr>
        <w:t>: competencia del legislador estatutario y materias de la ley estatutaria; control de constitucionalidad del proyecto de ley estatutaria; el mecanismo de búsqueda urgente —su trámite, aprobación y principios de activaci</w:t>
      </w:r>
      <w:r w:rsidRPr="007C57D2">
        <w:rPr>
          <w:rFonts w:ascii="Times New Roman" w:hAnsi="Times New Roman"/>
        </w:rPr>
        <w:t xml:space="preserve">ón-. </w:t>
      </w:r>
    </w:p>
    <w:p w:rsidR="001E19D5" w:rsidRPr="007C57D2" w:rsidRDefault="007C57D2" w:rsidP="00F543B3">
      <w:pPr>
        <w:pStyle w:val="Textonotapie"/>
        <w:jc w:val="both"/>
        <w:rPr>
          <w:rFonts w:ascii="Times New Roman" w:hAnsi="Times New Roman"/>
        </w:rPr>
      </w:pPr>
    </w:p>
  </w:footnote>
  <w:footnote w:id="44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artículo 2 de la Ley 2326 de 2023 define la “Alerta Rosa” como </w:t>
      </w:r>
      <w:r w:rsidRPr="007C57D2">
        <w:rPr>
          <w:rFonts w:ascii="Times New Roman" w:hAnsi="Times New Roman"/>
          <w:b/>
          <w:bCs/>
        </w:rPr>
        <w:t>“</w:t>
      </w:r>
      <w:r w:rsidRPr="007C57D2">
        <w:rPr>
          <w:rFonts w:ascii="Times New Roman" w:hAnsi="Times New Roman"/>
        </w:rPr>
        <w:t>una alerta masiva multicanal que funciona como sistema de emergencia nacional unificado, formal y oficial, ante la desaparición de niñas, niños, adolescentes, jóvenes y mujeres”.</w:t>
      </w:r>
    </w:p>
  </w:footnote>
  <w:footnote w:id="442">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Artículo 1 de la Ley 2326</w:t>
      </w:r>
      <w:r w:rsidRPr="007C57D2">
        <w:rPr>
          <w:rFonts w:ascii="Times New Roman" w:hAnsi="Times New Roman"/>
          <w:vertAlign w:val="superscript"/>
          <w:lang w:val="es-ES_tradnl"/>
        </w:rPr>
        <w:t xml:space="preserve"> </w:t>
      </w:r>
      <w:r w:rsidRPr="007C57D2">
        <w:rPr>
          <w:rFonts w:ascii="Times New Roman" w:hAnsi="Times New Roman"/>
          <w:lang w:val="es-ES_tradnl"/>
        </w:rPr>
        <w:t>del 13 de septiembre de 2023.</w:t>
      </w:r>
    </w:p>
  </w:footnote>
  <w:footnote w:id="44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1 de la Resolución CRC 6141 de 2021.</w:t>
      </w:r>
    </w:p>
  </w:footnote>
  <w:footnote w:id="44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1 de la Ley 2326 de 2023.</w:t>
      </w:r>
    </w:p>
  </w:footnote>
  <w:footnote w:id="44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2.c del PLE.</w:t>
      </w:r>
    </w:p>
  </w:footnote>
  <w:footnote w:id="44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1 de la Resolución CRC 6141 de 2021.</w:t>
      </w:r>
    </w:p>
  </w:footnote>
  <w:footnote w:id="44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Artículos 1 y 2 de la Ley 2326 de 2023.</w:t>
      </w:r>
    </w:p>
  </w:footnote>
  <w:footnote w:id="44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Artículos 2.c y 6 del PLE.</w:t>
      </w:r>
    </w:p>
  </w:footnote>
  <w:footnote w:id="44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Artículos 1 y 2 de la Resolución CRC 6141 de 2021.</w:t>
      </w:r>
    </w:p>
  </w:footnote>
  <w:footnote w:id="45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Los ministerios de Relaciones Exteriores, Justicia y del Derecho, Defensa, Interior, Salud, Educación, TIC e Igualdad; Migración Colombia; la Policía Nacional; la Procuradu</w:t>
      </w:r>
      <w:r w:rsidRPr="007C57D2">
        <w:rPr>
          <w:rFonts w:ascii="Times New Roman" w:hAnsi="Times New Roman"/>
        </w:rPr>
        <w:t>ría General de la Nación; la Defensoría del Pueblo; la Fiscalía General de la Nación; el Instituto Nacional de Medicina Legal y Ciencias Forenses; la Comisión de Regulación de Comunicaciones; el ICBF; y la Comisión de Búsqueda de personas desaparecidas.</w:t>
      </w:r>
    </w:p>
  </w:footnote>
  <w:footnote w:id="45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Artículo 12 de la Ley 2326 de 2023.</w:t>
      </w:r>
    </w:p>
  </w:footnote>
  <w:footnote w:id="45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Artículos 5, 6, 9 y 10 del PLE.</w:t>
      </w:r>
    </w:p>
  </w:footnote>
  <w:footnote w:id="453">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sistema de alertas tempranas fue creado por el artículo 4 de la Ley 2242 de 2022 “Por la cual se crea el programa ´Estado Contigo´ para mujeres cabeza de familia, se fortalece el si</w:t>
      </w:r>
      <w:r w:rsidRPr="007C57D2">
        <w:rPr>
          <w:rFonts w:ascii="Times New Roman" w:hAnsi="Times New Roman"/>
        </w:rPr>
        <w:t xml:space="preserve">stema de información para niños, niñas y adolescentes y se dictan otras disposiciones”. Posteriormente fue modificado por el artículo 18 de la Ley 2447 de 2025 “Por medio del cual se eliminan todas las formas de uniones tempranas en las cuales uno o ambos </w:t>
      </w:r>
      <w:r w:rsidRPr="007C57D2">
        <w:rPr>
          <w:rFonts w:ascii="Times New Roman" w:hAnsi="Times New Roman"/>
        </w:rPr>
        <w:t>contrayentes o compañeros permanentes sean menores de 18 años y se fortalece la Política Pública Nacional de Infancia y Adolescencia mediante la creación del programa nacional de proyectos de vida para niños, niñas y adolescentes”; el cual fue corregido po</w:t>
      </w:r>
      <w:r w:rsidRPr="007C57D2">
        <w:rPr>
          <w:rFonts w:ascii="Times New Roman" w:hAnsi="Times New Roman"/>
        </w:rPr>
        <w:t>r el Decreto 312 de 2025 “Por el cual se corrigen unos yerros en la Ley 2447 de 2025 por medio del cual se eliminan todas las formas de uniones tempranas en las cuales uno o ambos contrayentes o compañeros permanentes sean menores de 18 años y se fortalece</w:t>
      </w:r>
      <w:r w:rsidRPr="007C57D2">
        <w:rPr>
          <w:rFonts w:ascii="Times New Roman" w:hAnsi="Times New Roman"/>
        </w:rPr>
        <w:t xml:space="preserve"> la política pública nacional de infancia y adolescencia mediante la creación del Programa Nacional de Proyectos de Vida para Niños, Niñas y Adolescentes”.</w:t>
      </w:r>
    </w:p>
  </w:footnote>
  <w:footnote w:id="454">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Artículo 4 de la Ley 2242 de 2022 (modificado por el artículo 18 de la Ley 2447 de 2025).</w:t>
      </w:r>
    </w:p>
  </w:footnote>
  <w:footnote w:id="455">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Artícu</w:t>
      </w:r>
      <w:r w:rsidRPr="007C57D2">
        <w:rPr>
          <w:rFonts w:ascii="Times New Roman" w:hAnsi="Times New Roman"/>
          <w:lang w:val="es-ES_tradnl"/>
        </w:rPr>
        <w:t>lo 4 de la Ley 2242 de 2022 (modificado por el artículo 18 de la Ley 2447 de 2025).</w:t>
      </w:r>
    </w:p>
  </w:footnote>
  <w:footnote w:id="456">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Artículo 4 de la Ley 2242 de 2022 (modificado por el artículo 18 de la Ley 2447 de 2025).</w:t>
      </w:r>
    </w:p>
  </w:footnote>
  <w:footnote w:id="45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Texto tomado de: Gaceta del Congreso n.º 907 del 17 de junio de 2024, pp. 9-11</w:t>
      </w:r>
      <w:r w:rsidRPr="007C57D2">
        <w:rPr>
          <w:rFonts w:ascii="Times New Roman" w:hAnsi="Times New Roman"/>
          <w:lang w:val="es-ES_tradnl"/>
        </w:rPr>
        <w:t>.</w:t>
      </w:r>
    </w:p>
  </w:footnote>
  <w:footnote w:id="45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Congreso de la República de Colombia, Gaceta del Congreso n.° 1439 del 10 de octubre de 2023. p 4.</w:t>
      </w:r>
    </w:p>
  </w:footnote>
  <w:footnote w:id="45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Congreso de la República de Colombia. Gaceta del Congreso n.° 1439 del 10 de octubre de 2023. p 4.</w:t>
      </w:r>
    </w:p>
  </w:footnote>
  <w:footnote w:id="46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Comité Internacional de la Cruz Roja. Di</w:t>
      </w:r>
      <w:r w:rsidRPr="007C57D2">
        <w:rPr>
          <w:rFonts w:ascii="Times New Roman" w:hAnsi="Times New Roman"/>
        </w:rPr>
        <w:t xml:space="preserve">sponible en: https://www.icrc.org/es/comunicado-de-prensa/en-colombia-cada-36-horas-desaparece-al-menos-una-persona-en-contexto-conflicto-armado-violencia </w:t>
      </w:r>
    </w:p>
  </w:footnote>
  <w:footnote w:id="46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Unidad de Búsqueda de Personas dadas por Desaparecidas. Disponible en: https://unidadbusqueda.gov.</w:t>
      </w:r>
      <w:r w:rsidRPr="007C57D2">
        <w:rPr>
          <w:rFonts w:ascii="Times New Roman" w:hAnsi="Times New Roman"/>
        </w:rPr>
        <w:t xml:space="preserve">co/actualidad/dia-internacional-manos-rojas-2025/ </w:t>
      </w:r>
    </w:p>
  </w:footnote>
  <w:footnote w:id="46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240 de la Constitución Política.</w:t>
      </w:r>
    </w:p>
  </w:footnote>
  <w:footnote w:id="46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Numeral 8 del artículo 240 de la Constitución Política.</w:t>
      </w:r>
    </w:p>
  </w:footnote>
  <w:footnote w:id="464">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Artículo 4 de la Ley 2242 de 2022 (modificado por el artículo 18 de la Ley 2447 de 2025).</w:t>
      </w:r>
    </w:p>
  </w:footnote>
  <w:footnote w:id="46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Expediente digital:</w:t>
      </w:r>
      <w:r w:rsidRPr="007C57D2">
        <w:rPr>
          <w:rFonts w:ascii="Times New Roman" w:hAnsi="Times New Roman"/>
        </w:rPr>
        <w:t xml:space="preserve"> PE-00059.</w:t>
      </w:r>
      <w:r w:rsidRPr="007C57D2">
        <w:rPr>
          <w:rFonts w:ascii="Times New Roman" w:hAnsi="Times New Roman"/>
          <w:lang w:val="es-ES"/>
        </w:rPr>
        <w:t xml:space="preserve"> Archivo: “Concepto del Viceprocurador General de la Nación”. </w:t>
      </w:r>
    </w:p>
  </w:footnote>
  <w:footnote w:id="46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Ibidem.</w:t>
      </w:r>
    </w:p>
  </w:footnote>
  <w:footnote w:id="46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Como las sentencias C-1011 de 2008 (Ley Estatutaria 1266 de 2008) y C-748 de 2011 (Ley Estatutaria 1581 de 2012).</w:t>
      </w:r>
    </w:p>
  </w:footnote>
  <w:footnote w:id="46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C-34</w:t>
      </w:r>
      <w:r w:rsidRPr="007C57D2">
        <w:rPr>
          <w:rFonts w:ascii="Times New Roman" w:hAnsi="Times New Roman"/>
          <w:lang w:val="pt-BR"/>
        </w:rPr>
        <w:t xml:space="preserve">5 de 2019. </w:t>
      </w:r>
    </w:p>
  </w:footnote>
  <w:footnote w:id="46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Corte Constitucional lo ha usado en las sentencias C-673 de 2022, C-624 de 2008, C-313 de 2013, C-601 de 2015, C-220 de 2017, C-389 de 2017 y C-355 de 2017. </w:t>
      </w:r>
    </w:p>
  </w:footnote>
  <w:footnote w:id="47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w:t>
      </w:r>
      <w:r w:rsidRPr="007C57D2">
        <w:rPr>
          <w:rFonts w:ascii="Times New Roman" w:hAnsi="Times New Roman"/>
          <w:shd w:val="clear" w:color="auto" w:fill="FFFFFF"/>
        </w:rPr>
        <w:t>C-811 de 2014, C-239 de 2014, C-240 de 2014 y</w:t>
      </w:r>
      <w:r w:rsidRPr="007C57D2">
        <w:rPr>
          <w:rFonts w:ascii="Times New Roman" w:hAnsi="Times New Roman"/>
        </w:rPr>
        <w:t xml:space="preserve"> C-038 de 2021.</w:t>
      </w:r>
    </w:p>
  </w:footnote>
  <w:footnote w:id="47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C-104 de 2016. </w:t>
      </w:r>
    </w:p>
  </w:footnote>
  <w:footnote w:id="47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w:t>
      </w:r>
    </w:p>
  </w:footnote>
  <w:footnote w:id="47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C-038 de 2021. En suma, la primera etapa, se dirige a evaluar el fin buscado por la disposición; la segunda aprecia el medio empleado y la tercer</w:t>
      </w:r>
      <w:r w:rsidRPr="007C57D2">
        <w:rPr>
          <w:rFonts w:ascii="Times New Roman" w:hAnsi="Times New Roman"/>
        </w:rPr>
        <w:t>a se ocupa de indagar por la relación entre los medios y los fines.</w:t>
      </w:r>
    </w:p>
  </w:footnote>
  <w:footnote w:id="47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concepto de los niveles de intensidad fue desarrollado por la Corte Suprema de Justicia de los Estados Unidos y fue adoptada por la Corte Constitucional. Frente al tema, se pueden ver</w:t>
      </w:r>
      <w:r w:rsidRPr="007C57D2">
        <w:rPr>
          <w:rFonts w:ascii="Times New Roman" w:hAnsi="Times New Roman"/>
        </w:rPr>
        <w:t xml:space="preserve"> sentencias como United States v. Carolene Products Company, 304 U.S. 144 (1938); Skinner v. State of Oklahoma, 316 U.S. 535 (1942); o Craig v. Boren, 429 U.S. 190 (1976). Corte Constitucional, Sentencia C-104 de 2016. </w:t>
      </w:r>
    </w:p>
  </w:footnote>
  <w:footnote w:id="47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w:t>
      </w:r>
      <w:r w:rsidRPr="007C57D2">
        <w:rPr>
          <w:rFonts w:ascii="Times New Roman" w:hAnsi="Times New Roman"/>
        </w:rPr>
        <w:t>-372 de 2019 y C-084 de 2020. Este nivel está dirigido a (i) verificar que la actividad legislativa se ejerza dentro del marco de razonabilidad; (ii) que no se adopten decisiones arbitrarias o caprichosas; (iii) asegurar que la medida que trae un trato dif</w:t>
      </w:r>
      <w:r w:rsidRPr="007C57D2">
        <w:rPr>
          <w:rFonts w:ascii="Times New Roman" w:hAnsi="Times New Roman"/>
        </w:rPr>
        <w:t>erente sea potencialmente adecuada para alcanzar una finalidad que no esté prohibida constitucionalmente; (iv) establecer si la finalidad y el medio no se encuentran prohibidos por la Constitución; (v) determinar que el medio es idóneo o adecuado para alca</w:t>
      </w:r>
      <w:r w:rsidRPr="007C57D2">
        <w:rPr>
          <w:rFonts w:ascii="Times New Roman" w:hAnsi="Times New Roman"/>
        </w:rPr>
        <w:t xml:space="preserve">nzar el objetivo propuesto; (vi) verificar que si la medida atiende a un fin u objetivo legítimo, no se trata de una distinción constitucionalmente prohibida y es adecuada para la consecución de la finalidad identificada. </w:t>
      </w:r>
    </w:p>
  </w:footnote>
  <w:footnote w:id="47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w:t>
      </w:r>
      <w:r w:rsidRPr="007C57D2">
        <w:rPr>
          <w:rFonts w:ascii="Times New Roman" w:hAnsi="Times New Roman"/>
          <w:lang w:val="pt-BR"/>
        </w:rPr>
        <w:t xml:space="preserve"> C-038 de 2021. </w:t>
      </w:r>
    </w:p>
  </w:footnote>
  <w:footnote w:id="47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C-248 de 2019, C-084 de 2020 y C-038 de 2021. </w:t>
      </w:r>
    </w:p>
  </w:footnote>
  <w:footnote w:id="47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w:t>
      </w:r>
    </w:p>
  </w:footnote>
  <w:footnote w:id="47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 su vez, cuando la medida que hace la diferenciación entre personas o grupos prima facie afecta gravemente el goce de un derecho constitucional </w:t>
      </w:r>
      <w:r w:rsidRPr="007C57D2">
        <w:rPr>
          <w:rFonts w:ascii="Times New Roman" w:hAnsi="Times New Roman"/>
        </w:rPr>
        <w:t>fundamental; asimismo, cuando se examina una medida que crea un privilegio o cuando el trato desigual se funda en rasgos permanentes de las personas, de las cuales éstas no pueden prescindir por voluntad propia, a riesgo de perder su identidad. Son caracte</w:t>
      </w:r>
      <w:r w:rsidRPr="007C57D2">
        <w:rPr>
          <w:rFonts w:ascii="Times New Roman" w:hAnsi="Times New Roman"/>
        </w:rPr>
        <w:t>rísticas que han estado sometidas, históricamente, a patrones de valoración cultural que tienden a menospreciarlas; y no constituyen, per se, criterios con base en los cuales sea posible efectuar una distribución o reparto racionales y equitativos de biene</w:t>
      </w:r>
      <w:r w:rsidRPr="007C57D2">
        <w:rPr>
          <w:rFonts w:ascii="Times New Roman" w:hAnsi="Times New Roman"/>
        </w:rPr>
        <w:t xml:space="preserve">s, derechos o cargas sociales. Corte Constitucional, Sentencia C-038 de 2021. </w:t>
      </w:r>
    </w:p>
  </w:footnote>
  <w:footnote w:id="48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“Para la Corte, el escrutinio estricto o fuerte se aplica “1) cuando está de por medio una clasificación sospechosa como las enumeradas en forma no taxativa a manera de prohib</w:t>
      </w:r>
      <w:r w:rsidRPr="007C57D2">
        <w:rPr>
          <w:rFonts w:ascii="Times New Roman" w:hAnsi="Times New Roman"/>
        </w:rPr>
        <w:t>iciones de discriminación en el inciso 1º del artículo 13 de la Constitución; 2) cuando la medida recae principalmente en personas en condiciones de debilidad manifiesta, grupos marginados o discriminados, sectores sin acceso efectivo a la toma de decision</w:t>
      </w:r>
      <w:r w:rsidRPr="007C57D2">
        <w:rPr>
          <w:rFonts w:ascii="Times New Roman" w:hAnsi="Times New Roman"/>
        </w:rPr>
        <w:t>es o minorías insulares y discretas; 3) cuando la medida que hace la diferenciación entre personas o grupos prima facie afecta gravemente el goce de un derecho constitucional fundamental; 4) cuando se examina una medida que crea un privilegio”. Corte Const</w:t>
      </w:r>
      <w:r w:rsidRPr="007C57D2">
        <w:rPr>
          <w:rFonts w:ascii="Times New Roman" w:hAnsi="Times New Roman"/>
        </w:rPr>
        <w:t>itucional, Sentencia C-673 de 2001; citada en la Sentencia C-084 de 2020.</w:t>
      </w:r>
    </w:p>
  </w:footnote>
  <w:footnote w:id="481">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Corte Constitucional, sentencias T-415 y T-727 de 1998, C-092 de 2002, C-740 de 2008, entre otras. </w:t>
      </w:r>
    </w:p>
  </w:footnote>
  <w:footnote w:id="48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C-092 de 2002. </w:t>
      </w:r>
    </w:p>
  </w:footnote>
  <w:footnote w:id="48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C-740 de 2008. </w:t>
      </w:r>
    </w:p>
  </w:footnote>
  <w:footnote w:id="484">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C-093 de 2001. </w:t>
      </w:r>
    </w:p>
  </w:footnote>
  <w:footnote w:id="48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Ibidem. </w:t>
      </w:r>
    </w:p>
  </w:footnote>
  <w:footnote w:id="48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sentencias C-093 de 2001 y C-053 de 2023. </w:t>
      </w:r>
    </w:p>
  </w:footnote>
  <w:footnote w:id="48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C-093 de 2001. </w:t>
      </w:r>
    </w:p>
  </w:footnote>
  <w:footnote w:id="48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Ibidem. </w:t>
      </w:r>
    </w:p>
  </w:footnote>
  <w:footnote w:id="48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pt-BR"/>
        </w:rPr>
        <w:t xml:space="preserve"> Corte Constituci</w:t>
      </w:r>
      <w:r w:rsidRPr="007C57D2">
        <w:rPr>
          <w:rFonts w:ascii="Times New Roman" w:hAnsi="Times New Roman"/>
          <w:lang w:val="pt-BR"/>
        </w:rPr>
        <w:t>onal, Sentencia C-09</w:t>
      </w:r>
      <w:r w:rsidRPr="007C57D2">
        <w:rPr>
          <w:rFonts w:ascii="Times New Roman" w:hAnsi="Times New Roman"/>
          <w:lang w:val="pt-BR"/>
        </w:rPr>
        <w:t>3</w:t>
      </w:r>
      <w:r w:rsidRPr="007C57D2">
        <w:rPr>
          <w:rFonts w:ascii="Times New Roman" w:hAnsi="Times New Roman"/>
          <w:lang w:val="pt-BR"/>
        </w:rPr>
        <w:t xml:space="preserve"> de 2001. </w:t>
      </w:r>
      <w:r w:rsidRPr="007C57D2">
        <w:rPr>
          <w:rFonts w:ascii="Times New Roman" w:hAnsi="Times New Roman"/>
        </w:rPr>
        <w:t xml:space="preserve">Postura reiterada en la Sentencia C-131 de 2014. </w:t>
      </w:r>
    </w:p>
  </w:footnote>
  <w:footnote w:id="490">
    <w:p w:rsidR="006E3430" w:rsidRPr="007C57D2" w:rsidRDefault="007C57D2" w:rsidP="004C64A7">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rPr>
        <w:t xml:space="preserve"> En un caso de tutela, la Corte Constitucional concluyó lo siguiente respecto de adultos mayores de 55 años que querían adoptar un menor de edad: “la Sala puede concluir que </w:t>
      </w:r>
      <w:r w:rsidRPr="007C57D2">
        <w:rPr>
          <w:rFonts w:ascii="Times New Roman" w:hAnsi="Times New Roman"/>
        </w:rPr>
        <w:t>el establecimiento de una edad límite a partir de la cual no se puede realizar una determinada actividad no es una categoría prohibida o “sospechosa”, ni tampoco puramente neutral, sino que se sitúa entre estos dos extremos. La Sala reitera entonces la tes</w:t>
      </w:r>
      <w:r w:rsidRPr="007C57D2">
        <w:rPr>
          <w:rFonts w:ascii="Times New Roman" w:hAnsi="Times New Roman"/>
        </w:rPr>
        <w:t xml:space="preserve">is establecida en la </w:t>
      </w:r>
      <w:r w:rsidRPr="007C57D2">
        <w:rPr>
          <w:rFonts w:ascii="Times New Roman" w:hAnsi="Times New Roman"/>
        </w:rPr>
        <w:t>S</w:t>
      </w:r>
      <w:r w:rsidRPr="007C57D2">
        <w:rPr>
          <w:rFonts w:ascii="Times New Roman" w:hAnsi="Times New Roman"/>
        </w:rPr>
        <w:t>entencia C-093 de 2001, según la cual la edad conformaría un criterio “semisospechoso” de diferenciación, de suerte que toda distinción que se funde en esa pauta debería estar sometida a un juicio intermedio de igualdad. (…) 23. De lo</w:t>
      </w:r>
      <w:r w:rsidRPr="007C57D2">
        <w:rPr>
          <w:rFonts w:ascii="Times New Roman" w:hAnsi="Times New Roman"/>
        </w:rPr>
        <w:t xml:space="preserve"> dicho anteriormente, esta Sala concluye que la entidad acusada no vulneró ningún derecho fundamental, pues su actuación se llevó a cabo dentro del margen de apreciación que ostenta como autoridad encargada del tema, apoyada en conceptos científicos. Así, </w:t>
      </w:r>
      <w:r w:rsidRPr="007C57D2">
        <w:rPr>
          <w:rFonts w:ascii="Times New Roman" w:hAnsi="Times New Roman"/>
        </w:rPr>
        <w:t>la medida que se tomó, partiendo esencialmente del criterio de edad para negar la solicitud de adopción de la pareja demandante, perseguía un fin legítimo y constitucionalmente importante, como lo es la protección de los derechos de un menor abandonado a t</w:t>
      </w:r>
      <w:r w:rsidRPr="007C57D2">
        <w:rPr>
          <w:rFonts w:ascii="Times New Roman" w:hAnsi="Times New Roman"/>
        </w:rPr>
        <w:t>ravés de la búsqueda de un hogar adecuado por medio de la adopción. El ICBF se valió de un medio adecuado y efectivamente conducente como lo fue denegar la solicitud de adopción para evitar que el niño fuera educado en un ambiente inadecuado para él debido</w:t>
      </w:r>
      <w:r w:rsidRPr="007C57D2">
        <w:rPr>
          <w:rFonts w:ascii="Times New Roman" w:hAnsi="Times New Roman"/>
        </w:rPr>
        <w:t xml:space="preserve"> a la gran diferencia de edades (más de 55 años). Tal medida fue proporcional ya que el sacrificio impuesto no implica la restricción de un fin de mayor jerarquía al que se intenta proteger, pues la decisión del ICBF protege los derechos fundamentales del </w:t>
      </w:r>
      <w:r w:rsidRPr="007C57D2">
        <w:rPr>
          <w:rFonts w:ascii="Times New Roman" w:hAnsi="Times New Roman"/>
        </w:rPr>
        <w:t xml:space="preserve">menor negando la posibilidad de adoptar de la pareja actora, por tanto prima la protección de los derechos del menor sobre la expectativa de la pareja.” </w:t>
      </w:r>
      <w:r w:rsidRPr="007C57D2">
        <w:rPr>
          <w:rFonts w:ascii="Times New Roman" w:hAnsi="Times New Roman"/>
          <w:lang w:val="pt-BR"/>
        </w:rPr>
        <w:t xml:space="preserve">(Corte Constitucional, Sentencia T-306 de 2002). </w:t>
      </w:r>
    </w:p>
  </w:footnote>
  <w:footnote w:id="491">
    <w:p w:rsidR="00A917F0"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C-345 de 2019 </w:t>
      </w:r>
    </w:p>
  </w:footnote>
  <w:footnote w:id="492">
    <w:p w:rsidR="00336E4D"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C-084 de 2020. </w:t>
      </w:r>
      <w:r w:rsidRPr="007C57D2">
        <w:rPr>
          <w:rFonts w:ascii="Times New Roman" w:hAnsi="Times New Roman"/>
        </w:rPr>
        <w:t xml:space="preserve">En la </w:t>
      </w:r>
      <w:r w:rsidRPr="007C57D2">
        <w:rPr>
          <w:rFonts w:ascii="Times New Roman" w:hAnsi="Times New Roman"/>
        </w:rPr>
        <w:t>S</w:t>
      </w:r>
      <w:r w:rsidRPr="007C57D2">
        <w:rPr>
          <w:rFonts w:ascii="Times New Roman" w:hAnsi="Times New Roman"/>
        </w:rPr>
        <w:t xml:space="preserve">entencia C-345 de 2019 </w:t>
      </w:r>
      <w:r w:rsidRPr="007C57D2">
        <w:rPr>
          <w:rFonts w:ascii="Times New Roman" w:hAnsi="Times New Roman"/>
        </w:rPr>
        <w:t xml:space="preserve">se concluyó que según algunas sentencias de la Corte Constitucional, </w:t>
      </w:r>
      <w:r w:rsidRPr="007C57D2">
        <w:rPr>
          <w:rFonts w:ascii="Times New Roman" w:hAnsi="Times New Roman"/>
        </w:rPr>
        <w:t>“en el juicio integrado de igualdad de intensidad leve, la finalidad buscada por la norma que contiene u</w:t>
      </w:r>
      <w:r w:rsidRPr="007C57D2">
        <w:rPr>
          <w:rFonts w:ascii="Times New Roman" w:hAnsi="Times New Roman"/>
        </w:rPr>
        <w:t>n trato desigual </w:t>
      </w:r>
      <w:r w:rsidRPr="007C57D2">
        <w:rPr>
          <w:rFonts w:ascii="Times New Roman" w:hAnsi="Times New Roman"/>
          <w:i/>
          <w:iCs/>
        </w:rPr>
        <w:t>no puede estar constitucionalmente prohibida</w:t>
      </w:r>
      <w:r w:rsidRPr="007C57D2">
        <w:rPr>
          <w:rFonts w:ascii="Times New Roman" w:hAnsi="Times New Roman"/>
        </w:rPr>
        <w:t> y el medio para lograr dicho fin, además de que tampoco puede estar constitucionalmente prohibido, debe ser </w:t>
      </w:r>
      <w:r w:rsidRPr="007C57D2">
        <w:rPr>
          <w:rFonts w:ascii="Times New Roman" w:hAnsi="Times New Roman"/>
          <w:i/>
          <w:iCs/>
        </w:rPr>
        <w:t>adecuado</w:t>
      </w:r>
      <w:r w:rsidRPr="007C57D2">
        <w:rPr>
          <w:rFonts w:ascii="Times New Roman" w:hAnsi="Times New Roman"/>
        </w:rPr>
        <w:t> o </w:t>
      </w:r>
      <w:r w:rsidRPr="007C57D2">
        <w:rPr>
          <w:rFonts w:ascii="Times New Roman" w:hAnsi="Times New Roman"/>
          <w:i/>
          <w:iCs/>
        </w:rPr>
        <w:t>idóneo</w:t>
      </w:r>
      <w:r w:rsidRPr="007C57D2">
        <w:rPr>
          <w:rFonts w:ascii="Times New Roman" w:hAnsi="Times New Roman"/>
        </w:rPr>
        <w:t> para la consecución del propósito perseguido. En el juicio integrado</w:t>
      </w:r>
      <w:r w:rsidRPr="007C57D2">
        <w:rPr>
          <w:rFonts w:ascii="Times New Roman" w:hAnsi="Times New Roman"/>
        </w:rPr>
        <w:t xml:space="preserve"> de igualdad de intensidad intermedia, por su parte, el análisis es un poco más riguroso porque no basta con que el fin </w:t>
      </w:r>
      <w:r w:rsidRPr="007C57D2">
        <w:rPr>
          <w:rFonts w:ascii="Times New Roman" w:hAnsi="Times New Roman"/>
          <w:i/>
          <w:iCs/>
        </w:rPr>
        <w:t>no esté constitucionalmente prohibido</w:t>
      </w:r>
      <w:r w:rsidRPr="007C57D2">
        <w:rPr>
          <w:rFonts w:ascii="Times New Roman" w:hAnsi="Times New Roman"/>
        </w:rPr>
        <w:t>, sino que también debe ser </w:t>
      </w:r>
      <w:r w:rsidRPr="007C57D2">
        <w:rPr>
          <w:rFonts w:ascii="Times New Roman" w:hAnsi="Times New Roman"/>
          <w:i/>
          <w:iCs/>
        </w:rPr>
        <w:t>importante</w:t>
      </w:r>
      <w:r w:rsidRPr="007C57D2">
        <w:rPr>
          <w:rFonts w:ascii="Times New Roman" w:hAnsi="Times New Roman"/>
        </w:rPr>
        <w:t>, además que el medio no puede estar constitucionalmente proh</w:t>
      </w:r>
      <w:r w:rsidRPr="007C57D2">
        <w:rPr>
          <w:rFonts w:ascii="Times New Roman" w:hAnsi="Times New Roman"/>
        </w:rPr>
        <w:t>ibido y debe ser </w:t>
      </w:r>
      <w:r w:rsidRPr="007C57D2">
        <w:rPr>
          <w:rFonts w:ascii="Times New Roman" w:hAnsi="Times New Roman"/>
          <w:i/>
          <w:iCs/>
        </w:rPr>
        <w:t>efectivamente conducente</w:t>
      </w:r>
      <w:r w:rsidRPr="007C57D2">
        <w:rPr>
          <w:rFonts w:ascii="Times New Roman" w:hAnsi="Times New Roman"/>
        </w:rPr>
        <w:t> para el logro del fin. Por último, en el juicio integrado de igualdad de intensidad estricta, el estudio es mucho más robusto porque el fin no puede estar constitucionalmente prohibido, pero también debe ser </w:t>
      </w:r>
      <w:r w:rsidRPr="007C57D2">
        <w:rPr>
          <w:rFonts w:ascii="Times New Roman" w:hAnsi="Times New Roman"/>
          <w:i/>
          <w:iCs/>
        </w:rPr>
        <w:t>imperi</w:t>
      </w:r>
      <w:r w:rsidRPr="007C57D2">
        <w:rPr>
          <w:rFonts w:ascii="Times New Roman" w:hAnsi="Times New Roman"/>
          <w:i/>
          <w:iCs/>
        </w:rPr>
        <w:t>oso</w:t>
      </w:r>
      <w:r w:rsidRPr="007C57D2">
        <w:rPr>
          <w:rFonts w:ascii="Times New Roman" w:hAnsi="Times New Roman"/>
        </w:rPr>
        <w:t> y el medio tampoco puede estar constitucionalmente prohibido y debe ser </w:t>
      </w:r>
      <w:r w:rsidRPr="007C57D2">
        <w:rPr>
          <w:rFonts w:ascii="Times New Roman" w:hAnsi="Times New Roman"/>
          <w:i/>
          <w:iCs/>
        </w:rPr>
        <w:t>efectivamente conducente</w:t>
      </w:r>
      <w:r w:rsidRPr="007C57D2">
        <w:rPr>
          <w:rFonts w:ascii="Times New Roman" w:hAnsi="Times New Roman"/>
        </w:rPr>
        <w:t> y </w:t>
      </w:r>
      <w:r w:rsidRPr="007C57D2">
        <w:rPr>
          <w:rFonts w:ascii="Times New Roman" w:hAnsi="Times New Roman"/>
          <w:i/>
          <w:iCs/>
        </w:rPr>
        <w:t>necesario</w:t>
      </w:r>
      <w:r w:rsidRPr="007C57D2">
        <w:rPr>
          <w:rFonts w:ascii="Times New Roman" w:hAnsi="Times New Roman"/>
        </w:rPr>
        <w:t xml:space="preserve"> para el logro de la finalidad perseguida por la norma.” (num 15). </w:t>
      </w:r>
    </w:p>
    <w:p w:rsidR="001E19D5" w:rsidRPr="007C57D2" w:rsidRDefault="007C57D2" w:rsidP="00F543B3">
      <w:pPr>
        <w:pStyle w:val="Textonotapie"/>
        <w:jc w:val="both"/>
        <w:rPr>
          <w:rFonts w:ascii="Times New Roman" w:hAnsi="Times New Roman"/>
        </w:rPr>
      </w:pPr>
    </w:p>
  </w:footnote>
  <w:footnote w:id="49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 de la Resolución n.° 6141 de 2021 de la CRC.</w:t>
      </w:r>
    </w:p>
  </w:footnote>
  <w:footnote w:id="494">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“Por medio de la cual se adopta la alerta rosa y otras medidas de prevención, protección y reparación para las niñas, niños, jóvenes, adolescentes y mujeres víctimas de desaparición”.</w:t>
      </w:r>
    </w:p>
  </w:footnote>
  <w:footnote w:id="49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Numeral 1 del artículo 2.2.2.8.1.6. del Decreto 1428 de 2024.</w:t>
      </w:r>
    </w:p>
  </w:footnote>
  <w:footnote w:id="496">
    <w:p w:rsidR="000F0E49"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Al respecto, se pueden consultar, entre otras, las sentencias C-325 de 2009, C-754 de 2015, C-172 de 2017, C-112 de 2019, C-552 de 2019, C-282 de 2021 y C-331 de 2022.</w:t>
      </w:r>
    </w:p>
  </w:footnote>
  <w:footnote w:id="497">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Corte Constitucional, Sentencia C-325 de 2009; reiterada en la Sentencia C-282 de 202</w:t>
      </w:r>
      <w:r w:rsidRPr="007C57D2">
        <w:rPr>
          <w:rFonts w:ascii="Times New Roman" w:hAnsi="Times New Roman"/>
          <w:lang w:val="es-ES_tradnl"/>
        </w:rPr>
        <w:t>1.</w:t>
      </w:r>
    </w:p>
  </w:footnote>
  <w:footnote w:id="498">
    <w:p w:rsidR="00B5215A"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El PLE también se utiliza el término “desaparición” (Art 4, Literal -h- y art 6, -parágrafo 2-).</w:t>
      </w:r>
    </w:p>
  </w:footnote>
  <w:footnote w:id="499">
    <w:p w:rsidR="00B5215A" w:rsidRPr="007C57D2" w:rsidRDefault="007C57D2" w:rsidP="004C64A7">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1°. Objeto</w:t>
      </w:r>
      <w:r w:rsidRPr="007C57D2">
        <w:rPr>
          <w:rFonts w:ascii="Times New Roman" w:hAnsi="Times New Roman"/>
          <w:b/>
          <w:bCs/>
        </w:rPr>
        <w:t xml:space="preserve">. </w:t>
      </w:r>
      <w:r w:rsidRPr="007C57D2">
        <w:rPr>
          <w:rFonts w:ascii="Times New Roman" w:hAnsi="Times New Roman"/>
        </w:rPr>
        <w:t>La presente ley tiene como objeto crear y reglamentar la Alerta Colombia como un sistema que incorpora una herramienta ágil de difu</w:t>
      </w:r>
      <w:r w:rsidRPr="007C57D2">
        <w:rPr>
          <w:rFonts w:ascii="Times New Roman" w:hAnsi="Times New Roman"/>
        </w:rPr>
        <w:t>sión de información de niños y niñas que se encuentren extraviados en el territorio colombiano, con el objetivo de lograr la búsqueda, localización y recuperación inmediata de estos.</w:t>
      </w:r>
    </w:p>
  </w:footnote>
  <w:footnote w:id="500">
    <w:p w:rsidR="00B5215A"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2°. Definiciones.</w:t>
      </w:r>
      <w:r w:rsidRPr="007C57D2">
        <w:rPr>
          <w:rFonts w:ascii="Times New Roman" w:hAnsi="Times New Roman"/>
          <w:b/>
          <w:bCs/>
        </w:rPr>
        <w:t xml:space="preserve"> </w:t>
      </w:r>
      <w:r w:rsidRPr="007C57D2">
        <w:rPr>
          <w:rFonts w:ascii="Times New Roman" w:hAnsi="Times New Roman"/>
        </w:rPr>
        <w:t>Para los efectos de la presente ley, entiénd</w:t>
      </w:r>
      <w:r w:rsidRPr="007C57D2">
        <w:rPr>
          <w:rFonts w:ascii="Times New Roman" w:hAnsi="Times New Roman"/>
        </w:rPr>
        <w:t>ase por:</w:t>
      </w:r>
    </w:p>
    <w:p w:rsidR="00B5215A" w:rsidRPr="007C57D2" w:rsidRDefault="007C57D2" w:rsidP="00F543B3">
      <w:pPr>
        <w:pStyle w:val="Textonotapie"/>
        <w:jc w:val="both"/>
        <w:rPr>
          <w:rFonts w:ascii="Times New Roman" w:hAnsi="Times New Roman"/>
        </w:rPr>
      </w:pPr>
      <w:r w:rsidRPr="007C57D2">
        <w:rPr>
          <w:rFonts w:ascii="Times New Roman" w:hAnsi="Times New Roman"/>
        </w:rPr>
        <w:t>a. Niños y niñas extraviadas:</w:t>
      </w:r>
      <w:r w:rsidRPr="007C57D2">
        <w:rPr>
          <w:rFonts w:ascii="Times New Roman" w:hAnsi="Times New Roman"/>
          <w:b/>
          <w:bCs/>
        </w:rPr>
        <w:t xml:space="preserve"> </w:t>
      </w:r>
      <w:r w:rsidRPr="007C57D2">
        <w:rPr>
          <w:rFonts w:ascii="Times New Roman" w:hAnsi="Times New Roman"/>
        </w:rPr>
        <w:t>Son todas las personas entre los 0 y 12 años que salen o son extraídas de su domicilio, residencia, establecimiento educativo u otro lugar y no pueden retornar al mismo o a su hogar, y su familia o núcleo cercano no p</w:t>
      </w:r>
      <w:r w:rsidRPr="007C57D2">
        <w:rPr>
          <w:rFonts w:ascii="Times New Roman" w:hAnsi="Times New Roman"/>
        </w:rPr>
        <w:t>uede ubicarlas.</w:t>
      </w:r>
    </w:p>
  </w:footnote>
  <w:footnote w:id="501">
    <w:p w:rsidR="00B5215A"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2 literal a) del PLE.</w:t>
      </w:r>
    </w:p>
  </w:footnote>
  <w:footnote w:id="502">
    <w:p w:rsidR="00B5215A" w:rsidRPr="007C57D2" w:rsidRDefault="007C57D2" w:rsidP="004C64A7">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Mediante la Ley 589 de 2000 se tipificó el delito de desaparición forzada en los siguientes términos: Artículo 1 “El Código Penal tendrá unos nuevos artículos del siguiente tenor: Artículo 268A. DESAP</w:t>
      </w:r>
      <w:r w:rsidRPr="007C57D2">
        <w:rPr>
          <w:rFonts w:ascii="Times New Roman" w:hAnsi="Times New Roman"/>
        </w:rPr>
        <w:t>ARICIÓN FORZADA. El particular que perteneciendo a un grupo armado al margen de la ley someta a otra persona a privación de su libertad cualquiera que sea la forma, seguida de su ocultamiento y de la negativa a reconocer dicha privación o de dar informació</w:t>
      </w:r>
      <w:r w:rsidRPr="007C57D2">
        <w:rPr>
          <w:rFonts w:ascii="Times New Roman" w:hAnsi="Times New Roman"/>
        </w:rPr>
        <w:t>n sobre su paradero, sustrayéndola del amparo de la ley, incurrirá en prisión de veinticinco (25) a cuarenta (40) años, multa de quinientos (500) a dos mil (2.000) salarios mínimos legales vigentes y en interdicción de derechos y funciones públicas de cinc</w:t>
      </w:r>
      <w:r w:rsidRPr="007C57D2">
        <w:rPr>
          <w:rFonts w:ascii="Times New Roman" w:hAnsi="Times New Roman"/>
        </w:rPr>
        <w:t>o (5) a diez (10) años.”</w:t>
      </w:r>
    </w:p>
  </w:footnote>
  <w:footnote w:id="503">
    <w:p w:rsidR="00B5215A" w:rsidRPr="007C57D2" w:rsidRDefault="007C57D2" w:rsidP="004C64A7">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Ley 971 de 2005, por su parte, creó el “mecanismo de búsqueda urgente es un mecanismo público tutelar de la libertad y la integridad personales y de los demás derechos y garantías que se consagran en favor de las personas que</w:t>
      </w:r>
      <w:r w:rsidRPr="007C57D2">
        <w:rPr>
          <w:rFonts w:ascii="Times New Roman" w:hAnsi="Times New Roman"/>
        </w:rPr>
        <w:t xml:space="preserve"> se presume han sido desaparecidas. Tiene por objeto que las autoridades judiciales realicen, en forma inmediata, todas las diligencias necesarias tendientes a su localización, como mecanismo efectivo para prevenir la comisión del delito de desaparición fo</w:t>
      </w:r>
      <w:r w:rsidRPr="007C57D2">
        <w:rPr>
          <w:rFonts w:ascii="Times New Roman" w:hAnsi="Times New Roman"/>
        </w:rPr>
        <w:t>rzada” (Artículo 1 de la Ley 971 de 2005 “Por medio de la cual se reglamenta el mecanismo de búsqueda urgente y se dictan otras disposiciones”)</w:t>
      </w:r>
    </w:p>
  </w:footnote>
  <w:footnote w:id="504">
    <w:p w:rsidR="00B5215A" w:rsidRPr="007C57D2" w:rsidRDefault="007C57D2" w:rsidP="004C64A7">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Ley 1531 de  2012 por medio de la cual se crea la Acción de Declaración de Ausencia por Desaparición Forzad</w:t>
      </w:r>
      <w:r w:rsidRPr="007C57D2">
        <w:rPr>
          <w:rFonts w:ascii="Times New Roman" w:hAnsi="Times New Roman"/>
        </w:rPr>
        <w:t xml:space="preserve">a y otras formas de desaparición involuntaria y sus efectos civiles crea “la acción de la Declaración de Ausencia por desaparición forzada y otras formas de desaparición involuntaria, entendiendo esta, como la situación jurídica de las personas de quienes </w:t>
      </w:r>
      <w:r w:rsidRPr="007C57D2">
        <w:rPr>
          <w:rFonts w:ascii="Times New Roman" w:hAnsi="Times New Roman"/>
        </w:rPr>
        <w:t>no se tenga noticia de su paradero y no hubieren sido halladas vivas, ni muertas”</w:t>
      </w:r>
    </w:p>
  </w:footnote>
  <w:footnote w:id="505">
    <w:p w:rsidR="00B5215A" w:rsidRPr="007C57D2" w:rsidRDefault="007C57D2" w:rsidP="004C64A7">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artículo 2 de la Convención Interamericana sobre Desaparición Forzada de Personas señala que “Para los efectos de la presente Convención, se considera desaparición forza</w:t>
      </w:r>
      <w:r w:rsidRPr="007C57D2">
        <w:rPr>
          <w:rFonts w:ascii="Times New Roman" w:hAnsi="Times New Roman"/>
        </w:rPr>
        <w:t>da la privación de la libertad a una o más personas, cualquiera que fuere su forma, cometida por agentes del Estado o por personas o grupos de personas que actúen con la autorización, el apoyo o la aquiescencia del Estado, seguida de la falta de informació</w:t>
      </w:r>
      <w:r w:rsidRPr="007C57D2">
        <w:rPr>
          <w:rFonts w:ascii="Times New Roman" w:hAnsi="Times New Roman"/>
        </w:rPr>
        <w:t>n o de la negativa a reconocer dicha privación de libertad o de informar sobre el paradero de la persona, con lo cual se impide el ejercicio de los recursos legales y de las garantías procesales pertinentes.”. La citada Convención fue aprobada por la Ley 7</w:t>
      </w:r>
      <w:r w:rsidRPr="007C57D2">
        <w:rPr>
          <w:rFonts w:ascii="Times New Roman" w:hAnsi="Times New Roman"/>
        </w:rPr>
        <w:t>07 de 2001 por medio de la cual se aprueba la "Convención Interamericana sobre Desaparición Forzada de Personas", hecha en Belém do Pará, el nueve (9) de junio de mil novecientos noventa y cuatro (1994).</w:t>
      </w:r>
    </w:p>
  </w:footnote>
  <w:footnote w:id="50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literal b) del artículo 2 de PLE señala que “los padres, representantes legales, quien ostente la custodia o cuidadores, familiares del niño o niña representantes legales o el Instituto Colombiano de Bienestar Familiar deberán realizar el debido report</w:t>
      </w:r>
      <w:r w:rsidRPr="007C57D2">
        <w:rPr>
          <w:rFonts w:ascii="Times New Roman" w:hAnsi="Times New Roman"/>
        </w:rPr>
        <w:t>e de forma inmediata a través de cualquiera de los medios digitales disponibles, o de manera presencial cuando no se tenga acceso a servicios tecnológicos”.</w:t>
      </w:r>
    </w:p>
  </w:footnote>
  <w:footnote w:id="50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El literal c) del artículo 2 del PLE establece que “Alerta Colombia” es una </w:t>
      </w:r>
      <w:r w:rsidRPr="007C57D2">
        <w:rPr>
          <w:rFonts w:ascii="Times New Roman" w:hAnsi="Times New Roman"/>
        </w:rPr>
        <w:t>“herramienta de difus</w:t>
      </w:r>
      <w:r w:rsidRPr="007C57D2">
        <w:rPr>
          <w:rFonts w:ascii="Times New Roman" w:hAnsi="Times New Roman"/>
        </w:rPr>
        <w:t>ión de información de los datos de niños y niñas extraviados para alertar, a través de los proveedores de redes y servicios de telecomunicaciones móviles de forma gratuita y cualquier canal o medio tecnológico que sirva para la difusión masiva a las autori</w:t>
      </w:r>
      <w:r w:rsidRPr="007C57D2">
        <w:rPr>
          <w:rFonts w:ascii="Times New Roman" w:hAnsi="Times New Roman"/>
        </w:rPr>
        <w:t>dades y a la ciudadanía sobre los niños y niñas extraviados, con el fin de activar mecanismos de búsqueda, localización y recuperación de éstos de forma inmediata”.</w:t>
      </w:r>
    </w:p>
  </w:footnote>
  <w:footnote w:id="50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literal d) define datos biométricos como “aquellos datos sensibles que permiten indivi</w:t>
      </w:r>
      <w:r w:rsidRPr="007C57D2">
        <w:rPr>
          <w:rFonts w:ascii="Times New Roman" w:hAnsi="Times New Roman"/>
        </w:rPr>
        <w:t>dualizar a una persona natural a través del reconocimiento de una característica física intransferible que la distingue de otra persona como lo son el reconocimiento facial a través de fotografías, entre otros”.</w:t>
      </w:r>
    </w:p>
  </w:footnote>
  <w:footnote w:id="50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Según el literal e) del artículo 2 del PLE</w:t>
      </w:r>
      <w:r w:rsidRPr="007C57D2">
        <w:rPr>
          <w:rFonts w:ascii="Times New Roman" w:hAnsi="Times New Roman"/>
          <w:lang w:val="es-ES_tradnl"/>
        </w:rPr>
        <w:t xml:space="preserve"> los datos personales hacen referencia a “</w:t>
      </w:r>
      <w:r w:rsidRPr="007C57D2">
        <w:rPr>
          <w:rFonts w:ascii="Times New Roman" w:hAnsi="Times New Roman"/>
        </w:rPr>
        <w:t>cualquier información vinculada o que pueda asociarse a una o varias personas naturales determinadas o determinables”.</w:t>
      </w:r>
    </w:p>
  </w:footnote>
  <w:footnote w:id="510">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Definido en el literal f) del artículo 2 del PLE como “</w:t>
      </w:r>
      <w:r w:rsidRPr="007C57D2">
        <w:rPr>
          <w:rFonts w:ascii="Times New Roman" w:hAnsi="Times New Roman"/>
        </w:rPr>
        <w:t>el documento escrito que debe ser radi</w:t>
      </w:r>
      <w:r w:rsidRPr="007C57D2">
        <w:rPr>
          <w:rFonts w:ascii="Times New Roman" w:hAnsi="Times New Roman"/>
        </w:rPr>
        <w:t xml:space="preserve">cado en físico o cargado a la plataforma virtual dispuesta por el Instituto Colombiano de Bienestar Familiar y de manera física a la Policía Nacional, donde cualquiera de los padres, representantes legales, quien ostente la custodia o cuidadores autoricen </w:t>
      </w:r>
      <w:r w:rsidRPr="007C57D2">
        <w:rPr>
          <w:rFonts w:ascii="Times New Roman" w:hAnsi="Times New Roman"/>
        </w:rPr>
        <w:t>y consientan la divulgación y el tratamiento de los datos biométricos y personales de los niños y niñas, en aras de activar la Alerta Colombia”.</w:t>
      </w:r>
    </w:p>
  </w:footnote>
  <w:footnote w:id="511">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Se refiere al “documento por el cual se establece el consentimiento informado de los padres, tutores o repres</w:t>
      </w:r>
      <w:r w:rsidRPr="007C57D2">
        <w:rPr>
          <w:rFonts w:ascii="Times New Roman" w:hAnsi="Times New Roman"/>
        </w:rPr>
        <w:t>entantes legales, Instituto Colombiano de Bienestar Familiar, para el tratamiento de los datos biométricos y personales de los niños y niñas, garantizando así su protección y el respeto a sus derechos fundamentales”. Artículo 2 literal</w:t>
      </w:r>
      <w:r w:rsidRPr="007C57D2">
        <w:rPr>
          <w:rFonts w:ascii="Times New Roman" w:hAnsi="Times New Roman"/>
          <w:lang w:val="es-ES_tradnl"/>
        </w:rPr>
        <w:t xml:space="preserve"> g) del PLE.</w:t>
      </w:r>
    </w:p>
  </w:footnote>
  <w:footnote w:id="512">
    <w:p w:rsidR="00CC0E47"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Artícu</w:t>
      </w:r>
      <w:r w:rsidRPr="007C57D2">
        <w:rPr>
          <w:rFonts w:ascii="Times New Roman" w:hAnsi="Times New Roman"/>
        </w:rPr>
        <w:t>lo 2 de la Ley Estatutaria 1581 de 2012.</w:t>
      </w:r>
    </w:p>
  </w:footnote>
  <w:footnote w:id="513">
    <w:p w:rsidR="00EF7AED"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Esto es coherente con las </w:t>
      </w:r>
      <w:r w:rsidRPr="007C57D2">
        <w:rPr>
          <w:rFonts w:ascii="Times New Roman" w:hAnsi="Times New Roman"/>
          <w:lang w:val="es-ES"/>
        </w:rPr>
        <w:t>definiciones y los equivalentes funcionales señalados en las leyes 527 de 1999</w:t>
      </w:r>
      <w:r w:rsidRPr="007C57D2">
        <w:rPr>
          <w:rFonts w:ascii="Times New Roman" w:hAnsi="Times New Roman"/>
          <w:vertAlign w:val="superscript"/>
          <w:lang w:val="es-ES"/>
        </w:rPr>
        <w:t xml:space="preserve"> </w:t>
      </w:r>
      <w:r w:rsidRPr="007C57D2">
        <w:rPr>
          <w:rFonts w:ascii="Times New Roman" w:hAnsi="Times New Roman"/>
          <w:lang w:val="es-ES"/>
        </w:rPr>
        <w:t xml:space="preserve">y otras normas pertinentes según las cuales un mensaje de datos jurídicamente equivale a un documento físico (escrito) y un documento electrónico. </w:t>
      </w:r>
    </w:p>
    <w:p w:rsidR="00EF7AED" w:rsidRPr="007C57D2" w:rsidRDefault="007C57D2" w:rsidP="00F543B3">
      <w:pPr>
        <w:pStyle w:val="Textonotapie"/>
        <w:jc w:val="both"/>
        <w:rPr>
          <w:rFonts w:ascii="Times New Roman" w:hAnsi="Times New Roman"/>
        </w:rPr>
      </w:pPr>
      <w:r w:rsidRPr="007C57D2">
        <w:rPr>
          <w:rFonts w:ascii="Times New Roman" w:hAnsi="Times New Roman"/>
        </w:rPr>
        <w:t>“Por medio de la cual se define y reglamenta el acceso y uso de los mensajes de datos, del comercio electrón</w:t>
      </w:r>
      <w:r w:rsidRPr="007C57D2">
        <w:rPr>
          <w:rFonts w:ascii="Times New Roman" w:hAnsi="Times New Roman"/>
        </w:rPr>
        <w:t>ico y de las firmas digitales, y se establecen las entidades de certificación y se dictan otras disposiciones”.</w:t>
      </w:r>
    </w:p>
  </w:footnote>
  <w:footnote w:id="51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Definidos en el artículo 2, literal a), de la Ley 527 de 1999 como “información generada, enviada, recibida, almacenada o comunicada por medio</w:t>
      </w:r>
      <w:r w:rsidRPr="007C57D2">
        <w:rPr>
          <w:rFonts w:ascii="Times New Roman" w:hAnsi="Times New Roman"/>
        </w:rPr>
        <w:t>s electrónicos, ópticos o similares, como pudieran ser, entre otros, el Intercambio Electrónico de Datos (EDI), Internet, el correo electrónico, el telegrama, el télex o el telefax”.</w:t>
      </w:r>
    </w:p>
  </w:footnote>
  <w:footnote w:id="515">
    <w:p w:rsidR="00CB32C8" w:rsidRPr="007C57D2" w:rsidRDefault="007C57D2" w:rsidP="004C64A7">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 xml:space="preserve">Estas normas corroboran la anterior afirmación: (i) La ley 527 de 1999 </w:t>
      </w:r>
      <w:r w:rsidRPr="007C57D2">
        <w:rPr>
          <w:rFonts w:ascii="Times New Roman" w:hAnsi="Times New Roman"/>
          <w:lang w:val="es-ES"/>
        </w:rPr>
        <w:t xml:space="preserve">consagra los equivalentes funcionales de escrito, firma y original en el contexto digital. </w:t>
      </w:r>
      <w:r w:rsidRPr="007C57D2">
        <w:rPr>
          <w:rFonts w:ascii="Times New Roman" w:hAnsi="Times New Roman"/>
        </w:rPr>
        <w:t>Con estos se busca que dichas “instituciones” cumplan las mismas funciones que tienen mediante el uso de medios tradicionales.;</w:t>
      </w:r>
      <w:r w:rsidRPr="007C57D2">
        <w:rPr>
          <w:rFonts w:ascii="Times New Roman" w:hAnsi="Times New Roman"/>
          <w:i/>
          <w:iCs/>
        </w:rPr>
        <w:t xml:space="preserve"> </w:t>
      </w:r>
      <w:r w:rsidRPr="007C57D2">
        <w:rPr>
          <w:rFonts w:ascii="Times New Roman" w:hAnsi="Times New Roman"/>
        </w:rPr>
        <w:t xml:space="preserve">(ii) </w:t>
      </w:r>
      <w:r w:rsidRPr="007C57D2">
        <w:rPr>
          <w:rFonts w:ascii="Times New Roman" w:hAnsi="Times New Roman"/>
          <w:lang w:val="es-ES"/>
        </w:rPr>
        <w:t>A la luz del artículo 243 del Có</w:t>
      </w:r>
      <w:r w:rsidRPr="007C57D2">
        <w:rPr>
          <w:rFonts w:ascii="Times New Roman" w:hAnsi="Times New Roman"/>
          <w:lang w:val="es-ES"/>
        </w:rPr>
        <w:t>digo General del Proceso, los documentos son, entre otros, “los escritos , impresos, (…) mensajes de datos, fotografías, (…) y, en general, todo objeto mueble que tenga carácter representativo o declarativo, y las inscripciones en lápidas, monumentos edifi</w:t>
      </w:r>
      <w:r w:rsidRPr="007C57D2">
        <w:rPr>
          <w:rFonts w:ascii="Times New Roman" w:hAnsi="Times New Roman"/>
          <w:lang w:val="es-ES"/>
        </w:rPr>
        <w:t>cios o similares”. En el artículo 6 de la Ley 527 de 1999, por su parte, señala que “Cuando cualquier norma requiera que la información conste por escrito, ese requisito quedará satisfecho con un mensaje de datos, si la información que éste contiene es acc</w:t>
      </w:r>
      <w:r w:rsidRPr="007C57D2">
        <w:rPr>
          <w:rFonts w:ascii="Times New Roman" w:hAnsi="Times New Roman"/>
          <w:lang w:val="es-ES"/>
        </w:rPr>
        <w:t xml:space="preserve">esible para su posterior consulta”. </w:t>
      </w:r>
    </w:p>
  </w:footnote>
  <w:footnote w:id="51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C-662 de 2000. </w:t>
      </w:r>
    </w:p>
  </w:footnote>
  <w:footnote w:id="51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 numeral</w:t>
      </w:r>
      <w:r w:rsidRPr="007C57D2">
        <w:rPr>
          <w:rFonts w:ascii="Times New Roman" w:hAnsi="Times New Roman"/>
          <w:lang w:val="pt-BR"/>
        </w:rPr>
        <w:t xml:space="preserve"> 2.8.4</w:t>
      </w:r>
    </w:p>
  </w:footnote>
  <w:footnote w:id="51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Esta es la definición legal de Dato Personal del literal c) del artículo 3 de la Ley Estatutaria 1581 de 2012.</w:t>
      </w:r>
    </w:p>
  </w:footnote>
  <w:footnote w:id="519">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Cfr. Superintendencia de Industria y Comercio. Delegatura para la protección de datos personales (2020). Guía sobre el tratamiento de las foto</w:t>
      </w:r>
      <w:r w:rsidRPr="007C57D2">
        <w:rPr>
          <w:rFonts w:ascii="Times New Roman" w:hAnsi="Times New Roman"/>
        </w:rPr>
        <w:t xml:space="preserve">s como datos personales. p 8. </w:t>
      </w:r>
      <w:r w:rsidRPr="007C57D2">
        <w:rPr>
          <w:rFonts w:ascii="Times New Roman" w:hAnsi="Times New Roman"/>
          <w:lang w:val="es-ES_tradnl"/>
        </w:rPr>
        <w:t>En esa guía se analiza la foto desde varias perspectivas jurídicas como, entre otras: (i) la foto y los derechos de autor; (ii) la foto y los actos de competencia desleal</w:t>
      </w:r>
      <w:r w:rsidRPr="007C57D2">
        <w:rPr>
          <w:rFonts w:ascii="Times New Roman" w:hAnsi="Times New Roman"/>
        </w:rPr>
        <w:t>; (iii) l</w:t>
      </w:r>
      <w:r w:rsidRPr="007C57D2">
        <w:rPr>
          <w:rFonts w:ascii="Times New Roman" w:hAnsi="Times New Roman"/>
          <w:lang w:val="es-ES_tradnl"/>
        </w:rPr>
        <w:t>a foto y el derecho a la imagen, y (iv) la foto</w:t>
      </w:r>
      <w:r w:rsidRPr="007C57D2">
        <w:rPr>
          <w:rFonts w:ascii="Times New Roman" w:hAnsi="Times New Roman"/>
          <w:lang w:val="es-ES_tradnl"/>
        </w:rPr>
        <w:t xml:space="preserve"> como documento que contiene datos personales. </w:t>
      </w:r>
      <w:r w:rsidRPr="007C57D2">
        <w:rPr>
          <w:rFonts w:ascii="Times New Roman" w:hAnsi="Times New Roman"/>
        </w:rPr>
        <w:t xml:space="preserve">El texto de la guía puede consultarse en: </w:t>
      </w:r>
      <w:hyperlink r:id="rId2" w:history="1">
        <w:r w:rsidRPr="007C57D2">
          <w:rPr>
            <w:rStyle w:val="Hipervnculo"/>
            <w:rFonts w:ascii="Times New Roman" w:hAnsi="Times New Roman"/>
          </w:rPr>
          <w:t>https://www</w:t>
        </w:r>
        <w:r w:rsidRPr="007C57D2">
          <w:rPr>
            <w:rStyle w:val="Hipervnculo"/>
            <w:rFonts w:ascii="Times New Roman" w:hAnsi="Times New Roman"/>
          </w:rPr>
          <w:t>.sic.gov.co/sites/default/files/files/Publicaciones/Gu%C3%ADa%20tratamiento%20de%20datos%20fotos%20FINAL%2014%20diciembre(1).pdf</w:t>
        </w:r>
      </w:hyperlink>
      <w:r w:rsidRPr="007C57D2">
        <w:rPr>
          <w:rFonts w:ascii="Times New Roman" w:hAnsi="Times New Roman"/>
        </w:rPr>
        <w:t xml:space="preserve"> </w:t>
      </w:r>
      <w:r w:rsidRPr="007C57D2">
        <w:rPr>
          <w:rFonts w:ascii="Times New Roman" w:hAnsi="Times New Roman"/>
        </w:rPr>
        <w:t xml:space="preserve"> </w:t>
      </w:r>
    </w:p>
  </w:footnote>
  <w:footnote w:id="52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de 2011, numeral 2.9.3.4.</w:t>
      </w:r>
    </w:p>
  </w:footnote>
  <w:footnote w:id="521">
    <w:p w:rsidR="005C0D0A"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Corte Constitucional ha señalado que “la protección constitucional a tener una familia no significa que esta necesariamente deba ser la consanguínea o biológica, sino que también tienen cabida otras estructuras familiares (familia de crianza, familia e</w:t>
      </w:r>
      <w:r w:rsidRPr="007C57D2">
        <w:rPr>
          <w:rFonts w:ascii="Times New Roman" w:hAnsi="Times New Roman"/>
        </w:rPr>
        <w:t>xtendida, familia monoparental, familia ensamblada, entre otras)” (</w:t>
      </w:r>
      <w:r w:rsidRPr="007C57D2">
        <w:rPr>
          <w:rFonts w:ascii="Times New Roman" w:hAnsi="Times New Roman"/>
        </w:rPr>
        <w:t>Sentencias T-217 de 1994, C-577 de 2011 y T-105 de 2020</w:t>
      </w:r>
      <w:r w:rsidRPr="007C57D2">
        <w:rPr>
          <w:rFonts w:ascii="Times New Roman" w:hAnsi="Times New Roman"/>
        </w:rPr>
        <w:t>, citadas en la sentencia T-186 de 20121)</w:t>
      </w:r>
    </w:p>
  </w:footnote>
  <w:footnote w:id="52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Real Academia Española, definición de “riesgo”. Información disponible en: </w:t>
      </w:r>
      <w:hyperlink r:id="rId3" w:history="1">
        <w:r w:rsidRPr="007C57D2">
          <w:rPr>
            <w:rStyle w:val="Hipervnculo"/>
            <w:rFonts w:ascii="Times New Roman" w:hAnsi="Times New Roman"/>
            <w:color w:val="auto"/>
          </w:rPr>
          <w:t>https://dle.rae.es/riesgo</w:t>
        </w:r>
      </w:hyperlink>
      <w:r w:rsidRPr="007C57D2">
        <w:rPr>
          <w:rFonts w:ascii="Times New Roman" w:hAnsi="Times New Roman"/>
        </w:rPr>
        <w:t xml:space="preserve"> </w:t>
      </w:r>
    </w:p>
  </w:footnote>
  <w:footnote w:id="52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Cfr. </w:t>
      </w:r>
      <w:r w:rsidRPr="007C57D2">
        <w:rPr>
          <w:rFonts w:ascii="Times New Roman" w:hAnsi="Times New Roman"/>
        </w:rPr>
        <w:t xml:space="preserve">Real Academia Española, definición de “inminente”. Información disponible en: </w:t>
      </w:r>
      <w:hyperlink r:id="rId4" w:history="1">
        <w:r w:rsidRPr="007C57D2">
          <w:rPr>
            <w:rStyle w:val="Hipervnculo"/>
            <w:rFonts w:ascii="Times New Roman" w:hAnsi="Times New Roman"/>
            <w:color w:val="auto"/>
          </w:rPr>
          <w:t>https://dle.rae.es/inminente</w:t>
        </w:r>
      </w:hyperlink>
      <w:r w:rsidRPr="007C57D2">
        <w:rPr>
          <w:rFonts w:ascii="Times New Roman" w:hAnsi="Times New Roman"/>
        </w:rPr>
        <w:t xml:space="preserve"> </w:t>
      </w:r>
    </w:p>
  </w:footnote>
  <w:footnote w:id="524">
    <w:p w:rsidR="006C4D0D"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Los riesgos inminentes hace</w:t>
      </w:r>
      <w:r w:rsidRPr="007C57D2">
        <w:rPr>
          <w:rFonts w:ascii="Times New Roman" w:hAnsi="Times New Roman"/>
        </w:rPr>
        <w:t>n referencia a los riesgos reales o potenciales del niño, niña o adolescente, en el contexto o escenario de pérdida o extravío particular. La alerta no debe convertirse en un mecanismo que, aunque ágil y masivo, habilite de manera indiscriminada el envío d</w:t>
      </w:r>
      <w:r w:rsidRPr="007C57D2">
        <w:rPr>
          <w:rFonts w:ascii="Times New Roman" w:hAnsi="Times New Roman"/>
        </w:rPr>
        <w:t>e comunicaciones, generando una saturación de los medios, uso desproporcionado de los datos, e impactos innecesarios a las empresas privadas y derechos de los usuarios de móviles.</w:t>
      </w:r>
    </w:p>
    <w:p w:rsidR="006C4D0D" w:rsidRPr="007C57D2" w:rsidRDefault="007C57D2" w:rsidP="00F543B3">
      <w:pPr>
        <w:pStyle w:val="Textonotapie"/>
        <w:jc w:val="both"/>
        <w:rPr>
          <w:rFonts w:ascii="Times New Roman" w:hAnsi="Times New Roman"/>
        </w:rPr>
      </w:pPr>
    </w:p>
  </w:footnote>
  <w:footnote w:id="525">
    <w:p w:rsidR="0085017C" w:rsidRPr="007C57D2" w:rsidRDefault="007C57D2" w:rsidP="004C64A7">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autorización para tratar los datos de niños, niñas y adolescentes no e</w:t>
      </w:r>
      <w:r w:rsidRPr="007C57D2">
        <w:rPr>
          <w:rFonts w:ascii="Times New Roman" w:hAnsi="Times New Roman"/>
        </w:rPr>
        <w:t>s una exigencia absoluta, como lo ha dicho la Corte en la Sentencia C</w:t>
      </w:r>
      <w:r w:rsidRPr="007C57D2">
        <w:rPr>
          <w:rFonts w:ascii="Times New Roman" w:hAnsi="Times New Roman"/>
        </w:rPr>
        <w:noBreakHyphen/>
        <w:t>748 de 2011. La Constitución ordena una protección especial para ellos. Por eso, en ciertas situaciones las entidades públicas pueden tratar sus datos incluso si los padres o algún famil</w:t>
      </w:r>
      <w:r w:rsidRPr="007C57D2">
        <w:rPr>
          <w:rFonts w:ascii="Times New Roman" w:hAnsi="Times New Roman"/>
        </w:rPr>
        <w:t>iar no están de acuerdo. Esto puede ocurrir, por ejemplo, cuando uno de ellos se opone porque tiene interés en que la búsqueda no avance. En estos casos, y conforme al artículo 44 de la Constitución —que establece que los derechos de los niños prevalecen s</w:t>
      </w:r>
      <w:r w:rsidRPr="007C57D2">
        <w:rPr>
          <w:rFonts w:ascii="Times New Roman" w:hAnsi="Times New Roman"/>
        </w:rPr>
        <w:t>obre los de los demás— en concordancia con el literal a) del artículo 10 de la Ley Estatutaria 1581 de 2012, las autoridades pueden actuar sin autorización, siempre que exista evidencia razonable, para tratar los datos y proteger de manera efectiva al NNA.</w:t>
      </w:r>
      <w:r w:rsidRPr="007C57D2">
        <w:rPr>
          <w:rFonts w:ascii="Times New Roman" w:hAnsi="Times New Roman"/>
        </w:rPr>
        <w:t xml:space="preserve"> En tales escenarios, prescindir de la autorización puede ser la opción más adecuada para salvaguardar su interés superior.</w:t>
      </w:r>
    </w:p>
  </w:footnote>
  <w:footnote w:id="52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Literal a) del artículo 6 de la Ley Estatutaria 1581 de 2012.</w:t>
      </w:r>
    </w:p>
  </w:footnote>
  <w:footnote w:id="52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de 2011, numeral 2.8.4.</w:t>
      </w:r>
      <w:r w:rsidRPr="007C57D2">
        <w:rPr>
          <w:rFonts w:ascii="Times New Roman" w:hAnsi="Times New Roman"/>
          <w:lang w:val="pt-BR"/>
        </w:rPr>
        <w:t>2.</w:t>
      </w:r>
    </w:p>
  </w:footnote>
  <w:footnote w:id="52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de 2011, numeral 2.8.4.</w:t>
      </w:r>
    </w:p>
  </w:footnote>
  <w:footnote w:id="529">
    <w:p w:rsidR="00BC0325" w:rsidRPr="007C57D2" w:rsidRDefault="007C57D2" w:rsidP="004C64A7">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de 2011, num 2.12.3.</w:t>
      </w:r>
      <w:r w:rsidRPr="007C57D2">
        <w:rPr>
          <w:rFonts w:ascii="Times New Roman" w:hAnsi="Times New Roman"/>
          <w:lang w:val="pt-BR"/>
        </w:rPr>
        <w:t xml:space="preserve"> </w:t>
      </w:r>
      <w:r w:rsidRPr="007C57D2">
        <w:rPr>
          <w:rFonts w:ascii="Times New Roman" w:hAnsi="Times New Roman"/>
        </w:rPr>
        <w:t>Respecto de las dos condiciones, la Corte señaló lo siguiente: “En relación con el primero señaló la Corporación que “la modalidad de divulgación del dato personal prevista en el precepto analizado devendrá legítima, cuando la motivación de la solicitud de</w:t>
      </w:r>
      <w:r w:rsidRPr="007C57D2">
        <w:rPr>
          <w:rFonts w:ascii="Times New Roman" w:hAnsi="Times New Roman"/>
        </w:rPr>
        <w:t xml:space="preserve"> información esté basada en una clara y específica competencia funcional de la entidad.” Respecto a la segunda condición, la Corte estimó que una vez la entidad administrativa accede al dato personal adopta la posición jurídica de usuario dentro del proces</w:t>
      </w:r>
      <w:r w:rsidRPr="007C57D2">
        <w:rPr>
          <w:rFonts w:ascii="Times New Roman" w:hAnsi="Times New Roman"/>
        </w:rPr>
        <w:t>o de administración de datos personales, lo que de forma lógica le impone el deber de garantizar los derechos fundamentales del titular de la información, previstos en la Constitución Política y en consecuencia deberán: “(i) guardar reserva de la informaci</w:t>
      </w:r>
      <w:r w:rsidRPr="007C57D2">
        <w:rPr>
          <w:rFonts w:ascii="Times New Roman" w:hAnsi="Times New Roman"/>
        </w:rPr>
        <w:t>ón que les sea suministrada por los operadores y utilizarla únicamente para los fines que justificaron la entrega, esto es, aquellos relacionados con la competencia funcional específica que motivó la solicitud de suministro del dato personal; (ii) informar</w:t>
      </w:r>
      <w:r w:rsidRPr="007C57D2">
        <w:rPr>
          <w:rFonts w:ascii="Times New Roman" w:hAnsi="Times New Roman"/>
        </w:rPr>
        <w:t xml:space="preserve"> a los titulares del dato el uso que le esté dando al mismo;  (iii) conservar con las debidas seguridades la información recibida para impedir su deterioro, pérdida, alteración, uso no autorizado o fraudulento; y (iv) cumplir con las instrucciones que impa</w:t>
      </w:r>
      <w:r w:rsidRPr="007C57D2">
        <w:rPr>
          <w:rFonts w:ascii="Times New Roman" w:hAnsi="Times New Roman"/>
        </w:rPr>
        <w:t xml:space="preserve">rta la autoridad de control, en relación con el cumplimiento de la legislación estatutaria.” </w:t>
      </w:r>
      <w:r w:rsidRPr="007C57D2">
        <w:rPr>
          <w:rFonts w:ascii="Times New Roman" w:hAnsi="Times New Roman"/>
          <w:lang w:val="pt-BR"/>
        </w:rPr>
        <w:t>(Corte Constitucional, Sentencia C-748 de 2011, num 2.12.3.)</w:t>
      </w:r>
    </w:p>
  </w:footnote>
  <w:footnote w:id="53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de 2011, num 2.12.3.</w:t>
      </w:r>
    </w:p>
  </w:footnote>
  <w:footnote w:id="531">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w:t>
      </w:r>
      <w:r w:rsidRPr="007C57D2">
        <w:rPr>
          <w:rFonts w:ascii="Times New Roman" w:hAnsi="Times New Roman"/>
          <w:lang w:val="pt-BR"/>
        </w:rPr>
        <w:t>e 2011, num 2.12.3.</w:t>
      </w:r>
    </w:p>
  </w:footnote>
  <w:footnote w:id="532">
    <w:p w:rsidR="00007AE4" w:rsidRPr="00007AE4" w:rsidRDefault="007C57D2" w:rsidP="00007AE4">
      <w:pPr>
        <w:pStyle w:val="Textonotapie"/>
        <w:rPr>
          <w:lang w:val="pt-BR"/>
        </w:rPr>
      </w:pPr>
      <w:r>
        <w:rPr>
          <w:rStyle w:val="Refdenotaalpie"/>
        </w:rPr>
        <w:footnoteRef/>
      </w:r>
      <w:r w:rsidRPr="00007AE4">
        <w:rPr>
          <w:lang w:val="pt-BR"/>
        </w:rPr>
        <w:t xml:space="preserve"> </w:t>
      </w:r>
      <w:r w:rsidRPr="00007AE4">
        <w:rPr>
          <w:rFonts w:ascii="Times New Roman" w:hAnsi="Times New Roman"/>
          <w:lang w:val="pt-BR"/>
        </w:rPr>
        <w:t>Cfr. Corte Constitucional, Sentencia C-748 de 2011, numeral 2.6.5.2.2.</w:t>
      </w:r>
    </w:p>
  </w:footnote>
  <w:footnote w:id="53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p>
  </w:footnote>
  <w:footnote w:id="53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Artículo 11 del Decreto 1377 de 2013</w:t>
      </w:r>
      <w:r w:rsidRPr="007C57D2">
        <w:rPr>
          <w:rFonts w:ascii="Times New Roman" w:hAnsi="Times New Roman"/>
        </w:rPr>
        <w:t xml:space="preserve"> (Incorporado en el decreto 1074 de 2015)</w:t>
      </w:r>
      <w:r w:rsidRPr="007C57D2">
        <w:rPr>
          <w:rFonts w:ascii="Times New Roman" w:hAnsi="Times New Roman"/>
        </w:rPr>
        <w:t>.</w:t>
      </w:r>
    </w:p>
  </w:footnote>
  <w:footnote w:id="53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 el numeral tercero de la parte resolutiva de la Sentencia C-748 de 2011 se decidió lo siguiente: “Declarar EXEQUIBLE el artículo 6 del proyecto de ley objeto de revisión, excepto la expresión ´el Titular haya hecho manifiestamente públicos o´ del liter</w:t>
      </w:r>
      <w:r w:rsidRPr="007C57D2">
        <w:rPr>
          <w:rFonts w:ascii="Times New Roman" w:hAnsi="Times New Roman"/>
        </w:rPr>
        <w:t>al d) que se declara INEXEQUIBLE”.</w:t>
      </w:r>
    </w:p>
  </w:footnote>
  <w:footnote w:id="53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C-748 de 2011.</w:t>
      </w:r>
    </w:p>
  </w:footnote>
  <w:footnote w:id="537">
    <w:p w:rsidR="004C64A7" w:rsidRPr="007C57D2" w:rsidRDefault="007C57D2" w:rsidP="004C64A7">
      <w:pPr>
        <w:jc w:val="both"/>
        <w:rPr>
          <w:rFonts w:ascii="Times New Roman" w:hAnsi="Times New Roman"/>
          <w:szCs w:val="20"/>
          <w:lang w:val="es-ES_tradnl"/>
        </w:rPr>
      </w:pPr>
      <w:r w:rsidRPr="007C57D2">
        <w:rPr>
          <w:rFonts w:ascii="Times New Roman" w:hAnsi="Times New Roman"/>
          <w:szCs w:val="20"/>
          <w:vertAlign w:val="superscript"/>
        </w:rPr>
        <w:footnoteRef/>
      </w:r>
      <w:r w:rsidRPr="007C57D2">
        <w:rPr>
          <w:rFonts w:ascii="Times New Roman" w:hAnsi="Times New Roman"/>
          <w:szCs w:val="20"/>
          <w:lang w:val="pt-BR"/>
        </w:rPr>
        <w:t xml:space="preserve"> </w:t>
      </w:r>
      <w:r w:rsidRPr="007C57D2">
        <w:rPr>
          <w:rFonts w:ascii="Times New Roman" w:hAnsi="Times New Roman"/>
          <w:szCs w:val="20"/>
          <w:lang w:val="pt-BR"/>
        </w:rPr>
        <w:t>Cfr. Corte Constitucional, Sentencia T-414 de 1992.</w:t>
      </w:r>
      <w:r w:rsidRPr="007C57D2">
        <w:rPr>
          <w:rFonts w:ascii="Times New Roman" w:hAnsi="Times New Roman"/>
          <w:szCs w:val="20"/>
          <w:lang w:val="pt-BR"/>
        </w:rPr>
        <w:t xml:space="preserve"> </w:t>
      </w:r>
      <w:r w:rsidRPr="007C57D2">
        <w:rPr>
          <w:rFonts w:ascii="Times New Roman" w:hAnsi="Times New Roman"/>
          <w:szCs w:val="20"/>
        </w:rPr>
        <w:t xml:space="preserve">En la </w:t>
      </w:r>
      <w:r w:rsidRPr="007C57D2">
        <w:rPr>
          <w:rFonts w:ascii="Times New Roman" w:hAnsi="Times New Roman"/>
          <w:szCs w:val="20"/>
        </w:rPr>
        <w:t>S</w:t>
      </w:r>
      <w:r w:rsidRPr="007C57D2">
        <w:rPr>
          <w:rFonts w:ascii="Times New Roman" w:hAnsi="Times New Roman"/>
          <w:szCs w:val="20"/>
        </w:rPr>
        <w:t xml:space="preserve">entencia </w:t>
      </w:r>
      <w:r w:rsidRPr="007C57D2">
        <w:rPr>
          <w:rFonts w:ascii="Times New Roman" w:hAnsi="Times New Roman"/>
          <w:szCs w:val="20"/>
          <w:lang w:val="es-ES_tradnl"/>
        </w:rPr>
        <w:t>T-022 de 1993, la Corte afirmó que una vez satisfechos los presupuestos para solicitar la cancela</w:t>
      </w:r>
      <w:r w:rsidRPr="007C57D2">
        <w:rPr>
          <w:rFonts w:ascii="Times New Roman" w:hAnsi="Times New Roman"/>
          <w:szCs w:val="20"/>
          <w:lang w:val="es-ES_tradnl"/>
        </w:rPr>
        <w:t>ción de los datos, “esta deberá ser total y definitiva. Vale decir, la entidad financiera no podrá trasladarlos ni almacenarlos en un archivo histórico. Tampoco limitarse a hacer una simple actualización del banco de datos cuando lo procedente es la exclus</w:t>
      </w:r>
      <w:r w:rsidRPr="007C57D2">
        <w:rPr>
          <w:rFonts w:ascii="Times New Roman" w:hAnsi="Times New Roman"/>
          <w:szCs w:val="20"/>
          <w:lang w:val="es-ES_tradnl"/>
        </w:rPr>
        <w:t xml:space="preserve">ión total y definitiva del nombre del peticionario favorecido con la tutela. Porque ello no solo iría en menoscabo del derecho al olvido sino que se constituiría en instrumento de control apto para prolongar injerencias abusivas o indebidas en la libertad </w:t>
      </w:r>
      <w:r w:rsidRPr="007C57D2">
        <w:rPr>
          <w:rFonts w:ascii="Times New Roman" w:hAnsi="Times New Roman"/>
          <w:szCs w:val="20"/>
          <w:lang w:val="es-ES_tradnl"/>
        </w:rPr>
        <w:t>e intimidad de su titular”.</w:t>
      </w:r>
    </w:p>
  </w:footnote>
  <w:footnote w:id="538">
    <w:p w:rsidR="00A65E3B" w:rsidRPr="007C57D2" w:rsidRDefault="007C57D2" w:rsidP="00F543B3">
      <w:pPr>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Cfr. Corte Constitucional, Sentencias  T-176 de 1995 y T-119 de 1995.</w:t>
      </w:r>
    </w:p>
  </w:footnote>
  <w:footnote w:id="53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Corte Constitucional, Sentencia C-748 de 2011.</w:t>
      </w:r>
    </w:p>
  </w:footnote>
  <w:footnote w:id="54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rPr>
        <w:t>Ibidem.</w:t>
      </w:r>
    </w:p>
  </w:footnote>
  <w:footnote w:id="541">
    <w:p w:rsidR="00EC485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Sobre la existencia de la responsabilidad demostrada en la regulación colombiana, la Corte señaló lo siguiente en la </w:t>
      </w:r>
      <w:r w:rsidRPr="007C57D2">
        <w:rPr>
          <w:rFonts w:ascii="Times New Roman" w:hAnsi="Times New Roman"/>
        </w:rPr>
        <w:t>S</w:t>
      </w:r>
      <w:r w:rsidRPr="007C57D2">
        <w:rPr>
          <w:rFonts w:ascii="Times New Roman" w:hAnsi="Times New Roman"/>
        </w:rPr>
        <w:t>entencia T</w:t>
      </w:r>
      <w:r w:rsidRPr="007C57D2">
        <w:rPr>
          <w:rFonts w:ascii="Times New Roman" w:hAnsi="Times New Roman"/>
        </w:rPr>
        <w:t xml:space="preserve">-203 de 2025: </w:t>
      </w:r>
      <w:r w:rsidRPr="007C57D2">
        <w:rPr>
          <w:rFonts w:ascii="Times New Roman" w:hAnsi="Times New Roman"/>
        </w:rPr>
        <w:t xml:space="preserve">“A este respecto, debe señalarse que, además de la Ley 1581 de 2012, que ya establece una regulación destinada a </w:t>
      </w:r>
      <w:r w:rsidRPr="007C57D2">
        <w:rPr>
          <w:rFonts w:ascii="Times New Roman" w:hAnsi="Times New Roman"/>
        </w:rPr>
        <w:t>la protección de datos personales, el Decreto 1377 de 2013 reglamentó dicha Ley. Esta normativa incluye un capítulo sobre responsabilidad demostrada frente al tratamiento de datos personales, principio según el cual </w:t>
      </w:r>
      <w:r w:rsidRPr="007C57D2">
        <w:rPr>
          <w:rFonts w:ascii="Times New Roman" w:hAnsi="Times New Roman"/>
          <w:i/>
          <w:iCs/>
        </w:rPr>
        <w:t>“los responsables del tratamiento de dat</w:t>
      </w:r>
      <w:r w:rsidRPr="007C57D2">
        <w:rPr>
          <w:rFonts w:ascii="Times New Roman" w:hAnsi="Times New Roman"/>
          <w:i/>
          <w:iCs/>
        </w:rPr>
        <w:t>os personales deben ser capaces de demostrar, a petición de la Superintendencia de Industria y Comercio, que han implementado medidas apropiadas y efectivas para cumplir con las obligaciones establecidas en la Ley 1581 de 2012 (…)”,</w:t>
      </w:r>
      <w:r w:rsidRPr="007C57D2">
        <w:rPr>
          <w:rFonts w:ascii="Times New Roman" w:hAnsi="Times New Roman"/>
        </w:rPr>
        <w:t>teniendo en cuenta la na</w:t>
      </w:r>
      <w:r w:rsidRPr="007C57D2">
        <w:rPr>
          <w:rFonts w:ascii="Times New Roman" w:hAnsi="Times New Roman"/>
        </w:rPr>
        <w:t>turaleza jurídica del responsable, la naturaleza de los datos personales tratados, el tipo de tratamiento y los riesgos potenciales que el tratamiento podría causar sobre los derechos de los titulares. Posteriormente, el Decreto 1413 de 2017 le impuso a lo</w:t>
      </w:r>
      <w:r w:rsidRPr="007C57D2">
        <w:rPr>
          <w:rFonts w:ascii="Times New Roman" w:hAnsi="Times New Roman"/>
        </w:rPr>
        <w:t>s operadores de servicios ciudadanos digitales la obligación de </w:t>
      </w:r>
      <w:r w:rsidRPr="007C57D2">
        <w:rPr>
          <w:rFonts w:ascii="Times New Roman" w:hAnsi="Times New Roman"/>
          <w:i/>
          <w:iCs/>
        </w:rPr>
        <w:t>“adoptar medidas apropiadas, efectivas y verificables que le permitan demostrar el correcto cumplimiento de las normas sobre tratamiento de datos personales”.</w:t>
      </w:r>
    </w:p>
  </w:footnote>
  <w:footnote w:id="54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w:t>
      </w:r>
      <w:r w:rsidRPr="007C57D2">
        <w:rPr>
          <w:rFonts w:ascii="Times New Roman" w:hAnsi="Times New Roman"/>
          <w:lang w:val="pt-BR"/>
        </w:rPr>
        <w:t>encia T-227 de 2003.</w:t>
      </w:r>
    </w:p>
  </w:footnote>
  <w:footnote w:id="54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C-032 de 2021. </w:t>
      </w:r>
    </w:p>
  </w:footnote>
  <w:footnote w:id="544">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Cfr. Ley Estatutaria 2157 de 2021, artículo </w:t>
      </w:r>
      <w:r w:rsidRPr="007C57D2">
        <w:rPr>
          <w:rFonts w:ascii="Times New Roman" w:hAnsi="Times New Roman"/>
          <w:lang w:val="es-ES_tradnl"/>
        </w:rPr>
        <w:t xml:space="preserve">12: “Adiciónese a la Ley 1266 de 2008 el articulo 19 A. El cual quedará así: Artículo 19A. Responsabilidad demostrada”. Ley Estatutaria </w:t>
      </w:r>
      <w:r w:rsidRPr="007C57D2">
        <w:rPr>
          <w:rFonts w:ascii="Times New Roman" w:hAnsi="Times New Roman"/>
          <w:lang w:val="es-ES_tradnl"/>
        </w:rPr>
        <w:t>2157 de 2021, artículo 13: “Adiciónese a la Ley 1266 de 2008 el artículo 19 B. El cual quedará así: Artículo 19 B. Políticas internas efectivas”.</w:t>
      </w:r>
    </w:p>
  </w:footnote>
  <w:footnote w:id="545">
    <w:p w:rsidR="00D311A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bookmarkStart w:id="49" w:name="12"/>
      <w:r w:rsidRPr="007C57D2">
        <w:rPr>
          <w:rFonts w:ascii="Times New Roman" w:hAnsi="Times New Roman"/>
        </w:rPr>
        <w:t>“ARTÍCULO 12.</w:t>
      </w:r>
      <w:bookmarkEnd w:id="49"/>
      <w:r w:rsidRPr="007C57D2">
        <w:rPr>
          <w:rFonts w:ascii="Times New Roman" w:hAnsi="Times New Roman"/>
        </w:rPr>
        <w:t> Adiciónese a la Ley 1266 de 2008 el artículo </w:t>
      </w:r>
      <w:hyperlink r:id="rId5" w:anchor="19A" w:history="1">
        <w:r w:rsidRPr="007C57D2">
          <w:rPr>
            <w:rStyle w:val="Hipervnculo"/>
            <w:rFonts w:ascii="Times New Roman" w:hAnsi="Times New Roman"/>
          </w:rPr>
          <w:t>19A</w:t>
        </w:r>
      </w:hyperlink>
      <w:r w:rsidRPr="007C57D2">
        <w:rPr>
          <w:rFonts w:ascii="Times New Roman" w:hAnsi="Times New Roman"/>
        </w:rPr>
        <w:t>, el cual quedará así:</w:t>
      </w:r>
    </w:p>
    <w:p w:rsidR="00D311A6" w:rsidRPr="007C57D2" w:rsidRDefault="007C57D2" w:rsidP="00F543B3">
      <w:pPr>
        <w:pStyle w:val="Textonotapie"/>
        <w:jc w:val="both"/>
        <w:rPr>
          <w:rFonts w:ascii="Times New Roman" w:hAnsi="Times New Roman"/>
        </w:rPr>
      </w:pPr>
      <w:r w:rsidRPr="007C57D2">
        <w:rPr>
          <w:rFonts w:ascii="Times New Roman" w:hAnsi="Times New Roman"/>
        </w:rPr>
        <w:t>Artículo </w:t>
      </w:r>
      <w:hyperlink r:id="rId6" w:anchor="19A" w:history="1">
        <w:r w:rsidRPr="007C57D2">
          <w:rPr>
            <w:rStyle w:val="Hipervnculo"/>
            <w:rFonts w:ascii="Times New Roman" w:hAnsi="Times New Roman"/>
          </w:rPr>
          <w:t>19A</w:t>
        </w:r>
      </w:hyperlink>
      <w:r w:rsidRPr="007C57D2">
        <w:rPr>
          <w:rFonts w:ascii="Times New Roman" w:hAnsi="Times New Roman"/>
        </w:rPr>
        <w:t>. Responsabilidad demostrada. Los operadores, fuentes y usuarios de información</w:t>
      </w:r>
      <w:r w:rsidRPr="007C57D2">
        <w:rPr>
          <w:rFonts w:ascii="Times New Roman" w:hAnsi="Times New Roman"/>
        </w:rPr>
        <w:t xml:space="preserve"> financiera, crediticia, comercial y de servicios deben ser capaces de demostrar que han implementado medidas apropiadas, efectivas y verificables para cumplir con las obligaciones establecidas en la Ley </w:t>
      </w:r>
      <w:hyperlink r:id="rId7" w:anchor="INICIO" w:history="1">
        <w:r w:rsidRPr="007C57D2">
          <w:rPr>
            <w:rStyle w:val="Hipervnculo"/>
            <w:rFonts w:ascii="Times New Roman" w:hAnsi="Times New Roman"/>
          </w:rPr>
          <w:t>1266</w:t>
        </w:r>
      </w:hyperlink>
      <w:r w:rsidRPr="007C57D2">
        <w:rPr>
          <w:rFonts w:ascii="Times New Roman" w:hAnsi="Times New Roman"/>
        </w:rPr>
        <w:t> de 2008 y sus normas reglamentarias, en una manera que sea proporcional a lo siguiente:</w:t>
      </w:r>
    </w:p>
    <w:p w:rsidR="00D311A6" w:rsidRPr="007C57D2" w:rsidRDefault="007C57D2" w:rsidP="00F543B3">
      <w:pPr>
        <w:pStyle w:val="Textonotapie"/>
        <w:jc w:val="both"/>
        <w:rPr>
          <w:rFonts w:ascii="Times New Roman" w:hAnsi="Times New Roman"/>
        </w:rPr>
      </w:pPr>
      <w:r w:rsidRPr="007C57D2">
        <w:rPr>
          <w:rFonts w:ascii="Times New Roman" w:hAnsi="Times New Roman"/>
        </w:rPr>
        <w:t>1. La naturaleza jurídica del operador, fuente y usuario de información y, cuando sea del caso, su tamaño empresarial,</w:t>
      </w:r>
      <w:r w:rsidRPr="007C57D2">
        <w:rPr>
          <w:rFonts w:ascii="Times New Roman" w:hAnsi="Times New Roman"/>
        </w:rPr>
        <w:t xml:space="preserve"> teniendo en cuenta si se trata de una micro, pequeña, mediana o gran empresa, de acuerdo con la normativa vigente.</w:t>
      </w:r>
    </w:p>
    <w:p w:rsidR="00D311A6" w:rsidRPr="007C57D2" w:rsidRDefault="007C57D2" w:rsidP="00F543B3">
      <w:pPr>
        <w:pStyle w:val="Textonotapie"/>
        <w:jc w:val="both"/>
        <w:rPr>
          <w:rFonts w:ascii="Times New Roman" w:hAnsi="Times New Roman"/>
        </w:rPr>
      </w:pPr>
      <w:r w:rsidRPr="007C57D2">
        <w:rPr>
          <w:rFonts w:ascii="Times New Roman" w:hAnsi="Times New Roman"/>
        </w:rPr>
        <w:t>2. La naturaleza de los datos personales objeto del tratamiento.</w:t>
      </w:r>
    </w:p>
    <w:p w:rsidR="00D311A6" w:rsidRPr="007C57D2" w:rsidRDefault="007C57D2" w:rsidP="00F543B3">
      <w:pPr>
        <w:pStyle w:val="Textonotapie"/>
        <w:jc w:val="both"/>
        <w:rPr>
          <w:rFonts w:ascii="Times New Roman" w:hAnsi="Times New Roman"/>
        </w:rPr>
      </w:pPr>
      <w:r w:rsidRPr="007C57D2">
        <w:rPr>
          <w:rFonts w:ascii="Times New Roman" w:hAnsi="Times New Roman"/>
        </w:rPr>
        <w:t>3. El tipo de tratamiento.</w:t>
      </w:r>
    </w:p>
    <w:p w:rsidR="00D311A6" w:rsidRPr="007C57D2" w:rsidRDefault="007C57D2" w:rsidP="00F543B3">
      <w:pPr>
        <w:pStyle w:val="Textonotapie"/>
        <w:jc w:val="both"/>
        <w:rPr>
          <w:rFonts w:ascii="Times New Roman" w:hAnsi="Times New Roman"/>
        </w:rPr>
      </w:pPr>
      <w:r w:rsidRPr="007C57D2">
        <w:rPr>
          <w:rFonts w:ascii="Times New Roman" w:hAnsi="Times New Roman"/>
        </w:rPr>
        <w:t>4. Los riesgos potenciales que el referido trata</w:t>
      </w:r>
      <w:r w:rsidRPr="007C57D2">
        <w:rPr>
          <w:rFonts w:ascii="Times New Roman" w:hAnsi="Times New Roman"/>
        </w:rPr>
        <w:t>miento podrían causar sobre los derechos de los titulares.</w:t>
      </w:r>
    </w:p>
    <w:p w:rsidR="00D311A6" w:rsidRPr="007C57D2" w:rsidRDefault="007C57D2" w:rsidP="00F543B3">
      <w:pPr>
        <w:pStyle w:val="Textonotapie"/>
        <w:jc w:val="both"/>
        <w:rPr>
          <w:rFonts w:ascii="Times New Roman" w:hAnsi="Times New Roman"/>
        </w:rPr>
      </w:pPr>
      <w:r w:rsidRPr="007C57D2">
        <w:rPr>
          <w:rFonts w:ascii="Times New Roman" w:hAnsi="Times New Roman"/>
        </w:rPr>
        <w:t>Quienes efectúen el tratamiento de los datos personales deberán suministrar evidencia sobre la implementación efectiva de las medidas útiles y pertinentes para cumplir la presente ley.” (Ley Estatu</w:t>
      </w:r>
      <w:r w:rsidRPr="007C57D2">
        <w:rPr>
          <w:rFonts w:ascii="Times New Roman" w:hAnsi="Times New Roman"/>
        </w:rPr>
        <w:t>taria 2157 de 2021)</w:t>
      </w:r>
      <w:r w:rsidRPr="007C57D2">
        <w:rPr>
          <w:rFonts w:ascii="Times New Roman" w:hAnsi="Times New Roman"/>
        </w:rPr>
        <w:t xml:space="preserve">. Artículo declarado constitucional mediante la </w:t>
      </w:r>
      <w:r w:rsidRPr="007C57D2">
        <w:rPr>
          <w:rFonts w:ascii="Times New Roman" w:hAnsi="Times New Roman"/>
        </w:rPr>
        <w:t>S</w:t>
      </w:r>
      <w:r w:rsidRPr="007C57D2">
        <w:rPr>
          <w:rFonts w:ascii="Times New Roman" w:hAnsi="Times New Roman"/>
        </w:rPr>
        <w:t>entencia C-282 de 2021 de la Corte Constitucional.</w:t>
      </w:r>
    </w:p>
    <w:p w:rsidR="00D311A6" w:rsidRPr="007C57D2" w:rsidRDefault="007C57D2" w:rsidP="00F543B3">
      <w:pPr>
        <w:pStyle w:val="Textonotapie"/>
        <w:jc w:val="both"/>
        <w:rPr>
          <w:rFonts w:ascii="Times New Roman" w:hAnsi="Times New Roman"/>
        </w:rPr>
      </w:pPr>
    </w:p>
  </w:footnote>
  <w:footnote w:id="546">
    <w:p w:rsidR="00D311A6"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bookmarkStart w:id="50" w:name="13"/>
      <w:r w:rsidRPr="007C57D2">
        <w:rPr>
          <w:rFonts w:ascii="Times New Roman" w:hAnsi="Times New Roman"/>
        </w:rPr>
        <w:t>“ARTÍCULO 13.</w:t>
      </w:r>
      <w:bookmarkEnd w:id="50"/>
      <w:r w:rsidRPr="007C57D2">
        <w:rPr>
          <w:rFonts w:ascii="Times New Roman" w:hAnsi="Times New Roman"/>
        </w:rPr>
        <w:t> Adiciónese a la Ley 1266 de 2008 el artículo </w:t>
      </w:r>
      <w:hyperlink r:id="rId8" w:anchor="19B" w:history="1">
        <w:r w:rsidRPr="007C57D2">
          <w:rPr>
            <w:rStyle w:val="Hipervnculo"/>
            <w:rFonts w:ascii="Times New Roman" w:hAnsi="Times New Roman"/>
          </w:rPr>
          <w:t>19B</w:t>
        </w:r>
      </w:hyperlink>
      <w:r w:rsidRPr="007C57D2">
        <w:rPr>
          <w:rFonts w:ascii="Times New Roman" w:hAnsi="Times New Roman"/>
        </w:rPr>
        <w:t>, el cual quedará así:</w:t>
      </w:r>
    </w:p>
    <w:p w:rsidR="00D311A6" w:rsidRPr="007C57D2" w:rsidRDefault="007C57D2" w:rsidP="00F543B3">
      <w:pPr>
        <w:pStyle w:val="Textonotapie"/>
        <w:jc w:val="both"/>
        <w:rPr>
          <w:rFonts w:ascii="Times New Roman" w:hAnsi="Times New Roman"/>
        </w:rPr>
      </w:pPr>
      <w:r w:rsidRPr="007C57D2">
        <w:rPr>
          <w:rFonts w:ascii="Times New Roman" w:hAnsi="Times New Roman"/>
        </w:rPr>
        <w:t>Artículo </w:t>
      </w:r>
      <w:hyperlink r:id="rId9" w:anchor="19B" w:history="1">
        <w:r w:rsidRPr="007C57D2">
          <w:rPr>
            <w:rStyle w:val="Hipervnculo"/>
            <w:rFonts w:ascii="Times New Roman" w:hAnsi="Times New Roman"/>
          </w:rPr>
          <w:t>19B</w:t>
        </w:r>
      </w:hyperlink>
      <w:r w:rsidRPr="007C57D2">
        <w:rPr>
          <w:rFonts w:ascii="Times New Roman" w:hAnsi="Times New Roman"/>
        </w:rPr>
        <w:t>. Políticas internas efectivas.</w:t>
      </w:r>
      <w:r w:rsidRPr="007C57D2">
        <w:rPr>
          <w:rFonts w:ascii="Times New Roman" w:hAnsi="Times New Roman"/>
          <w:b/>
          <w:bCs/>
        </w:rPr>
        <w:t> </w:t>
      </w:r>
      <w:r w:rsidRPr="007C57D2">
        <w:rPr>
          <w:rFonts w:ascii="Times New Roman" w:hAnsi="Times New Roman"/>
        </w:rPr>
        <w:t xml:space="preserve">En cada caso, de acuerdo con las circunstancias mencionadas en los </w:t>
      </w:r>
      <w:r w:rsidRPr="007C57D2">
        <w:rPr>
          <w:rFonts w:ascii="Times New Roman" w:hAnsi="Times New Roman"/>
        </w:rPr>
        <w:t>numerales 1, 2, 3 y 4 del artículo anterior, las medidas efectivas y apropiadas implementadas por los operadores, fuentes y usuarios de información deberán garantizar:</w:t>
      </w:r>
    </w:p>
    <w:p w:rsidR="00D311A6" w:rsidRPr="007C57D2" w:rsidRDefault="007C57D2" w:rsidP="00F543B3">
      <w:pPr>
        <w:pStyle w:val="Textonotapie"/>
        <w:jc w:val="both"/>
        <w:rPr>
          <w:rFonts w:ascii="Times New Roman" w:hAnsi="Times New Roman"/>
        </w:rPr>
      </w:pPr>
      <w:r w:rsidRPr="007C57D2">
        <w:rPr>
          <w:rFonts w:ascii="Times New Roman" w:hAnsi="Times New Roman"/>
        </w:rPr>
        <w:t>1. La existencia de una organización administrativa proporcional a la estructura y tamañ</w:t>
      </w:r>
      <w:r w:rsidRPr="007C57D2">
        <w:rPr>
          <w:rFonts w:ascii="Times New Roman" w:hAnsi="Times New Roman"/>
        </w:rPr>
        <w:t>o empresarial del operador, fuente y usuario de información para la adopción e implementación de políticas consistentes con la Ley </w:t>
      </w:r>
      <w:hyperlink r:id="rId10" w:anchor="INICIO" w:history="1">
        <w:r w:rsidRPr="007C57D2">
          <w:rPr>
            <w:rStyle w:val="Hipervnculo"/>
            <w:rFonts w:ascii="Times New Roman" w:hAnsi="Times New Roman"/>
          </w:rPr>
          <w:t>1266</w:t>
        </w:r>
      </w:hyperlink>
      <w:r w:rsidRPr="007C57D2">
        <w:rPr>
          <w:rFonts w:ascii="Times New Roman" w:hAnsi="Times New Roman"/>
        </w:rPr>
        <w:t> de 2008.</w:t>
      </w:r>
    </w:p>
    <w:p w:rsidR="00D311A6" w:rsidRPr="007C57D2" w:rsidRDefault="007C57D2" w:rsidP="00F543B3">
      <w:pPr>
        <w:pStyle w:val="Textonotapie"/>
        <w:jc w:val="both"/>
        <w:rPr>
          <w:rFonts w:ascii="Times New Roman" w:hAnsi="Times New Roman"/>
        </w:rPr>
      </w:pPr>
      <w:r w:rsidRPr="007C57D2">
        <w:rPr>
          <w:rFonts w:ascii="Times New Roman" w:hAnsi="Times New Roman"/>
        </w:rPr>
        <w:t>2. La adopción</w:t>
      </w:r>
      <w:r w:rsidRPr="007C57D2">
        <w:rPr>
          <w:rFonts w:ascii="Times New Roman" w:hAnsi="Times New Roman"/>
        </w:rPr>
        <w:t xml:space="preserve"> de mecanismos internos para poner en práctica estas políticas incluyendo herramientas de implementación, entrenamiento y programas de educación.</w:t>
      </w:r>
    </w:p>
    <w:p w:rsidR="00D311A6" w:rsidRPr="007C57D2" w:rsidRDefault="007C57D2" w:rsidP="00F543B3">
      <w:pPr>
        <w:pStyle w:val="Textonotapie"/>
        <w:jc w:val="both"/>
        <w:rPr>
          <w:rFonts w:ascii="Times New Roman" w:hAnsi="Times New Roman"/>
        </w:rPr>
      </w:pPr>
      <w:r w:rsidRPr="007C57D2">
        <w:rPr>
          <w:rFonts w:ascii="Times New Roman" w:hAnsi="Times New Roman"/>
        </w:rPr>
        <w:t>3. La adopción de procesos para la atención y respuesta a consultas, peticiones y reclamos de los titulares, c</w:t>
      </w:r>
      <w:r w:rsidRPr="007C57D2">
        <w:rPr>
          <w:rFonts w:ascii="Times New Roman" w:hAnsi="Times New Roman"/>
        </w:rPr>
        <w:t>on respecto a cualquier aspecto del tratamiento. La existencia de medidas y políticas específicas para el tratamiento adecuado de los datos personales por parte de los operadores, fuentes y usuarios de información será tenida en cuenta al momento de evalua</w:t>
      </w:r>
      <w:r w:rsidRPr="007C57D2">
        <w:rPr>
          <w:rFonts w:ascii="Times New Roman" w:hAnsi="Times New Roman"/>
        </w:rPr>
        <w:t>r la imposición de sanciones por violación a los deberes y obligaciones establecidos en la ley. Especial énfasis debe hacerse en asegurar la calidad de la información, la comunicación previa para el reporte de información negativa, la confidencialidad y se</w:t>
      </w:r>
      <w:r w:rsidRPr="007C57D2">
        <w:rPr>
          <w:rFonts w:ascii="Times New Roman" w:hAnsi="Times New Roman"/>
        </w:rPr>
        <w:t>guridad de la misma, así como la debida y oportuna atención de las consultas o reclamos de los titulares de los datos.” (Ley Estatutaria 2157 de 2021)</w:t>
      </w:r>
      <w:r w:rsidRPr="007C57D2">
        <w:rPr>
          <w:rFonts w:ascii="Times New Roman" w:hAnsi="Times New Roman"/>
        </w:rPr>
        <w:t xml:space="preserve">. Artículo declarado constitucional mediante la </w:t>
      </w:r>
      <w:r w:rsidRPr="007C57D2">
        <w:rPr>
          <w:rFonts w:ascii="Times New Roman" w:hAnsi="Times New Roman"/>
        </w:rPr>
        <w:t>S</w:t>
      </w:r>
      <w:r w:rsidRPr="007C57D2">
        <w:rPr>
          <w:rFonts w:ascii="Times New Roman" w:hAnsi="Times New Roman"/>
        </w:rPr>
        <w:t>entencia C-282 de 2021 de la Corte Constitucional.</w:t>
      </w:r>
    </w:p>
    <w:p w:rsidR="00D311A6" w:rsidRPr="007C57D2" w:rsidRDefault="007C57D2" w:rsidP="00F543B3">
      <w:pPr>
        <w:pStyle w:val="Textonotapie"/>
        <w:jc w:val="both"/>
        <w:rPr>
          <w:rFonts w:ascii="Times New Roman" w:hAnsi="Times New Roman"/>
        </w:rPr>
      </w:pPr>
    </w:p>
    <w:p w:rsidR="00D311A6" w:rsidRPr="007C57D2" w:rsidRDefault="007C57D2" w:rsidP="00F543B3">
      <w:pPr>
        <w:pStyle w:val="Textonotapie"/>
        <w:jc w:val="both"/>
        <w:rPr>
          <w:rFonts w:ascii="Times New Roman" w:hAnsi="Times New Roman"/>
        </w:rPr>
      </w:pPr>
    </w:p>
  </w:footnote>
  <w:footnote w:id="54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w:t>
      </w:r>
      <w:r w:rsidRPr="007C57D2">
        <w:rPr>
          <w:rFonts w:ascii="Times New Roman" w:hAnsi="Times New Roman"/>
        </w:rPr>
        <w:t>r. Artículo 13 de la Ley Estatutaria 2157 de 2021.</w:t>
      </w:r>
    </w:p>
  </w:footnote>
  <w:footnote w:id="548">
    <w:p w:rsidR="003D7E2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C-282 de 2021</w:t>
      </w:r>
      <w:r w:rsidRPr="007C57D2">
        <w:rPr>
          <w:rFonts w:ascii="Times New Roman" w:hAnsi="Times New Roman"/>
          <w:lang w:val="pt-BR"/>
        </w:rPr>
        <w:t>.</w:t>
      </w:r>
    </w:p>
  </w:footnote>
  <w:footnote w:id="549">
    <w:p w:rsidR="00D72D97"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T-360 de 2022.</w:t>
      </w:r>
    </w:p>
  </w:footnote>
  <w:footnote w:id="55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Estas medidas pueden ser de naturaleza administrativa, organizacional, estratégica, tecnológica, humanas y de gestión que involucran procesos y procedimientos</w:t>
      </w:r>
      <w:r w:rsidRPr="007C57D2">
        <w:rPr>
          <w:rFonts w:ascii="Times New Roman" w:hAnsi="Times New Roman"/>
        </w:rPr>
        <w:t xml:space="preserve"> útiles y eficientes para cumplir las reglas sobre tratamiento de datos personales</w:t>
      </w:r>
      <w:r w:rsidRPr="007C57D2">
        <w:rPr>
          <w:rFonts w:ascii="Times New Roman" w:hAnsi="Times New Roman"/>
        </w:rPr>
        <w:t xml:space="preserve">. </w:t>
      </w:r>
    </w:p>
  </w:footnote>
  <w:footnote w:id="551">
    <w:p w:rsidR="00D44F69"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 xml:space="preserve"> </w:t>
      </w:r>
      <w:r w:rsidRPr="007C57D2">
        <w:rPr>
          <w:rFonts w:ascii="Times New Roman" w:hAnsi="Times New Roman"/>
        </w:rPr>
        <w:t>Cfr. Cort</w:t>
      </w:r>
      <w:r w:rsidRPr="007C57D2">
        <w:rPr>
          <w:rFonts w:ascii="Times New Roman" w:hAnsi="Times New Roman"/>
        </w:rPr>
        <w:t xml:space="preserve">e Constitucional, </w:t>
      </w:r>
      <w:r w:rsidRPr="007C57D2">
        <w:rPr>
          <w:rFonts w:ascii="Times New Roman" w:hAnsi="Times New Roman"/>
        </w:rPr>
        <w:t>s</w:t>
      </w:r>
      <w:r w:rsidRPr="007C57D2">
        <w:rPr>
          <w:rFonts w:ascii="Times New Roman" w:hAnsi="Times New Roman"/>
        </w:rPr>
        <w:t>entencias C-113 de 1993 y C-037 de 1996 (c</w:t>
      </w:r>
      <w:r w:rsidRPr="007C57D2">
        <w:rPr>
          <w:rFonts w:ascii="Times New Roman" w:hAnsi="Times New Roman"/>
          <w:lang w:val="es-ES_tradnl"/>
        </w:rPr>
        <w:t xml:space="preserve">itadas en la </w:t>
      </w:r>
      <w:r w:rsidRPr="007C57D2">
        <w:rPr>
          <w:rFonts w:ascii="Times New Roman" w:hAnsi="Times New Roman"/>
          <w:lang w:val="es-ES_tradnl"/>
        </w:rPr>
        <w:t>S</w:t>
      </w:r>
      <w:r w:rsidRPr="007C57D2">
        <w:rPr>
          <w:rFonts w:ascii="Times New Roman" w:hAnsi="Times New Roman"/>
          <w:lang w:val="es-ES_tradnl"/>
        </w:rPr>
        <w:t>entencia C-315 de 2023)</w:t>
      </w:r>
    </w:p>
  </w:footnote>
  <w:footnote w:id="552">
    <w:p w:rsidR="00D44F69"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Cfr.,</w:t>
      </w:r>
      <w:r w:rsidRPr="007C57D2">
        <w:rPr>
          <w:rFonts w:ascii="Times New Roman" w:hAnsi="Times New Roman"/>
          <w:i/>
          <w:iCs/>
        </w:rPr>
        <w:t> </w:t>
      </w:r>
      <w:r w:rsidRPr="007C57D2">
        <w:rPr>
          <w:rFonts w:ascii="Times New Roman" w:hAnsi="Times New Roman"/>
        </w:rPr>
        <w:t xml:space="preserve">Corte Constitucional, </w:t>
      </w:r>
      <w:r w:rsidRPr="007C57D2">
        <w:rPr>
          <w:rFonts w:ascii="Times New Roman" w:hAnsi="Times New Roman"/>
        </w:rPr>
        <w:t>s</w:t>
      </w:r>
      <w:r w:rsidRPr="007C57D2">
        <w:rPr>
          <w:rFonts w:ascii="Times New Roman" w:hAnsi="Times New Roman"/>
        </w:rPr>
        <w:t>entencias C-690 de 1996 y C-038 de 2006 (c</w:t>
      </w:r>
      <w:r w:rsidRPr="007C57D2">
        <w:rPr>
          <w:rFonts w:ascii="Times New Roman" w:hAnsi="Times New Roman"/>
          <w:lang w:val="es-ES_tradnl"/>
        </w:rPr>
        <w:t xml:space="preserve">itadas en la </w:t>
      </w:r>
      <w:r w:rsidRPr="007C57D2">
        <w:rPr>
          <w:rFonts w:ascii="Times New Roman" w:hAnsi="Times New Roman"/>
          <w:lang w:val="es-ES_tradnl"/>
        </w:rPr>
        <w:t>S</w:t>
      </w:r>
      <w:r w:rsidRPr="007C57D2">
        <w:rPr>
          <w:rFonts w:ascii="Times New Roman" w:hAnsi="Times New Roman"/>
          <w:lang w:val="es-ES_tradnl"/>
        </w:rPr>
        <w:t>entencia C-315 de 2023)</w:t>
      </w:r>
    </w:p>
    <w:p w:rsidR="00D44F69" w:rsidRPr="007C57D2" w:rsidRDefault="007C57D2" w:rsidP="00F543B3">
      <w:pPr>
        <w:pStyle w:val="Textonotapie"/>
        <w:jc w:val="both"/>
        <w:rPr>
          <w:rFonts w:ascii="Times New Roman" w:hAnsi="Times New Roman"/>
          <w:lang w:val="es-ES_tradnl"/>
        </w:rPr>
      </w:pPr>
    </w:p>
  </w:footnote>
  <w:footnote w:id="553">
    <w:p w:rsidR="00D44F69"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C-315 de 2023</w:t>
      </w:r>
    </w:p>
  </w:footnote>
  <w:footnote w:id="55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_tradnl"/>
        </w:rPr>
        <w:t>Corte Constitucional, sentencias C-228 de 2008, C-740 de 2008, C-468 de 2009, C-442 de 2021 y C-039 de 2025, entre otras.</w:t>
      </w:r>
    </w:p>
  </w:footnote>
  <w:footnote w:id="555">
    <w:p w:rsidR="001E19D5" w:rsidRPr="007C57D2" w:rsidRDefault="007C57D2" w:rsidP="00F543B3">
      <w:pPr>
        <w:pStyle w:val="Textonotapie"/>
        <w:jc w:val="both"/>
        <w:rPr>
          <w:rFonts w:ascii="Times New Roman" w:hAnsi="Times New Roman"/>
          <w:lang w:val="es-ES_tradnl"/>
        </w:rPr>
      </w:pPr>
      <w:r w:rsidRPr="007C57D2">
        <w:rPr>
          <w:rStyle w:val="Refdenotaalpie"/>
          <w:rFonts w:ascii="Times New Roman" w:hAnsi="Times New Roman"/>
        </w:rPr>
        <w:footnoteRef/>
      </w:r>
      <w:r w:rsidRPr="007C57D2">
        <w:rPr>
          <w:rFonts w:ascii="Times New Roman" w:hAnsi="Times New Roman"/>
        </w:rPr>
        <w:t xml:space="preserve"> Así lo dispone la Ley 971 de 2005 sobre el Mecanismo de Búsqueda Urgente, declarada</w:t>
      </w:r>
      <w:r w:rsidRPr="007C57D2">
        <w:rPr>
          <w:rFonts w:ascii="Times New Roman" w:hAnsi="Times New Roman"/>
        </w:rPr>
        <w:t xml:space="preserve"> exequible en la Sentencia C-473 de 2005, y lo reafirman los Principios Rectores para la Búsqueda de Personas Desaparecidas del Comité de la ONU contra la Desaparición Forzada.</w:t>
      </w:r>
    </w:p>
  </w:footnote>
  <w:footnote w:id="556">
    <w:p w:rsidR="001E19D5"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Los datos mínimos solicitados son: (i) nombres y apellidos del niño o niña; (</w:t>
      </w:r>
      <w:r w:rsidRPr="007C57D2">
        <w:rPr>
          <w:rFonts w:ascii="Times New Roman" w:hAnsi="Times New Roman"/>
          <w:szCs w:val="20"/>
        </w:rPr>
        <w:t>ii) número de identificación; (iii) sexo; (iv) edad aproximada; (v) descripción física; (vi) última fotografía que garantice su individualización; (vii) descripción de la última vestimenta con la que fue visto, si se llegase a contar con dicha información;</w:t>
      </w:r>
      <w:r w:rsidRPr="007C57D2">
        <w:rPr>
          <w:rFonts w:ascii="Times New Roman" w:hAnsi="Times New Roman"/>
          <w:szCs w:val="20"/>
        </w:rPr>
        <w:t xml:space="preserve"> (viii) fecha, hora y lugar en la que se reporta la desaparición del niño o niña, si se llegase a contar con dicha información; (ix) información de contacto de los padres, representantes legales, quien ostente la custodia o cuidadores, familiares del niño </w:t>
      </w:r>
      <w:r w:rsidRPr="007C57D2">
        <w:rPr>
          <w:rFonts w:ascii="Times New Roman" w:hAnsi="Times New Roman"/>
          <w:szCs w:val="20"/>
        </w:rPr>
        <w:t>o niña, incluyendo números de teléfono y direcciones de correo electrónico, si se llegase a contar con dicha información.</w:t>
      </w:r>
    </w:p>
  </w:footnote>
  <w:footnote w:id="55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C-748 de 2011. </w:t>
      </w:r>
    </w:p>
  </w:footnote>
  <w:footnote w:id="55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Los menores de dieciocho años son sujetos de especial protección constitucional, cuyos derechos e intereses tienen un carácter superior y prevalente. Bajo esta concepción se integra a nuestro ordenamiento jurídico el principio del interés superior del niñ</w:t>
      </w:r>
      <w:r w:rsidRPr="007C57D2">
        <w:rPr>
          <w:rFonts w:ascii="Times New Roman" w:hAnsi="Times New Roman"/>
        </w:rPr>
        <w:t>o, que fue consagrado por primera vez en la Declaración de Ginebra de 1924, sobre derechos del niño, el cual fue posteriormente reproducido en otros instrumentos internacionales y en la Constitución Política, en su artículo 44.</w:t>
      </w:r>
    </w:p>
  </w:footnote>
  <w:footnote w:id="559">
    <w:p w:rsidR="001E19D5"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lang w:val="es-ES"/>
        </w:rPr>
        <w:t xml:space="preserve">Ley 12 de 1991 </w:t>
      </w:r>
      <w:r w:rsidRPr="007C57D2">
        <w:rPr>
          <w:rFonts w:ascii="Times New Roman" w:hAnsi="Times New Roman"/>
          <w:szCs w:val="20"/>
        </w:rPr>
        <w:t xml:space="preserve">“Por medio </w:t>
      </w:r>
      <w:r w:rsidRPr="007C57D2">
        <w:rPr>
          <w:rFonts w:ascii="Times New Roman" w:hAnsi="Times New Roman"/>
          <w:szCs w:val="20"/>
        </w:rPr>
        <w:t>de la cual se aprueba la Convención sobre los Derechos Del Niño adoptada por la Asamblea General de las Naciones Unidas el 20 de noviembre de 1989”.</w:t>
      </w:r>
    </w:p>
  </w:footnote>
  <w:footnote w:id="560">
    <w:p w:rsidR="001E19D5" w:rsidRPr="007C57D2" w:rsidRDefault="007C57D2" w:rsidP="00F543B3">
      <w:pPr>
        <w:spacing w:after="0" w:line="240" w:lineRule="auto"/>
        <w:jc w:val="both"/>
        <w:rPr>
          <w:rFonts w:ascii="Times New Roman" w:hAnsi="Times New Roman"/>
          <w:szCs w:val="20"/>
        </w:rPr>
      </w:pPr>
      <w:r w:rsidRPr="007C57D2">
        <w:rPr>
          <w:rStyle w:val="Refdenotaalpie"/>
          <w:rFonts w:ascii="Times New Roman" w:hAnsi="Times New Roman"/>
          <w:szCs w:val="20"/>
        </w:rPr>
        <w:footnoteRef/>
      </w:r>
      <w:r w:rsidRPr="007C57D2">
        <w:rPr>
          <w:rFonts w:ascii="Times New Roman" w:hAnsi="Times New Roman"/>
          <w:szCs w:val="20"/>
        </w:rPr>
        <w:t xml:space="preserve"> Ley 1418 de 2010 </w:t>
      </w:r>
      <w:r w:rsidRPr="007C57D2">
        <w:rPr>
          <w:rFonts w:ascii="Times New Roman" w:hAnsi="Times New Roman"/>
          <w:szCs w:val="20"/>
          <w:shd w:val="clear" w:color="auto" w:fill="FFFFFF"/>
        </w:rPr>
        <w:t xml:space="preserve">“Por medio de la cual se aprueba la ‘Convención Internacional para la Protección de </w:t>
      </w:r>
      <w:r w:rsidRPr="007C57D2">
        <w:rPr>
          <w:rFonts w:ascii="Times New Roman" w:hAnsi="Times New Roman"/>
          <w:szCs w:val="20"/>
          <w:shd w:val="clear" w:color="auto" w:fill="FFFFFF"/>
        </w:rPr>
        <w:t>todas las Personas contra las Desapariciones Forzadas’, adoptada en Nueva York el 20 de diciembre de 2006”.</w:t>
      </w:r>
    </w:p>
  </w:footnote>
  <w:footnote w:id="561">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Expediente digital, PE 0000059 Conceptos e Intervenciones (24-04-2025), p. 18.</w:t>
      </w:r>
    </w:p>
  </w:footnote>
  <w:footnote w:id="56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3 del PLE.</w:t>
      </w:r>
    </w:p>
  </w:footnote>
  <w:footnote w:id="563">
    <w:p w:rsidR="001E19D5" w:rsidRPr="007C57D2" w:rsidRDefault="007C57D2" w:rsidP="00F543B3">
      <w:pPr>
        <w:spacing w:after="0" w:line="240" w:lineRule="auto"/>
        <w:jc w:val="both"/>
        <w:rPr>
          <w:rFonts w:ascii="Times New Roman" w:hAnsi="Times New Roman"/>
          <w:szCs w:val="20"/>
          <w:lang w:val="es-ES"/>
        </w:rPr>
      </w:pPr>
      <w:r w:rsidRPr="007C57D2">
        <w:rPr>
          <w:rStyle w:val="Refdenotaalpie"/>
          <w:rFonts w:ascii="Times New Roman" w:hAnsi="Times New Roman"/>
          <w:szCs w:val="20"/>
        </w:rPr>
        <w:footnoteRef/>
      </w:r>
      <w:r w:rsidRPr="007C57D2">
        <w:rPr>
          <w:rFonts w:ascii="Times New Roman" w:hAnsi="Times New Roman"/>
          <w:szCs w:val="20"/>
        </w:rPr>
        <w:t xml:space="preserve"> MinTIC, “</w:t>
      </w:r>
      <w:r w:rsidRPr="007C57D2">
        <w:rPr>
          <w:rStyle w:val="CitaHTML"/>
          <w:rFonts w:ascii="Times New Roman" w:hAnsi="Times New Roman"/>
          <w:i w:val="0"/>
          <w:iCs w:val="0"/>
          <w:szCs w:val="20"/>
          <w:shd w:val="clear" w:color="auto" w:fill="FFFFFF"/>
        </w:rPr>
        <w:t>Barreras que impiden la masificaci</w:t>
      </w:r>
      <w:r w:rsidRPr="007C57D2">
        <w:rPr>
          <w:rStyle w:val="CitaHTML"/>
          <w:rFonts w:ascii="Times New Roman" w:hAnsi="Times New Roman"/>
          <w:i w:val="0"/>
          <w:iCs w:val="0"/>
          <w:szCs w:val="20"/>
          <w:shd w:val="clear" w:color="auto" w:fill="FFFFFF"/>
        </w:rPr>
        <w:t>ón de internet. MINTIC Colombia”. Documento electrónico disponible en:</w:t>
      </w:r>
      <w:r w:rsidRPr="007C57D2">
        <w:rPr>
          <w:rFonts w:ascii="Times New Roman" w:hAnsi="Times New Roman"/>
          <w:szCs w:val="20"/>
          <w:lang w:val="es-ES"/>
        </w:rPr>
        <w:t xml:space="preserve"> </w:t>
      </w:r>
      <w:r w:rsidRPr="007C57D2">
        <w:rPr>
          <w:rStyle w:val="CitaHTML"/>
          <w:rFonts w:ascii="Times New Roman" w:hAnsi="Times New Roman"/>
          <w:i w:val="0"/>
          <w:iCs w:val="0"/>
          <w:szCs w:val="20"/>
          <w:shd w:val="clear" w:color="auto" w:fill="FFFFFF"/>
        </w:rPr>
        <w:t xml:space="preserve">https://mintic.gov.co › vivedigital › w3-article-1519. </w:t>
      </w:r>
    </w:p>
  </w:footnote>
  <w:footnote w:id="564">
    <w:p w:rsidR="001E19D5" w:rsidRPr="007C57D2" w:rsidRDefault="007C57D2" w:rsidP="00F543B3">
      <w:pPr>
        <w:spacing w:after="0" w:line="240" w:lineRule="auto"/>
        <w:jc w:val="both"/>
        <w:rPr>
          <w:rFonts w:ascii="Times New Roman" w:hAnsi="Times New Roman"/>
          <w:szCs w:val="20"/>
          <w:lang w:val="es-ES"/>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Fonts w:ascii="Times New Roman" w:hAnsi="Times New Roman"/>
          <w:szCs w:val="20"/>
          <w:shd w:val="clear" w:color="auto" w:fill="FFFFFF"/>
        </w:rPr>
        <w:t>Universidad Externado de Colombia, “Aumento del reclutamiento de menores en el 2024”. Documento electrónico disponible en:</w:t>
      </w:r>
      <w:r w:rsidRPr="007C57D2">
        <w:rPr>
          <w:rFonts w:ascii="Times New Roman" w:hAnsi="Times New Roman"/>
          <w:szCs w:val="20"/>
        </w:rPr>
        <w:t xml:space="preserve"> </w:t>
      </w:r>
      <w:r w:rsidRPr="007C57D2">
        <w:rPr>
          <w:rFonts w:ascii="Times New Roman" w:hAnsi="Times New Roman"/>
          <w:szCs w:val="20"/>
          <w:shd w:val="clear" w:color="auto" w:fill="FFFFFF"/>
        </w:rPr>
        <w:t>http</w:t>
      </w:r>
      <w:r w:rsidRPr="007C57D2">
        <w:rPr>
          <w:rFonts w:ascii="Times New Roman" w:hAnsi="Times New Roman"/>
          <w:szCs w:val="20"/>
          <w:shd w:val="clear" w:color="auto" w:fill="FFFFFF"/>
        </w:rPr>
        <w:t xml:space="preserve">s://www.uexternado.edu.co › agencia-de-noticias. </w:t>
      </w:r>
    </w:p>
  </w:footnote>
  <w:footnote w:id="565">
    <w:p w:rsidR="001E19D5" w:rsidRPr="007C57D2" w:rsidRDefault="007C57D2" w:rsidP="00F543B3">
      <w:pPr>
        <w:spacing w:after="0" w:line="240" w:lineRule="auto"/>
        <w:jc w:val="both"/>
        <w:rPr>
          <w:rFonts w:ascii="Times New Roman" w:hAnsi="Times New Roman"/>
          <w:szCs w:val="20"/>
          <w:lang w:val="es-ES"/>
        </w:rPr>
      </w:pPr>
      <w:r w:rsidRPr="007C57D2">
        <w:rPr>
          <w:rStyle w:val="Refdenotaalpie"/>
          <w:rFonts w:ascii="Times New Roman" w:hAnsi="Times New Roman"/>
          <w:szCs w:val="20"/>
        </w:rPr>
        <w:footnoteRef/>
      </w:r>
      <w:r w:rsidRPr="007C57D2">
        <w:rPr>
          <w:rFonts w:ascii="Times New Roman" w:hAnsi="Times New Roman"/>
          <w:szCs w:val="20"/>
        </w:rPr>
        <w:t xml:space="preserve"> </w:t>
      </w:r>
      <w:r w:rsidRPr="007C57D2">
        <w:rPr>
          <w:rStyle w:val="nfasis"/>
          <w:rFonts w:ascii="Times New Roman" w:hAnsi="Times New Roman"/>
          <w:i w:val="0"/>
          <w:iCs w:val="0"/>
          <w:szCs w:val="20"/>
          <w:shd w:val="clear" w:color="auto" w:fill="FFFFFF"/>
        </w:rPr>
        <w:t>“Por la cual se expide el Código Nacional de Seguridad y Convivencia Ciudadana”.</w:t>
      </w:r>
    </w:p>
  </w:footnote>
  <w:footnote w:id="566">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Corte Constitucional, Sentencia SU-167 de 2024.</w:t>
      </w:r>
    </w:p>
  </w:footnote>
  <w:footnote w:id="56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 subsidio de la inexequibilidad, la CRC solicitó la exequibilidad condicionada de los artículos 6 y 10 del Proyecto de Ley. Dado que su fundamento es el mismo para la pretensión de declaratoria de inconstitucionalidad de la norma, se abordará en la mism</w:t>
      </w:r>
      <w:r w:rsidRPr="007C57D2">
        <w:rPr>
          <w:rFonts w:ascii="Times New Roman" w:hAnsi="Times New Roman"/>
        </w:rPr>
        <w:t>a sección.</w:t>
      </w:r>
    </w:p>
  </w:footnote>
  <w:footnote w:id="56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“Concepto del Viceprocurador General de la Nación”. Disponible en: https://www.corteconstitucional.gov.co/secretaria/archivo.php?id=116414.</w:t>
      </w:r>
    </w:p>
  </w:footnote>
  <w:footnote w:id="56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“Intervención - Fiscalía Genera</w:t>
      </w:r>
      <w:r w:rsidRPr="007C57D2">
        <w:rPr>
          <w:rFonts w:ascii="Times New Roman" w:hAnsi="Times New Roman"/>
        </w:rPr>
        <w:t>l de la Nación”. Disponible en: https://www.corteconstitucional.gov.co/secretaria/archivo.php?id=101356</w:t>
      </w:r>
      <w:r w:rsidRPr="007C57D2">
        <w:rPr>
          <w:rStyle w:val="Hipervnculo"/>
          <w:rFonts w:ascii="Times New Roman" w:hAnsi="Times New Roman"/>
          <w:color w:val="auto"/>
        </w:rPr>
        <w:t>.</w:t>
      </w:r>
      <w:r w:rsidRPr="007C57D2">
        <w:rPr>
          <w:rFonts w:ascii="Times New Roman" w:hAnsi="Times New Roman"/>
        </w:rPr>
        <w:t xml:space="preserve"> </w:t>
      </w:r>
    </w:p>
  </w:footnote>
  <w:footnote w:id="57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Previsto en el Decreto 1428 de 2024. Está concebido como una herramienta que se active para ubicar a las personas que se presumen desaparecidas. Cua</w:t>
      </w:r>
      <w:r w:rsidRPr="007C57D2">
        <w:rPr>
          <w:rFonts w:ascii="Times New Roman" w:hAnsi="Times New Roman"/>
        </w:rPr>
        <w:t>lquier persona puede pedir su activación ante un juez o un fiscal.</w:t>
      </w:r>
    </w:p>
  </w:footnote>
  <w:footnote w:id="57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“Conceptos e Intervenciones”. Disponible en: https://www.corteconstitucional.gov.co/secretaria/archivo.php?id=105890 </w:t>
      </w:r>
    </w:p>
  </w:footnote>
  <w:footnote w:id="57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Esto incluye la evaluación del p</w:t>
      </w:r>
      <w:r w:rsidRPr="007C57D2">
        <w:rPr>
          <w:rFonts w:ascii="Times New Roman" w:hAnsi="Times New Roman"/>
        </w:rPr>
        <w:t>osible impacto psicológico en la población, el control sobre la cantidad y duración de las notificaciones, y la obligación de minimizar los datos personales divulgados, preservando siempre la imagen y privacidad del niño o niña.</w:t>
      </w:r>
    </w:p>
  </w:footnote>
  <w:footnote w:id="57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w:t>
      </w:r>
      <w:r w:rsidRPr="007C57D2">
        <w:rPr>
          <w:rFonts w:ascii="Times New Roman" w:hAnsi="Times New Roman"/>
        </w:rPr>
        <w:t xml:space="preserve">, archivo “Conceptos e Intervenciones”. Disponible en: https://www.corteconstitucional.gov.co/secretaria/archivo.php?id=105880 </w:t>
      </w:r>
    </w:p>
  </w:footnote>
  <w:footnote w:id="57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Decreto 1428 de 2024, donde se desarrollan varios aspectos relevantes para la implementación de la Alerta Rosa.</w:t>
      </w:r>
    </w:p>
  </w:footnote>
  <w:footnote w:id="57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w:t>
      </w:r>
      <w:r w:rsidRPr="007C57D2">
        <w:rPr>
          <w:rFonts w:ascii="Times New Roman" w:hAnsi="Times New Roman"/>
        </w:rPr>
        <w:t xml:space="preserve">e digital PE-059, archivo “Conceptos e Intervenciones”. Disponible en: https://www.corteconstitucional.gov.co/secretaria/archivo.php?id=105985 </w:t>
      </w:r>
    </w:p>
  </w:footnote>
  <w:footnote w:id="57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Se refiere a la Resolución CRC No. 6141 de 2021 y a la Ley 2326 de 2023.</w:t>
      </w:r>
    </w:p>
  </w:footnote>
  <w:footnote w:id="57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w:t>
      </w:r>
      <w:r w:rsidRPr="007C57D2">
        <w:rPr>
          <w:rFonts w:ascii="Times New Roman" w:hAnsi="Times New Roman"/>
        </w:rPr>
        <w:t xml:space="preserve">“Conceptos e Intervenciones”. Disponible en: https://www.corteconstitucional.gov.co/secretaria/archivo.php?id=105269 </w:t>
      </w:r>
    </w:p>
  </w:footnote>
  <w:footnote w:id="57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“Intervención - Universidad del Norte”. Disponible en: https://www.corteconstitucional.gov.co/secreta</w:t>
      </w:r>
      <w:r w:rsidRPr="007C57D2">
        <w:rPr>
          <w:rFonts w:ascii="Times New Roman" w:hAnsi="Times New Roman"/>
        </w:rPr>
        <w:t xml:space="preserve">ria/archivo.php?id=105478 </w:t>
      </w:r>
    </w:p>
  </w:footnote>
  <w:footnote w:id="57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“Conceptos e Intervenciones”. Disponible en: https://www.corteconstitucional.gov.co/secretaria/archivo.php?id=105870 </w:t>
      </w:r>
    </w:p>
  </w:footnote>
  <w:footnote w:id="58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Prevista en el artículo 50 de la Ley 1978 de 2019.</w:t>
      </w:r>
    </w:p>
  </w:footnote>
  <w:footnote w:id="58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 organismos como </w:t>
      </w:r>
      <w:r w:rsidRPr="007C57D2">
        <w:rPr>
          <w:rFonts w:ascii="Times New Roman" w:hAnsi="Times New Roman"/>
        </w:rPr>
        <w:t>la Unión Internacional de Telecomunicaciones (UIT) y la Organización Meteorológica Mundial (OMM).</w:t>
      </w:r>
    </w:p>
  </w:footnote>
  <w:footnote w:id="58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Common Alerting Protocol o CAP, por sus siglas en inglés.</w:t>
      </w:r>
    </w:p>
  </w:footnote>
  <w:footnote w:id="58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ejemplo, por medio de redes de telecomunicaciones móviles y fijas, redes de radiodifusión de</w:t>
      </w:r>
      <w:r w:rsidRPr="007C57D2">
        <w:rPr>
          <w:rFonts w:ascii="Times New Roman" w:hAnsi="Times New Roman"/>
        </w:rPr>
        <w:t xml:space="preserve"> radio y televisión, redes de televisión por suscripción, Internet, redes sociales, carteles publicitarios y sistemas de difusión pública, entre otros.</w:t>
      </w:r>
    </w:p>
  </w:footnote>
  <w:footnote w:id="58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“Conceptos e Intervenciones”, p. Disponible en: https://www.corteconstitucional.gov.co/secretaria/archivo.php?id=105870. Se fundamenta en el documento soporte de diseño regulatorio de “medidas para localización de menore</w:t>
      </w:r>
      <w:r w:rsidRPr="007C57D2">
        <w:rPr>
          <w:rFonts w:ascii="Times New Roman" w:hAnsi="Times New Roman"/>
        </w:rPr>
        <w:t xml:space="preserve">s de edad”. Publicado en diciembre de 2020 y disponible en: https://www.crcom.gov.co/system/files/Proyectos%20Comentarios/2000-59-5/Propuestas/documento_soporte_localizacion_de_menores_publicado.pdf </w:t>
      </w:r>
    </w:p>
  </w:footnote>
  <w:footnote w:id="58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 la intervención se resalta que el Congreso tuvo la </w:t>
      </w:r>
      <w:r w:rsidRPr="007C57D2">
        <w:rPr>
          <w:rFonts w:ascii="Times New Roman" w:hAnsi="Times New Roman"/>
        </w:rPr>
        <w:t>intención de crear una nueva alerta, y que la Comisión y algunos congresistas pusieron de presente la existencia de la Alerta Rosa durante el trámite del Proyecto de Ley Sara Sofía. Se alega que la justificación que dieron los ponentes para su expedición p</w:t>
      </w:r>
      <w:r w:rsidRPr="007C57D2">
        <w:rPr>
          <w:rFonts w:ascii="Times New Roman" w:hAnsi="Times New Roman"/>
        </w:rPr>
        <w:t>artía de una premisa contraria a la realidad, pues sostuvieron que la Alerta Rosa no tenía un mecanismo especializado y que carecía del componente tecnológico.</w:t>
      </w:r>
    </w:p>
  </w:footnote>
  <w:footnote w:id="58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Comisión indica que se incrementarían los costos de inversión (CAPEX) y de operación (OPEX)</w:t>
      </w:r>
      <w:r w:rsidRPr="007C57D2">
        <w:rPr>
          <w:rFonts w:ascii="Times New Roman" w:hAnsi="Times New Roman"/>
        </w:rPr>
        <w:t>.</w:t>
      </w:r>
    </w:p>
  </w:footnote>
  <w:footnote w:id="58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Difusión de imágenes que ocupen por lo menos el 70% de la pantalla y de texto, señal de alerta en color rojo, cobertura de la pantalla mínimo por 10 segundos e imposibilidad de eliminar la alerta antes de dicho tiempo.</w:t>
      </w:r>
    </w:p>
  </w:footnote>
  <w:footnote w:id="58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Considera que es una limitación</w:t>
      </w:r>
      <w:r w:rsidRPr="007C57D2">
        <w:rPr>
          <w:rFonts w:ascii="Times New Roman" w:hAnsi="Times New Roman"/>
        </w:rPr>
        <w:t xml:space="preserve"> de la libertad de empresa de los proveedores de redes y servicios de telecomunicaciones, que debe evaluarse en un test leve de proporcionalidad.</w:t>
      </w:r>
    </w:p>
  </w:footnote>
  <w:footnote w:id="58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“Conceptos e Intervenciones”. Disponible en: https://www.corteconstitucio</w:t>
      </w:r>
      <w:r w:rsidRPr="007C57D2">
        <w:rPr>
          <w:rFonts w:ascii="Times New Roman" w:hAnsi="Times New Roman"/>
        </w:rPr>
        <w:t xml:space="preserve">nal.gov.co/secretaria/archivo.php?id=105866 </w:t>
      </w:r>
    </w:p>
  </w:footnote>
  <w:footnote w:id="59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Alerta Rosa establecida por la Ley 2326 de 2023, el Sistema de Alerta Nacional reglamentado por la CRC en 2021 y el mecanismo de búsqueda urgente en el marco de las competencias que ejerce la Fiscalía Gener</w:t>
      </w:r>
      <w:r w:rsidRPr="007C57D2">
        <w:rPr>
          <w:rFonts w:ascii="Times New Roman" w:hAnsi="Times New Roman"/>
        </w:rPr>
        <w:t>al de la Nación y las autoridades de policía.</w:t>
      </w:r>
    </w:p>
  </w:footnote>
  <w:footnote w:id="59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Cada una con su Comité, su base de datos, su cadena de comunicaciones.</w:t>
      </w:r>
    </w:p>
  </w:footnote>
  <w:footnote w:id="59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Resolución CRC 6141 de 2021, que incorpora estándares internacionales.</w:t>
      </w:r>
    </w:p>
  </w:footnote>
  <w:footnote w:id="59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Explica que actualmente solo es posible generar alertas tipo pop up, que solo contienen información de texto.</w:t>
      </w:r>
    </w:p>
  </w:footnote>
  <w:footnote w:id="59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ejemplo, solo es posible enviar hasta 160 caracteres mediante SMS.</w:t>
      </w:r>
    </w:p>
  </w:footnote>
  <w:footnote w:id="59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Varios usuarios tienen equipos en los que no sería posible generar ale</w:t>
      </w:r>
      <w:r w:rsidRPr="007C57D2">
        <w:rPr>
          <w:rFonts w:ascii="Times New Roman" w:hAnsi="Times New Roman"/>
        </w:rPr>
        <w:t>rtas en pantalla, por lo que se requería el envío de SMS, y muchas zonas del país tienen redes con tecnología 2G, 3G y 4G, que posiblemente no soportan alertas con características como las exigidas en el Proyecto de Ley.</w:t>
      </w:r>
    </w:p>
  </w:footnote>
  <w:footnote w:id="59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el tiempo límite de generaci</w:t>
      </w:r>
      <w:r w:rsidRPr="007C57D2">
        <w:rPr>
          <w:rFonts w:ascii="Times New Roman" w:hAnsi="Times New Roman"/>
        </w:rPr>
        <w:t>ón de la alerta, la periodicidad de la alerta, el cambio de color de la pantalla, entre otros.</w:t>
      </w:r>
    </w:p>
  </w:footnote>
  <w:footnote w:id="59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PE-059, archivo “Conceptos e Intervenciones”. Disponible en: https://www.corteconstitucional.gov.co/secretaria/archivo.php?id=105632 </w:t>
      </w:r>
    </w:p>
  </w:footnote>
  <w:footnote w:id="59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w:t>
      </w:r>
      <w:r w:rsidRPr="007C57D2">
        <w:rPr>
          <w:rFonts w:ascii="Times New Roman" w:hAnsi="Times New Roman"/>
        </w:rPr>
        <w:t>ejemplo, el trato indistinto que le da a las razones de los extravíos de niños, niñas y adolescentes, que, según sus particularidades, pueden requerir la activación de canales especializados de atención y protección, como los casos que podrían involucrar t</w:t>
      </w:r>
      <w:r w:rsidRPr="007C57D2">
        <w:rPr>
          <w:rFonts w:ascii="Times New Roman" w:hAnsi="Times New Roman"/>
        </w:rPr>
        <w:t>rata de personas o explotación sexual.</w:t>
      </w:r>
    </w:p>
  </w:footnote>
  <w:footnote w:id="59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la intervención inmediata del defensor de familia conforme al artículo 126 del Código de Infancia y Adolescencia, o la activación de protocolos diferenciados según la edad y el tipo de riesgo.</w:t>
      </w:r>
    </w:p>
  </w:footnote>
  <w:footnote w:id="60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w:t>
      </w:r>
      <w:r w:rsidRPr="007C57D2">
        <w:rPr>
          <w:rFonts w:ascii="Times New Roman" w:hAnsi="Times New Roman"/>
        </w:rPr>
        <w:t xml:space="preserve">tal PE-059, archivo “Intervención - Ministerio de Tecnologías de la Información y las Comunicaciones”. Disponible en: https://www.corteconstitucional.gov.co/secretaria/archivo.php?id=105775 </w:t>
      </w:r>
    </w:p>
  </w:footnote>
  <w:footnote w:id="60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Integrada por los ministerios de Relaciones Exteriores, Justici</w:t>
      </w:r>
      <w:r w:rsidRPr="007C57D2">
        <w:rPr>
          <w:rFonts w:ascii="Times New Roman" w:hAnsi="Times New Roman"/>
        </w:rPr>
        <w:t>a y del Derecho, Defensa, Interior, Salud, Educación, TIC e Igualdad; Migración Colombia; la Policía Nacional; la Procuraduría General de la Nación; la Defensoría del Pueblo; la Fiscalía General de la Nación; el Instituto Nacional de Medicina Legal y Cienc</w:t>
      </w:r>
      <w:r w:rsidRPr="007C57D2">
        <w:rPr>
          <w:rFonts w:ascii="Times New Roman" w:hAnsi="Times New Roman"/>
        </w:rPr>
        <w:t>ias Forenses; la Comisión de Regulación de Comunicaciones; el ICBF; y la Comisión de Búsqueda de personas desaparecidas.</w:t>
      </w:r>
    </w:p>
  </w:footnote>
  <w:footnote w:id="60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Nombres y apellidos, número de identificación, sexo, edad aproximada, descripción de su última vestimenta, condiciones de la desapari</w:t>
      </w:r>
      <w:r w:rsidRPr="007C57D2">
        <w:rPr>
          <w:rFonts w:ascii="Times New Roman" w:hAnsi="Times New Roman"/>
        </w:rPr>
        <w:t>ción, información de contacto de la familia, número de teléfono dispuesto de las autoridades, y cualquier otra información que permita individualizarlo, o “a la persona que lo secuestró si se tiene certeza de su identidad”.</w:t>
      </w:r>
    </w:p>
  </w:footnote>
  <w:footnote w:id="60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O cualquier norma que la susti</w:t>
      </w:r>
      <w:r w:rsidRPr="007C57D2">
        <w:rPr>
          <w:rFonts w:ascii="Times New Roman" w:hAnsi="Times New Roman"/>
        </w:rPr>
        <w:t>tuya, modifique o adicione.</w:t>
      </w:r>
    </w:p>
  </w:footnote>
  <w:footnote w:id="60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 p. 281.</w:t>
      </w:r>
    </w:p>
  </w:footnote>
  <w:footnote w:id="60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 p. 284.</w:t>
      </w:r>
    </w:p>
  </w:footnote>
  <w:footnote w:id="60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C-442 de 2022.</w:t>
      </w:r>
    </w:p>
  </w:footnote>
  <w:footnote w:id="60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El artículo 1 de la Resolución 202 de 2010 del Ministerio de las Tecnologías de la Información y las Comunicaciones las define como las persona</w:t>
      </w:r>
      <w:r w:rsidRPr="007C57D2">
        <w:rPr>
          <w:rFonts w:ascii="Times New Roman" w:hAnsi="Times New Roman"/>
        </w:rPr>
        <w:t>s jurídicas responsables de las actividades de operación de redes o provisión de servicios de telecomunicación a terceros. Requieren una habilitación de acuerdo con las normas aplicables.</w:t>
      </w:r>
    </w:p>
  </w:footnote>
  <w:footnote w:id="60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C-442 de 2022.</w:t>
      </w:r>
    </w:p>
  </w:footnote>
  <w:footnote w:id="60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w:t>
      </w:r>
      <w:r w:rsidRPr="007C57D2">
        <w:rPr>
          <w:rFonts w:ascii="Times New Roman" w:hAnsi="Times New Roman"/>
        </w:rPr>
        <w:t>nal, sentencias C-442 de 2022, C-520 de 2016 y C-093 de 2001.</w:t>
      </w:r>
    </w:p>
  </w:footnote>
  <w:footnote w:id="61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C-408 de 2021, C-345 de 2019 y C-354 de 2009.</w:t>
      </w:r>
    </w:p>
  </w:footnote>
  <w:footnote w:id="611">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rPr>
        <w:footnoteRef/>
      </w:r>
      <w:r w:rsidRPr="007C57D2">
        <w:rPr>
          <w:rFonts w:ascii="Times New Roman" w:hAnsi="Times New Roman"/>
          <w:szCs w:val="20"/>
        </w:rPr>
        <w:t xml:space="preserve"> Corte Constitucional, sentencias C-099 de 2025 y C-263 de 2011.</w:t>
      </w:r>
    </w:p>
  </w:footnote>
  <w:footnote w:id="612">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Corte Constitucional, sentencias C-099 de 2025 y C-194 de 2023.</w:t>
      </w:r>
    </w:p>
  </w:footnote>
  <w:footnote w:id="61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C-088 de 2018 y C-616 de 2001.</w:t>
      </w:r>
    </w:p>
  </w:footnote>
  <w:footnote w:id="614">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Corte Constitucional, Sentencia C-099 de 2025; que cita las sentencias C-194 de 2023, C-056 de 2021, C-352 de 2009 y C-524 </w:t>
      </w:r>
      <w:r w:rsidRPr="007C57D2">
        <w:rPr>
          <w:rFonts w:ascii="Times New Roman" w:hAnsi="Times New Roman"/>
          <w:szCs w:val="20"/>
        </w:rPr>
        <w:t>de 1995.</w:t>
      </w:r>
    </w:p>
  </w:footnote>
  <w:footnote w:id="615">
    <w:p w:rsidR="001E19D5" w:rsidRPr="007C57D2" w:rsidRDefault="007C57D2" w:rsidP="00F543B3">
      <w:pPr>
        <w:spacing w:after="0" w:line="240" w:lineRule="auto"/>
        <w:jc w:val="both"/>
        <w:rPr>
          <w:rFonts w:ascii="Times New Roman" w:eastAsia="Calibri"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Corte Constitucional, sentencias C-099 de 2025, </w:t>
      </w:r>
      <w:r w:rsidRPr="007C57D2">
        <w:rPr>
          <w:rFonts w:ascii="Times New Roman" w:eastAsia="Calibri" w:hAnsi="Times New Roman"/>
          <w:szCs w:val="20"/>
        </w:rPr>
        <w:t>C-228 de 2010 y C-616 de 2001.</w:t>
      </w:r>
    </w:p>
  </w:footnote>
  <w:footnote w:id="616">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Corte Constitucional, Sentencia C-099 de 2025; que cita las sentencias C-056 de 2021, C-947 de 2014, C-909 de 2012, C-197 de 2012, C-228 de 2010, C-389 de 2002 y C-</w:t>
      </w:r>
      <w:r w:rsidRPr="007C57D2">
        <w:rPr>
          <w:rFonts w:ascii="Times New Roman" w:hAnsi="Times New Roman"/>
          <w:szCs w:val="20"/>
        </w:rPr>
        <w:t>815 de 2001.</w:t>
      </w:r>
    </w:p>
  </w:footnote>
  <w:footnote w:id="617">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rPr>
        <w:footnoteRef/>
      </w:r>
      <w:r w:rsidRPr="007C57D2">
        <w:rPr>
          <w:rFonts w:ascii="Times New Roman" w:hAnsi="Times New Roman"/>
          <w:szCs w:val="20"/>
        </w:rPr>
        <w:t xml:space="preserve"> Corte Constitucional, Sentencia C-099 de 2025; que cita las sentencias C-032 de 2017, C-034 de 2015, C-263 de 2013, C-287 de 2009, C-654 de 2003, C-150 de 2003, C-361 de 2002 y C-350 de 1997.</w:t>
      </w:r>
    </w:p>
  </w:footnote>
  <w:footnote w:id="61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C-673 de 2001.</w:t>
      </w:r>
    </w:p>
  </w:footnote>
  <w:footnote w:id="61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C-437 de 2022, C-408 de 2021, C-442 de 2019 y C-345 de 2019.</w:t>
      </w:r>
    </w:p>
  </w:footnote>
  <w:footnote w:id="62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 acuerdo con la exposición de motivos, el PLE propone implementar una alerta especial para que las autoridades y la ciudadanía unan esfuerzos para buscar a </w:t>
      </w:r>
      <w:r w:rsidRPr="007C57D2">
        <w:rPr>
          <w:rFonts w:ascii="Times New Roman" w:hAnsi="Times New Roman"/>
        </w:rPr>
        <w:t>los niños y niñas reportados como desaparecidos. Cfr. Gaceta del Congreso n.° 1439 del 10 de octubre de 2023, p. 3.</w:t>
      </w:r>
    </w:p>
  </w:footnote>
  <w:footnote w:id="621">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C-028 de 2024.</w:t>
      </w:r>
    </w:p>
  </w:footnote>
  <w:footnote w:id="62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C-793 de 2014.</w:t>
      </w:r>
    </w:p>
  </w:footnote>
  <w:footnote w:id="62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Ibidem. Cfr. Artículo 333 de la Constitu</w:t>
      </w:r>
      <w:r w:rsidRPr="007C57D2">
        <w:rPr>
          <w:rFonts w:ascii="Times New Roman" w:hAnsi="Times New Roman"/>
        </w:rPr>
        <w:t>ción Política.</w:t>
      </w:r>
    </w:p>
  </w:footnote>
  <w:footnote w:id="624">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C-088 de 2018.</w:t>
      </w:r>
    </w:p>
  </w:footnote>
  <w:footnote w:id="62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Ibidem.</w:t>
      </w:r>
    </w:p>
  </w:footnote>
  <w:footnote w:id="62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C-1041 de 2007.</w:t>
      </w:r>
    </w:p>
  </w:footnote>
  <w:footnote w:id="62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“La jurisprudencia de la Corte ha subrayado, en todo caso, que el núcleo esencial de la libertad de empresa comprende los derechos</w:t>
      </w:r>
      <w:r w:rsidRPr="007C57D2">
        <w:rPr>
          <w:rFonts w:ascii="Times New Roman" w:hAnsi="Times New Roman"/>
        </w:rPr>
        <w:t xml:space="preserve"> (i) a un tratamiento igual y no discriminatorio entre empresarios o competidores que se hallan en la misma posición; (ii) a concurrir al mercado o retirarse; (iii) a la no interferencia del Estado en los asuntos internos de la empresa como la organización</w:t>
      </w:r>
      <w:r w:rsidRPr="007C57D2">
        <w:rPr>
          <w:rFonts w:ascii="Times New Roman" w:hAnsi="Times New Roman"/>
        </w:rPr>
        <w:t xml:space="preserve"> y los métodos de gestión; (iv) a la libre iniciativa privada; (v) a la creación de establecimientos de comercio con el cumplimiento de los requisitos que exija la ley, y (vi) a recibir un lucro razonable por su actividad económica”. Corte Constitucional, </w:t>
      </w:r>
      <w:r w:rsidRPr="007C57D2">
        <w:rPr>
          <w:rFonts w:ascii="Times New Roman" w:hAnsi="Times New Roman"/>
        </w:rPr>
        <w:t>sentencias C-088 de 2018, C-264 de 2013 y C-263 de 2011.</w:t>
      </w:r>
    </w:p>
  </w:footnote>
  <w:footnote w:id="62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Al analizar la idoneidad de la medida se desarrollará con más detalles esta consideración sobre el impacto que podría tener en los costos y funcionamiento de los sujetos obligados.</w:t>
      </w:r>
    </w:p>
  </w:footnote>
  <w:footnote w:id="62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w:t>
      </w:r>
      <w:r w:rsidRPr="007C57D2">
        <w:rPr>
          <w:rFonts w:ascii="Times New Roman" w:hAnsi="Times New Roman"/>
        </w:rPr>
        <w:t>cional, sentencias C-164 de 2022, C-252 de 2020, C-388 de 2016, C-767 de 2014, C-803 de 2009, C-314 de 2009, C-188 de 2006 y C-1054 de 2004.</w:t>
      </w:r>
    </w:p>
  </w:footnote>
  <w:footnote w:id="63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C-767 de 2014 y 272 de 2011.</w:t>
      </w:r>
    </w:p>
  </w:footnote>
  <w:footnote w:id="63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C-083 de 2014, C</w:t>
      </w:r>
      <w:r w:rsidRPr="007C57D2">
        <w:rPr>
          <w:rFonts w:ascii="Times New Roman" w:hAnsi="Times New Roman"/>
        </w:rPr>
        <w:t>-459 de 2004, T-434 de 2002 y T-125 de 1994.</w:t>
      </w:r>
    </w:p>
  </w:footnote>
  <w:footnote w:id="63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C-613 de 2015, C-803 de 2009, C-341 de 2009 y C-400 de 2003.</w:t>
      </w:r>
    </w:p>
  </w:footnote>
  <w:footnote w:id="63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C-767 de 2014.</w:t>
      </w:r>
    </w:p>
  </w:footnote>
  <w:footnote w:id="634">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C-164 de 2022.</w:t>
      </w:r>
    </w:p>
  </w:footnote>
  <w:footnote w:id="63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w:t>
      </w:r>
      <w:r w:rsidRPr="007C57D2">
        <w:rPr>
          <w:rFonts w:ascii="Times New Roman" w:hAnsi="Times New Roman"/>
          <w:lang w:val="pt-BR"/>
        </w:rPr>
        <w:t>ional, Sentencia C-252 de 2020.</w:t>
      </w:r>
    </w:p>
  </w:footnote>
  <w:footnote w:id="63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C-1046 de 2001.</w:t>
      </w:r>
    </w:p>
  </w:footnote>
  <w:footnote w:id="63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C-088 de 2018.</w:t>
      </w:r>
    </w:p>
  </w:footnote>
  <w:footnote w:id="63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sentencias C-613 de 2015 y C-400 de 2003.</w:t>
      </w:r>
    </w:p>
  </w:footnote>
  <w:footnote w:id="639">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C-793 de 2014.</w:t>
      </w:r>
    </w:p>
  </w:footnote>
  <w:footnote w:id="64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C-071 de 1995.</w:t>
      </w:r>
    </w:p>
  </w:footnote>
  <w:footnote w:id="641">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C-588 de 1997.</w:t>
      </w:r>
    </w:p>
  </w:footnote>
  <w:footnote w:id="64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C-083 de 2014.</w:t>
      </w:r>
    </w:p>
  </w:footnote>
  <w:footnote w:id="64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 C-272 de 2011.</w:t>
      </w:r>
    </w:p>
  </w:footnote>
  <w:footnote w:id="64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 acuerdo con el artículo 44 de la Constitución, “[l]a familia, la sociedad y el Estado tienen la obligación de asistir y proteger al niño para garantizar su desarrollo armónico e integral y el ejercicio pleno de sus derechos”. El artículo 10 de la Ley 1</w:t>
      </w:r>
      <w:r w:rsidRPr="007C57D2">
        <w:rPr>
          <w:rFonts w:ascii="Times New Roman" w:hAnsi="Times New Roman"/>
        </w:rPr>
        <w:t>098 de 2006 define a la corresponsabilidad como “la concurrencia de actores y acciones conducentes a garantizar el ejercicio de los derechos de los niños, las niñas y los adolescentes” y establece expresamente que la familia, la sociedad y el Estado son co</w:t>
      </w:r>
      <w:r w:rsidRPr="007C57D2">
        <w:rPr>
          <w:rFonts w:ascii="Times New Roman" w:hAnsi="Times New Roman"/>
        </w:rPr>
        <w:t>rresponsables en su atención, cuidado y protección.</w:t>
      </w:r>
    </w:p>
  </w:footnote>
  <w:footnote w:id="64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C-252 de 2020.</w:t>
      </w:r>
    </w:p>
  </w:footnote>
  <w:footnote w:id="64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la </w:t>
      </w:r>
      <w:hyperlink r:id="rId11" w:history="1">
        <w:r w:rsidRPr="007C57D2">
          <w:rPr>
            <w:rStyle w:val="Hipervnculo"/>
            <w:rFonts w:ascii="Times New Roman" w:hAnsi="Times New Roman"/>
            <w:color w:val="auto"/>
            <w:u w:val="none"/>
          </w:rPr>
          <w:t>Alerta Amber</w:t>
        </w:r>
      </w:hyperlink>
      <w:r w:rsidRPr="007C57D2">
        <w:rPr>
          <w:rFonts w:ascii="Times New Roman" w:hAnsi="Times New Roman"/>
        </w:rPr>
        <w:t xml:space="preserve">, en los Estados Unidos; la </w:t>
      </w:r>
      <w:hyperlink r:id="rId12" w:anchor=":~:text=El%20caso%20Sof%C3%ADa%20Herrera,desaparici%C3%B3n%2C%20su%20b%C3%BAsqueda%20contin%C3%BAa%20vigente." w:history="1">
        <w:r w:rsidRPr="007C57D2">
          <w:rPr>
            <w:rStyle w:val="Hipervnculo"/>
            <w:rFonts w:ascii="Times New Roman" w:hAnsi="Times New Roman"/>
            <w:color w:val="auto"/>
            <w:u w:val="none"/>
          </w:rPr>
          <w:t>Alerta Sofía</w:t>
        </w:r>
      </w:hyperlink>
      <w:r w:rsidRPr="007C57D2">
        <w:rPr>
          <w:rFonts w:ascii="Times New Roman" w:hAnsi="Times New Roman"/>
        </w:rPr>
        <w:t xml:space="preserve">, en la Argentina; la </w:t>
      </w:r>
      <w:hyperlink r:id="rId13" w:history="1">
        <w:r w:rsidRPr="007C57D2">
          <w:rPr>
            <w:rStyle w:val="Hipervnculo"/>
            <w:rFonts w:ascii="Times New Roman" w:hAnsi="Times New Roman"/>
            <w:color w:val="auto"/>
            <w:u w:val="none"/>
          </w:rPr>
          <w:t>Alerta Emilia</w:t>
        </w:r>
      </w:hyperlink>
      <w:r w:rsidRPr="007C57D2">
        <w:rPr>
          <w:rFonts w:ascii="Times New Roman" w:hAnsi="Times New Roman"/>
        </w:rPr>
        <w:t xml:space="preserve">, en el Ecuador; y la </w:t>
      </w:r>
      <w:hyperlink r:id="rId14" w:history="1">
        <w:r w:rsidRPr="007C57D2">
          <w:rPr>
            <w:rStyle w:val="Hipervnculo"/>
            <w:rFonts w:ascii="Times New Roman" w:hAnsi="Times New Roman"/>
            <w:color w:val="auto"/>
            <w:u w:val="none"/>
          </w:rPr>
          <w:t>Alerte Enlèvement</w:t>
        </w:r>
      </w:hyperlink>
      <w:r w:rsidRPr="007C57D2">
        <w:rPr>
          <w:rFonts w:ascii="Times New Roman" w:hAnsi="Times New Roman"/>
        </w:rPr>
        <w:t>, en Francia, para citar algunos.</w:t>
      </w:r>
    </w:p>
  </w:footnote>
  <w:footnote w:id="64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la Alerta Nacional regulada en la Resolución CRC 6141 de 2021, y la Alerta Rosa creada en l</w:t>
      </w:r>
      <w:r w:rsidRPr="007C57D2">
        <w:rPr>
          <w:rFonts w:ascii="Times New Roman" w:hAnsi="Times New Roman"/>
        </w:rPr>
        <w:t>a Ley 2326 de 2023.</w:t>
      </w:r>
    </w:p>
  </w:footnote>
  <w:footnote w:id="648">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vertAlign w:val="superscript"/>
        </w:rPr>
        <w:t xml:space="preserve"> </w:t>
      </w:r>
      <w:r w:rsidRPr="007C57D2">
        <w:rPr>
          <w:rFonts w:ascii="Times New Roman" w:hAnsi="Times New Roman"/>
          <w:szCs w:val="20"/>
        </w:rPr>
        <w:t>La autoridad regulatoria del sector telecomunicaciones, como lo establece el 19 de la Ley 1341 de 2009.</w:t>
      </w:r>
    </w:p>
  </w:footnote>
  <w:footnote w:id="649">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vertAlign w:val="superscript"/>
        </w:rPr>
        <w:t xml:space="preserve"> </w:t>
      </w:r>
      <w:r w:rsidRPr="007C57D2">
        <w:rPr>
          <w:rFonts w:ascii="Times New Roman" w:hAnsi="Times New Roman"/>
          <w:szCs w:val="20"/>
        </w:rPr>
        <w:t>El gremio que reúne a los tres operadores móviles más importantes del país: Claro, Tigo y Movistar.</w:t>
      </w:r>
    </w:p>
  </w:footnote>
  <w:footnote w:id="650">
    <w:p w:rsidR="001E19D5" w:rsidRPr="007C57D2" w:rsidRDefault="007C57D2" w:rsidP="00F543B3">
      <w:pPr>
        <w:spacing w:after="0" w:line="240" w:lineRule="auto"/>
        <w:jc w:val="both"/>
        <w:rPr>
          <w:rFonts w:ascii="Times New Roman" w:eastAsia="Calibri" w:hAnsi="Times New Roman"/>
          <w:szCs w:val="20"/>
        </w:rPr>
      </w:pPr>
      <w:r w:rsidRPr="007C57D2">
        <w:rPr>
          <w:rFonts w:ascii="Times New Roman" w:hAnsi="Times New Roman"/>
          <w:szCs w:val="20"/>
          <w:vertAlign w:val="superscript"/>
        </w:rPr>
        <w:footnoteRef/>
      </w:r>
      <w:r w:rsidRPr="007C57D2">
        <w:rPr>
          <w:rFonts w:ascii="Times New Roman" w:hAnsi="Times New Roman"/>
          <w:szCs w:val="20"/>
          <w:vertAlign w:val="superscript"/>
        </w:rPr>
        <w:t xml:space="preserve"> </w:t>
      </w:r>
      <w:r w:rsidRPr="007C57D2">
        <w:rPr>
          <w:rFonts w:ascii="Times New Roman" w:eastAsia="Calibri" w:hAnsi="Times New Roman"/>
          <w:szCs w:val="20"/>
        </w:rPr>
        <w:t xml:space="preserve">Ibid., p. 7. Se pueden </w:t>
      </w:r>
      <w:r w:rsidRPr="007C57D2">
        <w:rPr>
          <w:rFonts w:ascii="Times New Roman" w:eastAsia="Calibri" w:hAnsi="Times New Roman"/>
          <w:szCs w:val="20"/>
        </w:rPr>
        <w:t>incluir hasta 160 caracteres.</w:t>
      </w:r>
    </w:p>
  </w:footnote>
  <w:footnote w:id="651">
    <w:p w:rsidR="001E19D5" w:rsidRPr="007C57D2" w:rsidRDefault="007C57D2" w:rsidP="00F543B3">
      <w:pPr>
        <w:spacing w:after="0" w:line="240" w:lineRule="auto"/>
        <w:jc w:val="both"/>
        <w:rPr>
          <w:rFonts w:ascii="Times New Roman" w:eastAsia="Calibri" w:hAnsi="Times New Roman"/>
          <w:szCs w:val="20"/>
        </w:rPr>
      </w:pPr>
      <w:r w:rsidRPr="007C57D2">
        <w:rPr>
          <w:rFonts w:ascii="Times New Roman" w:hAnsi="Times New Roman"/>
          <w:szCs w:val="20"/>
          <w:vertAlign w:val="superscript"/>
        </w:rPr>
        <w:footnoteRef/>
      </w:r>
      <w:r w:rsidRPr="007C57D2">
        <w:rPr>
          <w:rFonts w:ascii="Times New Roman" w:hAnsi="Times New Roman"/>
          <w:szCs w:val="20"/>
          <w:vertAlign w:val="superscript"/>
        </w:rPr>
        <w:t xml:space="preserve"> </w:t>
      </w:r>
      <w:r w:rsidRPr="007C57D2">
        <w:rPr>
          <w:rFonts w:ascii="Times New Roman" w:eastAsia="Calibri" w:hAnsi="Times New Roman"/>
          <w:szCs w:val="20"/>
        </w:rPr>
        <w:t>Ibid., p. 8.</w:t>
      </w:r>
    </w:p>
  </w:footnote>
  <w:footnote w:id="652">
    <w:p w:rsidR="001E19D5" w:rsidRPr="007C57D2" w:rsidRDefault="007C57D2" w:rsidP="00F543B3">
      <w:pPr>
        <w:spacing w:after="0" w:line="240" w:lineRule="auto"/>
        <w:jc w:val="both"/>
        <w:rPr>
          <w:rFonts w:ascii="Times New Roman" w:eastAsia="Calibri"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w:t>
      </w:r>
      <w:r w:rsidRPr="007C57D2">
        <w:rPr>
          <w:rFonts w:ascii="Times New Roman" w:eastAsia="Calibri" w:hAnsi="Times New Roman"/>
          <w:szCs w:val="20"/>
        </w:rPr>
        <w:t xml:space="preserve">La CRC afirma que el PLE fue adoptado bajo una premisa equivocada, porque fue presentada como un mecanismo especializado y que tenía como propósito el uso de la tecnología. Sin embargo, la Ley 2326 de 2023 se </w:t>
      </w:r>
      <w:r w:rsidRPr="007C57D2">
        <w:rPr>
          <w:rFonts w:ascii="Times New Roman" w:eastAsia="Calibri" w:hAnsi="Times New Roman"/>
          <w:szCs w:val="20"/>
        </w:rPr>
        <w:t>enfoca en la difusión de información sobre la desaparición de niños, niñas y adolescentes, y también incorpora el uso de las tecnologías de la información para tal objetivo.</w:t>
      </w:r>
    </w:p>
  </w:footnote>
  <w:footnote w:id="653">
    <w:p w:rsidR="001E19D5" w:rsidRPr="007C57D2" w:rsidRDefault="007C57D2" w:rsidP="00F543B3">
      <w:pPr>
        <w:spacing w:after="0" w:line="240" w:lineRule="auto"/>
        <w:jc w:val="both"/>
        <w:rPr>
          <w:rFonts w:ascii="Times New Roman" w:hAnsi="Times New Roman"/>
          <w:szCs w:val="20"/>
        </w:rPr>
      </w:pPr>
      <w:r w:rsidRPr="007C57D2">
        <w:rPr>
          <w:rFonts w:ascii="Times New Roman" w:hAnsi="Times New Roman"/>
          <w:szCs w:val="20"/>
          <w:vertAlign w:val="superscript"/>
        </w:rPr>
        <w:footnoteRef/>
      </w:r>
      <w:r w:rsidRPr="007C57D2">
        <w:rPr>
          <w:rFonts w:ascii="Times New Roman" w:hAnsi="Times New Roman"/>
          <w:szCs w:val="20"/>
          <w:vertAlign w:val="superscript"/>
        </w:rPr>
        <w:t xml:space="preserve"> </w:t>
      </w:r>
      <w:r w:rsidRPr="007C57D2">
        <w:rPr>
          <w:rFonts w:ascii="Times New Roman" w:hAnsi="Times New Roman"/>
          <w:szCs w:val="20"/>
        </w:rPr>
        <w:t xml:space="preserve">La Resolución CRC 6141 de 2021 incorporó el </w:t>
      </w:r>
      <w:r w:rsidRPr="007C57D2">
        <w:rPr>
          <w:rFonts w:ascii="Times New Roman" w:hAnsi="Times New Roman"/>
          <w:i/>
          <w:iCs/>
          <w:szCs w:val="20"/>
        </w:rPr>
        <w:t>Sistema de Difusión de Celda</w:t>
      </w:r>
      <w:r w:rsidRPr="007C57D2">
        <w:rPr>
          <w:rFonts w:ascii="Times New Roman" w:hAnsi="Times New Roman"/>
          <w:szCs w:val="20"/>
        </w:rPr>
        <w:t>, por tr</w:t>
      </w:r>
      <w:r w:rsidRPr="007C57D2">
        <w:rPr>
          <w:rFonts w:ascii="Times New Roman" w:hAnsi="Times New Roman"/>
          <w:szCs w:val="20"/>
        </w:rPr>
        <w:t>atarse, a juicio de la CRC, de la alternativa más eficaz y eficiente para llegar de forma segura y rápida a grandes áreas poblacionales sin degradar la calidad del servicio. Es un sistema que permite el la transmisión masiva simultánea de mensajes en una r</w:t>
      </w:r>
      <w:r w:rsidRPr="007C57D2">
        <w:rPr>
          <w:rFonts w:ascii="Times New Roman" w:hAnsi="Times New Roman"/>
          <w:szCs w:val="20"/>
        </w:rPr>
        <w:t>egión geográfica definida, la geolocalización, la prioridad alta para asegurar una entrega rápida, el soporte para múltiples idiomas, la interoperabilidad en diferentes redes y sistemas de alerta pública, la flexibilidad en la extensión de los mensajes, la</w:t>
      </w:r>
      <w:r w:rsidRPr="007C57D2">
        <w:rPr>
          <w:rFonts w:ascii="Times New Roman" w:hAnsi="Times New Roman"/>
          <w:szCs w:val="20"/>
        </w:rPr>
        <w:t xml:space="preserve"> recepción sin suscripción, el uso eficiente del espectro electromagnético, la personalización de las alertas y la remisión de información adicional, como enlaces a páginas web, en los que sería posible acceder a las imágenes o información requerida por la</w:t>
      </w:r>
      <w:r w:rsidRPr="007C57D2">
        <w:rPr>
          <w:rFonts w:ascii="Times New Roman" w:hAnsi="Times New Roman"/>
          <w:szCs w:val="20"/>
        </w:rPr>
        <w:t xml:space="preserve">s normas aplicables. Intervención de la Comisión de Regulación de Comunicaciones, </w:t>
      </w:r>
      <w:r w:rsidRPr="007C57D2">
        <w:rPr>
          <w:rFonts w:ascii="Times New Roman" w:hAnsi="Times New Roman"/>
          <w:i/>
          <w:iCs/>
          <w:szCs w:val="20"/>
        </w:rPr>
        <w:t>Óp. cit.</w:t>
      </w:r>
      <w:r w:rsidRPr="007C57D2">
        <w:rPr>
          <w:rFonts w:ascii="Times New Roman" w:hAnsi="Times New Roman"/>
          <w:szCs w:val="20"/>
        </w:rPr>
        <w:t>, pp. 4-16.</w:t>
      </w:r>
    </w:p>
  </w:footnote>
  <w:footnote w:id="654">
    <w:p w:rsidR="001E19D5" w:rsidRPr="007C57D2" w:rsidRDefault="007C57D2" w:rsidP="00F543B3">
      <w:pPr>
        <w:spacing w:after="0" w:line="240" w:lineRule="auto"/>
        <w:jc w:val="both"/>
        <w:rPr>
          <w:rFonts w:ascii="Times New Roman" w:eastAsia="Calibri"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w:t>
      </w:r>
      <w:r w:rsidRPr="007C57D2">
        <w:rPr>
          <w:rFonts w:ascii="Times New Roman" w:eastAsia="Calibri" w:hAnsi="Times New Roman"/>
          <w:szCs w:val="20"/>
        </w:rPr>
        <w:t>La CRC argumenta que la activación y posterior difusión del mensaje de alerta implica el ejercicio de función administrativa porque involucra las potest</w:t>
      </w:r>
      <w:r w:rsidRPr="007C57D2">
        <w:rPr>
          <w:rFonts w:ascii="Times New Roman" w:eastAsia="Calibri" w:hAnsi="Times New Roman"/>
          <w:szCs w:val="20"/>
        </w:rPr>
        <w:t>ades de distintas entidades del Estado. Para tal fin, se establecen competencias para la autorización del envío de la alerta, le definición de las condiciones técnicas aplicables, la determinación de los destinatarios y el seguimiento de cada caso. Interve</w:t>
      </w:r>
      <w:r w:rsidRPr="007C57D2">
        <w:rPr>
          <w:rFonts w:ascii="Times New Roman" w:eastAsia="Calibri" w:hAnsi="Times New Roman"/>
          <w:szCs w:val="20"/>
        </w:rPr>
        <w:t xml:space="preserve">nción de la Comisión de Regulación de Comunicaciones, </w:t>
      </w:r>
      <w:r w:rsidRPr="007C57D2">
        <w:rPr>
          <w:rFonts w:ascii="Times New Roman" w:eastAsia="Calibri" w:hAnsi="Times New Roman"/>
          <w:i/>
          <w:iCs/>
          <w:szCs w:val="20"/>
        </w:rPr>
        <w:t>Óp. cit.</w:t>
      </w:r>
      <w:r w:rsidRPr="007C57D2">
        <w:rPr>
          <w:rFonts w:ascii="Times New Roman" w:eastAsia="Calibri" w:hAnsi="Times New Roman"/>
          <w:szCs w:val="20"/>
        </w:rPr>
        <w:t>, p. 21.</w:t>
      </w:r>
    </w:p>
  </w:footnote>
  <w:footnote w:id="655">
    <w:p w:rsidR="001E19D5" w:rsidRPr="007C57D2" w:rsidRDefault="007C57D2" w:rsidP="00F543B3">
      <w:pPr>
        <w:spacing w:after="0" w:line="240" w:lineRule="auto"/>
        <w:jc w:val="both"/>
        <w:rPr>
          <w:rFonts w:ascii="Times New Roman" w:hAnsi="Times New Roman"/>
          <w:szCs w:val="20"/>
          <w:lang w:val="pt-BR"/>
        </w:rPr>
      </w:pPr>
      <w:r w:rsidRPr="007C57D2">
        <w:rPr>
          <w:rFonts w:ascii="Times New Roman" w:hAnsi="Times New Roman"/>
          <w:szCs w:val="20"/>
          <w:vertAlign w:val="superscript"/>
        </w:rPr>
        <w:footnoteRef/>
      </w:r>
      <w:r w:rsidRPr="007C57D2">
        <w:rPr>
          <w:rFonts w:ascii="Times New Roman" w:hAnsi="Times New Roman"/>
          <w:szCs w:val="20"/>
          <w:lang w:val="pt-BR"/>
        </w:rPr>
        <w:t xml:space="preserve"> Corte Constitucional, Sentencia C-322 de 2022.</w:t>
      </w:r>
    </w:p>
  </w:footnote>
  <w:footnote w:id="656">
    <w:p w:rsidR="001E19D5" w:rsidRPr="007C57D2" w:rsidRDefault="007C57D2" w:rsidP="00F543B3">
      <w:pPr>
        <w:spacing w:after="0" w:line="240" w:lineRule="auto"/>
        <w:jc w:val="both"/>
        <w:rPr>
          <w:rFonts w:ascii="Times New Roman" w:eastAsia="Calibri" w:hAnsi="Times New Roman"/>
          <w:szCs w:val="20"/>
        </w:rPr>
      </w:pPr>
      <w:r w:rsidRPr="007C57D2">
        <w:rPr>
          <w:rFonts w:ascii="Times New Roman" w:hAnsi="Times New Roman"/>
          <w:szCs w:val="20"/>
          <w:vertAlign w:val="superscript"/>
        </w:rPr>
        <w:footnoteRef/>
      </w:r>
      <w:r w:rsidRPr="007C57D2">
        <w:rPr>
          <w:rFonts w:ascii="Times New Roman" w:hAnsi="Times New Roman"/>
          <w:szCs w:val="20"/>
        </w:rPr>
        <w:t xml:space="preserve"> Corte Constitucional, sentencias C-374 de 2022 y C-308 de 2022. Citan las sentencias </w:t>
      </w:r>
      <w:r w:rsidRPr="007C57D2">
        <w:rPr>
          <w:rFonts w:ascii="Times New Roman" w:eastAsia="Calibri" w:hAnsi="Times New Roman"/>
          <w:szCs w:val="20"/>
        </w:rPr>
        <w:t>C-521 de 2019, C-139 de 2019, C-069 de 2017, C-11</w:t>
      </w:r>
      <w:r w:rsidRPr="007C57D2">
        <w:rPr>
          <w:rFonts w:ascii="Times New Roman" w:eastAsia="Calibri" w:hAnsi="Times New Roman"/>
          <w:szCs w:val="20"/>
        </w:rPr>
        <w:t>4 de 2017 y C-104 de 2016.</w:t>
      </w:r>
    </w:p>
  </w:footnote>
  <w:footnote w:id="657">
    <w:p w:rsidR="008A620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el artículo </w:t>
      </w:r>
      <w:r w:rsidRPr="007C57D2">
        <w:rPr>
          <w:rFonts w:ascii="Times New Roman" w:hAnsi="Times New Roman"/>
          <w:color w:val="000000"/>
        </w:rPr>
        <w:t xml:space="preserve">2.2.2.8.3.10 del Decreto 1428 de 2024, que establece que si la persona desaparecida es encontrada y recuperada antes de las 48 horas (o 72 horas en casos excepcionales) desde que se activó la Alerta Rosa, se </w:t>
      </w:r>
      <w:r w:rsidRPr="007C57D2">
        <w:rPr>
          <w:rFonts w:ascii="Times New Roman" w:hAnsi="Times New Roman"/>
          <w:color w:val="000000"/>
        </w:rPr>
        <w:t>solicitará su desactivación inmediata; y que si transcurre el anterior lapso de tiempo sin resultados, se debe ordenar la desactivación de la alerta, sin que ello implique el cese de la búsqueda, debido a que la eficacia del mecanismo se concentra en las p</w:t>
      </w:r>
      <w:r w:rsidRPr="007C57D2">
        <w:rPr>
          <w:rFonts w:ascii="Times New Roman" w:hAnsi="Times New Roman"/>
          <w:color w:val="000000"/>
        </w:rPr>
        <w:t>rimeras horas posteriores a la desaparición.</w:t>
      </w:r>
    </w:p>
  </w:footnote>
  <w:footnote w:id="658">
    <w:p w:rsidR="008A620B" w:rsidRPr="007C57D2" w:rsidRDefault="007C57D2" w:rsidP="00F543B3">
      <w:pPr>
        <w:pStyle w:val="Textonotapie"/>
        <w:jc w:val="both"/>
        <w:rPr>
          <w:rFonts w:ascii="Times New Roman" w:hAnsi="Times New Roman"/>
        </w:rPr>
      </w:pPr>
      <w:r w:rsidRPr="007C57D2">
        <w:rPr>
          <w:rFonts w:ascii="Times New Roman" w:hAnsi="Times New Roman"/>
        </w:rPr>
        <w:footnoteRef/>
      </w:r>
      <w:r w:rsidRPr="007C57D2">
        <w:rPr>
          <w:rFonts w:ascii="Times New Roman" w:hAnsi="Times New Roman"/>
        </w:rPr>
        <w:t xml:space="preserve"> Cfr. </w:t>
      </w:r>
      <w:hyperlink r:id="rId15" w:history="1">
        <w:r w:rsidRPr="007C57D2">
          <w:rPr>
            <w:rStyle w:val="Hipervnculo"/>
            <w:rFonts w:ascii="Times New Roman" w:hAnsi="Times New Roman"/>
          </w:rPr>
          <w:t>https://ojjdp.ojp.gov/sites/g/files/xyckuh176/files/pubs/252759.pdf</w:t>
        </w:r>
      </w:hyperlink>
      <w:r w:rsidRPr="007C57D2">
        <w:rPr>
          <w:rFonts w:ascii="Times New Roman" w:hAnsi="Times New Roman"/>
        </w:rPr>
        <w:t xml:space="preserve"> </w:t>
      </w:r>
    </w:p>
  </w:footnote>
  <w:footnote w:id="659">
    <w:p w:rsidR="008A620B" w:rsidRPr="007C57D2" w:rsidRDefault="007C57D2" w:rsidP="000E266F">
      <w:pPr>
        <w:pStyle w:val="Textonotapie"/>
        <w:rPr>
          <w:rFonts w:ascii="Times New Roman" w:hAnsi="Times New Roman"/>
        </w:rPr>
      </w:pPr>
      <w:r w:rsidRPr="007C57D2">
        <w:rPr>
          <w:rFonts w:ascii="Times New Roman" w:hAnsi="Times New Roman"/>
        </w:rPr>
        <w:footnoteRef/>
      </w:r>
      <w:r w:rsidRPr="007C57D2">
        <w:rPr>
          <w:rFonts w:ascii="Times New Roman" w:hAnsi="Times New Roman"/>
        </w:rPr>
        <w:t xml:space="preserve"> Cfr. </w:t>
      </w:r>
      <w:hyperlink r:id="rId16" w:history="1">
        <w:r w:rsidRPr="007C57D2">
          <w:rPr>
            <w:rStyle w:val="Hipervnculo"/>
            <w:rFonts w:ascii="Times New Roman" w:hAnsi="Times New Roman"/>
          </w:rPr>
          <w:t>https://www2.gnb.ca/content/gnb/en/departments/public-safety/community_safety/content/crime_prevention/nb_amber_alert.html</w:t>
        </w:r>
      </w:hyperlink>
    </w:p>
  </w:footnote>
  <w:footnote w:id="660">
    <w:p w:rsidR="008A620B" w:rsidRPr="007C57D2" w:rsidRDefault="007C57D2" w:rsidP="00F543B3">
      <w:pPr>
        <w:pStyle w:val="Textonotapie"/>
        <w:jc w:val="both"/>
        <w:rPr>
          <w:rFonts w:ascii="Times New Roman" w:hAnsi="Times New Roman"/>
        </w:rPr>
      </w:pPr>
      <w:r w:rsidRPr="007C57D2">
        <w:rPr>
          <w:rFonts w:ascii="Times New Roman" w:hAnsi="Times New Roman"/>
        </w:rPr>
        <w:footnoteRef/>
      </w:r>
      <w:r w:rsidRPr="007C57D2">
        <w:rPr>
          <w:rFonts w:ascii="Times New Roman" w:hAnsi="Times New Roman"/>
        </w:rPr>
        <w:t xml:space="preserve"> Cfr. </w:t>
      </w:r>
      <w:hyperlink r:id="rId17" w:history="1">
        <w:r w:rsidRPr="007C57D2">
          <w:rPr>
            <w:rStyle w:val="Hipervnculo"/>
            <w:rFonts w:ascii="Times New Roman" w:hAnsi="Times New Roman"/>
          </w:rPr>
          <w:t>https://police.act.gov.au/community-safety/child-safety/amber-alerts</w:t>
        </w:r>
      </w:hyperlink>
      <w:r w:rsidRPr="007C57D2">
        <w:rPr>
          <w:rFonts w:ascii="Times New Roman" w:hAnsi="Times New Roman"/>
        </w:rPr>
        <w:t xml:space="preserve"> </w:t>
      </w:r>
    </w:p>
  </w:footnote>
  <w:footnote w:id="661">
    <w:p w:rsidR="008A620B" w:rsidRPr="007C57D2" w:rsidRDefault="007C57D2" w:rsidP="00F543B3">
      <w:pPr>
        <w:pStyle w:val="Textonotapie"/>
        <w:jc w:val="both"/>
        <w:rPr>
          <w:rFonts w:ascii="Times New Roman" w:hAnsi="Times New Roman"/>
        </w:rPr>
      </w:pPr>
      <w:r w:rsidRPr="007C57D2">
        <w:rPr>
          <w:rFonts w:ascii="Times New Roman" w:hAnsi="Times New Roman"/>
        </w:rPr>
        <w:footnoteRef/>
      </w:r>
      <w:r w:rsidRPr="007C57D2">
        <w:rPr>
          <w:rFonts w:ascii="Times New Roman" w:hAnsi="Times New Roman"/>
        </w:rPr>
        <w:t xml:space="preserve"> Cfr. </w:t>
      </w:r>
      <w:hyperlink r:id="rId18" w:history="1">
        <w:r w:rsidRPr="007C57D2">
          <w:rPr>
            <w:rStyle w:val="Hipervnculo"/>
            <w:rFonts w:ascii="Times New Roman" w:hAnsi="Times New Roman"/>
          </w:rPr>
          <w:t>https://stastdgv2portfgr032.blob.core.windows.net/marcojuridico/Lineamientos/FEVIMTRA_Lineamientos%20_Generales_Operacion_Programa_Nacional_AAMX.pdf</w:t>
        </w:r>
      </w:hyperlink>
    </w:p>
  </w:footnote>
  <w:footnote w:id="662">
    <w:p w:rsidR="008A620B" w:rsidRPr="007C57D2" w:rsidRDefault="007C57D2" w:rsidP="00F543B3">
      <w:pPr>
        <w:pStyle w:val="Textonotapie"/>
        <w:jc w:val="both"/>
        <w:rPr>
          <w:rFonts w:ascii="Times New Roman" w:hAnsi="Times New Roman"/>
        </w:rPr>
      </w:pPr>
      <w:r w:rsidRPr="007C57D2">
        <w:rPr>
          <w:rFonts w:ascii="Times New Roman" w:hAnsi="Times New Roman"/>
        </w:rPr>
        <w:footnoteRef/>
      </w:r>
      <w:r w:rsidRPr="007C57D2">
        <w:rPr>
          <w:rFonts w:ascii="Times New Roman" w:hAnsi="Times New Roman"/>
        </w:rPr>
        <w:t xml:space="preserve"> Cfr. </w:t>
      </w:r>
      <w:hyperlink r:id="rId19" w:history="1">
        <w:r w:rsidRPr="007C57D2">
          <w:rPr>
            <w:rStyle w:val="Hipervnculo"/>
            <w:rFonts w:ascii="Times New Roman" w:hAnsi="Times New Roman"/>
          </w:rPr>
          <w:t>https://www.alerte-enlevement.justice.gouv.fr/</w:t>
        </w:r>
      </w:hyperlink>
      <w:r w:rsidRPr="007C57D2">
        <w:rPr>
          <w:rFonts w:ascii="Times New Roman" w:hAnsi="Times New Roman"/>
        </w:rPr>
        <w:t xml:space="preserve"> </w:t>
      </w:r>
    </w:p>
  </w:footnote>
  <w:footnote w:id="66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Información alfanumérica e imágenes.</w:t>
      </w:r>
    </w:p>
  </w:footnote>
  <w:footnote w:id="66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Aparición en la pantalla principal de los teléfonos móviles, cobertura de la pantalla mínimo por diez segundos en los que el usuario no pueda eliminarla, que la fotografía ocupe por lo menos el 70% de la pantalla, vibración del dispositivo móvil, y color </w:t>
      </w:r>
      <w:r w:rsidRPr="007C57D2">
        <w:rPr>
          <w:rFonts w:ascii="Times New Roman" w:hAnsi="Times New Roman"/>
        </w:rPr>
        <w:t>específico de la alerta.</w:t>
      </w:r>
    </w:p>
  </w:footnote>
  <w:footnote w:id="66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Máximo una hora desde su activación.</w:t>
      </w:r>
    </w:p>
  </w:footnote>
  <w:footnote w:id="66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Envío del mensaje de alerta tres veces al día desde el reporte de la desaparición y mínimo durante la semana siguiente a la alerta inicial.</w:t>
      </w:r>
    </w:p>
  </w:footnote>
  <w:footnote w:id="66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Envío a todos los teléfonos móviles ubicados en </w:t>
      </w:r>
      <w:r w:rsidRPr="007C57D2">
        <w:rPr>
          <w:rFonts w:ascii="Times New Roman" w:hAnsi="Times New Roman"/>
        </w:rPr>
        <w:t>la zona donde se produjo la desaparición, con posibilidad de ampliación progresiva.</w:t>
      </w:r>
    </w:p>
  </w:footnote>
  <w:footnote w:id="66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Remisión a todos los dispositivos móviles de zonas específicas, a determinadas autoridades y a países fronterizos.</w:t>
      </w:r>
    </w:p>
  </w:footnote>
  <w:footnote w:id="66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2.c del PLE.</w:t>
      </w:r>
    </w:p>
  </w:footnote>
  <w:footnote w:id="67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10.f del PLE.</w:t>
      </w:r>
    </w:p>
  </w:footnote>
  <w:footnote w:id="67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lang w:val="en-US"/>
        </w:rPr>
        <w:t xml:space="preserve"> Cfr.</w:t>
      </w:r>
      <w:r w:rsidRPr="007C57D2">
        <w:rPr>
          <w:rFonts w:ascii="Times New Roman" w:hAnsi="Times New Roman"/>
          <w:lang w:val="en-US"/>
        </w:rPr>
        <w:t xml:space="preserve"> Prior, W. J. (2015). </w:t>
      </w:r>
      <w:r w:rsidRPr="007C57D2">
        <w:rPr>
          <w:rFonts w:ascii="Times New Roman" w:hAnsi="Times New Roman"/>
          <w:lang w:val="en-US"/>
        </w:rPr>
        <w:t xml:space="preserve">Techne. En R. Audi (Ed.), The Cambridge Dictionary of Philosophy (3era ed.). </w:t>
      </w:r>
      <w:r w:rsidRPr="007C57D2">
        <w:rPr>
          <w:rFonts w:ascii="Times New Roman" w:hAnsi="Times New Roman"/>
        </w:rPr>
        <w:t xml:space="preserve">Cambridge University Press, p. 1050. </w:t>
      </w:r>
    </w:p>
  </w:footnote>
  <w:footnote w:id="67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las contenidas en el Diccionario de la Lengua Española. Cfr. </w:t>
      </w:r>
      <w:hyperlink r:id="rId20" w:history="1">
        <w:r w:rsidRPr="007C57D2">
          <w:rPr>
            <w:rStyle w:val="Hipervnculo"/>
            <w:rFonts w:ascii="Times New Roman" w:hAnsi="Times New Roman"/>
            <w:color w:val="auto"/>
          </w:rPr>
          <w:t>https://dle.rae.es/tecnolog%C3%ADa</w:t>
        </w:r>
      </w:hyperlink>
      <w:r w:rsidRPr="007C57D2">
        <w:rPr>
          <w:rFonts w:ascii="Times New Roman" w:hAnsi="Times New Roman"/>
        </w:rPr>
        <w:t xml:space="preserve"> </w:t>
      </w:r>
    </w:p>
  </w:footnote>
  <w:footnote w:id="67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Tecnología es la combinación de dos expresiones que provienen del griego antiguo: téchnē (τέχνη) y lógos (λόγος). Si bien téchnē puede traducirse como arte, su significado no está atado a la estética; se refiere a una </w:t>
      </w:r>
      <w:r w:rsidRPr="007C57D2">
        <w:rPr>
          <w:rFonts w:ascii="Times New Roman" w:hAnsi="Times New Roman"/>
        </w:rPr>
        <w:t>habilidad humana que puede enseñarse con base en principios generales, como las manualidades y las ciencias. Es decir, es un saber que se contrapone a las capacidades con las que nace el ser humano. Por su parte, lógos es un concepto que está relacionado c</w:t>
      </w:r>
      <w:r w:rsidRPr="007C57D2">
        <w:rPr>
          <w:rFonts w:ascii="Times New Roman" w:hAnsi="Times New Roman"/>
        </w:rPr>
        <w:t>on el lenguaje y con la razón, y que se puede entender como una descripción o afirmación de lo que un objeto de conocimiento. En la tradición filosófica occidental, la tecnología ha sido entendida como un cuerpo sistemático de conocimiento, como un sistema</w:t>
      </w:r>
      <w:r w:rsidRPr="007C57D2">
        <w:rPr>
          <w:rFonts w:ascii="Times New Roman" w:hAnsi="Times New Roman"/>
        </w:rPr>
        <w:t xml:space="preserve"> de artefactos materiales, y como una forma de acción y racionalidad práctica. </w:t>
      </w:r>
      <w:r w:rsidRPr="007C57D2">
        <w:rPr>
          <w:rFonts w:ascii="Times New Roman" w:hAnsi="Times New Roman"/>
          <w:lang w:val="en-US"/>
        </w:rPr>
        <w:t>Cfr. Prior, W. J. (2015). Techne. En R. Audi (Ed.), The Cambridge Dictionary of Philosophy (3era ed.). Cambridge University Press, p. 1050; Bunnin, N., &amp; Yu, J. (2004). The Blac</w:t>
      </w:r>
      <w:r w:rsidRPr="007C57D2">
        <w:rPr>
          <w:rFonts w:ascii="Times New Roman" w:hAnsi="Times New Roman"/>
          <w:lang w:val="en-US"/>
        </w:rPr>
        <w:t>kwell Dictionary of Western Philosophy. En The Blackwell Dictionary of Western Philosophy. Blackwell Publishing, p. 670; Guthrie, W. K. C. (1971). The Sophists. Cambridge University Press, p. 210; y Meijers, A. (2015). Philosophy of Technology (R. Audi, Ed</w:t>
      </w:r>
      <w:r w:rsidRPr="007C57D2">
        <w:rPr>
          <w:rFonts w:ascii="Times New Roman" w:hAnsi="Times New Roman"/>
          <w:lang w:val="en-US"/>
        </w:rPr>
        <w:t xml:space="preserve">.; 3era ed.). </w:t>
      </w:r>
      <w:r w:rsidRPr="007C57D2">
        <w:rPr>
          <w:rFonts w:ascii="Times New Roman" w:hAnsi="Times New Roman"/>
        </w:rPr>
        <w:t>Cambridge University Press, p. 825.</w:t>
      </w:r>
    </w:p>
  </w:footnote>
  <w:footnote w:id="67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Que la alerta ocupe toda la pantalla principal de los teléfonos móviles, o, cuando no sea posible, se remita por mensaje de texto de notificación especial; que cubra toda la pantalla mínimo por diez segun</w:t>
      </w:r>
      <w:r w:rsidRPr="007C57D2">
        <w:rPr>
          <w:rFonts w:ascii="Times New Roman" w:hAnsi="Times New Roman"/>
        </w:rPr>
        <w:t>dos, durante los que no sea posible eliminarla; que la fotografía ocupe el 70% de la pantalla; que el dispositivo que la reciba vibre; y que la señal de alerta sea de color rojo.</w:t>
      </w:r>
    </w:p>
  </w:footnote>
  <w:footnote w:id="67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Los ministerios de Relaciones Exteriores, Justicia y del Derecho, Defensa, </w:t>
      </w:r>
      <w:r w:rsidRPr="007C57D2">
        <w:rPr>
          <w:rFonts w:ascii="Times New Roman" w:hAnsi="Times New Roman"/>
        </w:rPr>
        <w:t xml:space="preserve">Interior, Salud, Educación, TIC e Igualdad; Migración Colombia; la Policía Nacional; la Procuraduría General de la Nación; la Defensoría del Pueblo; la Fiscalía General de la Nación; el Instituto Nacional de Medicina Legal y Ciencias Forenses; la Comisión </w:t>
      </w:r>
      <w:r w:rsidRPr="007C57D2">
        <w:rPr>
          <w:rFonts w:ascii="Times New Roman" w:hAnsi="Times New Roman"/>
        </w:rPr>
        <w:t>de Regulación de Comunicaciones; el ICBF; y la Comisión de Búsqueda de personas desaparecidas.</w:t>
      </w:r>
    </w:p>
  </w:footnote>
  <w:footnote w:id="67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Como la Alerta Rosa o la Alerta Nacional, o el envío de mensajes de texto con enlaces que dirijan a pinas donde esté disponible toda la información exigida en </w:t>
      </w:r>
      <w:r w:rsidRPr="007C57D2">
        <w:rPr>
          <w:rFonts w:ascii="Times New Roman" w:hAnsi="Times New Roman"/>
        </w:rPr>
        <w:t>el Proyecto de Ley Estatutaria.</w:t>
      </w:r>
    </w:p>
  </w:footnote>
  <w:footnote w:id="67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4 de la Ley 2242 de 2022.</w:t>
      </w:r>
    </w:p>
  </w:footnote>
  <w:footnote w:id="678">
    <w:p w:rsidR="006B0FCB"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Debe tenerse en cuenta que el PLE no ordena ningún gasto. Por lo tanto, en el evento de requerirse la destinación de recursos para su implementación, estas erogaciones deberán atenderse</w:t>
      </w:r>
      <w:r w:rsidRPr="007C57D2">
        <w:rPr>
          <w:rFonts w:ascii="Times New Roman" w:hAnsi="Times New Roman"/>
        </w:rPr>
        <w:t xml:space="preserve"> con cargo a las apropiaciones existentes y conforme al Marco Fiscal de Mediano Plazo.</w:t>
      </w:r>
    </w:p>
  </w:footnote>
  <w:footnote w:id="679">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rPr>
        <w:t xml:space="preserve"> El test estricto de proporcionalidad se aplica “1) cuando está de por medio una clasificación sospechosa como las enumeradas en forma no taxativa a manera de prohibici</w:t>
      </w:r>
      <w:r w:rsidRPr="007C57D2">
        <w:rPr>
          <w:rFonts w:ascii="Times New Roman" w:hAnsi="Times New Roman"/>
        </w:rPr>
        <w:t xml:space="preserve">ones de discriminación en el inciso 1º del artículo 13 de la Constitución; 2) cuando la medida recae principalmente en personas en condiciones de debilidad manifiesta, grupos marginados o discriminados, sectores sin acceso efectivo a la toma de decisiones </w:t>
      </w:r>
      <w:r w:rsidRPr="007C57D2">
        <w:rPr>
          <w:rFonts w:ascii="Times New Roman" w:hAnsi="Times New Roman"/>
        </w:rPr>
        <w:t xml:space="preserve">o minorías insulares y discretas; 3) cuando la medida prima facie afecta el goce de un derecho constitucional fundamental; 4) cuando se examina una medida que crea un privilegio”. </w:t>
      </w:r>
      <w:r w:rsidRPr="007C57D2">
        <w:rPr>
          <w:rFonts w:ascii="Times New Roman" w:hAnsi="Times New Roman"/>
          <w:lang w:val="pt-BR"/>
        </w:rPr>
        <w:t>Corte Constitucional, Sentencia C-246 de 2017.</w:t>
      </w:r>
    </w:p>
  </w:footnote>
  <w:footnote w:id="680">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w:t>
      </w:r>
      <w:r w:rsidRPr="007C57D2">
        <w:rPr>
          <w:rFonts w:ascii="Times New Roman" w:hAnsi="Times New Roman"/>
          <w:lang w:val="pt-BR"/>
        </w:rPr>
        <w:t>ncia C-673 de 2001.</w:t>
      </w:r>
    </w:p>
  </w:footnote>
  <w:footnote w:id="68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C-127 de 2023; en referencia a la Sentencia T-292 de 2004.</w:t>
      </w:r>
    </w:p>
  </w:footnote>
  <w:footnote w:id="68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SU-180 de 2022.</w:t>
      </w:r>
    </w:p>
  </w:footnote>
  <w:footnote w:id="68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“Artículo 7°. Tratamiento de datos personales. El Tratamiento de los datos personales se ll</w:t>
      </w:r>
      <w:r w:rsidRPr="007C57D2">
        <w:rPr>
          <w:rFonts w:ascii="Times New Roman" w:hAnsi="Times New Roman"/>
        </w:rPr>
        <w:t>evará a cabo de acuerdo con lo establecido en la Ley Estatutaria 1581 de 2012. Los datos personales no podrán ser entregados a otras entidades diferentes de las que trata la presente ley y empresas nacionales o extranjeras so pena de incurrir en las sancio</w:t>
      </w:r>
      <w:r w:rsidRPr="007C57D2">
        <w:rPr>
          <w:rFonts w:ascii="Times New Roman" w:hAnsi="Times New Roman"/>
        </w:rPr>
        <w:t>nes consagradas en el Título VII, Capítulos I y II de la Ley Estatutaria 1581 de 2012”.</w:t>
      </w:r>
    </w:p>
  </w:footnote>
  <w:footnote w:id="684">
    <w:p w:rsidR="00293E08"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sentencias C-427 de 2023 f.j. 85, C-422 de 2019 f.j. 89 yC-234 de 2019 f.j. 74.4.3, entre otros. </w:t>
      </w:r>
    </w:p>
  </w:footnote>
  <w:footnote w:id="68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SU-180 de 2022.</w:t>
      </w:r>
    </w:p>
  </w:footnote>
  <w:footnote w:id="68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Instituto Nacional de Medicina Legal y Forense, “Estándares para la Búsqueda de Personas Desaparecidas”, 2025. Documento electrónico disponible en: chrome-extension://efaidnbmnnnibpcajpcglclefindmkaj/https</w:t>
      </w:r>
      <w:r w:rsidRPr="007C57D2">
        <w:rPr>
          <w:rFonts w:ascii="Times New Roman" w:hAnsi="Times New Roman"/>
        </w:rPr>
        <w:t>://www.medicinalegal.gov.co/documents/20143/40466/Estandares_busqueda_desaparecidos_vfinal_20250320.pdf</w:t>
      </w:r>
    </w:p>
  </w:footnote>
  <w:footnote w:id="687">
    <w:p w:rsidR="0082526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Sentencia SU-180 de 2022.</w:t>
      </w:r>
    </w:p>
  </w:footnote>
  <w:footnote w:id="688">
    <w:p w:rsidR="0082526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Corte Constitucional, </w:t>
      </w:r>
      <w:r w:rsidRPr="007C57D2">
        <w:rPr>
          <w:rFonts w:ascii="Times New Roman" w:hAnsi="Times New Roman"/>
        </w:rPr>
        <w:t>s</w:t>
      </w:r>
      <w:r w:rsidRPr="007C57D2">
        <w:rPr>
          <w:rFonts w:ascii="Times New Roman" w:hAnsi="Times New Roman"/>
        </w:rPr>
        <w:t>entencias T-241 de 2023 y SU-420 de 2019. Si bien en estos casos se abordó un</w:t>
      </w:r>
      <w:r w:rsidRPr="007C57D2">
        <w:rPr>
          <w:rFonts w:ascii="Times New Roman" w:hAnsi="Times New Roman"/>
        </w:rPr>
        <w:t xml:space="preserve">a tensión entre la libertad de expresión y la honra y el buen nombre respecto de publicaciones realizadas en plataformas digitales, la metodología resulta adecuada para valorar los impactos que puede tener la divulgación masiva de alertas que identifiquen </w:t>
      </w:r>
      <w:r w:rsidRPr="007C57D2">
        <w:rPr>
          <w:rFonts w:ascii="Times New Roman" w:hAnsi="Times New Roman"/>
        </w:rPr>
        <w:t>a una persona como un posible secuestrador.</w:t>
      </w:r>
    </w:p>
  </w:footnote>
  <w:footnote w:id="689">
    <w:p w:rsidR="0082526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Debe tenerse en cuenta que las afirmaciones genéricas no tienen la potencialidad de afectar los derechos a la honra y el buen nombre. Por lo tanto, esto solo tiene lugar en los casos en los que se haga alusión </w:t>
      </w:r>
      <w:r w:rsidRPr="007C57D2">
        <w:rPr>
          <w:rFonts w:ascii="Times New Roman" w:hAnsi="Times New Roman"/>
        </w:rPr>
        <w:t>a una situación específica, es decir, cuando exista una referencia concreta a una persona o grupo de personas.</w:t>
      </w:r>
    </w:p>
  </w:footnote>
  <w:footnote w:id="690">
    <w:p w:rsidR="007F733D" w:rsidRPr="007F733D" w:rsidRDefault="007C57D2" w:rsidP="007F733D">
      <w:pPr>
        <w:pStyle w:val="Textonotapie"/>
        <w:jc w:val="both"/>
        <w:rPr>
          <w:lang w:val="es-ES_tradnl"/>
        </w:rPr>
      </w:pPr>
      <w:r>
        <w:rPr>
          <w:rStyle w:val="Refdenotaalpie"/>
        </w:rPr>
        <w:footnoteRef/>
      </w:r>
      <w:r>
        <w:t xml:space="preserve"> </w:t>
      </w:r>
      <w:r w:rsidRPr="007C57D2">
        <w:rPr>
          <w:rFonts w:ascii="Times New Roman" w:hAnsi="Times New Roman"/>
        </w:rPr>
        <w:t>Debe verificarse la probabilidad de que la publicación sea cierta. Cuando su contenido y significado son debatibles, generan un menor impacto e</w:t>
      </w:r>
      <w:r w:rsidRPr="007C57D2">
        <w:rPr>
          <w:rFonts w:ascii="Times New Roman" w:hAnsi="Times New Roman"/>
        </w:rPr>
        <w:t xml:space="preserve">n el goce de los derechos al buen nombre y a la honra. Ahora, la Corte ha señalado que el grado de certeza no depende de la valoración subjetiva del afectado, sino de un análisis objetivo y neutral que tenga en consideración todas las particularidades del </w:t>
      </w:r>
      <w:r w:rsidRPr="007C57D2">
        <w:rPr>
          <w:rFonts w:ascii="Times New Roman" w:hAnsi="Times New Roman"/>
        </w:rPr>
        <w:t>caso.</w:t>
      </w:r>
    </w:p>
  </w:footnote>
  <w:footnote w:id="691">
    <w:p w:rsidR="0082526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Deben tenerse en cuenta los elementos que involucran la manera como se envió el mensaje: (i) quien es el emisor de la información que se considera difamatoria, (ii) la calidad del sujeto afectado por la publicación y las posibilidades que tiene de defende</w:t>
      </w:r>
      <w:r w:rsidRPr="007C57D2">
        <w:rPr>
          <w:rFonts w:ascii="Times New Roman" w:hAnsi="Times New Roman"/>
        </w:rPr>
        <w:t>rse, (iii) el medio de difusión donde se analiza la capacidad de penetración del medio y su impacto inmediato sobre la audiencia, y (iv) la periodicidad de la publicación.</w:t>
      </w:r>
    </w:p>
  </w:footnote>
  <w:footnote w:id="692">
    <w:p w:rsidR="00825262"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Literal p del artículo 2.2.2.8.2.2 del Decreto 1428 de 2024.</w:t>
      </w:r>
    </w:p>
  </w:footnote>
  <w:footnote w:id="69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rPr>
        <w:t xml:space="preserve"> “En virtud del prin</w:t>
      </w:r>
      <w:r w:rsidRPr="007C57D2">
        <w:rPr>
          <w:rFonts w:ascii="Times New Roman" w:hAnsi="Times New Roman"/>
        </w:rPr>
        <w:t>cipio democrático, el establecimiento de un régimen disciplinario hace parte de la libertad de configuración del legislador, pues solo en el campo de la deliberación política se pueden determinar los deberes que asisten a los ciudadanos que desempeñan un p</w:t>
      </w:r>
      <w:r w:rsidRPr="007C57D2">
        <w:rPr>
          <w:rFonts w:ascii="Times New Roman" w:hAnsi="Times New Roman"/>
        </w:rPr>
        <w:t>apel especial en la sociedad, el tipo de conductas que resultan ajenas a los mismos y a la consecución de los fines del Estado, la gravedad social de estos comportamientos y la intensidad de las sanciones aplicables. Los artículos 124, 125, 150.23 y 277 de</w:t>
      </w:r>
      <w:r w:rsidRPr="007C57D2">
        <w:rPr>
          <w:rFonts w:ascii="Times New Roman" w:hAnsi="Times New Roman"/>
        </w:rPr>
        <w:t xml:space="preserve"> la Constitución respaldan esta perspectiva, en cuanto disponen que corresponde al legislador delimitar la responsabilidad disciplinaria que puede ser atribuida a quienes atenten contra el ordenamiento jurídico y las finalidades de la función pública”. </w:t>
      </w:r>
      <w:r w:rsidRPr="007C57D2">
        <w:rPr>
          <w:rFonts w:ascii="Times New Roman" w:hAnsi="Times New Roman"/>
          <w:lang w:val="pt-BR"/>
        </w:rPr>
        <w:t>Cor</w:t>
      </w:r>
      <w:r w:rsidRPr="007C57D2">
        <w:rPr>
          <w:rFonts w:ascii="Times New Roman" w:hAnsi="Times New Roman"/>
          <w:lang w:val="pt-BR"/>
        </w:rPr>
        <w:t>te Constitucional, Sentencia C-030 de 2024.</w:t>
      </w:r>
    </w:p>
  </w:footnote>
  <w:footnote w:id="694">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C-408 de 2021.</w:t>
      </w:r>
    </w:p>
  </w:footnote>
  <w:footnote w:id="69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C-030 de 2024.</w:t>
      </w:r>
    </w:p>
  </w:footnote>
  <w:footnote w:id="69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“Por la cual se crea el programa ´Estado Contigo´ para mujeres cabeza de familia, se fortalece el sistema de información para niños, niñas y adolescentes y se dictan otras disposiciones”.</w:t>
      </w:r>
    </w:p>
  </w:footnote>
  <w:footnote w:id="697">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eastAsia="Calibri" w:hAnsi="Times New Roman"/>
        </w:rPr>
        <w:t xml:space="preserve">“Por la cual se dictan normas para la protección de la Niñez, se </w:t>
      </w:r>
      <w:r w:rsidRPr="007C57D2">
        <w:rPr>
          <w:rFonts w:ascii="Times New Roman" w:eastAsia="Calibri" w:hAnsi="Times New Roman"/>
        </w:rPr>
        <w:t>establece el Sistema Nacional de Bienestar Familiar, se reorganiza el Instituto Colombiano de Bienestar Familiar y se dictan otras disposiciones”.</w:t>
      </w:r>
    </w:p>
  </w:footnote>
  <w:footnote w:id="69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eastAsia="Calibri" w:hAnsi="Times New Roman"/>
        </w:rPr>
        <w:t>Como el Sistema de Seguimiento al Desarrollo integral de la Primera Infancia (SSD IPL), el Sistema Nacional</w:t>
      </w:r>
      <w:r w:rsidRPr="007C57D2">
        <w:rPr>
          <w:rFonts w:ascii="Times New Roman" w:eastAsia="Calibri" w:hAnsi="Times New Roman"/>
        </w:rPr>
        <w:t xml:space="preserve"> de Alertas Tempranas para la Prevención de la Violencia Sexual contra Niños, Niñas y Adolescentes, y el Sistema de Información Misional (SIM).</w:t>
      </w:r>
    </w:p>
  </w:footnote>
  <w:footnote w:id="69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eastAsia="Calibri" w:hAnsi="Times New Roman"/>
        </w:rPr>
        <w:t>Artículo 4 de la Ley 2242 de 2022.</w:t>
      </w:r>
    </w:p>
  </w:footnote>
  <w:footnote w:id="70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archivo “PE0000059-Conceptos e Intervenciones-(2025-0</w:t>
      </w:r>
      <w:r w:rsidRPr="007C57D2">
        <w:rPr>
          <w:rFonts w:ascii="Times New Roman" w:hAnsi="Times New Roman"/>
        </w:rPr>
        <w:t xml:space="preserve">4-24 03-48-23).pdf”, p. 2. </w:t>
      </w:r>
    </w:p>
  </w:footnote>
  <w:footnote w:id="70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archivo “PE0000059-Conceptos e Intervenciones-(2025-04-24 17-42-44).pdf”, p. 29. </w:t>
      </w:r>
    </w:p>
  </w:footnote>
  <w:footnote w:id="70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archivo “PE0000059-Peticiones y Otros-(2025-07-14 10-06-43).pdf”, p. 31.</w:t>
      </w:r>
    </w:p>
  </w:footnote>
  <w:footnote w:id="703">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w:t>
      </w:r>
      <w:r w:rsidRPr="007C57D2">
        <w:rPr>
          <w:rFonts w:ascii="Times New Roman" w:hAnsi="Times New Roman"/>
          <w:lang w:val="pt-BR"/>
        </w:rPr>
        <w:t xml:space="preserve">ncia C-307 de 2004. </w:t>
      </w:r>
    </w:p>
  </w:footnote>
  <w:footnote w:id="704">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C-018 de 2018; reiterada en la Sentencia C-153 de 2022. </w:t>
      </w:r>
    </w:p>
  </w:footnote>
  <w:footnote w:id="705">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Ibídem. </w:t>
      </w:r>
    </w:p>
  </w:footnote>
  <w:footnote w:id="706">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C-951 de 2014. </w:t>
      </w:r>
    </w:p>
  </w:footnote>
  <w:footnote w:id="707">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Corte Constitucional, sentencias C-713 de 2008 y C-406 de 2013. </w:t>
      </w:r>
    </w:p>
  </w:footnote>
  <w:footnote w:id="708">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Cfr. Cort</w:t>
      </w:r>
      <w:r w:rsidRPr="007C57D2">
        <w:rPr>
          <w:rFonts w:ascii="Times New Roman" w:hAnsi="Times New Roman"/>
          <w:lang w:val="pt-BR"/>
        </w:rPr>
        <w:t xml:space="preserve">e Constitucional, sentencias C-307 de 2004, C-540 de 2012, C-951 2014, entre otras. </w:t>
      </w:r>
    </w:p>
  </w:footnote>
  <w:footnote w:id="709">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Expediente digital, archivo “PE0000059-Conceptos e Intervenciones-(2025-04-24 17-42-44).pdf”, p. 29. </w:t>
      </w:r>
    </w:p>
  </w:footnote>
  <w:footnote w:id="710">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bookmarkStart w:id="56" w:name="218"/>
      <w:r w:rsidRPr="007C57D2">
        <w:rPr>
          <w:rFonts w:ascii="Times New Roman" w:hAnsi="Times New Roman"/>
        </w:rPr>
        <w:t>Artículo 218.</w:t>
      </w:r>
      <w:r w:rsidRPr="007C57D2">
        <w:rPr>
          <w:rFonts w:ascii="Times New Roman" w:hAnsi="Times New Roman"/>
          <w:b/>
          <w:bCs/>
        </w:rPr>
        <w:t> </w:t>
      </w:r>
      <w:bookmarkEnd w:id="56"/>
      <w:r w:rsidRPr="007C57D2">
        <w:rPr>
          <w:rFonts w:ascii="Times New Roman" w:hAnsi="Times New Roman"/>
        </w:rPr>
        <w:t>La ley organizará el cuerpo de Policía. La Policía</w:t>
      </w:r>
      <w:r w:rsidRPr="007C57D2">
        <w:rPr>
          <w:rFonts w:ascii="Times New Roman" w:hAnsi="Times New Roman"/>
        </w:rPr>
        <w:t xml:space="preserve"> Nacional es un cuerpo armado permanente de naturaleza civil, a cargo de la Nación, cuyo fin primordial es el mantenimiento de las condiciones necesarias para el ejercicio de los derechos y libertades públicas, y para asegurar que los habitantes de Colombi</w:t>
      </w:r>
      <w:r w:rsidRPr="007C57D2">
        <w:rPr>
          <w:rFonts w:ascii="Times New Roman" w:hAnsi="Times New Roman"/>
        </w:rPr>
        <w:t>a convivan en paz. La ley determinará su régimen de carrera, prestacional y disciplinario”.</w:t>
      </w:r>
    </w:p>
  </w:footnote>
  <w:footnote w:id="711">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Según el artículo 250 de la Constitución Política, la Fiscalía como titular de la acción penal tiene distintas funciones, entre las que se destaca “2. Adelantar r</w:t>
      </w:r>
      <w:r w:rsidRPr="007C57D2">
        <w:rPr>
          <w:rFonts w:ascii="Times New Roman" w:hAnsi="Times New Roman"/>
        </w:rPr>
        <w:t>egistros, allanamientos, incautaciones e interceptaciones de comunicaciones. En estos eventos el juez que ejerza las funciones de control de garantías efectuará el control posterior respectivo, a más tardar dentro de las treinta y seis (36) horas siguiente</w:t>
      </w:r>
      <w:r w:rsidRPr="007C57D2">
        <w:rPr>
          <w:rFonts w:ascii="Times New Roman" w:hAnsi="Times New Roman"/>
        </w:rPr>
        <w:t>s (…)”.</w:t>
      </w:r>
    </w:p>
  </w:footnote>
  <w:footnote w:id="712">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bookmarkStart w:id="57" w:name="2"/>
      <w:r w:rsidRPr="007C57D2">
        <w:rPr>
          <w:rFonts w:ascii="Times New Roman" w:hAnsi="Times New Roman"/>
        </w:rPr>
        <w:t>“Artículo 2o.</w:t>
      </w:r>
      <w:bookmarkEnd w:id="57"/>
      <w:r w:rsidRPr="007C57D2">
        <w:rPr>
          <w:rFonts w:ascii="Times New Roman" w:hAnsi="Times New Roman"/>
        </w:rPr>
        <w:t> Son fines esenciales del Estado: servir a la comunidad, promover la prosperidad general y garantizar la efectividad de los principios, derechos y deberes consagrados en la Constitución; facilitar la participación de todos en las dec</w:t>
      </w:r>
      <w:r w:rsidRPr="007C57D2">
        <w:rPr>
          <w:rFonts w:ascii="Times New Roman" w:hAnsi="Times New Roman"/>
        </w:rPr>
        <w:t xml:space="preserve">isiones que los afectan y en la vida económica, política, administrativa y cultural de la Nación; defender la independencia nacional, mantener la integridad territorial y asegurar la convivencia pacífica y la vigencia de un orden justo. Las autoridades de </w:t>
      </w:r>
      <w:r w:rsidRPr="007C57D2">
        <w:rPr>
          <w:rFonts w:ascii="Times New Roman" w:hAnsi="Times New Roman"/>
        </w:rPr>
        <w:t>la República están instituidas para proteger a todas las personas residentes en Colombia, en su vida, honra, bienes, creencias, y demás derechos y libertades, y para asegurar el cumplimiento de los deberes sociales del Estado y de los particulares”.</w:t>
      </w:r>
    </w:p>
  </w:footnote>
  <w:footnote w:id="713">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Susc</w:t>
      </w:r>
      <w:r w:rsidRPr="007C57D2">
        <w:rPr>
          <w:rFonts w:ascii="Times New Roman" w:hAnsi="Times New Roman"/>
          <w:lang w:val="es-ES"/>
        </w:rPr>
        <w:t>rita en San José de Costa Rica el 22 de noviembre de 1969. Entrada en vigor para Colombia el 18 de julio 1978, en virtud de la Ley 16 de 1972</w:t>
      </w:r>
      <w:r w:rsidRPr="007C57D2">
        <w:rPr>
          <w:rFonts w:ascii="Times New Roman" w:hAnsi="Times New Roman"/>
          <w:vertAlign w:val="superscript"/>
          <w:lang w:val="es-ES"/>
        </w:rPr>
        <w:footnoteRef/>
      </w:r>
      <w:r w:rsidRPr="007C57D2">
        <w:rPr>
          <w:rFonts w:ascii="Times New Roman" w:hAnsi="Times New Roman"/>
          <w:lang w:val="es-ES"/>
        </w:rPr>
        <w:t>. R</w:t>
      </w:r>
      <w:r w:rsidRPr="007C57D2">
        <w:rPr>
          <w:rFonts w:ascii="Times New Roman" w:hAnsi="Times New Roman"/>
        </w:rPr>
        <w:t>atificada por Colombia el 28 de mayo de 1973.</w:t>
      </w:r>
    </w:p>
  </w:footnote>
  <w:footnote w:id="714">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 xml:space="preserve">Adoptada por la Asamblea General de Naciones Unidas en su Resolución 44/25, de 20 de noviembre de 1989. Entrada en vigor para Colombia el 28 de enero de 1991, en virtud de la Ley 12 de 1991. </w:t>
      </w:r>
      <w:r w:rsidRPr="007C57D2">
        <w:rPr>
          <w:rFonts w:ascii="Times New Roman" w:hAnsi="Times New Roman"/>
        </w:rPr>
        <w:t>Ratificada por Colombia el 28 de enero de 1991.</w:t>
      </w:r>
    </w:p>
  </w:footnote>
  <w:footnote w:id="715">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w:t>
      </w:r>
      <w:r w:rsidRPr="007C57D2">
        <w:rPr>
          <w:rFonts w:ascii="Times New Roman" w:hAnsi="Times New Roman"/>
        </w:rPr>
        <w:t>tal, archivo “PE0000059-Peticiones y Otros-(2025-07-14 10-06-43).pdf”, p. 31.</w:t>
      </w:r>
    </w:p>
  </w:footnote>
  <w:footnote w:id="716">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Cfr. Corte Constitucional, sentencias C-569 de 2016, T-468 de 2018, SU- 180 de 2022, entre otras. </w:t>
      </w:r>
    </w:p>
  </w:footnote>
  <w:footnote w:id="717">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Corte Constitucional, Sentencia SU-180 de 2022.</w:t>
      </w:r>
    </w:p>
  </w:footnote>
  <w:footnote w:id="718">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archi</w:t>
      </w:r>
      <w:r w:rsidRPr="007C57D2">
        <w:rPr>
          <w:rFonts w:ascii="Times New Roman" w:hAnsi="Times New Roman"/>
        </w:rPr>
        <w:t>vo “PE0000059-Peticiones y Otros-(2025-07-14 10-06-43).pdf”, p. 31.</w:t>
      </w:r>
    </w:p>
  </w:footnote>
  <w:footnote w:id="719">
    <w:p w:rsidR="001E19D5" w:rsidRPr="007C57D2" w:rsidRDefault="007C57D2" w:rsidP="00F543B3">
      <w:pPr>
        <w:pStyle w:val="Textonotapie"/>
        <w:jc w:val="both"/>
        <w:rPr>
          <w:rFonts w:ascii="Times New Roman" w:hAnsi="Times New Roman"/>
        </w:rPr>
      </w:pPr>
      <w:r w:rsidRPr="007C57D2">
        <w:rPr>
          <w:rStyle w:val="Refdenotaalpie"/>
          <w:rFonts w:ascii="Times New Roman" w:hAnsi="Times New Roman"/>
        </w:rPr>
        <w:footnoteRef/>
      </w:r>
      <w:r w:rsidRPr="007C57D2">
        <w:rPr>
          <w:rFonts w:ascii="Times New Roman" w:hAnsi="Times New Roman"/>
        </w:rPr>
        <w:t xml:space="preserve"> Expediente digital, archivo “PE0000059-Conceptos e Intervenciones-(2025-04-24 16-59-36).pdf”, p. 11. </w:t>
      </w:r>
    </w:p>
  </w:footnote>
  <w:footnote w:id="720">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Corte Constitucional, Sentencia SU-180 de 2022.</w:t>
      </w:r>
    </w:p>
  </w:footnote>
  <w:footnote w:id="721">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De acuerdo con el artículo 113 de la Constitución: “Los diferentes órganos del Estado tienen funciones separadas, pero colaboran armónicamente para la realización de sus fines”.</w:t>
      </w:r>
    </w:p>
  </w:footnote>
  <w:footnote w:id="722">
    <w:p w:rsidR="001E19D5" w:rsidRPr="007C57D2" w:rsidRDefault="007C57D2" w:rsidP="00F543B3">
      <w:pPr>
        <w:pStyle w:val="Textonotapie"/>
        <w:jc w:val="both"/>
        <w:rPr>
          <w:rFonts w:ascii="Times New Roman" w:hAnsi="Times New Roman"/>
          <w:lang w:val="pt-BR"/>
        </w:rPr>
      </w:pPr>
      <w:r w:rsidRPr="007C57D2">
        <w:rPr>
          <w:rStyle w:val="Refdenotaalpie"/>
          <w:rFonts w:ascii="Times New Roman" w:hAnsi="Times New Roman"/>
        </w:rPr>
        <w:footnoteRef/>
      </w:r>
      <w:r w:rsidRPr="007C57D2">
        <w:rPr>
          <w:rFonts w:ascii="Times New Roman" w:hAnsi="Times New Roman"/>
          <w:lang w:val="pt-BR"/>
        </w:rPr>
        <w:t xml:space="preserve"> Corte Constitucional, Sentencia C-432 de 2017.</w:t>
      </w:r>
    </w:p>
  </w:footnote>
  <w:footnote w:id="723">
    <w:p w:rsidR="001E19D5" w:rsidRPr="007C57D2" w:rsidRDefault="007C57D2" w:rsidP="00F543B3">
      <w:pPr>
        <w:pStyle w:val="Textonotapie"/>
        <w:jc w:val="both"/>
        <w:rPr>
          <w:rFonts w:ascii="Times New Roman" w:hAnsi="Times New Roman"/>
          <w:lang w:val="es-ES"/>
        </w:rPr>
      </w:pPr>
      <w:r w:rsidRPr="007C57D2">
        <w:rPr>
          <w:rStyle w:val="Refdenotaalpie"/>
          <w:rFonts w:ascii="Times New Roman" w:hAnsi="Times New Roman"/>
        </w:rPr>
        <w:footnoteRef/>
      </w:r>
      <w:r w:rsidRPr="007C57D2">
        <w:rPr>
          <w:rFonts w:ascii="Times New Roman" w:hAnsi="Times New Roman"/>
        </w:rPr>
        <w:t xml:space="preserve"> </w:t>
      </w:r>
      <w:r w:rsidRPr="007C57D2">
        <w:rPr>
          <w:rFonts w:ascii="Times New Roman" w:hAnsi="Times New Roman"/>
          <w:lang w:val="es-ES"/>
        </w:rPr>
        <w:t>Cfr. Corte Constitucional,</w:t>
      </w:r>
      <w:r w:rsidRPr="007C57D2">
        <w:rPr>
          <w:rFonts w:ascii="Times New Roman" w:hAnsi="Times New Roman"/>
          <w:lang w:val="es-ES"/>
        </w:rPr>
        <w:t xml:space="preserve"> A</w:t>
      </w:r>
      <w:r w:rsidRPr="007C57D2">
        <w:rPr>
          <w:rFonts w:ascii="Times New Roman" w:hAnsi="Times New Roman"/>
          <w:shd w:val="clear" w:color="auto" w:fill="FFFFFF"/>
        </w:rPr>
        <w:t xml:space="preserve">uto 543 de 2016 y Sentencia </w:t>
      </w:r>
      <w:r w:rsidRPr="007C57D2">
        <w:rPr>
          <w:rFonts w:ascii="Times New Roman" w:hAnsi="Times New Roman"/>
          <w:lang w:val="es-ES"/>
        </w:rPr>
        <w:t>C-432 de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10AC8"/>
    <w:multiLevelType w:val="hybridMultilevel"/>
    <w:tmpl w:val="20A6D3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E05629"/>
    <w:multiLevelType w:val="hybridMultilevel"/>
    <w:tmpl w:val="7A826FE8"/>
    <w:lvl w:ilvl="0" w:tplc="D0C471D6">
      <w:start w:val="1"/>
      <w:numFmt w:val="low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A5D18"/>
    <w:multiLevelType w:val="hybridMultilevel"/>
    <w:tmpl w:val="5BC29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BC14C1"/>
    <w:multiLevelType w:val="hybridMultilevel"/>
    <w:tmpl w:val="4552E89A"/>
    <w:lvl w:ilvl="0" w:tplc="FD484EFE">
      <w:start w:val="1"/>
      <w:numFmt w:val="lowerLetter"/>
      <w:lvlText w:val="%1)"/>
      <w:lvlJc w:val="left"/>
      <w:pPr>
        <w:ind w:left="1003" w:hanging="360"/>
      </w:pPr>
      <w:rPr>
        <w:sz w:val="28"/>
        <w:szCs w:val="28"/>
      </w:rPr>
    </w:lvl>
    <w:lvl w:ilvl="1" w:tplc="73E6A0C4">
      <w:start w:val="1"/>
      <w:numFmt w:val="lowerLetter"/>
      <w:lvlText w:val="(%2)"/>
      <w:lvlJc w:val="left"/>
      <w:pPr>
        <w:ind w:left="1860" w:hanging="420"/>
      </w:pPr>
    </w:lvl>
    <w:lvl w:ilvl="2" w:tplc="0B10E4DE">
      <w:start w:val="1"/>
      <w:numFmt w:val="lowerLetter"/>
      <w:lvlText w:val="%3."/>
      <w:lvlJc w:val="left"/>
      <w:pPr>
        <w:ind w:left="2700" w:hanging="360"/>
      </w:pPr>
    </w:lvl>
    <w:lvl w:ilvl="3" w:tplc="C776ACAE">
      <w:start w:val="8"/>
      <w:numFmt w:val="bullet"/>
      <w:lvlText w:val=""/>
      <w:lvlJc w:val="left"/>
      <w:pPr>
        <w:ind w:left="3240" w:hanging="360"/>
      </w:pPr>
      <w:rPr>
        <w:rFonts w:ascii="Symbol" w:hAnsi="Symbol" w:hint="default"/>
      </w:rPr>
    </w:lvl>
    <w:lvl w:ilvl="4" w:tplc="1812C23C" w:tentative="1">
      <w:start w:val="1"/>
      <w:numFmt w:val="lowerLetter"/>
      <w:lvlText w:val="%5."/>
      <w:lvlJc w:val="left"/>
      <w:pPr>
        <w:ind w:left="3960" w:hanging="360"/>
      </w:pPr>
    </w:lvl>
    <w:lvl w:ilvl="5" w:tplc="E87C6104" w:tentative="1">
      <w:start w:val="1"/>
      <w:numFmt w:val="lowerRoman"/>
      <w:lvlText w:val="%6."/>
      <w:lvlJc w:val="right"/>
      <w:pPr>
        <w:ind w:left="4680" w:hanging="180"/>
      </w:pPr>
    </w:lvl>
    <w:lvl w:ilvl="6" w:tplc="45E2518E" w:tentative="1">
      <w:start w:val="1"/>
      <w:numFmt w:val="decimal"/>
      <w:lvlText w:val="%7."/>
      <w:lvlJc w:val="left"/>
      <w:pPr>
        <w:ind w:left="5400" w:hanging="360"/>
      </w:pPr>
    </w:lvl>
    <w:lvl w:ilvl="7" w:tplc="38489316" w:tentative="1">
      <w:start w:val="1"/>
      <w:numFmt w:val="lowerLetter"/>
      <w:lvlText w:val="%8."/>
      <w:lvlJc w:val="left"/>
      <w:pPr>
        <w:ind w:left="6120" w:hanging="360"/>
      </w:pPr>
    </w:lvl>
    <w:lvl w:ilvl="8" w:tplc="4574EF76" w:tentative="1">
      <w:start w:val="1"/>
      <w:numFmt w:val="lowerRoman"/>
      <w:lvlText w:val="%9."/>
      <w:lvlJc w:val="right"/>
      <w:pPr>
        <w:ind w:left="6840" w:hanging="180"/>
      </w:pPr>
    </w:lvl>
  </w:abstractNum>
  <w:abstractNum w:abstractNumId="4" w15:restartNumberingAfterBreak="0">
    <w:nsid w:val="129A506D"/>
    <w:multiLevelType w:val="hybridMultilevel"/>
    <w:tmpl w:val="477A8398"/>
    <w:lvl w:ilvl="0" w:tplc="B78647E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037A9F"/>
    <w:multiLevelType w:val="hybridMultilevel"/>
    <w:tmpl w:val="01C06E56"/>
    <w:lvl w:ilvl="0" w:tplc="49D0FE78">
      <w:start w:val="2"/>
      <w:numFmt w:val="lowerLetter"/>
      <w:lvlText w:val="%1."/>
      <w:lvlJc w:val="left"/>
      <w:pPr>
        <w:ind w:left="720"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A0A7F"/>
    <w:multiLevelType w:val="hybridMultilevel"/>
    <w:tmpl w:val="942C0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716468"/>
    <w:multiLevelType w:val="hybridMultilevel"/>
    <w:tmpl w:val="3AF05538"/>
    <w:lvl w:ilvl="0" w:tplc="AB14AE4E">
      <w:start w:val="2"/>
      <w:numFmt w:val="lowerLetter"/>
      <w:lvlText w:val="%1."/>
      <w:lvlJc w:val="left"/>
      <w:pPr>
        <w:ind w:left="927" w:hanging="360"/>
      </w:pPr>
      <w:rPr>
        <w:rFonts w:cs="Times New Roman" w:hint="default"/>
        <w:b/>
        <w:sz w:val="28"/>
        <w:szCs w:val="28"/>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 w15:restartNumberingAfterBreak="0">
    <w:nsid w:val="29E56512"/>
    <w:multiLevelType w:val="hybridMultilevel"/>
    <w:tmpl w:val="3512793C"/>
    <w:lvl w:ilvl="0" w:tplc="040A0017">
      <w:start w:val="1"/>
      <w:numFmt w:val="lowerLetter"/>
      <w:lvlText w:val="%1)"/>
      <w:lvlJc w:val="left"/>
      <w:pPr>
        <w:ind w:left="720" w:hanging="360"/>
      </w:pPr>
    </w:lvl>
    <w:lvl w:ilvl="1" w:tplc="FFFFFFFF">
      <w:start w:val="1"/>
      <w:numFmt w:val="lowerLetter"/>
      <w:lvlText w:val="(%2)"/>
      <w:lvlJc w:val="left"/>
      <w:pPr>
        <w:ind w:left="1500" w:hanging="420"/>
      </w:pPr>
      <w:rPr>
        <w:rFonts w:hint="default"/>
      </w:rPr>
    </w:lvl>
    <w:lvl w:ilvl="2" w:tplc="FFFFFFFF">
      <w:start w:val="1"/>
      <w:numFmt w:val="lowerLetter"/>
      <w:lvlText w:val="%3."/>
      <w:lvlJc w:val="left"/>
      <w:pPr>
        <w:ind w:left="2340" w:hanging="360"/>
      </w:pPr>
      <w:rPr>
        <w:rFonts w:hint="default"/>
      </w:rPr>
    </w:lvl>
    <w:lvl w:ilvl="3" w:tplc="FFFFFFFF">
      <w:start w:val="8"/>
      <w:numFmt w:val="bullet"/>
      <w:lvlText w:val=""/>
      <w:lvlJc w:val="left"/>
      <w:pPr>
        <w:ind w:left="2880" w:hanging="360"/>
      </w:pPr>
      <w:rPr>
        <w:rFonts w:ascii="Symbol" w:eastAsia="Times New Roman" w:hAnsi="Symbol"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E6638F"/>
    <w:multiLevelType w:val="hybridMultilevel"/>
    <w:tmpl w:val="EAD821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3A0524"/>
    <w:multiLevelType w:val="multilevel"/>
    <w:tmpl w:val="FBA6A3CC"/>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C15C25"/>
    <w:multiLevelType w:val="hybridMultilevel"/>
    <w:tmpl w:val="65861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26797D"/>
    <w:multiLevelType w:val="hybridMultilevel"/>
    <w:tmpl w:val="9880D3B6"/>
    <w:lvl w:ilvl="0" w:tplc="86260666">
      <w:start w:val="2"/>
      <w:numFmt w:val="lowerLetter"/>
      <w:lvlText w:val="%1."/>
      <w:lvlJc w:val="left"/>
      <w:pPr>
        <w:ind w:left="720" w:hanging="360"/>
      </w:pPr>
      <w:rPr>
        <w:rFonts w:hint="default"/>
        <w:b/>
        <w:bCs/>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481C84"/>
    <w:multiLevelType w:val="hybridMultilevel"/>
    <w:tmpl w:val="EC24AA04"/>
    <w:lvl w:ilvl="0" w:tplc="FB7A20A6">
      <w:start w:val="2"/>
      <w:numFmt w:val="lowerLetter"/>
      <w:lvlText w:val="%1."/>
      <w:lvlJc w:val="left"/>
      <w:pPr>
        <w:ind w:left="720" w:hanging="36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445846"/>
    <w:multiLevelType w:val="hybridMultilevel"/>
    <w:tmpl w:val="A238B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07593A"/>
    <w:multiLevelType w:val="hybridMultilevel"/>
    <w:tmpl w:val="650CF998"/>
    <w:lvl w:ilvl="0" w:tplc="64B4D974">
      <w:start w:val="1"/>
      <w:numFmt w:val="decimal"/>
      <w:lvlText w:val="%1."/>
      <w:lvlJc w:val="left"/>
      <w:pPr>
        <w:ind w:left="1460" w:hanging="360"/>
      </w:pPr>
    </w:lvl>
    <w:lvl w:ilvl="1" w:tplc="BA4EE220" w:tentative="1">
      <w:start w:val="1"/>
      <w:numFmt w:val="lowerLetter"/>
      <w:lvlText w:val="%2."/>
      <w:lvlJc w:val="left"/>
      <w:pPr>
        <w:ind w:left="2180" w:hanging="360"/>
      </w:pPr>
    </w:lvl>
    <w:lvl w:ilvl="2" w:tplc="A356C710" w:tentative="1">
      <w:start w:val="1"/>
      <w:numFmt w:val="lowerRoman"/>
      <w:lvlText w:val="%3."/>
      <w:lvlJc w:val="right"/>
      <w:pPr>
        <w:ind w:left="2900" w:hanging="180"/>
      </w:pPr>
    </w:lvl>
    <w:lvl w:ilvl="3" w:tplc="32E60BB8" w:tentative="1">
      <w:start w:val="1"/>
      <w:numFmt w:val="decimal"/>
      <w:lvlText w:val="%4."/>
      <w:lvlJc w:val="left"/>
      <w:pPr>
        <w:ind w:left="3620" w:hanging="360"/>
      </w:pPr>
    </w:lvl>
    <w:lvl w:ilvl="4" w:tplc="1770835A" w:tentative="1">
      <w:start w:val="1"/>
      <w:numFmt w:val="lowerLetter"/>
      <w:lvlText w:val="%5."/>
      <w:lvlJc w:val="left"/>
      <w:pPr>
        <w:ind w:left="4340" w:hanging="360"/>
      </w:pPr>
    </w:lvl>
    <w:lvl w:ilvl="5" w:tplc="9A6224CC" w:tentative="1">
      <w:start w:val="1"/>
      <w:numFmt w:val="lowerRoman"/>
      <w:lvlText w:val="%6."/>
      <w:lvlJc w:val="right"/>
      <w:pPr>
        <w:ind w:left="5060" w:hanging="180"/>
      </w:pPr>
    </w:lvl>
    <w:lvl w:ilvl="6" w:tplc="F7F870DA" w:tentative="1">
      <w:start w:val="1"/>
      <w:numFmt w:val="decimal"/>
      <w:lvlText w:val="%7."/>
      <w:lvlJc w:val="left"/>
      <w:pPr>
        <w:ind w:left="5780" w:hanging="360"/>
      </w:pPr>
    </w:lvl>
    <w:lvl w:ilvl="7" w:tplc="E5A68CAC" w:tentative="1">
      <w:start w:val="1"/>
      <w:numFmt w:val="lowerLetter"/>
      <w:lvlText w:val="%8."/>
      <w:lvlJc w:val="left"/>
      <w:pPr>
        <w:ind w:left="6500" w:hanging="360"/>
      </w:pPr>
    </w:lvl>
    <w:lvl w:ilvl="8" w:tplc="2404FFAA" w:tentative="1">
      <w:start w:val="1"/>
      <w:numFmt w:val="lowerRoman"/>
      <w:lvlText w:val="%9."/>
      <w:lvlJc w:val="right"/>
      <w:pPr>
        <w:ind w:left="7220" w:hanging="180"/>
      </w:pPr>
    </w:lvl>
  </w:abstractNum>
  <w:abstractNum w:abstractNumId="16" w15:restartNumberingAfterBreak="0">
    <w:nsid w:val="578F614A"/>
    <w:multiLevelType w:val="hybridMultilevel"/>
    <w:tmpl w:val="EAD821EE"/>
    <w:lvl w:ilvl="0" w:tplc="04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7D14832"/>
    <w:multiLevelType w:val="hybridMultilevel"/>
    <w:tmpl w:val="7228D9D4"/>
    <w:lvl w:ilvl="0" w:tplc="1A2C6C9C">
      <w:start w:val="2"/>
      <w:numFmt w:val="lowerLetter"/>
      <w:lvlText w:val="%1."/>
      <w:lvlJc w:val="left"/>
      <w:pPr>
        <w:ind w:left="720" w:hanging="360"/>
      </w:pPr>
      <w:rPr>
        <w:rFonts w:cs="Times New Roman" w:hint="default"/>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E452FF"/>
    <w:multiLevelType w:val="hybridMultilevel"/>
    <w:tmpl w:val="FFB0A4A8"/>
    <w:lvl w:ilvl="0" w:tplc="040A0017">
      <w:start w:val="1"/>
      <w:numFmt w:val="lowerLetter"/>
      <w:lvlText w:val="%1)"/>
      <w:lvlJc w:val="left"/>
      <w:pPr>
        <w:ind w:left="643" w:hanging="360"/>
      </w:pPr>
    </w:lvl>
    <w:lvl w:ilvl="1" w:tplc="FFFFFFFF">
      <w:start w:val="1"/>
      <w:numFmt w:val="lowerLetter"/>
      <w:lvlText w:val="(%2)"/>
      <w:lvlJc w:val="left"/>
      <w:pPr>
        <w:ind w:left="1500" w:hanging="420"/>
      </w:pPr>
      <w:rPr>
        <w:rFonts w:hint="default"/>
      </w:rPr>
    </w:lvl>
    <w:lvl w:ilvl="2" w:tplc="FFFFFFFF">
      <w:start w:val="1"/>
      <w:numFmt w:val="lowerLetter"/>
      <w:lvlText w:val="%3."/>
      <w:lvlJc w:val="left"/>
      <w:pPr>
        <w:ind w:left="2340" w:hanging="360"/>
      </w:pPr>
      <w:rPr>
        <w:rFonts w:hint="default"/>
      </w:rPr>
    </w:lvl>
    <w:lvl w:ilvl="3" w:tplc="FFFFFFFF">
      <w:start w:val="8"/>
      <w:numFmt w:val="bullet"/>
      <w:lvlText w:val=""/>
      <w:lvlJc w:val="left"/>
      <w:pPr>
        <w:ind w:left="2880" w:hanging="360"/>
      </w:pPr>
      <w:rPr>
        <w:rFonts w:ascii="Symbol" w:eastAsia="Times New Roman" w:hAnsi="Symbol"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D1E0AED"/>
    <w:multiLevelType w:val="hybridMultilevel"/>
    <w:tmpl w:val="76B20EBE"/>
    <w:lvl w:ilvl="0" w:tplc="040A000F">
      <w:start w:val="1"/>
      <w:numFmt w:val="decimal"/>
      <w:lvlText w:val="%1."/>
      <w:lvlJc w:val="left"/>
      <w:pPr>
        <w:ind w:left="720" w:hanging="360"/>
      </w:pPr>
      <w:rPr>
        <w:rFonts w:hint="default"/>
      </w:rPr>
    </w:lvl>
    <w:lvl w:ilvl="1" w:tplc="45BCBF5E">
      <w:start w:val="1"/>
      <w:numFmt w:val="lowerRoman"/>
      <w:lvlText w:val="(%2)"/>
      <w:lvlJc w:val="left"/>
      <w:pPr>
        <w:ind w:left="1800" w:hanging="720"/>
      </w:pPr>
      <w:rPr>
        <w:rFonts w:hint="default"/>
      </w:rPr>
    </w:lvl>
    <w:lvl w:ilvl="2" w:tplc="D2EA0F2E">
      <w:start w:val="3"/>
      <w:numFmt w:val="lowerLetter"/>
      <w:lvlText w:val="%3."/>
      <w:lvlJc w:val="left"/>
      <w:pPr>
        <w:ind w:left="2340" w:hanging="360"/>
      </w:pPr>
      <w:rPr>
        <w:rFonts w:hint="default"/>
      </w:r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69924556"/>
    <w:multiLevelType w:val="multilevel"/>
    <w:tmpl w:val="6BEA4806"/>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0EE26F2"/>
    <w:multiLevelType w:val="hybridMultilevel"/>
    <w:tmpl w:val="421C98BC"/>
    <w:lvl w:ilvl="0" w:tplc="C630AFD8">
      <w:start w:val="1"/>
      <w:numFmt w:val="decimal"/>
      <w:lvlText w:val="%1."/>
      <w:lvlJc w:val="left"/>
      <w:pPr>
        <w:ind w:left="360" w:hanging="360"/>
      </w:pPr>
      <w:rPr>
        <w:rFonts w:hint="default"/>
        <w:b w:val="0"/>
        <w:bCs w:val="0"/>
        <w:i w:val="0"/>
        <w:iCs w:val="0"/>
        <w:sz w:val="28"/>
        <w:szCs w:val="28"/>
      </w:rPr>
    </w:lvl>
    <w:lvl w:ilvl="1" w:tplc="DA06AF90">
      <w:start w:val="1"/>
      <w:numFmt w:val="lowerLetter"/>
      <w:lvlText w:val="%2."/>
      <w:lvlJc w:val="left"/>
      <w:pPr>
        <w:ind w:left="1440" w:hanging="360"/>
      </w:pPr>
      <w:rPr>
        <w:b/>
        <w:bCs/>
        <w:sz w:val="28"/>
        <w:szCs w:val="28"/>
      </w:rPr>
    </w:lvl>
    <w:lvl w:ilvl="2" w:tplc="080A001B">
      <w:start w:val="1"/>
      <w:numFmt w:val="lowerRoman"/>
      <w:lvlText w:val="%3."/>
      <w:lvlJc w:val="right"/>
      <w:pPr>
        <w:ind w:left="606" w:hanging="180"/>
      </w:pPr>
    </w:lvl>
    <w:lvl w:ilvl="3" w:tplc="080A000F" w:tentative="1">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1731D02"/>
    <w:multiLevelType w:val="hybridMultilevel"/>
    <w:tmpl w:val="1422B136"/>
    <w:lvl w:ilvl="0" w:tplc="46F23C48">
      <w:start w:val="2"/>
      <w:numFmt w:val="lowerLetter"/>
      <w:lvlText w:val="%1."/>
      <w:lvlJc w:val="left"/>
      <w:pPr>
        <w:ind w:left="927" w:hanging="360"/>
      </w:pPr>
      <w:rPr>
        <w:rFonts w:cs="Times New Roman" w:hint="default"/>
        <w:sz w:val="28"/>
        <w:szCs w:val="28"/>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3" w15:restartNumberingAfterBreak="0">
    <w:nsid w:val="75CA06D5"/>
    <w:multiLevelType w:val="hybridMultilevel"/>
    <w:tmpl w:val="C61E263A"/>
    <w:lvl w:ilvl="0" w:tplc="FE34ACE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0"/>
  </w:num>
  <w:num w:numId="3">
    <w:abstractNumId w:val="21"/>
  </w:num>
  <w:num w:numId="4">
    <w:abstractNumId w:val="16"/>
  </w:num>
  <w:num w:numId="5">
    <w:abstractNumId w:val="0"/>
  </w:num>
  <w:num w:numId="6">
    <w:abstractNumId w:val="9"/>
  </w:num>
  <w:num w:numId="7">
    <w:abstractNumId w:val="8"/>
  </w:num>
  <w:num w:numId="8">
    <w:abstractNumId w:val="18"/>
  </w:num>
  <w:num w:numId="9">
    <w:abstractNumId w:val="3"/>
  </w:num>
  <w:num w:numId="10">
    <w:abstractNumId w:val="15"/>
  </w:num>
  <w:num w:numId="11">
    <w:abstractNumId w:val="5"/>
  </w:num>
  <w:num w:numId="12">
    <w:abstractNumId w:val="12"/>
  </w:num>
  <w:num w:numId="13">
    <w:abstractNumId w:val="1"/>
  </w:num>
  <w:num w:numId="14">
    <w:abstractNumId w:val="13"/>
  </w:num>
  <w:num w:numId="15">
    <w:abstractNumId w:val="19"/>
  </w:num>
  <w:num w:numId="16">
    <w:abstractNumId w:val="4"/>
  </w:num>
  <w:num w:numId="17">
    <w:abstractNumId w:val="17"/>
  </w:num>
  <w:num w:numId="18">
    <w:abstractNumId w:val="23"/>
  </w:num>
  <w:num w:numId="19">
    <w:abstractNumId w:val="11"/>
  </w:num>
  <w:num w:numId="20">
    <w:abstractNumId w:val="14"/>
  </w:num>
  <w:num w:numId="21">
    <w:abstractNumId w:val="2"/>
  </w:num>
  <w:num w:numId="22">
    <w:abstractNumId w:val="6"/>
  </w:num>
  <w:num w:numId="23">
    <w:abstractNumId w:val="22"/>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1D41"/>
    <w:rsid w:val="007C57D2"/>
    <w:rsid w:val="008E1D41"/>
    <w:rsid w:val="00A315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AF2FEC3-1D96-4F93-8341-D840C13A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rsid w:val="00CF1B04"/>
    <w:pPr>
      <w:keepNext/>
      <w:keepLines/>
      <w:spacing w:before="240" w:after="0"/>
      <w:outlineLvl w:val="0"/>
    </w:pPr>
    <w:rPr>
      <w:rFonts w:ascii="Calibri Light" w:hAnsi="Calibri Light"/>
      <w:color w:val="2F5496"/>
      <w:sz w:val="32"/>
      <w:szCs w:val="32"/>
    </w:rPr>
  </w:style>
  <w:style w:type="paragraph" w:styleId="Ttulo2">
    <w:name w:val="heading 2"/>
    <w:basedOn w:val="Normal"/>
    <w:next w:val="Normal"/>
    <w:link w:val="Ttulo2Car"/>
    <w:uiPriority w:val="9"/>
    <w:unhideWhenUsed/>
    <w:qFormat/>
    <w:rsid w:val="0067106C"/>
    <w:pPr>
      <w:keepNext/>
      <w:keepLines/>
      <w:spacing w:before="40" w:after="0"/>
      <w:outlineLvl w:val="1"/>
    </w:pPr>
    <w:rPr>
      <w:rFonts w:ascii="Calibri Light" w:hAnsi="Calibri Light"/>
      <w:color w:val="2F5496"/>
      <w:sz w:val="26"/>
      <w:szCs w:val="26"/>
    </w:rPr>
  </w:style>
  <w:style w:type="paragraph" w:styleId="Ttulo3">
    <w:name w:val="heading 3"/>
    <w:basedOn w:val="Normal"/>
    <w:next w:val="Normal"/>
    <w:link w:val="Ttulo3Car"/>
    <w:uiPriority w:val="9"/>
    <w:unhideWhenUsed/>
    <w:qFormat/>
    <w:rsid w:val="00CF1B04"/>
    <w:pPr>
      <w:keepNext/>
      <w:keepLines/>
      <w:spacing w:before="160" w:after="80" w:line="278" w:lineRule="auto"/>
      <w:outlineLvl w:val="2"/>
    </w:pPr>
    <w:rPr>
      <w:color w:val="2F5496"/>
      <w:kern w:val="2"/>
      <w:sz w:val="28"/>
      <w:szCs w:val="28"/>
      <w:lang w:eastAsia="zh-CN"/>
    </w:rPr>
  </w:style>
  <w:style w:type="paragraph" w:styleId="Ttulo4">
    <w:name w:val="heading 4"/>
    <w:basedOn w:val="Normal"/>
    <w:next w:val="Normal"/>
    <w:link w:val="Ttulo4Car"/>
    <w:uiPriority w:val="9"/>
    <w:semiHidden/>
    <w:unhideWhenUsed/>
    <w:qFormat/>
    <w:rsid w:val="00CF1B04"/>
    <w:pPr>
      <w:keepNext/>
      <w:keepLines/>
      <w:spacing w:before="80" w:after="40" w:line="278" w:lineRule="auto"/>
      <w:outlineLvl w:val="3"/>
    </w:pPr>
    <w:rPr>
      <w:i/>
      <w:iCs/>
      <w:color w:val="2F5496"/>
      <w:kern w:val="2"/>
      <w:sz w:val="24"/>
      <w:lang w:eastAsia="zh-CN"/>
    </w:rPr>
  </w:style>
  <w:style w:type="paragraph" w:styleId="Ttulo5">
    <w:name w:val="heading 5"/>
    <w:basedOn w:val="Normal"/>
    <w:next w:val="Normal"/>
    <w:link w:val="Ttulo5Car"/>
    <w:uiPriority w:val="9"/>
    <w:semiHidden/>
    <w:unhideWhenUsed/>
    <w:qFormat/>
    <w:rsid w:val="00CF1B04"/>
    <w:pPr>
      <w:keepNext/>
      <w:keepLines/>
      <w:spacing w:before="80" w:after="40" w:line="240" w:lineRule="auto"/>
      <w:outlineLvl w:val="4"/>
    </w:pPr>
    <w:rPr>
      <w:color w:val="2F5496"/>
      <w:sz w:val="24"/>
      <w:lang w:eastAsia="zh-CN"/>
    </w:rPr>
  </w:style>
  <w:style w:type="paragraph" w:styleId="Ttulo6">
    <w:name w:val="heading 6"/>
    <w:basedOn w:val="Normal"/>
    <w:next w:val="Normal"/>
    <w:link w:val="Ttulo6Car"/>
    <w:uiPriority w:val="9"/>
    <w:semiHidden/>
    <w:unhideWhenUsed/>
    <w:qFormat/>
    <w:rsid w:val="00CF1B04"/>
    <w:pPr>
      <w:keepNext/>
      <w:keepLines/>
      <w:spacing w:before="40" w:after="0" w:line="240" w:lineRule="auto"/>
      <w:outlineLvl w:val="5"/>
    </w:pPr>
    <w:rPr>
      <w:i/>
      <w:iCs/>
      <w:color w:val="595959"/>
      <w:sz w:val="24"/>
      <w:lang w:eastAsia="zh-CN"/>
    </w:rPr>
  </w:style>
  <w:style w:type="paragraph" w:styleId="Ttulo7">
    <w:name w:val="heading 7"/>
    <w:basedOn w:val="Normal"/>
    <w:next w:val="Normal"/>
    <w:link w:val="Ttulo7Car"/>
    <w:uiPriority w:val="9"/>
    <w:semiHidden/>
    <w:unhideWhenUsed/>
    <w:qFormat/>
    <w:rsid w:val="00CF1B04"/>
    <w:pPr>
      <w:keepNext/>
      <w:keepLines/>
      <w:spacing w:before="40" w:after="0" w:line="240" w:lineRule="auto"/>
      <w:outlineLvl w:val="6"/>
    </w:pPr>
    <w:rPr>
      <w:color w:val="595959"/>
      <w:sz w:val="24"/>
      <w:lang w:eastAsia="zh-CN"/>
    </w:rPr>
  </w:style>
  <w:style w:type="paragraph" w:styleId="Ttulo8">
    <w:name w:val="heading 8"/>
    <w:basedOn w:val="Normal"/>
    <w:next w:val="Normal"/>
    <w:link w:val="Ttulo8Car"/>
    <w:uiPriority w:val="9"/>
    <w:semiHidden/>
    <w:unhideWhenUsed/>
    <w:qFormat/>
    <w:rsid w:val="00CF1B04"/>
    <w:pPr>
      <w:keepNext/>
      <w:keepLines/>
      <w:spacing w:after="0" w:line="240" w:lineRule="auto"/>
      <w:outlineLvl w:val="7"/>
    </w:pPr>
    <w:rPr>
      <w:i/>
      <w:iCs/>
      <w:color w:val="272727"/>
      <w:sz w:val="24"/>
      <w:lang w:eastAsia="zh-CN"/>
    </w:rPr>
  </w:style>
  <w:style w:type="paragraph" w:styleId="Ttulo9">
    <w:name w:val="heading 9"/>
    <w:basedOn w:val="Normal"/>
    <w:next w:val="Normal"/>
    <w:link w:val="Ttulo9Car"/>
    <w:uiPriority w:val="9"/>
    <w:semiHidden/>
    <w:unhideWhenUsed/>
    <w:qFormat/>
    <w:rsid w:val="00CF1B04"/>
    <w:pPr>
      <w:keepNext/>
      <w:keepLines/>
      <w:spacing w:after="0" w:line="240" w:lineRule="auto"/>
      <w:outlineLvl w:val="8"/>
    </w:pPr>
    <w:rPr>
      <w:color w:val="272727"/>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AF7F6A"/>
    <w:pPr>
      <w:spacing w:after="0" w:line="240" w:lineRule="auto"/>
    </w:pPr>
    <w:rPr>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texto de nota al p Car"/>
    <w:link w:val="Textonotapie"/>
    <w:uiPriority w:val="99"/>
    <w:qFormat/>
    <w:rsid w:val="00AF7F6A"/>
    <w:rPr>
      <w:rFonts w:eastAsia="Times New Roman"/>
      <w:sz w:val="20"/>
      <w:szCs w:val="20"/>
    </w:rPr>
  </w:style>
  <w:style w:type="character" w:styleId="Refdenotaalpie">
    <w:name w:val="footnote reference"/>
    <w:aliases w:val="referencia nota al pie,Texto de nota al pie,Nota de pie,Texto nota al pie,Appel note de bas de page,Footnotes refss,Footnote number,BVI fnr,f,Texto nota pie Car1,Footnote Text Char Char Char Char Char Car1,Footnote reference Car1,Ref"/>
    <w:link w:val="Refdenotaalpie2"/>
    <w:uiPriority w:val="99"/>
    <w:unhideWhenUsed/>
    <w:qFormat/>
    <w:rsid w:val="00AF7F6A"/>
    <w:rPr>
      <w:vertAlign w:val="superscript"/>
    </w:rPr>
  </w:style>
  <w:style w:type="paragraph" w:styleId="Encabezado">
    <w:name w:val="header"/>
    <w:basedOn w:val="Normal"/>
    <w:link w:val="EncabezadoCar"/>
    <w:uiPriority w:val="99"/>
    <w:unhideWhenUsed/>
    <w:rsid w:val="00AF7F6A"/>
    <w:pPr>
      <w:tabs>
        <w:tab w:val="center" w:pos="4419"/>
        <w:tab w:val="right" w:pos="8838"/>
      </w:tabs>
      <w:spacing w:after="0" w:line="240" w:lineRule="auto"/>
    </w:pPr>
  </w:style>
  <w:style w:type="character" w:customStyle="1" w:styleId="EncabezadoCar">
    <w:name w:val="Encabezado Car"/>
    <w:link w:val="Encabezado"/>
    <w:uiPriority w:val="99"/>
    <w:rsid w:val="00AF7F6A"/>
    <w:rPr>
      <w:rFonts w:ascii="Times New Roman" w:hAnsi="Times New Roman" w:cs="Times New Roman"/>
      <w:sz w:val="22"/>
      <w:szCs w:val="22"/>
    </w:rPr>
  </w:style>
  <w:style w:type="paragraph" w:customStyle="1" w:styleId="Refdenotaalpie2">
    <w:name w:val="Ref. de nota al pie2"/>
    <w:aliases w:val="Pie de pagina"/>
    <w:basedOn w:val="Normal"/>
    <w:link w:val="Refdenotaalpie"/>
    <w:uiPriority w:val="99"/>
    <w:qFormat/>
    <w:rsid w:val="00AF7F6A"/>
    <w:pPr>
      <w:spacing w:line="240" w:lineRule="exact"/>
    </w:pPr>
    <w:rPr>
      <w:sz w:val="24"/>
      <w:vertAlign w:val="superscript"/>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AF7F6A"/>
    <w:pPr>
      <w:spacing w:after="0" w:line="240" w:lineRule="auto"/>
      <w:ind w:left="720"/>
      <w:contextualSpacing/>
    </w:pPr>
    <w:rPr>
      <w:sz w:val="24"/>
      <w:lang w:eastAsia="es-ES_tradnl"/>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AF7F6A"/>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AF7F6A"/>
    <w:pPr>
      <w:tabs>
        <w:tab w:val="center" w:pos="4419"/>
        <w:tab w:val="right" w:pos="8838"/>
      </w:tabs>
      <w:spacing w:after="0" w:line="240" w:lineRule="auto"/>
    </w:pPr>
  </w:style>
  <w:style w:type="character" w:customStyle="1" w:styleId="PiedepginaCar">
    <w:name w:val="Pie de página Car"/>
    <w:link w:val="Piedepgina"/>
    <w:uiPriority w:val="99"/>
    <w:rsid w:val="00AF7F6A"/>
    <w:rPr>
      <w:rFonts w:ascii="Times New Roman" w:hAnsi="Times New Roman" w:cs="Times New Roman"/>
      <w:sz w:val="22"/>
      <w:szCs w:val="22"/>
    </w:rPr>
  </w:style>
  <w:style w:type="numbering" w:customStyle="1" w:styleId="Listaactual1">
    <w:name w:val="Lista actual1"/>
    <w:uiPriority w:val="99"/>
    <w:rsid w:val="00AF7F6A"/>
    <w:pPr>
      <w:numPr>
        <w:numId w:val="1"/>
      </w:numPr>
    </w:pPr>
  </w:style>
  <w:style w:type="numbering" w:customStyle="1" w:styleId="Listaactual2">
    <w:name w:val="Lista actual2"/>
    <w:uiPriority w:val="99"/>
    <w:rsid w:val="00AF7F6A"/>
    <w:pPr>
      <w:numPr>
        <w:numId w:val="2"/>
      </w:numPr>
    </w:pPr>
  </w:style>
  <w:style w:type="character" w:styleId="Hipervnculo">
    <w:name w:val="Hyperlink"/>
    <w:uiPriority w:val="99"/>
    <w:unhideWhenUsed/>
    <w:rsid w:val="00E74A3A"/>
    <w:rPr>
      <w:color w:val="0563C1"/>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D44F73"/>
    <w:pPr>
      <w:spacing w:after="0" w:line="240" w:lineRule="auto"/>
      <w:jc w:val="both"/>
    </w:pPr>
    <w:rPr>
      <w:sz w:val="24"/>
      <w:vertAlign w:val="superscript"/>
      <w:lang w:eastAsia="es-MX"/>
    </w:rPr>
  </w:style>
  <w:style w:type="table" w:styleId="Tablaconcuadrcula">
    <w:name w:val="Table Grid"/>
    <w:basedOn w:val="Tablanormal"/>
    <w:uiPriority w:val="39"/>
    <w:rsid w:val="00DE0E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3950E5"/>
    <w:rPr>
      <w:color w:val="605E5C"/>
      <w:shd w:val="clear" w:color="auto" w:fill="E1DFDD"/>
    </w:rPr>
  </w:style>
  <w:style w:type="paragraph" w:styleId="NormalWeb">
    <w:name w:val="Normal (Web)"/>
    <w:basedOn w:val="Normal"/>
    <w:uiPriority w:val="99"/>
    <w:semiHidden/>
    <w:unhideWhenUsed/>
    <w:rsid w:val="004E3E5E"/>
    <w:rPr>
      <w:sz w:val="24"/>
    </w:rPr>
  </w:style>
  <w:style w:type="character" w:styleId="Hipervnculovisitado">
    <w:name w:val="FollowedHyperlink"/>
    <w:uiPriority w:val="99"/>
    <w:semiHidden/>
    <w:unhideWhenUsed/>
    <w:rsid w:val="004E3E5E"/>
    <w:rPr>
      <w:color w:val="954F72"/>
      <w:u w:val="single"/>
    </w:rPr>
  </w:style>
  <w:style w:type="paragraph" w:customStyle="1" w:styleId="p1">
    <w:name w:val="p1"/>
    <w:basedOn w:val="Normal"/>
    <w:rsid w:val="004E3E5E"/>
    <w:pPr>
      <w:spacing w:after="0" w:line="240" w:lineRule="auto"/>
    </w:pPr>
    <w:rPr>
      <w:color w:val="141413"/>
      <w:sz w:val="17"/>
      <w:szCs w:val="17"/>
      <w:lang w:eastAsia="es-MX"/>
    </w:rPr>
  </w:style>
  <w:style w:type="paragraph" w:customStyle="1" w:styleId="TableParagraph">
    <w:name w:val="Table Paragraph"/>
    <w:basedOn w:val="Normal"/>
    <w:uiPriority w:val="1"/>
    <w:qFormat/>
    <w:rsid w:val="004D6500"/>
    <w:pPr>
      <w:widowControl w:val="0"/>
      <w:autoSpaceDE w:val="0"/>
      <w:autoSpaceDN w:val="0"/>
      <w:spacing w:after="0" w:line="240" w:lineRule="auto"/>
    </w:pPr>
    <w:rPr>
      <w:rFonts w:ascii="Arial MT" w:eastAsia="Arial MT" w:hAnsi="Arial MT" w:cs="Arial MT"/>
      <w:lang w:val="es-ES"/>
    </w:rPr>
  </w:style>
  <w:style w:type="character" w:customStyle="1" w:styleId="normaltextrun">
    <w:name w:val="normaltextrun"/>
    <w:basedOn w:val="Fuentedeprrafopredeter"/>
    <w:rsid w:val="00115509"/>
  </w:style>
  <w:style w:type="character" w:customStyle="1" w:styleId="Ttulo2Car">
    <w:name w:val="Título 2 Car"/>
    <w:link w:val="Ttulo2"/>
    <w:uiPriority w:val="9"/>
    <w:rsid w:val="0067106C"/>
    <w:rPr>
      <w:rFonts w:ascii="Calibri Light" w:eastAsia="Times New Roman" w:hAnsi="Calibri Light" w:cs="Times New Roman"/>
      <w:color w:val="2F5496"/>
      <w:sz w:val="26"/>
      <w:szCs w:val="26"/>
    </w:rPr>
  </w:style>
  <w:style w:type="character" w:styleId="Refdecomentario">
    <w:name w:val="annotation reference"/>
    <w:uiPriority w:val="99"/>
    <w:semiHidden/>
    <w:unhideWhenUsed/>
    <w:rsid w:val="006D62E3"/>
    <w:rPr>
      <w:sz w:val="16"/>
      <w:szCs w:val="16"/>
    </w:rPr>
  </w:style>
  <w:style w:type="paragraph" w:styleId="Textocomentario">
    <w:name w:val="annotation text"/>
    <w:basedOn w:val="Normal"/>
    <w:link w:val="TextocomentarioCar"/>
    <w:uiPriority w:val="99"/>
    <w:unhideWhenUsed/>
    <w:rsid w:val="006D62E3"/>
    <w:pPr>
      <w:spacing w:line="240" w:lineRule="auto"/>
    </w:pPr>
    <w:rPr>
      <w:szCs w:val="20"/>
    </w:rPr>
  </w:style>
  <w:style w:type="character" w:customStyle="1" w:styleId="TextocomentarioCar">
    <w:name w:val="Texto comentario Car"/>
    <w:link w:val="Textocomentario"/>
    <w:uiPriority w:val="99"/>
    <w:rsid w:val="006D62E3"/>
    <w:rPr>
      <w:szCs w:val="20"/>
    </w:rPr>
  </w:style>
  <w:style w:type="paragraph" w:styleId="Asuntodelcomentario">
    <w:name w:val="annotation subject"/>
    <w:basedOn w:val="Textocomentario"/>
    <w:next w:val="Textocomentario"/>
    <w:link w:val="AsuntodelcomentarioCar"/>
    <w:uiPriority w:val="99"/>
    <w:semiHidden/>
    <w:unhideWhenUsed/>
    <w:rsid w:val="006D62E3"/>
    <w:rPr>
      <w:b/>
      <w:bCs/>
    </w:rPr>
  </w:style>
  <w:style w:type="character" w:customStyle="1" w:styleId="AsuntodelcomentarioCar">
    <w:name w:val="Asunto del comentario Car"/>
    <w:link w:val="Asuntodelcomentario"/>
    <w:uiPriority w:val="99"/>
    <w:semiHidden/>
    <w:rsid w:val="006D62E3"/>
    <w:rPr>
      <w:b/>
      <w:bCs/>
      <w:szCs w:val="20"/>
    </w:rPr>
  </w:style>
  <w:style w:type="character" w:customStyle="1" w:styleId="Ttulo1Car">
    <w:name w:val="Título 1 Car"/>
    <w:link w:val="Ttulo1"/>
    <w:uiPriority w:val="9"/>
    <w:rsid w:val="00CF1B04"/>
    <w:rPr>
      <w:rFonts w:ascii="Calibri Light" w:eastAsia="Times New Roman" w:hAnsi="Calibri Light" w:cs="Times New Roman"/>
      <w:color w:val="2F5496"/>
      <w:sz w:val="32"/>
      <w:szCs w:val="32"/>
    </w:rPr>
  </w:style>
  <w:style w:type="character" w:customStyle="1" w:styleId="Ttulo3Car">
    <w:name w:val="Título 3 Car"/>
    <w:link w:val="Ttulo3"/>
    <w:uiPriority w:val="9"/>
    <w:rsid w:val="00CF1B04"/>
    <w:rPr>
      <w:rFonts w:ascii="Calibri" w:eastAsia="Times New Roman" w:hAnsi="Calibri" w:cs="Times New Roman"/>
      <w:color w:val="2F5496"/>
      <w:kern w:val="2"/>
      <w:sz w:val="28"/>
      <w:szCs w:val="28"/>
      <w:lang w:eastAsia="zh-CN"/>
    </w:rPr>
  </w:style>
  <w:style w:type="character" w:customStyle="1" w:styleId="Ttulo4Car">
    <w:name w:val="Título 4 Car"/>
    <w:link w:val="Ttulo4"/>
    <w:uiPriority w:val="9"/>
    <w:semiHidden/>
    <w:rsid w:val="00CF1B04"/>
    <w:rPr>
      <w:rFonts w:ascii="Calibri" w:eastAsia="Times New Roman" w:hAnsi="Calibri" w:cs="Times New Roman"/>
      <w:i/>
      <w:iCs/>
      <w:color w:val="2F5496"/>
      <w:kern w:val="2"/>
      <w:sz w:val="24"/>
      <w:lang w:eastAsia="zh-CN"/>
    </w:rPr>
  </w:style>
  <w:style w:type="character" w:customStyle="1" w:styleId="Ttulo5Car">
    <w:name w:val="Título 5 Car"/>
    <w:link w:val="Ttulo5"/>
    <w:uiPriority w:val="9"/>
    <w:semiHidden/>
    <w:rsid w:val="00CF1B04"/>
    <w:rPr>
      <w:rFonts w:eastAsia="Times New Roman" w:cs="Times New Roman"/>
      <w:color w:val="2F5496"/>
      <w:sz w:val="24"/>
      <w:lang w:eastAsia="zh-CN"/>
    </w:rPr>
  </w:style>
  <w:style w:type="character" w:customStyle="1" w:styleId="Ttulo6Car">
    <w:name w:val="Título 6 Car"/>
    <w:link w:val="Ttulo6"/>
    <w:uiPriority w:val="9"/>
    <w:semiHidden/>
    <w:rsid w:val="00CF1B04"/>
    <w:rPr>
      <w:rFonts w:eastAsia="Times New Roman" w:cs="Times New Roman"/>
      <w:i/>
      <w:iCs/>
      <w:color w:val="595959"/>
      <w:sz w:val="24"/>
      <w:lang w:eastAsia="zh-CN"/>
    </w:rPr>
  </w:style>
  <w:style w:type="character" w:customStyle="1" w:styleId="Ttulo7Car">
    <w:name w:val="Título 7 Car"/>
    <w:link w:val="Ttulo7"/>
    <w:uiPriority w:val="9"/>
    <w:semiHidden/>
    <w:rsid w:val="00CF1B04"/>
    <w:rPr>
      <w:rFonts w:eastAsia="Times New Roman" w:cs="Times New Roman"/>
      <w:color w:val="595959"/>
      <w:sz w:val="24"/>
      <w:lang w:eastAsia="zh-CN"/>
    </w:rPr>
  </w:style>
  <w:style w:type="character" w:customStyle="1" w:styleId="Ttulo8Car">
    <w:name w:val="Título 8 Car"/>
    <w:link w:val="Ttulo8"/>
    <w:uiPriority w:val="9"/>
    <w:semiHidden/>
    <w:rsid w:val="00CF1B04"/>
    <w:rPr>
      <w:rFonts w:eastAsia="Times New Roman" w:cs="Times New Roman"/>
      <w:i/>
      <w:iCs/>
      <w:color w:val="272727"/>
      <w:sz w:val="24"/>
      <w:lang w:eastAsia="zh-CN"/>
    </w:rPr>
  </w:style>
  <w:style w:type="character" w:customStyle="1" w:styleId="Ttulo9Car">
    <w:name w:val="Título 9 Car"/>
    <w:link w:val="Ttulo9"/>
    <w:uiPriority w:val="9"/>
    <w:semiHidden/>
    <w:rsid w:val="00CF1B04"/>
    <w:rPr>
      <w:rFonts w:eastAsia="Times New Roman" w:cs="Times New Roman"/>
      <w:color w:val="272727"/>
      <w:sz w:val="24"/>
      <w:lang w:eastAsia="zh-CN"/>
    </w:rPr>
  </w:style>
  <w:style w:type="paragraph" w:styleId="Ttulo">
    <w:name w:val="Title"/>
    <w:basedOn w:val="Normal"/>
    <w:next w:val="Normal"/>
    <w:link w:val="TtuloCar"/>
    <w:uiPriority w:val="10"/>
    <w:qFormat/>
    <w:rsid w:val="00CF1B04"/>
    <w:pPr>
      <w:spacing w:after="80" w:line="240" w:lineRule="auto"/>
      <w:contextualSpacing/>
    </w:pPr>
    <w:rPr>
      <w:rFonts w:ascii="Calibri Light" w:hAnsi="Calibri Light"/>
      <w:spacing w:val="-10"/>
      <w:kern w:val="28"/>
      <w:sz w:val="56"/>
      <w:szCs w:val="56"/>
      <w:lang w:eastAsia="zh-CN"/>
    </w:rPr>
  </w:style>
  <w:style w:type="character" w:customStyle="1" w:styleId="TtuloCar">
    <w:name w:val="Título Car"/>
    <w:link w:val="Ttulo"/>
    <w:uiPriority w:val="10"/>
    <w:qFormat/>
    <w:rsid w:val="00CF1B04"/>
    <w:rPr>
      <w:rFonts w:ascii="Calibri Light" w:eastAsia="Times New Roman" w:hAnsi="Calibri Light" w:cs="Times New Roman"/>
      <w:spacing w:val="-10"/>
      <w:kern w:val="28"/>
      <w:sz w:val="56"/>
      <w:szCs w:val="56"/>
      <w:lang w:eastAsia="zh-CN"/>
    </w:rPr>
  </w:style>
  <w:style w:type="paragraph" w:styleId="Subttulo">
    <w:name w:val="Subtitle"/>
    <w:basedOn w:val="Normal"/>
    <w:next w:val="Normal"/>
    <w:link w:val="SubttuloCar"/>
    <w:uiPriority w:val="11"/>
    <w:qFormat/>
    <w:rsid w:val="00CF1B04"/>
    <w:pPr>
      <w:numPr>
        <w:ilvl w:val="1"/>
      </w:numPr>
      <w:spacing w:line="278" w:lineRule="auto"/>
    </w:pPr>
    <w:rPr>
      <w:color w:val="595959"/>
      <w:spacing w:val="15"/>
      <w:kern w:val="2"/>
      <w:sz w:val="28"/>
      <w:szCs w:val="28"/>
      <w:lang w:eastAsia="zh-CN"/>
    </w:rPr>
  </w:style>
  <w:style w:type="character" w:customStyle="1" w:styleId="SubttuloCar">
    <w:name w:val="Subtítulo Car"/>
    <w:link w:val="Subttulo"/>
    <w:uiPriority w:val="11"/>
    <w:rsid w:val="00CF1B04"/>
    <w:rPr>
      <w:rFonts w:ascii="Calibri" w:eastAsia="Times New Roman" w:hAnsi="Calibri" w:cs="Times New Roman"/>
      <w:color w:val="595959"/>
      <w:spacing w:val="15"/>
      <w:kern w:val="2"/>
      <w:sz w:val="28"/>
      <w:szCs w:val="28"/>
      <w:lang w:eastAsia="zh-CN"/>
    </w:rPr>
  </w:style>
  <w:style w:type="paragraph" w:styleId="Cita">
    <w:name w:val="Quote"/>
    <w:basedOn w:val="Normal"/>
    <w:next w:val="Normal"/>
    <w:link w:val="CitaCar"/>
    <w:uiPriority w:val="29"/>
    <w:qFormat/>
    <w:rsid w:val="00CF1B04"/>
    <w:pPr>
      <w:spacing w:before="160" w:line="278" w:lineRule="auto"/>
      <w:jc w:val="center"/>
    </w:pPr>
    <w:rPr>
      <w:i/>
      <w:iCs/>
      <w:color w:val="404040"/>
      <w:kern w:val="2"/>
      <w:sz w:val="24"/>
      <w:lang w:eastAsia="zh-CN"/>
    </w:rPr>
  </w:style>
  <w:style w:type="character" w:customStyle="1" w:styleId="CitaCar">
    <w:name w:val="Cita Car"/>
    <w:link w:val="Cita"/>
    <w:uiPriority w:val="29"/>
    <w:rsid w:val="00CF1B04"/>
    <w:rPr>
      <w:rFonts w:ascii="Calibri" w:eastAsia="Times New Roman" w:hAnsi="Calibri"/>
      <w:i/>
      <w:iCs/>
      <w:color w:val="404040"/>
      <w:kern w:val="2"/>
      <w:sz w:val="24"/>
      <w:lang w:eastAsia="zh-CN"/>
    </w:rPr>
  </w:style>
  <w:style w:type="character" w:styleId="nfasisintenso">
    <w:name w:val="Intense Emphasis"/>
    <w:uiPriority w:val="21"/>
    <w:qFormat/>
    <w:rsid w:val="00CF1B04"/>
    <w:rPr>
      <w:i/>
      <w:iCs/>
      <w:color w:val="2F5496"/>
    </w:rPr>
  </w:style>
  <w:style w:type="paragraph" w:styleId="Citadestacada">
    <w:name w:val="Intense Quote"/>
    <w:basedOn w:val="Normal"/>
    <w:next w:val="Normal"/>
    <w:link w:val="CitadestacadaCar"/>
    <w:uiPriority w:val="30"/>
    <w:qFormat/>
    <w:rsid w:val="00CF1B04"/>
    <w:pPr>
      <w:pBdr>
        <w:top w:val="single" w:sz="4" w:space="10" w:color="2F5496"/>
        <w:bottom w:val="single" w:sz="4" w:space="10" w:color="2F5496"/>
      </w:pBdr>
      <w:spacing w:before="360" w:after="360" w:line="278" w:lineRule="auto"/>
      <w:ind w:left="864" w:right="864"/>
      <w:jc w:val="center"/>
    </w:pPr>
    <w:rPr>
      <w:i/>
      <w:iCs/>
      <w:color w:val="2F5496"/>
      <w:kern w:val="2"/>
      <w:sz w:val="24"/>
      <w:lang w:eastAsia="zh-CN"/>
    </w:rPr>
  </w:style>
  <w:style w:type="character" w:customStyle="1" w:styleId="CitadestacadaCar">
    <w:name w:val="Cita destacada Car"/>
    <w:link w:val="Citadestacada"/>
    <w:uiPriority w:val="30"/>
    <w:rsid w:val="00CF1B04"/>
    <w:rPr>
      <w:rFonts w:ascii="Calibri" w:eastAsia="Times New Roman" w:hAnsi="Calibri"/>
      <w:i/>
      <w:iCs/>
      <w:color w:val="2F5496"/>
      <w:kern w:val="2"/>
      <w:sz w:val="24"/>
      <w:lang w:eastAsia="zh-CN"/>
    </w:rPr>
  </w:style>
  <w:style w:type="character" w:styleId="Referenciaintensa">
    <w:name w:val="Intense Reference"/>
    <w:uiPriority w:val="32"/>
    <w:qFormat/>
    <w:rsid w:val="00CF1B04"/>
    <w:rPr>
      <w:b/>
      <w:bCs/>
      <w:smallCaps/>
      <w:color w:val="2F5496"/>
      <w:spacing w:val="5"/>
    </w:rPr>
  </w:style>
  <w:style w:type="paragraph" w:styleId="TtuloTDC">
    <w:name w:val="TOC Heading"/>
    <w:basedOn w:val="Ttulo1"/>
    <w:next w:val="Normal"/>
    <w:uiPriority w:val="39"/>
    <w:unhideWhenUsed/>
    <w:qFormat/>
    <w:rsid w:val="00CF1B04"/>
    <w:pPr>
      <w:spacing w:before="480" w:line="276" w:lineRule="auto"/>
      <w:outlineLvl w:val="9"/>
    </w:pPr>
    <w:rPr>
      <w:b/>
      <w:bCs/>
      <w:sz w:val="28"/>
      <w:szCs w:val="28"/>
      <w:lang w:eastAsia="zh-CN"/>
    </w:rPr>
  </w:style>
  <w:style w:type="paragraph" w:styleId="TDC1">
    <w:name w:val="toc 1"/>
    <w:basedOn w:val="Normal"/>
    <w:next w:val="Normal"/>
    <w:autoRedefine/>
    <w:uiPriority w:val="39"/>
    <w:unhideWhenUsed/>
    <w:rsid w:val="00CF1B04"/>
    <w:pPr>
      <w:spacing w:before="120" w:after="0"/>
    </w:pPr>
    <w:rPr>
      <w:rFonts w:cs="Calibri"/>
      <w:b/>
      <w:bCs/>
      <w:i/>
      <w:iCs/>
      <w:sz w:val="24"/>
      <w:szCs w:val="28"/>
    </w:rPr>
  </w:style>
  <w:style w:type="paragraph" w:styleId="TDC2">
    <w:name w:val="toc 2"/>
    <w:basedOn w:val="Normal"/>
    <w:next w:val="Normal"/>
    <w:autoRedefine/>
    <w:uiPriority w:val="39"/>
    <w:unhideWhenUsed/>
    <w:rsid w:val="00CF1B04"/>
    <w:pPr>
      <w:spacing w:before="120" w:after="0"/>
      <w:ind w:left="200"/>
    </w:pPr>
    <w:rPr>
      <w:rFonts w:cs="Calibri"/>
      <w:b/>
      <w:bCs/>
      <w:szCs w:val="26"/>
    </w:rPr>
  </w:style>
  <w:style w:type="paragraph" w:styleId="TDC3">
    <w:name w:val="toc 3"/>
    <w:basedOn w:val="Normal"/>
    <w:next w:val="Normal"/>
    <w:autoRedefine/>
    <w:uiPriority w:val="39"/>
    <w:unhideWhenUsed/>
    <w:rsid w:val="00CF1B04"/>
    <w:pPr>
      <w:spacing w:after="0"/>
      <w:ind w:left="400"/>
    </w:pPr>
    <w:rPr>
      <w:rFonts w:cs="Calibri"/>
    </w:rPr>
  </w:style>
  <w:style w:type="paragraph" w:styleId="TDC4">
    <w:name w:val="toc 4"/>
    <w:basedOn w:val="Normal"/>
    <w:next w:val="Normal"/>
    <w:autoRedefine/>
    <w:uiPriority w:val="39"/>
    <w:semiHidden/>
    <w:unhideWhenUsed/>
    <w:rsid w:val="00CF1B04"/>
    <w:pPr>
      <w:spacing w:after="0"/>
      <w:ind w:left="600"/>
    </w:pPr>
    <w:rPr>
      <w:rFonts w:cs="Calibri"/>
    </w:rPr>
  </w:style>
  <w:style w:type="paragraph" w:styleId="TDC5">
    <w:name w:val="toc 5"/>
    <w:basedOn w:val="Normal"/>
    <w:next w:val="Normal"/>
    <w:autoRedefine/>
    <w:uiPriority w:val="39"/>
    <w:semiHidden/>
    <w:unhideWhenUsed/>
    <w:rsid w:val="00CF1B04"/>
    <w:pPr>
      <w:spacing w:after="0"/>
      <w:ind w:left="800"/>
    </w:pPr>
    <w:rPr>
      <w:rFonts w:cs="Calibri"/>
    </w:rPr>
  </w:style>
  <w:style w:type="paragraph" w:styleId="TDC6">
    <w:name w:val="toc 6"/>
    <w:basedOn w:val="Normal"/>
    <w:next w:val="Normal"/>
    <w:autoRedefine/>
    <w:uiPriority w:val="39"/>
    <w:semiHidden/>
    <w:unhideWhenUsed/>
    <w:rsid w:val="00CF1B04"/>
    <w:pPr>
      <w:spacing w:after="0"/>
      <w:ind w:left="1000"/>
    </w:pPr>
    <w:rPr>
      <w:rFonts w:cs="Calibri"/>
    </w:rPr>
  </w:style>
  <w:style w:type="paragraph" w:styleId="TDC7">
    <w:name w:val="toc 7"/>
    <w:basedOn w:val="Normal"/>
    <w:next w:val="Normal"/>
    <w:autoRedefine/>
    <w:uiPriority w:val="39"/>
    <w:semiHidden/>
    <w:unhideWhenUsed/>
    <w:rsid w:val="00CF1B04"/>
    <w:pPr>
      <w:spacing w:after="0"/>
      <w:ind w:left="1200"/>
    </w:pPr>
    <w:rPr>
      <w:rFonts w:cs="Calibri"/>
    </w:rPr>
  </w:style>
  <w:style w:type="paragraph" w:styleId="TDC8">
    <w:name w:val="toc 8"/>
    <w:basedOn w:val="Normal"/>
    <w:next w:val="Normal"/>
    <w:autoRedefine/>
    <w:uiPriority w:val="39"/>
    <w:semiHidden/>
    <w:unhideWhenUsed/>
    <w:rsid w:val="00CF1B04"/>
    <w:pPr>
      <w:spacing w:after="0"/>
      <w:ind w:left="1400"/>
    </w:pPr>
    <w:rPr>
      <w:rFonts w:cs="Calibri"/>
    </w:rPr>
  </w:style>
  <w:style w:type="paragraph" w:styleId="TDC9">
    <w:name w:val="toc 9"/>
    <w:basedOn w:val="Normal"/>
    <w:next w:val="Normal"/>
    <w:autoRedefine/>
    <w:uiPriority w:val="39"/>
    <w:semiHidden/>
    <w:unhideWhenUsed/>
    <w:rsid w:val="00CF1B04"/>
    <w:pPr>
      <w:spacing w:after="0"/>
      <w:ind w:left="1600"/>
    </w:pPr>
    <w:rPr>
      <w:rFonts w:cs="Calibri"/>
    </w:rPr>
  </w:style>
  <w:style w:type="character" w:styleId="CitaHTML">
    <w:name w:val="HTML Cite"/>
    <w:uiPriority w:val="99"/>
    <w:semiHidden/>
    <w:unhideWhenUsed/>
    <w:rsid w:val="00CF1B04"/>
    <w:rPr>
      <w:i/>
      <w:iCs/>
    </w:rPr>
  </w:style>
  <w:style w:type="character" w:styleId="nfasis">
    <w:name w:val="Emphasis"/>
    <w:uiPriority w:val="20"/>
    <w:qFormat/>
    <w:rsid w:val="00CF1B04"/>
    <w:rPr>
      <w:i/>
      <w:iCs/>
    </w:rPr>
  </w:style>
  <w:style w:type="paragraph" w:styleId="Sinespaciado">
    <w:name w:val="No Spacing"/>
    <w:link w:val="SinespaciadoCar"/>
    <w:uiPriority w:val="1"/>
    <w:qFormat/>
    <w:rsid w:val="00CF1B04"/>
    <w:pPr>
      <w:spacing w:after="160" w:line="259" w:lineRule="auto"/>
    </w:pPr>
    <w:rPr>
      <w:kern w:val="2"/>
      <w:sz w:val="28"/>
      <w:szCs w:val="28"/>
    </w:rPr>
  </w:style>
  <w:style w:type="character" w:customStyle="1" w:styleId="SinespaciadoCar">
    <w:name w:val="Sin espaciado Car"/>
    <w:link w:val="Sinespaciado"/>
    <w:uiPriority w:val="1"/>
    <w:rsid w:val="00CF1B04"/>
    <w:rPr>
      <w:rFonts w:cs="Times New Roman"/>
      <w:kern w:val="2"/>
      <w:sz w:val="28"/>
      <w:szCs w:val="28"/>
    </w:rPr>
  </w:style>
  <w:style w:type="character" w:customStyle="1" w:styleId="Ninguno">
    <w:name w:val="Ninguno"/>
    <w:rsid w:val="00CF1B04"/>
    <w:rPr>
      <w:lang w:val="es-ES_tradnl"/>
    </w:rPr>
  </w:style>
  <w:style w:type="paragraph" w:customStyle="1" w:styleId="CuerpoA">
    <w:name w:val="Cuerpo A"/>
    <w:rsid w:val="00CF1B04"/>
    <w:pPr>
      <w:pBdr>
        <w:top w:val="nil"/>
        <w:left w:val="nil"/>
        <w:bottom w:val="nil"/>
        <w:right w:val="nil"/>
        <w:between w:val="nil"/>
        <w:bar w:val="nil"/>
      </w:pBdr>
      <w:suppressAutoHyphens/>
      <w:spacing w:before="120" w:after="120" w:line="259" w:lineRule="auto"/>
      <w:jc w:val="both"/>
    </w:pPr>
    <w:rPr>
      <w:rFonts w:ascii="Arial Narrow" w:eastAsia="Arial Unicode MS" w:hAnsi="Arial Narrow" w:cs="Arial Unicode MS"/>
      <w:color w:val="000000"/>
      <w:sz w:val="24"/>
      <w:szCs w:val="22"/>
      <w:u w:color="000000"/>
      <w:bdr w:val="nil"/>
      <w:lang w:val="es-ES_tradnl"/>
    </w:rPr>
  </w:style>
  <w:style w:type="paragraph" w:styleId="Revisin">
    <w:name w:val="Revision"/>
    <w:hidden/>
    <w:uiPriority w:val="99"/>
    <w:semiHidden/>
    <w:rsid w:val="00CF1B04"/>
    <w:pPr>
      <w:spacing w:after="160" w:line="259" w:lineRule="auto"/>
    </w:pPr>
    <w:rPr>
      <w:kern w:val="2"/>
      <w:sz w:val="24"/>
      <w:szCs w:val="22"/>
      <w:lang w:eastAsia="zh-CN"/>
    </w:rPr>
  </w:style>
  <w:style w:type="paragraph" w:styleId="Textonotaalfinal">
    <w:name w:val="endnote text"/>
    <w:basedOn w:val="Normal"/>
    <w:uiPriority w:val="99"/>
    <w:semiHidden/>
    <w:unhideWhenUsed/>
    <w:rsid w:val="1B64A7DA"/>
    <w:pPr>
      <w:spacing w:after="0"/>
    </w:pPr>
    <w:rPr>
      <w:szCs w:val="20"/>
    </w:rPr>
  </w:style>
  <w:style w:type="character" w:styleId="Textoennegrita">
    <w:name w:val="Strong"/>
    <w:uiPriority w:val="22"/>
    <w:qFormat/>
    <w:rsid w:val="00BA6555"/>
    <w:rPr>
      <w:b/>
      <w:bCs/>
    </w:rPr>
  </w:style>
  <w:style w:type="paragraph" w:customStyle="1" w:styleId="MediumGrid1-Accent21">
    <w:name w:val="Medium Grid 1 - Accent 21"/>
    <w:basedOn w:val="Normal"/>
    <w:uiPriority w:val="34"/>
    <w:qFormat/>
    <w:rsid w:val="003B491A"/>
    <w:pPr>
      <w:ind w:left="720"/>
      <w:contextualSpacing/>
    </w:pPr>
    <w:rPr>
      <w:lang w:val="es-ES"/>
    </w:rPr>
  </w:style>
  <w:style w:type="paragraph" w:customStyle="1" w:styleId="MediumShading1-Accent11">
    <w:name w:val="Medium Shading 1 - Accent 11"/>
    <w:uiPriority w:val="1"/>
    <w:qFormat/>
    <w:rsid w:val="005E5A1E"/>
    <w:pPr>
      <w:widowControl w:val="0"/>
      <w:spacing w:after="160" w:line="259" w:lineRule="auto"/>
    </w:pPr>
    <w:rPr>
      <w:rFonts w:cs="Calibri"/>
      <w:color w:val="000000"/>
      <w:sz w:val="22"/>
      <w:szCs w:val="22"/>
      <w:lang w:val="es-ES" w:eastAsia="es-ES"/>
    </w:rPr>
  </w:style>
  <w:style w:type="paragraph" w:customStyle="1" w:styleId="Default">
    <w:name w:val="Default"/>
    <w:rsid w:val="009B4916"/>
    <w:pPr>
      <w:autoSpaceDE w:val="0"/>
      <w:autoSpaceDN w:val="0"/>
      <w:adjustRightInd w:val="0"/>
      <w:spacing w:after="160" w:line="259" w:lineRule="auto"/>
    </w:pPr>
    <w:rPr>
      <w:color w:val="000000"/>
      <w:sz w:val="24"/>
      <w:szCs w:val="22"/>
    </w:rPr>
  </w:style>
  <w:style w:type="character" w:customStyle="1" w:styleId="Mencinsinresolver2">
    <w:name w:val="Mención sin resolver2"/>
    <w:uiPriority w:val="99"/>
    <w:semiHidden/>
    <w:unhideWhenUsed/>
    <w:rsid w:val="001E1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secretariasenado.gov.co/senado/basedoc/ley_1266_2008.html" TargetMode="External"/><Relationship Id="rId13" Type="http://schemas.openxmlformats.org/officeDocument/2006/relationships/hyperlink" Target="https://www.unicef.org/ecuador/sistema-de-alerta-de-emergencia-r%C3%A1pida-alerta-emilia" TargetMode="External"/><Relationship Id="rId18" Type="http://schemas.openxmlformats.org/officeDocument/2006/relationships/hyperlink" Target="https://stastdgv2portfgr032.blob.core.windows.net/marcojuridico/Lineamientos/FEVIMTRA_Lineamientos%20_Generales_Operacion_Programa_Nacional_AAMX.pdf" TargetMode="External"/><Relationship Id="rId3" Type="http://schemas.openxmlformats.org/officeDocument/2006/relationships/hyperlink" Target="https://dle.rae.es/riesgo" TargetMode="External"/><Relationship Id="rId7" Type="http://schemas.openxmlformats.org/officeDocument/2006/relationships/hyperlink" Target="http://www.secretariasenado.gov.co/senado/basedoc/ley_1266_2008.html" TargetMode="External"/><Relationship Id="rId12" Type="http://schemas.openxmlformats.org/officeDocument/2006/relationships/hyperlink" Target="https://www.argentina.gob.ar/seguridad/alertasofia" TargetMode="External"/><Relationship Id="rId17" Type="http://schemas.openxmlformats.org/officeDocument/2006/relationships/hyperlink" Target="https://police.act.gov.au/community-safety/child-safety/amber-alerts" TargetMode="External"/><Relationship Id="rId2" Type="http://schemas.openxmlformats.org/officeDocument/2006/relationships/hyperlink" Target="https://www.sic.gov.co/sites/default/files/files/Publicaciones/Gu%C3%ADa%20tratamiento%20de%20datos%20fotos%20FINAL%2014%20diciembre(1).pdf" TargetMode="External"/><Relationship Id="rId16" Type="http://schemas.openxmlformats.org/officeDocument/2006/relationships/hyperlink" Target="https://www2.gnb.ca/content/gnb/en/departments/public-safety/community_safety/content/crime_prevention/nb_amber_alert.html" TargetMode="External"/><Relationship Id="rId20" Type="http://schemas.openxmlformats.org/officeDocument/2006/relationships/hyperlink" Target="https://dle.rae.es/tecnolog%C3%ADa" TargetMode="External"/><Relationship Id="rId1" Type="http://schemas.openxmlformats.org/officeDocument/2006/relationships/hyperlink" Target="http://www.secretariasenado.gov.co/senado/basedoc/ley_1418_2010.html" TargetMode="External"/><Relationship Id="rId6" Type="http://schemas.openxmlformats.org/officeDocument/2006/relationships/hyperlink" Target="http://www.secretariasenado.gov.co/senado/basedoc/ley_1266_2008.html" TargetMode="External"/><Relationship Id="rId11" Type="http://schemas.openxmlformats.org/officeDocument/2006/relationships/hyperlink" Target="https://amberalert.ojp.gov/about" TargetMode="External"/><Relationship Id="rId5" Type="http://schemas.openxmlformats.org/officeDocument/2006/relationships/hyperlink" Target="http://www.secretariasenado.gov.co/senado/basedoc/ley_1266_2008.html" TargetMode="External"/><Relationship Id="rId15" Type="http://schemas.openxmlformats.org/officeDocument/2006/relationships/hyperlink" Target="https://ojjdp.ojp.gov/sites/g/files/xyckuh176/files/pubs/252759.pdf" TargetMode="External"/><Relationship Id="rId10" Type="http://schemas.openxmlformats.org/officeDocument/2006/relationships/hyperlink" Target="http://www.secretariasenado.gov.co/senado/basedoc/ley_1266_2008.html" TargetMode="External"/><Relationship Id="rId19" Type="http://schemas.openxmlformats.org/officeDocument/2006/relationships/hyperlink" Target="https://www.alerte-enlevement.justice.gouv.fr/" TargetMode="External"/><Relationship Id="rId4" Type="http://schemas.openxmlformats.org/officeDocument/2006/relationships/hyperlink" Target="https://dle.rae.es/inminente" TargetMode="External"/><Relationship Id="rId9" Type="http://schemas.openxmlformats.org/officeDocument/2006/relationships/hyperlink" Target="http://www.secretariasenado.gov.co/senado/basedoc/ley_1266_2008.html" TargetMode="External"/><Relationship Id="rId14" Type="http://schemas.openxmlformats.org/officeDocument/2006/relationships/hyperlink" Target="https://www.alerte-enlevement.justice.gouv.f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98646</Words>
  <Characters>542555</Characters>
  <Application>Microsoft Office Word</Application>
  <DocSecurity>0</DocSecurity>
  <Lines>4521</Lines>
  <Paragraphs>1279</Paragraphs>
  <ScaleCrop>false</ScaleCrop>
  <Company/>
  <LinksUpToDate>false</LinksUpToDate>
  <CharactersWithSpaces>639922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2026-05-25T20:02:00Z</dcterms:created>
  <dcterms:modified xsi:type="dcterms:W3CDTF">2026-05-25T20:02:00Z</dcterms:modified>
</cp:coreProperties>
</file>