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3F4" w:rsidRPr="00D93140" w:rsidRDefault="00F511AA">
      <w:pPr>
        <w:widowControl w:val="0"/>
        <w:autoSpaceDE w:val="0"/>
        <w:autoSpaceDN w:val="0"/>
        <w:adjustRightInd w:val="0"/>
        <w:spacing w:after="0" w:line="240" w:lineRule="auto"/>
        <w:rPr>
          <w:rFonts w:ascii="Times New Roman" w:hAnsi="Times New Roman"/>
          <w:sz w:val="28"/>
          <w:szCs w:val="28"/>
        </w:rPr>
      </w:pPr>
      <w:bookmarkStart w:id="0" w:name="_GoBack"/>
      <w:bookmarkEnd w:id="0"/>
      <w:r w:rsidRPr="00D93140">
        <w:rPr>
          <w:rFonts w:ascii="Times New Roman" w:hAnsi="Times New Roman"/>
          <w:sz w:val="28"/>
          <w:szCs w:val="24"/>
        </w:rPr>
        <w:t xml:space="preserve"> </w:t>
      </w:r>
    </w:p>
    <w:p w:rsidR="00F943F4" w:rsidRPr="00D93140" w:rsidRDefault="00F943F4">
      <w:pPr>
        <w:widowControl w:val="0"/>
        <w:autoSpaceDE w:val="0"/>
        <w:autoSpaceDN w:val="0"/>
        <w:adjustRightInd w:val="0"/>
        <w:spacing w:after="0" w:line="240" w:lineRule="auto"/>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center"/>
        <w:rPr>
          <w:rFonts w:ascii="Times New Roman" w:hAnsi="Times New Roman"/>
          <w:b/>
          <w:bCs/>
          <w:sz w:val="28"/>
          <w:szCs w:val="28"/>
        </w:rPr>
      </w:pPr>
      <w:r w:rsidRPr="00D93140">
        <w:rPr>
          <w:rFonts w:ascii="Times New Roman" w:hAnsi="Times New Roman"/>
          <w:b/>
          <w:bCs/>
          <w:sz w:val="28"/>
          <w:szCs w:val="28"/>
        </w:rPr>
        <w:t xml:space="preserve">TEMAS-SUBTEMAS </w:t>
      </w:r>
    </w:p>
    <w:p w:rsidR="00F943F4" w:rsidRPr="00D93140" w:rsidRDefault="00F943F4">
      <w:pPr>
        <w:widowControl w:val="0"/>
        <w:autoSpaceDE w:val="0"/>
        <w:autoSpaceDN w:val="0"/>
        <w:adjustRightInd w:val="0"/>
        <w:spacing w:after="0" w:line="240" w:lineRule="auto"/>
        <w:jc w:val="center"/>
        <w:rPr>
          <w:rFonts w:ascii="Times New Roman" w:hAnsi="Times New Roman"/>
          <w:b/>
          <w:bCs/>
          <w:sz w:val="28"/>
          <w:szCs w:val="28"/>
        </w:rPr>
      </w:pPr>
    </w:p>
    <w:p w:rsidR="00F943F4" w:rsidRPr="00D93140" w:rsidRDefault="00F511AA">
      <w:pPr>
        <w:widowControl w:val="0"/>
        <w:autoSpaceDE w:val="0"/>
        <w:autoSpaceDN w:val="0"/>
        <w:adjustRightInd w:val="0"/>
        <w:spacing w:after="0" w:line="240" w:lineRule="auto"/>
        <w:jc w:val="center"/>
        <w:rPr>
          <w:rFonts w:ascii="Times New Roman" w:hAnsi="Times New Roman"/>
          <w:sz w:val="28"/>
          <w:szCs w:val="28"/>
        </w:rPr>
      </w:pPr>
      <w:r w:rsidRPr="00D93140">
        <w:rPr>
          <w:rFonts w:ascii="Times New Roman" w:hAnsi="Times New Roman"/>
          <w:b/>
          <w:bCs/>
          <w:sz w:val="28"/>
          <w:szCs w:val="28"/>
        </w:rPr>
        <w:t xml:space="preserve">Sentencia C-478/25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PROTECCION DEL MEDIO AMBIENTE Y LAS COMUNIDADES INDIGENAS</w:t>
      </w:r>
      <w:r w:rsidRPr="00D93140">
        <w:rPr>
          <w:rFonts w:ascii="Times New Roman" w:hAnsi="Times New Roman"/>
          <w:sz w:val="28"/>
          <w:szCs w:val="28"/>
        </w:rPr>
        <w:t>-Aplicación de los principios de razonabilidad y proporcionalidad en conflictos de interés general</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xml:space="preserve">(...) el decreto acusado persigue armonizar los mandatos constitucionales de protección del derecho a la autodeterminación de las comunidades indígenas dentro de sus territorios, que además de ser un asunto de interés general es un derecho fundamental de conformidad con los artículos 7 y 246 de la Constitución Política y el Convenio No. 169 de la OIT. Con esta definición, el decreto también busca que, frente al ámbito de aplicación del mismo, las disposiciones constitucionales que persiguen la conservación, preservación, restauración, cuidado y protección del ambiente prevalezcan, ello, dada la especial relación que existe entre las comunidades indígenas y el territorio... de presentarse un conflicto en el que se enfrente el interés general señalado en el artículo 2 del Decreto 1275 de 2024 con otro asunto que también comporte interés general para el Estado, la autoridad competente deberá analizar cada caso en particular de manera diferenciada y con aplicación de los principios de razonabilidad y proporcionalidad, buscando una solución que logre maximizar los extremos en tensión.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COMPETENCIAS AMBIENTALES DE LAS AUTORIDADES INDÍGENAS</w:t>
      </w:r>
      <w:r w:rsidRPr="00D93140">
        <w:rPr>
          <w:rFonts w:ascii="Times New Roman" w:hAnsi="Times New Roman"/>
          <w:sz w:val="28"/>
          <w:szCs w:val="28"/>
        </w:rPr>
        <w:t>-Alcance</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la expresión “sanciones y” contenida en la norma objeto de estudio debe entenderse en el sentido en que serán las autoridades ambientales, distintas a las indígenas, las facultadas para adelantar todo el procedimiento sancionatorio ambiental y sancionar a aquellos infractores que no hagan parte de las comunidades indígenas, garantizando así el respeto por el juez natural. Así mismo, para garantizar la participación de las autoridades indígenas y el desarrollo del principio de coordinación entre autoridades, las autoridades ambientales competentes al proceder a la imposición de la respectiva sanción o medida compensatoria a que haya lugar, previa coordinación con las autoridades indígenas respectivas, deberán regirse por las disposiciones legales que regulan el régimen sancionatorio ambiental previsto en el ordenamiento jurídico.</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COMPETENCIAS AMBIENTALES DE LAS AUTORIDADES INDÍGENAS</w:t>
      </w:r>
      <w:r w:rsidRPr="00D93140">
        <w:rPr>
          <w:rFonts w:ascii="Times New Roman" w:hAnsi="Times New Roman"/>
          <w:sz w:val="28"/>
          <w:szCs w:val="28"/>
        </w:rPr>
        <w:t xml:space="preserve">-Ejercicio de funciones ambientales con entidades territoriales conforme a principios de complementariedad y coordinación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FUNCION JURISDICCIONAL DE AUTORIDAD INDIGENA</w:t>
      </w:r>
      <w:r w:rsidRPr="00D93140">
        <w:rPr>
          <w:rFonts w:ascii="Times New Roman" w:hAnsi="Times New Roman"/>
          <w:sz w:val="28"/>
          <w:szCs w:val="28"/>
        </w:rPr>
        <w:t>-Control de las decisiones en materia ambiental</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las actuaciones de las autoridades indígenas en materia ambiental proferidas en virtud de las competencias otorgadas en el Decreto, según el caso, se encontrarán sujetas a un control interno o al de la jurisdicción ordinaria, incluso a través de la acción de tutela. No sobra aclarar que, en caso de decisiones que afecten a terceros que no hacen parte de la comunidad se acudirá al análisis de los elementos exigidos para establecer si procede o no la activación de la jurisdicción especial indígena. De no activarse, estos actos tendrán el control correspondiente ante la jurisdicción ordinaria o contencioso administrativa según corresponda. De esta manera, los artículos 5 y 6 del Decreto 1275 de 2024 son exequibles, en el entendido de que las personas que no pertenezcan a las comunidades indígenas que resulten afectadas por las decisiones que tomen sus autoridades en materia ambiental podrán acudir a los mecanismos judiciales ordinarios.</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INHIBICION DE LA CORTE CONSTITUCIONAL POR INEPTITUD SUSTANTIVA DE LA DEMANDA</w:t>
      </w:r>
      <w:r w:rsidRPr="00D93140">
        <w:rPr>
          <w:rFonts w:ascii="Times New Roman" w:hAnsi="Times New Roman"/>
          <w:sz w:val="28"/>
          <w:szCs w:val="28"/>
        </w:rPr>
        <w:t xml:space="preserve">-Incumplimiento de los requisitos de certeza, especificidad y pertinencia en los cargos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REGIMEN ESPECIAL PARA PONER EN FUNCIONAMIENTO LOS TERRITORIOS INDIGENAS, HASTA QUE EL CONGRESO EXPIDA LA LEY CONFORME AL ARTICULO 329 DE LA CONSTITUCION</w:t>
      </w:r>
      <w:r w:rsidRPr="00D93140">
        <w:rPr>
          <w:rFonts w:ascii="Times New Roman" w:hAnsi="Times New Roman"/>
          <w:sz w:val="28"/>
          <w:szCs w:val="28"/>
        </w:rPr>
        <w:t xml:space="preserve">-Facultades extraordinarias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FUNCIONAMIENTO DE TERRITORIOS INDIGENAS Y CLAUSULA GENERAL DE COMPETENCIA LEGISLATIVA</w:t>
      </w:r>
      <w:r w:rsidRPr="00D93140">
        <w:rPr>
          <w:rFonts w:ascii="Times New Roman" w:hAnsi="Times New Roman"/>
          <w:sz w:val="28"/>
          <w:szCs w:val="28"/>
        </w:rPr>
        <w:t xml:space="preserve">-No se encuentra limitada temporalmente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DIVERSIDAD ETNICA Y CULTURAL DE LA NACION</w:t>
      </w:r>
      <w:r w:rsidRPr="00D93140">
        <w:rPr>
          <w:rFonts w:ascii="Times New Roman" w:hAnsi="Times New Roman"/>
          <w:sz w:val="28"/>
          <w:szCs w:val="28"/>
        </w:rPr>
        <w:t xml:space="preserve">-Reconocimiento y protección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DERECHO A LA AUTONOMIA, A LA PARTICIPACION, A LA AUTODETERMINACION Y A LA DIVERSIDAD ETNICA Y CULTURAL DE LAS COMUNIDADES INDIGENAS</w:t>
      </w:r>
      <w:r w:rsidRPr="00D93140">
        <w:rPr>
          <w:rFonts w:ascii="Times New Roman" w:hAnsi="Times New Roman"/>
          <w:sz w:val="28"/>
          <w:szCs w:val="28"/>
        </w:rPr>
        <w:t xml:space="preserve">-Protección constitucional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DERECHO A LA AUTODETERMINACION DE LOS PUEBLOS INDIGENAS</w:t>
      </w:r>
      <w:r w:rsidRPr="00D93140">
        <w:rPr>
          <w:rFonts w:ascii="Times New Roman" w:hAnsi="Times New Roman"/>
          <w:sz w:val="28"/>
          <w:szCs w:val="28"/>
        </w:rPr>
        <w:t>-Ámbitos de protección</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xml:space="preserve">(...) (i) un ámbito externo que reconoce el derecho a participar en las decisiones que los afectan, en el que la consulta previa juega un rol importante y necesario para asegurar que se tengan en cuenta las necesidades de estos pueblos; (ii) otro ámbito externo que permite la participación política, teniendo representación en el Congreso y, (iii) un ámbito interno que reconoce las formas de autogobierno y autodeterminación de las reglas jurídicas al interior de los pueblos indígenas. En este último, se destaca el derecho de estas comunidades a decidir su forma de gobierno, a ejercer funciones jurisdiccionales dentro de su territorio, entre otros, de conformidad con la Constitución y la ley.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TERRITORIO INDIGENA</w:t>
      </w:r>
      <w:r w:rsidRPr="00D93140">
        <w:rPr>
          <w:rFonts w:ascii="Times New Roman" w:hAnsi="Times New Roman"/>
          <w:sz w:val="28"/>
          <w:szCs w:val="28"/>
        </w:rPr>
        <w:t xml:space="preserve">-Concepto y conformación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AUTONOMIA TERRITORIAL</w:t>
      </w:r>
      <w:r w:rsidRPr="00D93140">
        <w:rPr>
          <w:rFonts w:ascii="Times New Roman" w:hAnsi="Times New Roman"/>
          <w:sz w:val="28"/>
          <w:szCs w:val="28"/>
        </w:rPr>
        <w:t xml:space="preserve">-Núcleo esencial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DERECHO A LA AUTONOMIA DE COMUNIDAD INDIGENA</w:t>
      </w:r>
      <w:r w:rsidRPr="00D93140">
        <w:rPr>
          <w:rFonts w:ascii="Times New Roman" w:hAnsi="Times New Roman"/>
          <w:sz w:val="28"/>
          <w:szCs w:val="28"/>
        </w:rPr>
        <w:t>-Protección constitucional</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xml:space="preserve">(...) el Estado no puede imponerles una forma de organización ajena a sus costumbres ya que se desconocería su estructura política y social. No obstante, no sobra decir que este derecho a la autonomía no es absoluto y puede estar sujeto a límites, siempre que estos se funden en un principio de valor superior al de la diversidad étnica y cultural, como lo ha reconocido la jurisprudencia de esta Corporación.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PROTECCION DE COMUNIDADES INDIGENAS</w:t>
      </w:r>
      <w:r w:rsidRPr="00D93140">
        <w:rPr>
          <w:rFonts w:ascii="Times New Roman" w:hAnsi="Times New Roman"/>
          <w:sz w:val="28"/>
          <w:szCs w:val="28"/>
        </w:rPr>
        <w:t>-Está ligada a la protección del medio ambiente y los recursos naturales</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xml:space="preserve">(...) esta Corporación ha reconocido la calidad de las comunidades indígenas como autoridades ambientales, la cual se deriva del citado artículo 330 constitucional, que les confirió dicha potestad a los pueblos indígenas dentro de sus territorios; y del valor del conocimiento de estos pueblos sobre la diversidad biológica, el ambiente y las prácticas de gestión sostenible de sus recursos.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FACULTAD DE LOS PUEBLOS INDIGENAS PARA ACTUAR COMO AUTORIDADES AMBIENTALES DENTRO DE SU AMBITO TERRITORIAL</w:t>
      </w:r>
      <w:r w:rsidRPr="00D93140">
        <w:rPr>
          <w:rFonts w:ascii="Times New Roman" w:hAnsi="Times New Roman"/>
          <w:sz w:val="28"/>
          <w:szCs w:val="28"/>
        </w:rPr>
        <w:t>-Contenido y alcance</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xml:space="preserve">(...) el deber de protección de los recursos culturales y naturales y de velar por la conservación de un ambiente sano señalado en el artículo 95.8 superior, adquiere una naturaleza compleja cuando se trata de su protección por parte de comunidades indígenas, dada la relación inescindible que hay entre estas comunidades y el medio ambiente que habitan, la cual se refleja en sus actividades tradicionales y en la construcción de su propia identidad.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JURISDICCIÓN ESPECIAL INDÍGENA</w:t>
      </w:r>
      <w:r w:rsidRPr="00D93140">
        <w:rPr>
          <w:rFonts w:ascii="Times New Roman" w:hAnsi="Times New Roman"/>
          <w:sz w:val="28"/>
          <w:szCs w:val="28"/>
        </w:rPr>
        <w:t xml:space="preserve">-Alcance y límites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ELEMENTOS DE LA JURISDICCION INDIGENA</w:t>
      </w:r>
      <w:r w:rsidRPr="00D93140">
        <w:rPr>
          <w:rFonts w:ascii="Times New Roman" w:hAnsi="Times New Roman"/>
          <w:sz w:val="28"/>
          <w:szCs w:val="28"/>
        </w:rPr>
        <w:t>-Territorial, personal, institucional y objetivo</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para que se active esta jurisdicción se requiere acreditar los siguientes elementos: (i) personal, (ii) territorial, (iii) objetivo e (iv) institucional. De esta manera, se garantiza que la decisión que llegue adoptarse en un caso particular, esté apoyada en un análisis conjunto, ponderado y razonable de los distintos elementos que activan la JEI, con el fin de que se tenga en cuenta el debido proceso del investigado, los derechos de las víctimas, el pluralismo jurídico, la diversidad étnica y la maximización de la autonomía indígena.</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PREVALENCIA DEL INTERES GENERAL SOBRE EL PARTICULAR</w:t>
      </w:r>
      <w:r w:rsidRPr="00D93140">
        <w:rPr>
          <w:rFonts w:ascii="Times New Roman" w:hAnsi="Times New Roman"/>
          <w:sz w:val="28"/>
          <w:szCs w:val="28"/>
        </w:rPr>
        <w:t>-No es absoluta</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el concepto de interés general es indeterminado y su contenido debe hacerse explícito en cada caso concreto. Por lo tanto, no reviste un carácter absoluto ni es susceptible de aplicación inmediata en cualquier evento.</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COMUNIDAD INDIGENA</w:t>
      </w:r>
      <w:r w:rsidRPr="00D93140">
        <w:rPr>
          <w:rFonts w:ascii="Times New Roman" w:hAnsi="Times New Roman"/>
          <w:sz w:val="28"/>
          <w:szCs w:val="28"/>
        </w:rPr>
        <w:t>-Protección de sus valores es asunto de interés general</w:t>
      </w:r>
      <w:r w:rsidRPr="00D93140">
        <w:rPr>
          <w:rFonts w:ascii="Times New Roman" w:hAnsi="Times New Roman"/>
          <w:b/>
          <w:bCs/>
          <w:sz w:val="28"/>
          <w:szCs w:val="28"/>
        </w:rPr>
        <w:t>/PREVALENCIA DEL INTERES GENERAL</w:t>
      </w:r>
      <w:r w:rsidRPr="00D93140">
        <w:rPr>
          <w:rFonts w:ascii="Times New Roman" w:hAnsi="Times New Roman"/>
          <w:sz w:val="28"/>
          <w:szCs w:val="28"/>
        </w:rPr>
        <w:t>-Armonización</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respecto de la protección de las comunidades indígenas y tribales y sus valores culturales, económicos y sociales, la Corte ha señalado que es un asunto de interés general “en cuanto comporta el reconocimiento de la diversidad étnica y cultural de la nación colombiana, y la existencia misma del Estado social de derecho”.  Así, en caso de presentarse un conflicto en el que se enfrente el interés general con otro particular, aquél debe ser armonizado con el derecho o interés individual con el que choca, con el propósito de llegar a una solución que, en lo posible y teniendo en cuenta las particularidades del caso concreto, maximice ambos extremos de la tensión.</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MATERIA AMBIENTAL</w:t>
      </w:r>
      <w:r w:rsidRPr="00D93140">
        <w:rPr>
          <w:rFonts w:ascii="Times New Roman" w:hAnsi="Times New Roman"/>
          <w:sz w:val="28"/>
          <w:szCs w:val="28"/>
        </w:rPr>
        <w:t>-Competencia concurrente</w:t>
      </w:r>
      <w:r w:rsidRPr="00D93140">
        <w:rPr>
          <w:rFonts w:ascii="Times New Roman" w:hAnsi="Times New Roman"/>
          <w:b/>
          <w:bCs/>
          <w:sz w:val="28"/>
          <w:szCs w:val="28"/>
        </w:rPr>
        <w:t>/MEDIO AMBIENTE</w:t>
      </w:r>
      <w:r w:rsidRPr="00D93140">
        <w:rPr>
          <w:rFonts w:ascii="Times New Roman" w:hAnsi="Times New Roman"/>
          <w:sz w:val="28"/>
          <w:szCs w:val="28"/>
        </w:rPr>
        <w:t>-Distribución de competencias para su protección</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en la protección ambiental existen competencias normativas concurrentes entre el poder central y las autoridades locales. La armonización de esta concurrencia de competencias, como lo ha dicho esta Corte, es posible mediante la aplicación del principio de rigor subsidiario.</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CORPORACION AUTONOMA REGIONAL</w:t>
      </w:r>
      <w:r w:rsidRPr="00D93140">
        <w:rPr>
          <w:rFonts w:ascii="Times New Roman" w:hAnsi="Times New Roman"/>
          <w:sz w:val="28"/>
          <w:szCs w:val="28"/>
        </w:rPr>
        <w:t xml:space="preserve">-Naturaleza jurídica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AUTONOMIA DE LAS CORPORACIONES AUTONOMAS REGIONALES CAR</w:t>
      </w:r>
      <w:r w:rsidRPr="00D93140">
        <w:rPr>
          <w:rFonts w:ascii="Times New Roman" w:hAnsi="Times New Roman"/>
          <w:sz w:val="28"/>
          <w:szCs w:val="28"/>
        </w:rPr>
        <w:t xml:space="preserve">-En materia administrativa u orgánica, financiera y patrimonial y política y funcional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AUTONOMIA DE LAS CORPORACIONES AUTONOMAS REGIONALES</w:t>
      </w:r>
      <w:r w:rsidRPr="00D93140">
        <w:rPr>
          <w:rFonts w:ascii="Times New Roman" w:hAnsi="Times New Roman"/>
          <w:sz w:val="28"/>
          <w:szCs w:val="28"/>
        </w:rPr>
        <w:t>-Alcance</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xml:space="preserve">(...) la autonomía de las CAR es una garantía institucional que les confiere la potestad general de ejercer sus funciones con un determinado grado de libertad e independencia y proscribe una injerencia desproporcionada del legislador, las autoridades nacionales y las entidades territoriales en el cumplimiento de sus competencias. El reconocimiento constitucional de la autonomía de las CAR, de acuerdo con la jurisprudencia, tiene como propósito (i) descentralizar la protección ambiental, (ii) garantizar que â€˜as regiones tengan mayor injerencia sobre sus intereses ambientales y (iii) asegurar una mayor protección al medio ambiente que se ajuste a las necesidades específicas de las poblaciones y ecosistemas.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AUTONOMIA DE LAS CORPORACIONES AUTONOMAS REGIONALES</w:t>
      </w:r>
      <w:r w:rsidRPr="00D93140">
        <w:rPr>
          <w:rFonts w:ascii="Times New Roman" w:hAnsi="Times New Roman"/>
          <w:sz w:val="28"/>
          <w:szCs w:val="28"/>
        </w:rPr>
        <w:t xml:space="preserve">-No es un derecho absoluto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POTESTAD SANCIONATORIA EN MATERIA AMBIENTAL</w:t>
      </w:r>
      <w:r w:rsidRPr="00D93140">
        <w:rPr>
          <w:rFonts w:ascii="Times New Roman" w:hAnsi="Times New Roman"/>
          <w:sz w:val="28"/>
          <w:szCs w:val="28"/>
        </w:rPr>
        <w:t xml:space="preserve">-Contenido y alcance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PRINCIPIO DE TIPICIDAD EN DERECHO SANCIONADOR</w:t>
      </w:r>
      <w:r w:rsidRPr="00D93140">
        <w:rPr>
          <w:rFonts w:ascii="Times New Roman" w:hAnsi="Times New Roman"/>
          <w:sz w:val="28"/>
          <w:szCs w:val="28"/>
        </w:rPr>
        <w:t>-Elementos</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i/>
          <w:iCs/>
          <w:sz w:val="28"/>
          <w:szCs w:val="28"/>
        </w:rPr>
        <w:t>(...) para que se cumpla con el principio de tipicidad, deben concurrir los siguientes elementos: (i) que la conducta sancionable esté descrita de manera específica y precisa, bien porque la misma esté determinada en el mismo cuerpo normativo o sea determinable a partir de la aplicación de otras normas jurídicas; (ii) que exista una sanción cuyo contenido material esté definido en la ley, y (iii) que exista correlación entre la conducta y la sanción</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F511AA">
      <w:pPr>
        <w:widowControl w:val="0"/>
        <w:autoSpaceDE w:val="0"/>
        <w:autoSpaceDN w:val="0"/>
        <w:adjustRightInd w:val="0"/>
        <w:spacing w:after="0" w:line="240" w:lineRule="auto"/>
        <w:jc w:val="both"/>
        <w:rPr>
          <w:rFonts w:ascii="Times New Roman" w:hAnsi="Times New Roman"/>
          <w:sz w:val="28"/>
          <w:szCs w:val="28"/>
        </w:rPr>
      </w:pPr>
      <w:r w:rsidRPr="00D93140">
        <w:rPr>
          <w:rFonts w:ascii="Times New Roman" w:hAnsi="Times New Roman"/>
          <w:b/>
          <w:bCs/>
          <w:sz w:val="28"/>
          <w:szCs w:val="28"/>
        </w:rPr>
        <w:t>SANCION ADMINISTRATIVA EN MATERIA AMBIENTAL</w:t>
      </w:r>
      <w:r w:rsidRPr="00D93140">
        <w:rPr>
          <w:rFonts w:ascii="Times New Roman" w:hAnsi="Times New Roman"/>
          <w:sz w:val="28"/>
          <w:szCs w:val="28"/>
        </w:rPr>
        <w:t xml:space="preserve">-Función </w:t>
      </w:r>
    </w:p>
    <w:p w:rsidR="00F943F4" w:rsidRPr="00D93140" w:rsidRDefault="00F943F4">
      <w:pPr>
        <w:widowControl w:val="0"/>
        <w:autoSpaceDE w:val="0"/>
        <w:autoSpaceDN w:val="0"/>
        <w:adjustRightInd w:val="0"/>
        <w:spacing w:after="0" w:line="240" w:lineRule="auto"/>
        <w:jc w:val="both"/>
        <w:rPr>
          <w:rFonts w:ascii="Times New Roman" w:hAnsi="Times New Roman"/>
          <w:sz w:val="28"/>
          <w:szCs w:val="28"/>
        </w:rPr>
      </w:pPr>
    </w:p>
    <w:p w:rsidR="00F943F4" w:rsidRPr="00D93140" w:rsidRDefault="00D93140">
      <w:pPr>
        <w:widowControl w:val="0"/>
        <w:autoSpaceDE w:val="0"/>
        <w:autoSpaceDN w:val="0"/>
        <w:adjustRightInd w:val="0"/>
        <w:spacing w:after="0" w:line="240" w:lineRule="auto"/>
        <w:jc w:val="both"/>
        <w:rPr>
          <w:rFonts w:ascii="Times New Roman" w:hAnsi="Times New Roman"/>
          <w:sz w:val="28"/>
        </w:rPr>
      </w:pPr>
      <w:r w:rsidRPr="00D93140">
        <w:rPr>
          <w:rFonts w:ascii="Times New Roman" w:hAnsi="Times New Roman"/>
          <w:sz w:val="28"/>
          <w:szCs w:val="28"/>
        </w:rPr>
        <w:pict>
          <v:rect id="_x0000_i1025" style="width:0;height:1.5pt" o:hralign="center" o:hrstd="t" o:hr="t" fillcolor="#a0a0a0" stroked="f"/>
        </w:pict>
      </w:r>
    </w:p>
    <w:p w:rsidR="00135D8C" w:rsidRPr="00D93140" w:rsidRDefault="00D93140" w:rsidP="00CD1EAC">
      <w:pPr>
        <w:pStyle w:val="Encabezado"/>
        <w:jc w:val="center"/>
        <w:rPr>
          <w:rFonts w:ascii="Times New Roman" w:hAnsi="Times New Roman"/>
          <w:b/>
          <w:bCs/>
          <w:sz w:val="28"/>
          <w:szCs w:val="28"/>
          <w:lang w:val="es-ES"/>
        </w:rPr>
      </w:pPr>
      <w:r w:rsidRPr="00D93140">
        <w:rPr>
          <w:rFonts w:ascii="Times New Roman" w:hAnsi="Times New Roman"/>
          <w:b/>
          <w:bCs/>
          <w:sz w:val="28"/>
          <w:szCs w:val="28"/>
          <w:lang w:val="es-ES"/>
        </w:rPr>
        <w:t>REPÚBLICA DE COLOMBIA</w:t>
      </w:r>
    </w:p>
    <w:p w:rsidR="00135D8C" w:rsidRPr="00D93140" w:rsidRDefault="00D93140" w:rsidP="00CD1EAC">
      <w:pPr>
        <w:pStyle w:val="Encabezado"/>
        <w:jc w:val="center"/>
        <w:rPr>
          <w:rFonts w:ascii="Times New Roman" w:hAnsi="Times New Roman"/>
          <w:b/>
          <w:bCs/>
          <w:sz w:val="28"/>
          <w:szCs w:val="28"/>
          <w:lang w:val="es-ES"/>
        </w:rPr>
      </w:pPr>
      <w:r w:rsidRPr="00D93140">
        <w:rPr>
          <w:rFonts w:ascii="Times New Roman" w:hAnsi="Times New Roman"/>
          <w:b/>
          <w:noProof/>
          <w:sz w:val="28"/>
          <w:szCs w:val="28"/>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8" type="#_x0000_t75" style="width:62.25pt;height:62.25pt;visibility:visible;mso-wrap-style:square">
            <v:imagedata r:id="rId7" o:title=""/>
          </v:shape>
        </w:pict>
      </w:r>
    </w:p>
    <w:p w:rsidR="00135D8C" w:rsidRPr="00D93140" w:rsidRDefault="00D93140" w:rsidP="00CD1EAC">
      <w:pPr>
        <w:pStyle w:val="Encabezado"/>
        <w:jc w:val="center"/>
        <w:rPr>
          <w:rFonts w:ascii="Times New Roman" w:hAnsi="Times New Roman"/>
          <w:b/>
          <w:bCs/>
          <w:sz w:val="28"/>
          <w:szCs w:val="28"/>
          <w:lang w:val="es-ES"/>
        </w:rPr>
      </w:pPr>
      <w:r w:rsidRPr="00D93140">
        <w:rPr>
          <w:rFonts w:ascii="Times New Roman" w:hAnsi="Times New Roman"/>
          <w:b/>
          <w:bCs/>
          <w:sz w:val="28"/>
          <w:szCs w:val="28"/>
          <w:lang w:val="es-ES"/>
        </w:rPr>
        <w:t>CORTE CONSTITUCIONAL</w:t>
      </w:r>
    </w:p>
    <w:p w:rsidR="007E084C" w:rsidRPr="00D93140" w:rsidRDefault="00D93140" w:rsidP="00CD1EAC">
      <w:pPr>
        <w:jc w:val="center"/>
        <w:rPr>
          <w:rFonts w:ascii="Times New Roman" w:hAnsi="Times New Roman"/>
          <w:sz w:val="28"/>
        </w:rPr>
      </w:pPr>
      <w:bookmarkStart w:id="1" w:name="_Toc212136146"/>
    </w:p>
    <w:p w:rsidR="00135D8C" w:rsidRPr="00D93140" w:rsidRDefault="00D93140" w:rsidP="007E084C">
      <w:pPr>
        <w:jc w:val="center"/>
        <w:rPr>
          <w:rFonts w:ascii="Times New Roman" w:hAnsi="Times New Roman"/>
          <w:b/>
          <w:sz w:val="28"/>
        </w:rPr>
      </w:pPr>
      <w:r w:rsidRPr="00D93140">
        <w:rPr>
          <w:rFonts w:ascii="Times New Roman" w:hAnsi="Times New Roman"/>
          <w:b/>
          <w:sz w:val="28"/>
        </w:rPr>
        <w:t>SENTENCIA</w:t>
      </w:r>
      <w:r w:rsidRPr="00D93140">
        <w:rPr>
          <w:rFonts w:ascii="Times New Roman" w:hAnsi="Times New Roman"/>
          <w:b/>
          <w:sz w:val="28"/>
        </w:rPr>
        <w:t xml:space="preserve"> </w:t>
      </w:r>
      <w:r w:rsidRPr="00D93140">
        <w:rPr>
          <w:rFonts w:ascii="Times New Roman" w:hAnsi="Times New Roman"/>
          <w:b/>
          <w:sz w:val="28"/>
        </w:rPr>
        <w:t>C-478</w:t>
      </w:r>
      <w:r w:rsidRPr="00D93140">
        <w:rPr>
          <w:rFonts w:ascii="Times New Roman" w:hAnsi="Times New Roman"/>
          <w:b/>
          <w:sz w:val="28"/>
        </w:rPr>
        <w:t xml:space="preserve"> DE 2025</w:t>
      </w:r>
      <w:bookmarkEnd w:id="1"/>
      <w:r w:rsidRPr="00D93140">
        <w:rPr>
          <w:rFonts w:ascii="Times New Roman" w:hAnsi="Times New Roman"/>
          <w:b/>
          <w:sz w:val="28"/>
        </w:rPr>
        <w:br/>
      </w:r>
    </w:p>
    <w:p w:rsidR="00135D8C" w:rsidRPr="00D93140" w:rsidRDefault="00D93140" w:rsidP="00E04174">
      <w:pPr>
        <w:ind w:left="4394" w:right="51"/>
        <w:rPr>
          <w:rFonts w:ascii="Times New Roman" w:hAnsi="Times New Roman"/>
          <w:sz w:val="28"/>
          <w:szCs w:val="28"/>
        </w:rPr>
      </w:pPr>
      <w:r w:rsidRPr="00D93140">
        <w:rPr>
          <w:rFonts w:ascii="Times New Roman" w:hAnsi="Times New Roman"/>
          <w:b/>
          <w:sz w:val="28"/>
          <w:szCs w:val="28"/>
        </w:rPr>
        <w:t>Ref.:</w:t>
      </w:r>
      <w:r w:rsidRPr="00D93140">
        <w:rPr>
          <w:rFonts w:ascii="Times New Roman" w:hAnsi="Times New Roman"/>
          <w:sz w:val="28"/>
          <w:szCs w:val="28"/>
        </w:rPr>
        <w:t xml:space="preserve"> expediente</w:t>
      </w:r>
      <w:r w:rsidRPr="00D93140">
        <w:rPr>
          <w:rFonts w:ascii="Times New Roman" w:hAnsi="Times New Roman"/>
          <w:sz w:val="28"/>
          <w:szCs w:val="28"/>
        </w:rPr>
        <w:t>s</w:t>
      </w:r>
      <w:r w:rsidRPr="00D93140">
        <w:rPr>
          <w:rFonts w:ascii="Times New Roman" w:hAnsi="Times New Roman"/>
          <w:sz w:val="28"/>
          <w:szCs w:val="28"/>
        </w:rPr>
        <w:t xml:space="preserve"> D-1</w:t>
      </w:r>
      <w:r w:rsidRPr="00D93140">
        <w:rPr>
          <w:rFonts w:ascii="Times New Roman" w:hAnsi="Times New Roman"/>
          <w:sz w:val="28"/>
          <w:szCs w:val="28"/>
        </w:rPr>
        <w:t>6</w:t>
      </w:r>
      <w:r w:rsidRPr="00D93140">
        <w:rPr>
          <w:rFonts w:ascii="Times New Roman" w:hAnsi="Times New Roman"/>
          <w:sz w:val="28"/>
          <w:szCs w:val="28"/>
        </w:rPr>
        <w:t>345</w:t>
      </w:r>
      <w:r w:rsidRPr="00D93140">
        <w:rPr>
          <w:rFonts w:ascii="Times New Roman" w:hAnsi="Times New Roman"/>
          <w:sz w:val="28"/>
          <w:szCs w:val="28"/>
        </w:rPr>
        <w:t xml:space="preserve"> y D-16</w:t>
      </w:r>
      <w:r w:rsidRPr="00D93140">
        <w:rPr>
          <w:rFonts w:ascii="Times New Roman" w:hAnsi="Times New Roman"/>
          <w:sz w:val="28"/>
          <w:szCs w:val="28"/>
        </w:rPr>
        <w:t>396</w:t>
      </w:r>
      <w:r w:rsidRPr="00D93140">
        <w:rPr>
          <w:rFonts w:ascii="Times New Roman" w:hAnsi="Times New Roman"/>
          <w:sz w:val="28"/>
          <w:szCs w:val="28"/>
        </w:rPr>
        <w:t xml:space="preserve"> (acumulados) </w:t>
      </w:r>
    </w:p>
    <w:p w:rsidR="00135D8C" w:rsidRPr="00D93140" w:rsidRDefault="00D93140" w:rsidP="00E04174">
      <w:pPr>
        <w:tabs>
          <w:tab w:val="left" w:pos="3960"/>
        </w:tabs>
        <w:ind w:left="4394" w:right="51"/>
        <w:rPr>
          <w:rFonts w:ascii="Times New Roman" w:hAnsi="Times New Roman"/>
          <w:sz w:val="28"/>
          <w:szCs w:val="28"/>
        </w:rPr>
      </w:pPr>
    </w:p>
    <w:p w:rsidR="00135D8C" w:rsidRPr="00D93140" w:rsidRDefault="00D93140" w:rsidP="00E04174">
      <w:pPr>
        <w:tabs>
          <w:tab w:val="left" w:pos="3960"/>
        </w:tabs>
        <w:ind w:left="4394" w:right="51"/>
        <w:jc w:val="both"/>
        <w:rPr>
          <w:rFonts w:ascii="Times New Roman" w:hAnsi="Times New Roman"/>
          <w:i/>
          <w:iCs/>
          <w:sz w:val="28"/>
          <w:szCs w:val="28"/>
        </w:rPr>
      </w:pPr>
      <w:r w:rsidRPr="00D93140">
        <w:rPr>
          <w:rFonts w:ascii="Times New Roman" w:hAnsi="Times New Roman"/>
          <w:b/>
          <w:bCs/>
          <w:sz w:val="28"/>
          <w:szCs w:val="28"/>
        </w:rPr>
        <w:t>Asunto:</w:t>
      </w:r>
      <w:r w:rsidRPr="00D93140">
        <w:rPr>
          <w:rFonts w:ascii="Times New Roman" w:hAnsi="Times New Roman"/>
          <w:b/>
          <w:bCs/>
          <w:sz w:val="28"/>
          <w:szCs w:val="28"/>
        </w:rPr>
        <w:t xml:space="preserve"> </w:t>
      </w:r>
      <w:r w:rsidRPr="00D93140">
        <w:rPr>
          <w:rFonts w:ascii="Times New Roman" w:hAnsi="Times New Roman"/>
          <w:sz w:val="28"/>
          <w:szCs w:val="28"/>
        </w:rPr>
        <w:t>demanda</w:t>
      </w:r>
      <w:r w:rsidRPr="00D93140">
        <w:rPr>
          <w:rFonts w:ascii="Times New Roman" w:hAnsi="Times New Roman"/>
          <w:sz w:val="28"/>
          <w:szCs w:val="28"/>
        </w:rPr>
        <w:t>s</w:t>
      </w:r>
      <w:r w:rsidRPr="00D93140">
        <w:rPr>
          <w:rFonts w:ascii="Times New Roman" w:hAnsi="Times New Roman"/>
          <w:sz w:val="28"/>
          <w:szCs w:val="28"/>
        </w:rPr>
        <w:t xml:space="preserve"> de inconstitucionalidad contra el </w:t>
      </w:r>
      <w:r w:rsidRPr="00D93140">
        <w:rPr>
          <w:rFonts w:ascii="Times New Roman" w:hAnsi="Times New Roman"/>
          <w:sz w:val="28"/>
          <w:szCs w:val="28"/>
        </w:rPr>
        <w:t>Decreto 1275</w:t>
      </w:r>
      <w:r w:rsidRPr="00D93140">
        <w:rPr>
          <w:rFonts w:ascii="Times New Roman" w:hAnsi="Times New Roman"/>
          <w:sz w:val="28"/>
          <w:szCs w:val="28"/>
        </w:rPr>
        <w:t xml:space="preserve"> </w:t>
      </w:r>
      <w:r w:rsidRPr="00D93140">
        <w:rPr>
          <w:rFonts w:ascii="Times New Roman" w:hAnsi="Times New Roman"/>
          <w:sz w:val="28"/>
          <w:szCs w:val="28"/>
        </w:rPr>
        <w:t>de 2024</w:t>
      </w:r>
      <w:r w:rsidRPr="00D93140">
        <w:rPr>
          <w:rStyle w:val="Refdenotaalpie"/>
          <w:rFonts w:ascii="Times New Roman" w:hAnsi="Times New Roman"/>
          <w:sz w:val="28"/>
          <w:szCs w:val="28"/>
        </w:rPr>
        <w:footnoteReference w:id="1"/>
      </w:r>
    </w:p>
    <w:p w:rsidR="00135D8C" w:rsidRPr="00D93140" w:rsidRDefault="00D93140" w:rsidP="00E04174">
      <w:pPr>
        <w:tabs>
          <w:tab w:val="left" w:pos="3960"/>
        </w:tabs>
        <w:ind w:left="4394" w:right="51"/>
        <w:jc w:val="both"/>
        <w:rPr>
          <w:rFonts w:ascii="Times New Roman" w:hAnsi="Times New Roman"/>
          <w:sz w:val="28"/>
          <w:szCs w:val="28"/>
        </w:rPr>
      </w:pPr>
    </w:p>
    <w:p w:rsidR="00135D8C" w:rsidRPr="00D93140" w:rsidRDefault="00D93140" w:rsidP="00E04174">
      <w:pPr>
        <w:tabs>
          <w:tab w:val="left" w:pos="3960"/>
        </w:tabs>
        <w:ind w:left="4394" w:right="51"/>
        <w:jc w:val="both"/>
        <w:rPr>
          <w:rFonts w:ascii="Times New Roman" w:hAnsi="Times New Roman"/>
          <w:sz w:val="28"/>
          <w:szCs w:val="28"/>
        </w:rPr>
      </w:pPr>
      <w:r w:rsidRPr="00D93140">
        <w:rPr>
          <w:rFonts w:ascii="Times New Roman" w:hAnsi="Times New Roman"/>
          <w:b/>
          <w:bCs/>
          <w:sz w:val="28"/>
          <w:szCs w:val="28"/>
        </w:rPr>
        <w:t>Demandante</w:t>
      </w:r>
      <w:r w:rsidRPr="00D93140">
        <w:rPr>
          <w:rFonts w:ascii="Times New Roman" w:hAnsi="Times New Roman"/>
          <w:b/>
          <w:bCs/>
          <w:sz w:val="28"/>
          <w:szCs w:val="28"/>
        </w:rPr>
        <w:t>s</w:t>
      </w:r>
      <w:r w:rsidRPr="00D93140">
        <w:rPr>
          <w:rFonts w:ascii="Times New Roman" w:hAnsi="Times New Roman"/>
          <w:b/>
          <w:bCs/>
          <w:sz w:val="28"/>
          <w:szCs w:val="28"/>
        </w:rPr>
        <w:t xml:space="preserve">: </w:t>
      </w:r>
      <w:r w:rsidRPr="00D93140">
        <w:rPr>
          <w:rFonts w:ascii="Times New Roman" w:hAnsi="Times New Roman"/>
          <w:sz w:val="28"/>
          <w:szCs w:val="28"/>
        </w:rPr>
        <w:t>Carlos Bernal Pulido y Guillermo Otálora Lozano</w:t>
      </w:r>
    </w:p>
    <w:p w:rsidR="00135D8C" w:rsidRPr="00D93140" w:rsidRDefault="00D93140" w:rsidP="00E04174">
      <w:pPr>
        <w:tabs>
          <w:tab w:val="left" w:pos="2520"/>
        </w:tabs>
        <w:ind w:left="4394" w:right="51"/>
        <w:rPr>
          <w:rFonts w:ascii="Times New Roman" w:hAnsi="Times New Roman"/>
          <w:sz w:val="28"/>
          <w:szCs w:val="28"/>
        </w:rPr>
      </w:pPr>
    </w:p>
    <w:p w:rsidR="00135D8C" w:rsidRPr="00D93140" w:rsidRDefault="00D93140" w:rsidP="00E04174">
      <w:pPr>
        <w:tabs>
          <w:tab w:val="left" w:pos="2520"/>
        </w:tabs>
        <w:ind w:left="4394" w:right="51"/>
        <w:rPr>
          <w:rFonts w:ascii="Times New Roman" w:hAnsi="Times New Roman"/>
          <w:sz w:val="28"/>
          <w:szCs w:val="28"/>
        </w:rPr>
      </w:pPr>
      <w:r w:rsidRPr="00D93140">
        <w:rPr>
          <w:rFonts w:ascii="Times New Roman" w:hAnsi="Times New Roman"/>
          <w:b/>
          <w:sz w:val="28"/>
          <w:szCs w:val="28"/>
        </w:rPr>
        <w:t>Magistrado Sustanciador</w:t>
      </w:r>
      <w:r w:rsidRPr="00D93140">
        <w:rPr>
          <w:rFonts w:ascii="Times New Roman" w:hAnsi="Times New Roman"/>
          <w:sz w:val="28"/>
          <w:szCs w:val="28"/>
        </w:rPr>
        <w:t>:</w:t>
      </w:r>
    </w:p>
    <w:p w:rsidR="00135D8C" w:rsidRPr="00D93140" w:rsidRDefault="00D93140" w:rsidP="00E04174">
      <w:pPr>
        <w:tabs>
          <w:tab w:val="left" w:pos="2520"/>
        </w:tabs>
        <w:ind w:left="4394" w:right="51"/>
        <w:rPr>
          <w:rFonts w:ascii="Times New Roman" w:hAnsi="Times New Roman"/>
          <w:sz w:val="28"/>
          <w:szCs w:val="28"/>
        </w:rPr>
      </w:pPr>
      <w:r w:rsidRPr="00D93140">
        <w:rPr>
          <w:rFonts w:ascii="Times New Roman" w:hAnsi="Times New Roman"/>
          <w:sz w:val="28"/>
          <w:szCs w:val="28"/>
        </w:rPr>
        <w:t xml:space="preserve">Héctor Alfonso </w:t>
      </w:r>
      <w:r w:rsidRPr="00D93140">
        <w:rPr>
          <w:rFonts w:ascii="Times New Roman" w:hAnsi="Times New Roman"/>
          <w:sz w:val="28"/>
          <w:szCs w:val="28"/>
        </w:rPr>
        <w:t>Carvajal Londoño</w:t>
      </w:r>
    </w:p>
    <w:p w:rsidR="00135D8C" w:rsidRPr="00D93140" w:rsidRDefault="00D93140" w:rsidP="00E04174">
      <w:pPr>
        <w:ind w:left="708"/>
        <w:jc w:val="center"/>
        <w:rPr>
          <w:rFonts w:ascii="Times New Roman" w:hAnsi="Times New Roman"/>
          <w:sz w:val="28"/>
          <w:szCs w:val="28"/>
        </w:rPr>
      </w:pPr>
    </w:p>
    <w:p w:rsidR="00135D8C" w:rsidRPr="00D93140" w:rsidRDefault="00D93140" w:rsidP="00E04174">
      <w:pPr>
        <w:rPr>
          <w:rFonts w:ascii="Times New Roman" w:hAnsi="Times New Roman"/>
          <w:sz w:val="28"/>
          <w:szCs w:val="28"/>
        </w:rPr>
      </w:pPr>
      <w:r w:rsidRPr="00D93140">
        <w:rPr>
          <w:rFonts w:ascii="Times New Roman" w:hAnsi="Times New Roman"/>
          <w:sz w:val="28"/>
          <w:szCs w:val="28"/>
        </w:rPr>
        <w:t>Bogotá, D.C.,</w:t>
      </w:r>
      <w:r w:rsidRPr="00D93140">
        <w:rPr>
          <w:rFonts w:ascii="Times New Roman" w:hAnsi="Times New Roman"/>
          <w:sz w:val="28"/>
          <w:szCs w:val="28"/>
        </w:rPr>
        <w:t xml:space="preserve"> </w:t>
      </w:r>
      <w:r w:rsidRPr="00D93140">
        <w:rPr>
          <w:rFonts w:ascii="Times New Roman" w:hAnsi="Times New Roman"/>
          <w:sz w:val="28"/>
          <w:szCs w:val="28"/>
        </w:rPr>
        <w:t>veintiséis</w:t>
      </w:r>
      <w:r w:rsidRPr="00D93140">
        <w:rPr>
          <w:rFonts w:ascii="Times New Roman" w:hAnsi="Times New Roman"/>
          <w:sz w:val="28"/>
          <w:szCs w:val="28"/>
        </w:rPr>
        <w:t xml:space="preserve"> </w:t>
      </w:r>
      <w:r w:rsidRPr="00D93140">
        <w:rPr>
          <w:rFonts w:ascii="Times New Roman" w:hAnsi="Times New Roman"/>
          <w:sz w:val="28"/>
          <w:szCs w:val="28"/>
        </w:rPr>
        <w:t>(</w:t>
      </w:r>
      <w:r w:rsidRPr="00D93140">
        <w:rPr>
          <w:rFonts w:ascii="Times New Roman" w:hAnsi="Times New Roman"/>
          <w:sz w:val="28"/>
          <w:szCs w:val="28"/>
        </w:rPr>
        <w:t>26</w:t>
      </w:r>
      <w:r w:rsidRPr="00D93140">
        <w:rPr>
          <w:rFonts w:ascii="Times New Roman" w:hAnsi="Times New Roman"/>
          <w:sz w:val="28"/>
          <w:szCs w:val="28"/>
        </w:rPr>
        <w:t>)</w:t>
      </w:r>
      <w:r w:rsidRPr="00D93140">
        <w:rPr>
          <w:rFonts w:ascii="Times New Roman" w:hAnsi="Times New Roman"/>
          <w:sz w:val="28"/>
          <w:szCs w:val="28"/>
        </w:rPr>
        <w:t xml:space="preserve"> de </w:t>
      </w:r>
      <w:r w:rsidRPr="00D93140">
        <w:rPr>
          <w:rFonts w:ascii="Times New Roman" w:hAnsi="Times New Roman"/>
          <w:sz w:val="28"/>
          <w:szCs w:val="28"/>
        </w:rPr>
        <w:t>noviembre</w:t>
      </w:r>
      <w:r w:rsidRPr="00D93140">
        <w:rPr>
          <w:rFonts w:ascii="Times New Roman" w:hAnsi="Times New Roman"/>
          <w:sz w:val="28"/>
          <w:szCs w:val="28"/>
        </w:rPr>
        <w:t xml:space="preserve"> de dos mil veintic</w:t>
      </w:r>
      <w:r w:rsidRPr="00D93140">
        <w:rPr>
          <w:rFonts w:ascii="Times New Roman" w:hAnsi="Times New Roman"/>
          <w:sz w:val="28"/>
          <w:szCs w:val="28"/>
        </w:rPr>
        <w:t>inco</w:t>
      </w:r>
      <w:r w:rsidRPr="00D93140">
        <w:rPr>
          <w:rFonts w:ascii="Times New Roman" w:hAnsi="Times New Roman"/>
          <w:sz w:val="28"/>
          <w:szCs w:val="28"/>
        </w:rPr>
        <w:t xml:space="preserve"> (202</w:t>
      </w:r>
      <w:r w:rsidRPr="00D93140">
        <w:rPr>
          <w:rFonts w:ascii="Times New Roman" w:hAnsi="Times New Roman"/>
          <w:sz w:val="28"/>
          <w:szCs w:val="28"/>
        </w:rPr>
        <w:t>5</w:t>
      </w:r>
      <w:r w:rsidRPr="00D93140">
        <w:rPr>
          <w:rFonts w:ascii="Times New Roman" w:hAnsi="Times New Roman"/>
          <w:sz w:val="28"/>
          <w:szCs w:val="28"/>
        </w:rPr>
        <w:t>).</w:t>
      </w:r>
    </w:p>
    <w:p w:rsidR="00135D8C" w:rsidRPr="00D93140" w:rsidRDefault="00D93140" w:rsidP="00E04174">
      <w:pPr>
        <w:rPr>
          <w:rFonts w:ascii="Times New Roman" w:hAnsi="Times New Roman"/>
          <w:sz w:val="28"/>
          <w:szCs w:val="28"/>
        </w:rPr>
      </w:pPr>
    </w:p>
    <w:p w:rsidR="00EE44CB" w:rsidRPr="00D93140" w:rsidRDefault="00D93140" w:rsidP="00E04174">
      <w:pPr>
        <w:autoSpaceDE w:val="0"/>
        <w:autoSpaceDN w:val="0"/>
        <w:jc w:val="both"/>
        <w:rPr>
          <w:rFonts w:ascii="Times New Roman" w:hAnsi="Times New Roman"/>
          <w:sz w:val="28"/>
          <w:szCs w:val="28"/>
          <w:lang w:val="es-ES" w:eastAsia="es-ES"/>
        </w:rPr>
      </w:pPr>
      <w:r w:rsidRPr="00D93140">
        <w:rPr>
          <w:rFonts w:ascii="Times New Roman" w:hAnsi="Times New Roman"/>
          <w:sz w:val="28"/>
          <w:szCs w:val="28"/>
          <w:lang w:val="es-ES" w:eastAsia="es-ES"/>
        </w:rPr>
        <w:t>La Sala Plena de la Corte Constitucional, en ejercicio de sus atribuciones constitucionales y legales, en especial, de las previstas en el artículo 241 de la Const</w:t>
      </w:r>
      <w:r w:rsidRPr="00D93140">
        <w:rPr>
          <w:rFonts w:ascii="Times New Roman" w:hAnsi="Times New Roman"/>
          <w:sz w:val="28"/>
          <w:szCs w:val="28"/>
          <w:lang w:val="es-ES" w:eastAsia="es-ES"/>
        </w:rPr>
        <w:t>itución Política, y cumplidos todos los trámites y requisitos establecidos en el Decreto Ley 2067 de 1991, ha proferido la siguiente,</w:t>
      </w:r>
    </w:p>
    <w:p w:rsidR="00EE44CB" w:rsidRPr="00D93140" w:rsidRDefault="00D93140" w:rsidP="00E04174">
      <w:pPr>
        <w:jc w:val="both"/>
        <w:rPr>
          <w:rFonts w:ascii="Times New Roman" w:hAnsi="Times New Roman"/>
          <w:b/>
          <w:bCs/>
          <w:sz w:val="28"/>
          <w:szCs w:val="28"/>
          <w:lang w:val="es-ES"/>
        </w:rPr>
      </w:pPr>
    </w:p>
    <w:p w:rsidR="00442A1D" w:rsidRPr="00D93140" w:rsidRDefault="00D93140" w:rsidP="00E04174">
      <w:pPr>
        <w:jc w:val="center"/>
        <w:rPr>
          <w:rFonts w:ascii="Times New Roman" w:hAnsi="Times New Roman"/>
          <w:b/>
          <w:bCs/>
          <w:sz w:val="28"/>
          <w:szCs w:val="28"/>
          <w:lang w:val="es-ES"/>
        </w:rPr>
      </w:pPr>
      <w:r w:rsidRPr="00D93140">
        <w:rPr>
          <w:rFonts w:ascii="Times New Roman" w:hAnsi="Times New Roman"/>
          <w:b/>
          <w:bCs/>
          <w:sz w:val="28"/>
          <w:szCs w:val="28"/>
          <w:lang w:val="es-ES"/>
        </w:rPr>
        <w:t>SENTENCIA</w:t>
      </w:r>
    </w:p>
    <w:p w:rsidR="00442A1D" w:rsidRPr="00D93140" w:rsidRDefault="00D93140" w:rsidP="00E04174">
      <w:pPr>
        <w:jc w:val="center"/>
        <w:rPr>
          <w:rFonts w:ascii="Times New Roman" w:hAnsi="Times New Roman"/>
          <w:b/>
          <w:bCs/>
          <w:sz w:val="28"/>
          <w:szCs w:val="28"/>
          <w:lang w:val="es-ES"/>
        </w:rPr>
      </w:pPr>
    </w:p>
    <w:p w:rsidR="00EE44CB" w:rsidRPr="00D93140" w:rsidRDefault="00D93140" w:rsidP="007E084C">
      <w:pPr>
        <w:pStyle w:val="Ttulo1"/>
        <w:rPr>
          <w:rFonts w:ascii="Times New Roman" w:hAnsi="Times New Roman"/>
          <w:sz w:val="28"/>
          <w:lang w:val="es-ES"/>
        </w:rPr>
      </w:pPr>
      <w:bookmarkStart w:id="2" w:name="_Toc215735420"/>
      <w:r w:rsidRPr="00D93140">
        <w:rPr>
          <w:rFonts w:ascii="Times New Roman" w:hAnsi="Times New Roman"/>
          <w:sz w:val="28"/>
          <w:lang w:val="es-ES"/>
        </w:rPr>
        <w:t>Síntesis de la decisión</w:t>
      </w:r>
      <w:bookmarkEnd w:id="2"/>
    </w:p>
    <w:p w:rsidR="00EE44CB" w:rsidRPr="00D93140" w:rsidRDefault="00D93140" w:rsidP="00E04174">
      <w:pPr>
        <w:jc w:val="both"/>
        <w:rPr>
          <w:rFonts w:ascii="Times New Roman" w:hAnsi="Times New Roman"/>
          <w:sz w:val="28"/>
          <w:szCs w:val="28"/>
        </w:rPr>
      </w:pPr>
    </w:p>
    <w:p w:rsidR="006C1F47" w:rsidRPr="00D93140" w:rsidRDefault="00D93140" w:rsidP="006C1F47">
      <w:pPr>
        <w:jc w:val="both"/>
        <w:rPr>
          <w:rFonts w:ascii="Times New Roman" w:hAnsi="Times New Roman"/>
          <w:sz w:val="28"/>
          <w:szCs w:val="28"/>
        </w:rPr>
      </w:pPr>
      <w:r w:rsidRPr="00D93140">
        <w:rPr>
          <w:rFonts w:ascii="Times New Roman" w:hAnsi="Times New Roman"/>
          <w:sz w:val="28"/>
          <w:szCs w:val="28"/>
        </w:rPr>
        <w:t xml:space="preserve">Los ciudadanos Carlos Libardo Bernal Pulido (D-16345) y Guillermo Otálora Lozano (D-16396) demandaron </w:t>
      </w:r>
      <w:r w:rsidRPr="00D93140">
        <w:rPr>
          <w:rFonts w:ascii="Times New Roman" w:hAnsi="Times New Roman"/>
          <w:sz w:val="28"/>
          <w:szCs w:val="28"/>
        </w:rPr>
        <w:t>el Decreto 1275 de 2024 “por el cual se establecen las normas requeridas para el funcionamiento de los territorios indígenas en materia ambiental y el des</w:t>
      </w:r>
      <w:r w:rsidRPr="00D93140">
        <w:rPr>
          <w:rFonts w:ascii="Times New Roman" w:hAnsi="Times New Roman"/>
          <w:sz w:val="28"/>
          <w:szCs w:val="28"/>
        </w:rPr>
        <w:t>arrollo de las competencias ambientales de las autoridades indígenas y su coordinación efectiva con las demás autoridades y/o entidades” por considerar que el mismo desconoce los artículos 1, 2, 6, 11, 12, 29, 78, 79, 80, 93, 121, 123, 150.7, 151, 152, 210</w:t>
      </w:r>
      <w:r w:rsidRPr="00D93140">
        <w:rPr>
          <w:rFonts w:ascii="Times New Roman" w:hAnsi="Times New Roman"/>
          <w:sz w:val="28"/>
          <w:szCs w:val="28"/>
        </w:rPr>
        <w:t xml:space="preserve">, 229, 246, 288, 325, 330, 331, 334 y 56 transitorio de la </w:t>
      </w:r>
      <w:r w:rsidRPr="00D93140">
        <w:rPr>
          <w:rFonts w:ascii="Times New Roman" w:hAnsi="Times New Roman"/>
          <w:sz w:val="28"/>
          <w:szCs w:val="28"/>
        </w:rPr>
        <w:t>Constitución.</w:t>
      </w:r>
    </w:p>
    <w:p w:rsidR="00F72DB1" w:rsidRPr="00D93140" w:rsidRDefault="00D93140" w:rsidP="00F72DB1">
      <w:pPr>
        <w:pStyle w:val="Prrafodelista"/>
        <w:ind w:left="0"/>
        <w:jc w:val="both"/>
        <w:rPr>
          <w:rFonts w:ascii="Times New Roman" w:hAnsi="Times New Roman"/>
          <w:sz w:val="28"/>
          <w:szCs w:val="28"/>
        </w:rPr>
      </w:pPr>
    </w:p>
    <w:p w:rsidR="0036681B" w:rsidRPr="00D93140" w:rsidRDefault="00D93140" w:rsidP="005C0047">
      <w:pPr>
        <w:jc w:val="both"/>
        <w:rPr>
          <w:rFonts w:ascii="Times New Roman" w:hAnsi="Times New Roman"/>
          <w:sz w:val="28"/>
          <w:szCs w:val="28"/>
        </w:rPr>
      </w:pPr>
      <w:r w:rsidRPr="00D93140">
        <w:rPr>
          <w:rFonts w:ascii="Times New Roman" w:hAnsi="Times New Roman"/>
          <w:color w:val="000000"/>
          <w:sz w:val="28"/>
          <w:szCs w:val="28"/>
        </w:rPr>
        <w:t>Como cuestión previa, sin perjuicio de lo decidido por el magistrado sustanciador al admitir la demanda, para efectos de adoptar una decisión de mérito, la Sala Plena analizó la apti</w:t>
      </w:r>
      <w:r w:rsidRPr="00D93140">
        <w:rPr>
          <w:rFonts w:ascii="Times New Roman" w:hAnsi="Times New Roman"/>
          <w:color w:val="000000"/>
          <w:sz w:val="28"/>
          <w:szCs w:val="28"/>
        </w:rPr>
        <w:t>tud sustancial de los once cargos admitidos y concluyó que solo c</w:t>
      </w:r>
      <w:r w:rsidRPr="00D93140">
        <w:rPr>
          <w:rFonts w:ascii="Times New Roman" w:hAnsi="Times New Roman"/>
          <w:color w:val="000000"/>
          <w:sz w:val="28"/>
          <w:szCs w:val="28"/>
        </w:rPr>
        <w:t>uatro</w:t>
      </w:r>
      <w:r w:rsidRPr="00D93140">
        <w:rPr>
          <w:rFonts w:ascii="Times New Roman" w:hAnsi="Times New Roman"/>
          <w:color w:val="000000"/>
          <w:sz w:val="28"/>
          <w:szCs w:val="28"/>
        </w:rPr>
        <w:t xml:space="preserve"> de ellos cumplían con los requisitos exigidos para adoptar una decisión de mérito</w:t>
      </w:r>
      <w:r w:rsidRPr="00D93140">
        <w:rPr>
          <w:rFonts w:ascii="Times New Roman" w:hAnsi="Times New Roman"/>
          <w:color w:val="000000"/>
          <w:sz w:val="28"/>
          <w:szCs w:val="28"/>
        </w:rPr>
        <w:t xml:space="preserve">: (i) </w:t>
      </w:r>
      <w:r w:rsidRPr="00D93140">
        <w:rPr>
          <w:rFonts w:ascii="Times New Roman" w:hAnsi="Times New Roman"/>
          <w:iCs/>
          <w:sz w:val="28"/>
          <w:szCs w:val="28"/>
        </w:rPr>
        <w:t>vulneración del artículo 1 de la Constitución al modificar la definición del interés general; (ii)</w:t>
      </w:r>
      <w:r w:rsidRPr="00D93140">
        <w:rPr>
          <w:rFonts w:ascii="Times New Roman" w:hAnsi="Times New Roman"/>
          <w:iCs/>
          <w:sz w:val="28"/>
          <w:szCs w:val="28"/>
        </w:rPr>
        <w:t xml:space="preserve"> vulneración del artículo 29 de la Constitución al desconocer el debido proceso de terceros que no hacen parte de las comunidades indígenas; (i</w:t>
      </w:r>
      <w:r w:rsidRPr="00D93140">
        <w:rPr>
          <w:rFonts w:ascii="Times New Roman" w:hAnsi="Times New Roman"/>
          <w:iCs/>
          <w:sz w:val="28"/>
          <w:szCs w:val="28"/>
        </w:rPr>
        <w:t>ii</w:t>
      </w:r>
      <w:r w:rsidRPr="00D93140">
        <w:rPr>
          <w:rFonts w:ascii="Times New Roman" w:hAnsi="Times New Roman"/>
          <w:iCs/>
          <w:sz w:val="28"/>
          <w:szCs w:val="28"/>
        </w:rPr>
        <w:t xml:space="preserve">) </w:t>
      </w:r>
      <w:r w:rsidRPr="00D93140">
        <w:rPr>
          <w:rFonts w:ascii="Times New Roman" w:hAnsi="Times New Roman"/>
          <w:sz w:val="28"/>
          <w:szCs w:val="28"/>
        </w:rPr>
        <w:t>vulneración de los artículos 150.7, 325 y 331 de la Constitución Política, por desconocimiento del régimen de</w:t>
      </w:r>
      <w:r w:rsidRPr="00D93140">
        <w:rPr>
          <w:rFonts w:ascii="Times New Roman" w:hAnsi="Times New Roman"/>
          <w:sz w:val="28"/>
          <w:szCs w:val="28"/>
        </w:rPr>
        <w:t xml:space="preserve"> autonomía de las Corporaciones Autónomas Regionales y (</w:t>
      </w:r>
      <w:r w:rsidRPr="00D93140">
        <w:rPr>
          <w:rFonts w:ascii="Times New Roman" w:hAnsi="Times New Roman"/>
          <w:sz w:val="28"/>
          <w:szCs w:val="28"/>
        </w:rPr>
        <w:t>i</w:t>
      </w:r>
      <w:r w:rsidRPr="00D93140">
        <w:rPr>
          <w:rFonts w:ascii="Times New Roman" w:hAnsi="Times New Roman"/>
          <w:sz w:val="28"/>
          <w:szCs w:val="28"/>
        </w:rPr>
        <w:t>v) v</w:t>
      </w:r>
      <w:r w:rsidRPr="00D93140">
        <w:rPr>
          <w:rFonts w:ascii="Times New Roman" w:hAnsi="Times New Roman"/>
          <w:sz w:val="28"/>
          <w:szCs w:val="28"/>
        </w:rPr>
        <w:t>ulneración del artículo 229 de la Constitución por desconocer el derecho de acceso a la justicia de personas ajenas a las comunidades indígenas</w:t>
      </w:r>
      <w:r w:rsidRPr="00D93140">
        <w:rPr>
          <w:rFonts w:ascii="Times New Roman" w:hAnsi="Times New Roman"/>
          <w:color w:val="000000"/>
          <w:sz w:val="28"/>
          <w:szCs w:val="28"/>
        </w:rPr>
        <w:t xml:space="preserve">. En consecuencia, la Corte </w:t>
      </w:r>
      <w:r w:rsidRPr="00D93140">
        <w:rPr>
          <w:rFonts w:ascii="Times New Roman" w:hAnsi="Times New Roman"/>
          <w:color w:val="000000"/>
          <w:sz w:val="28"/>
          <w:szCs w:val="28"/>
        </w:rPr>
        <w:t xml:space="preserve">planteó los problemas jurídicos derivados de los citados cargos y </w:t>
      </w:r>
      <w:r w:rsidRPr="00D93140">
        <w:rPr>
          <w:rFonts w:ascii="Times New Roman" w:hAnsi="Times New Roman"/>
          <w:color w:val="000000"/>
          <w:sz w:val="28"/>
          <w:szCs w:val="28"/>
        </w:rPr>
        <w:t>adoptó una decisión inhibitoria</w:t>
      </w:r>
      <w:r w:rsidRPr="00D93140">
        <w:rPr>
          <w:rFonts w:ascii="Times New Roman" w:hAnsi="Times New Roman"/>
          <w:color w:val="000000"/>
          <w:sz w:val="28"/>
          <w:szCs w:val="28"/>
        </w:rPr>
        <w:t xml:space="preserve"> respecto de los que no cumplían con las exigencias señaladas en la jurisprudencia.</w:t>
      </w:r>
    </w:p>
    <w:p w:rsidR="009D77F9" w:rsidRPr="00D93140" w:rsidRDefault="00D93140" w:rsidP="005C0047">
      <w:pPr>
        <w:jc w:val="both"/>
        <w:rPr>
          <w:rFonts w:ascii="Times New Roman" w:hAnsi="Times New Roman"/>
          <w:sz w:val="28"/>
          <w:szCs w:val="28"/>
        </w:rPr>
      </w:pPr>
    </w:p>
    <w:p w:rsidR="0045424D" w:rsidRPr="00D93140" w:rsidRDefault="00D93140" w:rsidP="00A1175B">
      <w:pPr>
        <w:pStyle w:val="Prrafodelista"/>
        <w:tabs>
          <w:tab w:val="left" w:pos="360"/>
        </w:tabs>
        <w:ind w:left="0"/>
        <w:jc w:val="both"/>
        <w:rPr>
          <w:rFonts w:ascii="Times New Roman" w:hAnsi="Times New Roman"/>
          <w:sz w:val="28"/>
          <w:szCs w:val="28"/>
        </w:rPr>
      </w:pPr>
      <w:r w:rsidRPr="00D93140">
        <w:rPr>
          <w:rFonts w:ascii="Times New Roman" w:hAnsi="Times New Roman"/>
          <w:sz w:val="28"/>
          <w:szCs w:val="28"/>
        </w:rPr>
        <w:t xml:space="preserve">Para resolver </w:t>
      </w:r>
      <w:r w:rsidRPr="00D93140">
        <w:rPr>
          <w:rFonts w:ascii="Times New Roman" w:hAnsi="Times New Roman"/>
          <w:sz w:val="28"/>
          <w:szCs w:val="28"/>
        </w:rPr>
        <w:t>los problemas jurídicos planteados</w:t>
      </w:r>
      <w:r w:rsidRPr="00D93140">
        <w:rPr>
          <w:rFonts w:ascii="Times New Roman" w:hAnsi="Times New Roman"/>
          <w:sz w:val="28"/>
          <w:szCs w:val="28"/>
        </w:rPr>
        <w:t xml:space="preserve">, la Sala Plena </w:t>
      </w:r>
      <w:r w:rsidRPr="00D93140">
        <w:rPr>
          <w:rFonts w:ascii="Times New Roman" w:hAnsi="Times New Roman"/>
          <w:sz w:val="28"/>
          <w:szCs w:val="28"/>
        </w:rPr>
        <w:t xml:space="preserve">reiteró la jurisprudencia relacionada con </w:t>
      </w:r>
      <w:r w:rsidRPr="00D93140">
        <w:rPr>
          <w:rFonts w:ascii="Times New Roman" w:hAnsi="Times New Roman"/>
          <w:i/>
          <w:iCs/>
          <w:sz w:val="28"/>
          <w:szCs w:val="28"/>
        </w:rPr>
        <w:t xml:space="preserve">(i) </w:t>
      </w:r>
      <w:r w:rsidRPr="00D93140">
        <w:rPr>
          <w:rFonts w:ascii="Times New Roman" w:hAnsi="Times New Roman"/>
          <w:bCs/>
          <w:iCs/>
          <w:sz w:val="28"/>
          <w:szCs w:val="28"/>
        </w:rPr>
        <w:t xml:space="preserve">el </w:t>
      </w:r>
      <w:r w:rsidRPr="00D93140">
        <w:rPr>
          <w:rFonts w:ascii="Times New Roman" w:hAnsi="Times New Roman"/>
          <w:bCs/>
          <w:iCs/>
          <w:sz w:val="28"/>
          <w:szCs w:val="28"/>
          <w:lang w:val="es-ES"/>
        </w:rPr>
        <w:t>reconocimiento y la protección de la diversidad étnica y cultural de las comunidades</w:t>
      </w:r>
      <w:r w:rsidRPr="00D93140">
        <w:rPr>
          <w:rFonts w:ascii="Times New Roman" w:hAnsi="Times New Roman"/>
          <w:bCs/>
          <w:iCs/>
          <w:sz w:val="28"/>
          <w:szCs w:val="28"/>
        </w:rPr>
        <w:t xml:space="preserve"> indígenas</w:t>
      </w:r>
      <w:r w:rsidRPr="00D93140">
        <w:rPr>
          <w:rFonts w:ascii="Times New Roman" w:hAnsi="Times New Roman"/>
          <w:iCs/>
          <w:sz w:val="28"/>
          <w:szCs w:val="28"/>
        </w:rPr>
        <w:t xml:space="preserve"> </w:t>
      </w:r>
      <w:r w:rsidRPr="00D93140">
        <w:rPr>
          <w:rFonts w:ascii="Times New Roman" w:hAnsi="Times New Roman"/>
          <w:bCs/>
          <w:iCs/>
          <w:sz w:val="28"/>
          <w:szCs w:val="28"/>
          <w:lang w:val="es-ES"/>
        </w:rPr>
        <w:t xml:space="preserve">y su derecho a la autonomía y libre determinación </w:t>
      </w:r>
      <w:r w:rsidRPr="00D93140">
        <w:rPr>
          <w:rFonts w:ascii="Times New Roman" w:hAnsi="Times New Roman"/>
          <w:iCs/>
          <w:sz w:val="28"/>
          <w:szCs w:val="28"/>
        </w:rPr>
        <w:t>y las prerrogativas que de ellos se derivan, a saber: a) terri</w:t>
      </w:r>
      <w:r w:rsidRPr="00D93140">
        <w:rPr>
          <w:rFonts w:ascii="Times New Roman" w:hAnsi="Times New Roman"/>
          <w:iCs/>
          <w:sz w:val="28"/>
          <w:szCs w:val="28"/>
        </w:rPr>
        <w:t xml:space="preserve">torios indígenas y autonomía territorial; b) </w:t>
      </w:r>
      <w:r w:rsidRPr="00D93140">
        <w:rPr>
          <w:rFonts w:ascii="Times New Roman" w:hAnsi="Times New Roman"/>
          <w:sz w:val="28"/>
          <w:szCs w:val="28"/>
        </w:rPr>
        <w:t>la participación de los pueblos indígenas y la consulta previa; c) la a</w:t>
      </w:r>
      <w:r w:rsidRPr="00D93140">
        <w:rPr>
          <w:rFonts w:ascii="Times New Roman" w:hAnsi="Times New Roman"/>
          <w:iCs/>
          <w:sz w:val="28"/>
          <w:szCs w:val="28"/>
        </w:rPr>
        <w:t>utonomía de los territorios y competencias ambientales de las autoridades indígenas; d) autogobierno y la jurisdicción especial indígena.</w:t>
      </w:r>
      <w:r w:rsidRPr="00D93140">
        <w:rPr>
          <w:rFonts w:ascii="Times New Roman" w:hAnsi="Times New Roman"/>
          <w:sz w:val="28"/>
          <w:szCs w:val="28"/>
        </w:rPr>
        <w:t xml:space="preserve"> </w:t>
      </w:r>
      <w:r w:rsidRPr="00D93140">
        <w:rPr>
          <w:rFonts w:ascii="Times New Roman" w:hAnsi="Times New Roman"/>
          <w:i/>
          <w:iCs/>
          <w:sz w:val="28"/>
          <w:szCs w:val="28"/>
        </w:rPr>
        <w:t>(i</w:t>
      </w:r>
      <w:r w:rsidRPr="00D93140">
        <w:rPr>
          <w:rFonts w:ascii="Times New Roman" w:hAnsi="Times New Roman"/>
          <w:i/>
          <w:iCs/>
          <w:sz w:val="28"/>
          <w:szCs w:val="28"/>
        </w:rPr>
        <w:t xml:space="preserve">i) </w:t>
      </w:r>
      <w:r w:rsidRPr="00D93140">
        <w:rPr>
          <w:rFonts w:ascii="Times New Roman" w:hAnsi="Times New Roman"/>
          <w:iCs/>
          <w:sz w:val="28"/>
          <w:szCs w:val="28"/>
        </w:rPr>
        <w:t>E</w:t>
      </w:r>
      <w:r w:rsidRPr="00D93140">
        <w:rPr>
          <w:rFonts w:ascii="Times New Roman" w:hAnsi="Times New Roman"/>
          <w:sz w:val="28"/>
          <w:szCs w:val="28"/>
        </w:rPr>
        <w:t xml:space="preserve">l concepto de interés general en un Estado pluralista. </w:t>
      </w:r>
      <w:r w:rsidRPr="00D93140">
        <w:rPr>
          <w:rFonts w:ascii="Times New Roman" w:hAnsi="Times New Roman"/>
          <w:i/>
          <w:iCs/>
          <w:sz w:val="28"/>
          <w:szCs w:val="28"/>
        </w:rPr>
        <w:t xml:space="preserve">(iii) </w:t>
      </w:r>
      <w:r w:rsidRPr="00D93140">
        <w:rPr>
          <w:rFonts w:ascii="Times New Roman" w:hAnsi="Times New Roman"/>
          <w:bCs/>
          <w:sz w:val="28"/>
          <w:szCs w:val="28"/>
        </w:rPr>
        <w:t>Las Corporaciones Autónomas Regionales en el ordenamiento constitucional, su naturaleza jurídica, funciones y autonomía</w:t>
      </w:r>
      <w:r w:rsidRPr="00D93140">
        <w:rPr>
          <w:rFonts w:ascii="Times New Roman" w:hAnsi="Times New Roman"/>
          <w:sz w:val="28"/>
          <w:szCs w:val="28"/>
        </w:rPr>
        <w:t xml:space="preserve">. </w:t>
      </w:r>
      <w:r w:rsidRPr="00D93140">
        <w:rPr>
          <w:rFonts w:ascii="Times New Roman" w:hAnsi="Times New Roman"/>
          <w:i/>
          <w:sz w:val="28"/>
          <w:szCs w:val="28"/>
        </w:rPr>
        <w:t>(iv)</w:t>
      </w:r>
      <w:r w:rsidRPr="00D93140">
        <w:rPr>
          <w:rFonts w:ascii="Times New Roman" w:hAnsi="Times New Roman"/>
          <w:sz w:val="28"/>
          <w:szCs w:val="28"/>
        </w:rPr>
        <w:t xml:space="preserve"> </w:t>
      </w:r>
      <w:r w:rsidRPr="00D93140">
        <w:rPr>
          <w:rFonts w:ascii="Times New Roman" w:hAnsi="Times New Roman"/>
          <w:bCs/>
          <w:sz w:val="28"/>
          <w:szCs w:val="28"/>
        </w:rPr>
        <w:t>Derecho administrativo sancionatorio en materia ambiental.</w:t>
      </w:r>
    </w:p>
    <w:p w:rsidR="005C0047" w:rsidRPr="00D93140" w:rsidRDefault="00D93140" w:rsidP="005C0047">
      <w:pPr>
        <w:jc w:val="both"/>
        <w:rPr>
          <w:rFonts w:ascii="Times New Roman" w:hAnsi="Times New Roman"/>
          <w:sz w:val="28"/>
          <w:szCs w:val="28"/>
        </w:rPr>
      </w:pPr>
    </w:p>
    <w:p w:rsidR="00C21537" w:rsidRPr="00D93140" w:rsidRDefault="00D93140" w:rsidP="008B6DC2">
      <w:pPr>
        <w:pStyle w:val="Prrafodelista"/>
        <w:ind w:left="0"/>
        <w:jc w:val="both"/>
        <w:rPr>
          <w:rFonts w:ascii="Times New Roman" w:hAnsi="Times New Roman"/>
          <w:color w:val="2D2D2D"/>
          <w:sz w:val="28"/>
          <w:szCs w:val="28"/>
        </w:rPr>
      </w:pPr>
      <w:r w:rsidRPr="00D93140">
        <w:rPr>
          <w:rFonts w:ascii="Times New Roman" w:hAnsi="Times New Roman"/>
          <w:sz w:val="28"/>
          <w:szCs w:val="28"/>
        </w:rPr>
        <w:t xml:space="preserve">A partir de las consideraciones anteriores, la Sala Plena concluyó </w:t>
      </w:r>
      <w:r w:rsidRPr="00D93140">
        <w:rPr>
          <w:rFonts w:ascii="Times New Roman" w:hAnsi="Times New Roman"/>
          <w:sz w:val="28"/>
          <w:szCs w:val="28"/>
        </w:rPr>
        <w:t>respecto del primer cargo,</w:t>
      </w:r>
      <w:r w:rsidRPr="00D93140">
        <w:rPr>
          <w:rFonts w:ascii="Times New Roman" w:hAnsi="Times New Roman"/>
          <w:sz w:val="28"/>
          <w:szCs w:val="28"/>
          <w:u w:color="000000"/>
          <w:bdr w:val="nil"/>
        </w:rPr>
        <w:t xml:space="preserve"> que </w:t>
      </w:r>
      <w:r w:rsidRPr="00D93140">
        <w:rPr>
          <w:rFonts w:ascii="Times New Roman" w:hAnsi="Times New Roman"/>
          <w:sz w:val="28"/>
          <w:szCs w:val="28"/>
        </w:rPr>
        <w:t>el artículo 2 del decreto no puede leerse en un sentido amplio y descontextualizado, toda vez que no implica de manera arbitraria la prelación de intereses de</w:t>
      </w:r>
      <w:r w:rsidRPr="00D93140">
        <w:rPr>
          <w:rFonts w:ascii="Times New Roman" w:hAnsi="Times New Roman"/>
          <w:sz w:val="28"/>
          <w:szCs w:val="28"/>
        </w:rPr>
        <w:t xml:space="preserve"> una comunidad indígena en particular. Por el contrario, </w:t>
      </w:r>
      <w:r w:rsidRPr="00D93140">
        <w:rPr>
          <w:rFonts w:ascii="Times New Roman" w:hAnsi="Times New Roman"/>
          <w:sz w:val="28"/>
          <w:szCs w:val="28"/>
        </w:rPr>
        <w:t xml:space="preserve">insistió que dicha disposición </w:t>
      </w:r>
      <w:r w:rsidRPr="00D93140">
        <w:rPr>
          <w:rFonts w:ascii="Times New Roman" w:hAnsi="Times New Roman"/>
          <w:sz w:val="28"/>
          <w:szCs w:val="28"/>
        </w:rPr>
        <w:t>persigue la armonización de medidas ambientales con sus conocimientos y prácticas ancestrales en dicha materia y las normas constitucionales de protección del ambiente.</w:t>
      </w:r>
      <w:r w:rsidRPr="00D93140">
        <w:rPr>
          <w:rFonts w:ascii="Times New Roman" w:hAnsi="Times New Roman"/>
          <w:sz w:val="28"/>
          <w:szCs w:val="28"/>
        </w:rPr>
        <w:t xml:space="preserve">  </w:t>
      </w:r>
      <w:r w:rsidRPr="00D93140">
        <w:rPr>
          <w:rFonts w:ascii="Times New Roman" w:hAnsi="Times New Roman"/>
          <w:sz w:val="28"/>
          <w:szCs w:val="28"/>
        </w:rPr>
        <w:t xml:space="preserve">Respecto del </w:t>
      </w:r>
      <w:r w:rsidRPr="00D93140">
        <w:rPr>
          <w:rFonts w:ascii="Times New Roman" w:hAnsi="Times New Roman"/>
          <w:sz w:val="28"/>
          <w:szCs w:val="28"/>
        </w:rPr>
        <w:t>segundo</w:t>
      </w:r>
      <w:r w:rsidRPr="00D93140">
        <w:rPr>
          <w:rFonts w:ascii="Times New Roman" w:hAnsi="Times New Roman"/>
          <w:sz w:val="28"/>
          <w:szCs w:val="28"/>
        </w:rPr>
        <w:t xml:space="preserve"> cargo, indicó </w:t>
      </w:r>
      <w:r w:rsidRPr="00D93140">
        <w:rPr>
          <w:rFonts w:ascii="Times New Roman" w:hAnsi="Times New Roman"/>
          <w:sz w:val="28"/>
          <w:szCs w:val="28"/>
        </w:rPr>
        <w:t xml:space="preserve">que </w:t>
      </w:r>
      <w:r w:rsidRPr="00D93140">
        <w:rPr>
          <w:rFonts w:ascii="Times New Roman" w:hAnsi="Times New Roman"/>
          <w:sz w:val="28"/>
          <w:szCs w:val="28"/>
        </w:rPr>
        <w:t>los demandantes, algunos intervinientes y el Procurador General tenían razón al afirmar que permitir que las autoridades indígenas sancionen a terceros que no hacen parte de su comunidad desconocía el debido proceso</w:t>
      </w:r>
      <w:r w:rsidRPr="00D93140">
        <w:rPr>
          <w:rFonts w:ascii="Times New Roman" w:hAnsi="Times New Roman"/>
          <w:sz w:val="28"/>
          <w:szCs w:val="28"/>
        </w:rPr>
        <w:t xml:space="preserve"> de aquellos. Por lo anterior,</w:t>
      </w:r>
      <w:r w:rsidRPr="00D93140">
        <w:rPr>
          <w:rFonts w:ascii="Times New Roman" w:hAnsi="Times New Roman"/>
          <w:sz w:val="28"/>
          <w:szCs w:val="28"/>
          <w:u w:color="000000"/>
          <w:bdr w:val="nil"/>
        </w:rPr>
        <w:t xml:space="preserve"> para lograr armonizar la disposición cuestionada con el ordenamiento constitucional declaró exequible la expresión “sanciones y” contenida en el numeral 3 del artículo 6 del Decreto 1275 de 2024</w:t>
      </w:r>
      <w:r w:rsidRPr="00D93140">
        <w:rPr>
          <w:rFonts w:ascii="Times New Roman" w:hAnsi="Times New Roman"/>
          <w:sz w:val="28"/>
        </w:rPr>
        <w:t xml:space="preserve"> </w:t>
      </w:r>
      <w:r w:rsidRPr="00D93140">
        <w:rPr>
          <w:rFonts w:ascii="Times New Roman" w:hAnsi="Times New Roman"/>
          <w:sz w:val="28"/>
          <w:szCs w:val="28"/>
          <w:u w:color="000000"/>
          <w:bdr w:val="nil"/>
        </w:rPr>
        <w:t>en el entendido de que: i) las</w:t>
      </w:r>
      <w:r w:rsidRPr="00D93140">
        <w:rPr>
          <w:rFonts w:ascii="Times New Roman" w:hAnsi="Times New Roman"/>
          <w:sz w:val="28"/>
          <w:szCs w:val="28"/>
          <w:u w:color="000000"/>
          <w:bdr w:val="nil"/>
        </w:rPr>
        <w:t xml:space="preserve"> autoridades indígenas no podrán imponer sanciones a personas que no integran sus comunidades y ii) que las autoridades ambientales competentes al proceder a su imposición, previa coordinación con las autoridades indígenas respectivas, deberán regirse por </w:t>
      </w:r>
      <w:r w:rsidRPr="00D93140">
        <w:rPr>
          <w:rFonts w:ascii="Times New Roman" w:hAnsi="Times New Roman"/>
          <w:sz w:val="28"/>
          <w:szCs w:val="28"/>
          <w:u w:color="000000"/>
          <w:bdr w:val="nil"/>
        </w:rPr>
        <w:t>las disposiciones legales que regulan el régimen sancionatorio ambiental.</w:t>
      </w:r>
    </w:p>
    <w:p w:rsidR="00A62D2E" w:rsidRPr="00D93140" w:rsidRDefault="00D93140" w:rsidP="00A62D2E">
      <w:pPr>
        <w:pStyle w:val="Prrafodelista"/>
        <w:ind w:left="0"/>
        <w:jc w:val="both"/>
        <w:rPr>
          <w:rFonts w:ascii="Times New Roman" w:hAnsi="Times New Roman"/>
          <w:sz w:val="28"/>
          <w:szCs w:val="28"/>
          <w:u w:color="000000"/>
          <w:bdr w:val="nil"/>
        </w:rPr>
      </w:pPr>
    </w:p>
    <w:p w:rsidR="00CB5289" w:rsidRPr="00D93140" w:rsidRDefault="00D93140" w:rsidP="00CB5289">
      <w:pPr>
        <w:jc w:val="both"/>
        <w:rPr>
          <w:rFonts w:ascii="Times New Roman" w:hAnsi="Times New Roman"/>
          <w:sz w:val="28"/>
          <w:szCs w:val="28"/>
        </w:rPr>
      </w:pPr>
      <w:r w:rsidRPr="00D93140">
        <w:rPr>
          <w:rFonts w:ascii="Times New Roman" w:hAnsi="Times New Roman"/>
          <w:sz w:val="28"/>
          <w:szCs w:val="28"/>
        </w:rPr>
        <w:t xml:space="preserve">Respecto del </w:t>
      </w:r>
      <w:r w:rsidRPr="00D93140">
        <w:rPr>
          <w:rFonts w:ascii="Times New Roman" w:hAnsi="Times New Roman"/>
          <w:sz w:val="28"/>
          <w:szCs w:val="28"/>
        </w:rPr>
        <w:t>tercer</w:t>
      </w:r>
      <w:r w:rsidRPr="00D93140">
        <w:rPr>
          <w:rFonts w:ascii="Times New Roman" w:hAnsi="Times New Roman"/>
          <w:sz w:val="28"/>
          <w:szCs w:val="28"/>
        </w:rPr>
        <w:t xml:space="preserve"> cargo, </w:t>
      </w:r>
      <w:r w:rsidRPr="00D93140">
        <w:rPr>
          <w:rFonts w:ascii="Times New Roman" w:hAnsi="Times New Roman"/>
          <w:sz w:val="28"/>
          <w:szCs w:val="28"/>
        </w:rPr>
        <w:t xml:space="preserve">la Sala Plena consideró que limitar </w:t>
      </w:r>
      <w:r w:rsidRPr="00D93140">
        <w:rPr>
          <w:rFonts w:ascii="Times New Roman" w:hAnsi="Times New Roman"/>
          <w:sz w:val="28"/>
          <w:szCs w:val="28"/>
        </w:rPr>
        <w:t xml:space="preserve">la activación de los principios de coordinación y concurrencia únicamente a los territorios que “superan” el ámbito del decreto, como plantea el artículo 5 del Decreto, significa que dichos principios no operan dentro de los territorios indígenas, aspecto </w:t>
      </w:r>
      <w:r w:rsidRPr="00D93140">
        <w:rPr>
          <w:rFonts w:ascii="Times New Roman" w:hAnsi="Times New Roman"/>
          <w:sz w:val="28"/>
          <w:szCs w:val="28"/>
        </w:rPr>
        <w:t>que no es compatible con el modelo de gestión ambiental participativa, concurrente y articulada que ha construido el ordenamiento jurídico colombiano</w:t>
      </w:r>
      <w:r w:rsidRPr="00D93140">
        <w:rPr>
          <w:rFonts w:ascii="Times New Roman" w:hAnsi="Times New Roman"/>
          <w:sz w:val="28"/>
          <w:szCs w:val="28"/>
        </w:rPr>
        <w:t xml:space="preserve">. </w:t>
      </w:r>
      <w:r w:rsidRPr="00D93140">
        <w:rPr>
          <w:rFonts w:ascii="Times New Roman" w:hAnsi="Times New Roman"/>
          <w:sz w:val="28"/>
          <w:szCs w:val="28"/>
          <w:lang w:val="es-ES" w:eastAsia="es-MX"/>
        </w:rPr>
        <w:t>En tal virtud y con el fin de garantizar mandato constitucional que prevé que el legislador debe garantiz</w:t>
      </w:r>
      <w:r w:rsidRPr="00D93140">
        <w:rPr>
          <w:rFonts w:ascii="Times New Roman" w:hAnsi="Times New Roman"/>
          <w:sz w:val="28"/>
          <w:szCs w:val="28"/>
          <w:lang w:val="es-ES" w:eastAsia="es-MX"/>
        </w:rPr>
        <w:t>ar que las CAR cuenten con régimen de autonomía en los términos del artículo 150.7 de la Constitución y de fortalecer los principios de complementariedad y coordinación que rigen en materia ambiental, declaró inexequible la expresión “en los casos en los q</w:t>
      </w:r>
      <w:r w:rsidRPr="00D93140">
        <w:rPr>
          <w:rFonts w:ascii="Times New Roman" w:hAnsi="Times New Roman"/>
          <w:sz w:val="28"/>
          <w:szCs w:val="28"/>
          <w:lang w:val="es-ES" w:eastAsia="es-MX"/>
        </w:rPr>
        <w:t>ue se supere el ámbito de aplicación del presente Decreto y concurran competencias ambientales” contenida en el artículo 5 del Decreto 1275 de 2024</w:t>
      </w:r>
      <w:r w:rsidRPr="00D93140">
        <w:rPr>
          <w:rFonts w:ascii="Times New Roman" w:hAnsi="Times New Roman"/>
          <w:sz w:val="28"/>
          <w:szCs w:val="28"/>
        </w:rPr>
        <w:t>.</w:t>
      </w:r>
      <w:r w:rsidRPr="00D93140">
        <w:rPr>
          <w:rFonts w:ascii="Times New Roman" w:hAnsi="Times New Roman"/>
          <w:sz w:val="28"/>
          <w:szCs w:val="28"/>
        </w:rPr>
        <w:t xml:space="preserve"> </w:t>
      </w:r>
    </w:p>
    <w:p w:rsidR="00CB5289" w:rsidRPr="00D93140" w:rsidRDefault="00D93140" w:rsidP="00CB5289">
      <w:pPr>
        <w:jc w:val="both"/>
        <w:rPr>
          <w:rFonts w:ascii="Times New Roman" w:hAnsi="Times New Roman"/>
          <w:sz w:val="28"/>
          <w:szCs w:val="28"/>
        </w:rPr>
      </w:pPr>
    </w:p>
    <w:p w:rsidR="00CB5289" w:rsidRPr="00D93140" w:rsidRDefault="00D93140" w:rsidP="00CB5289">
      <w:pPr>
        <w:jc w:val="both"/>
        <w:rPr>
          <w:rFonts w:ascii="Times New Roman" w:hAnsi="Times New Roman"/>
          <w:sz w:val="28"/>
        </w:rPr>
      </w:pPr>
      <w:r w:rsidRPr="00D93140">
        <w:rPr>
          <w:rFonts w:ascii="Times New Roman" w:hAnsi="Times New Roman"/>
          <w:sz w:val="28"/>
          <w:szCs w:val="28"/>
        </w:rPr>
        <w:t xml:space="preserve">Finalmente, respecto del </w:t>
      </w:r>
      <w:r w:rsidRPr="00D93140">
        <w:rPr>
          <w:rFonts w:ascii="Times New Roman" w:hAnsi="Times New Roman"/>
          <w:sz w:val="28"/>
          <w:szCs w:val="28"/>
        </w:rPr>
        <w:t>cuarto</w:t>
      </w:r>
      <w:r w:rsidRPr="00D93140">
        <w:rPr>
          <w:rFonts w:ascii="Times New Roman" w:hAnsi="Times New Roman"/>
          <w:sz w:val="28"/>
          <w:szCs w:val="28"/>
        </w:rPr>
        <w:t xml:space="preserve"> cargo estimó que los artículos 5 y 6 del Decreto 1275 de 2024 eran exequi</w:t>
      </w:r>
      <w:r w:rsidRPr="00D93140">
        <w:rPr>
          <w:rFonts w:ascii="Times New Roman" w:hAnsi="Times New Roman"/>
          <w:sz w:val="28"/>
          <w:szCs w:val="28"/>
        </w:rPr>
        <w:t>bles</w:t>
      </w:r>
      <w:r w:rsidRPr="00D93140">
        <w:rPr>
          <w:rFonts w:ascii="Times New Roman" w:hAnsi="Times New Roman"/>
          <w:sz w:val="28"/>
          <w:szCs w:val="28"/>
        </w:rPr>
        <w:t xml:space="preserve">, en el entendido de que las personas que no pertenezcan a las comunidades indígenas que resulten afectadas por las decisiones que tomen sus autoridades en materia ambiental podrán acudir a los mecanismos judiciales ordinarios </w:t>
      </w:r>
      <w:r w:rsidRPr="00D93140">
        <w:rPr>
          <w:rFonts w:ascii="Times New Roman" w:hAnsi="Times New Roman"/>
          <w:bCs/>
          <w:color w:val="000000"/>
          <w:sz w:val="28"/>
          <w:szCs w:val="29"/>
        </w:rPr>
        <w:t>para discutir las decisio</w:t>
      </w:r>
      <w:r w:rsidRPr="00D93140">
        <w:rPr>
          <w:rFonts w:ascii="Times New Roman" w:hAnsi="Times New Roman"/>
          <w:bCs/>
          <w:color w:val="000000"/>
          <w:sz w:val="28"/>
          <w:szCs w:val="29"/>
        </w:rPr>
        <w:t>nes que los afecten</w:t>
      </w:r>
      <w:r w:rsidRPr="00D93140">
        <w:rPr>
          <w:rFonts w:ascii="Times New Roman" w:hAnsi="Times New Roman"/>
          <w:sz w:val="28"/>
          <w:szCs w:val="28"/>
        </w:rPr>
        <w:t xml:space="preserve">. Lo anterior por cuanto los citados artículos permiten que las autoridades </w:t>
      </w:r>
      <w:r w:rsidRPr="00D93140">
        <w:rPr>
          <w:rFonts w:ascii="Times New Roman" w:hAnsi="Times New Roman"/>
          <w:sz w:val="28"/>
          <w:szCs w:val="28"/>
        </w:rPr>
        <w:t xml:space="preserve">ambientales </w:t>
      </w:r>
      <w:r w:rsidRPr="00D93140">
        <w:rPr>
          <w:rFonts w:ascii="Times New Roman" w:hAnsi="Times New Roman"/>
          <w:sz w:val="28"/>
          <w:szCs w:val="28"/>
        </w:rPr>
        <w:t>indígenas</w:t>
      </w:r>
      <w:r w:rsidRPr="00D93140">
        <w:rPr>
          <w:rFonts w:ascii="Times New Roman" w:hAnsi="Times New Roman"/>
          <w:sz w:val="28"/>
          <w:szCs w:val="28"/>
        </w:rPr>
        <w:t>, en coordinación con las autoridades ambientales estatales,</w:t>
      </w:r>
      <w:r w:rsidRPr="00D93140">
        <w:rPr>
          <w:rFonts w:ascii="Times New Roman" w:hAnsi="Times New Roman"/>
          <w:sz w:val="28"/>
          <w:szCs w:val="28"/>
        </w:rPr>
        <w:t xml:space="preserve"> tomen decisiones dentro de territorios o espacios en los que no solo habitan mi</w:t>
      </w:r>
      <w:r w:rsidRPr="00D93140">
        <w:rPr>
          <w:rFonts w:ascii="Times New Roman" w:hAnsi="Times New Roman"/>
          <w:sz w:val="28"/>
          <w:szCs w:val="28"/>
        </w:rPr>
        <w:t>embros de la comunidad a la que representan.</w:t>
      </w:r>
    </w:p>
    <w:p w:rsidR="00EE44CB" w:rsidRPr="00D93140" w:rsidRDefault="00D93140" w:rsidP="00E04174">
      <w:pPr>
        <w:ind w:right="40"/>
        <w:jc w:val="both"/>
        <w:rPr>
          <w:rFonts w:ascii="Times New Roman" w:hAnsi="Times New Roman"/>
          <w:sz w:val="28"/>
          <w:szCs w:val="28"/>
        </w:rPr>
      </w:pPr>
    </w:p>
    <w:p w:rsidR="003C3E37" w:rsidRPr="00D93140" w:rsidRDefault="00D93140" w:rsidP="003C3E37">
      <w:pPr>
        <w:pStyle w:val="TtuloTDC"/>
        <w:rPr>
          <w:rFonts w:ascii="Times New Roman" w:hAnsi="Times New Roman"/>
          <w:sz w:val="28"/>
          <w:szCs w:val="28"/>
        </w:rPr>
      </w:pPr>
      <w:r w:rsidRPr="00D93140">
        <w:rPr>
          <w:rFonts w:ascii="Times New Roman" w:hAnsi="Times New Roman"/>
          <w:sz w:val="28"/>
          <w:szCs w:val="28"/>
          <w:lang w:val="es-ES"/>
        </w:rPr>
        <w:t>Tabla de contenido</w:t>
      </w:r>
    </w:p>
    <w:p w:rsidR="00E05D94" w:rsidRPr="00D93140" w:rsidRDefault="00D93140">
      <w:pPr>
        <w:pStyle w:val="TDC1"/>
        <w:tabs>
          <w:tab w:val="right" w:leader="dot" w:pos="8828"/>
        </w:tabs>
        <w:rPr>
          <w:rFonts w:ascii="Times New Roman" w:hAnsi="Times New Roman"/>
          <w:noProof/>
          <w:sz w:val="28"/>
          <w:szCs w:val="28"/>
        </w:rPr>
      </w:pPr>
      <w:r w:rsidRPr="00D93140">
        <w:rPr>
          <w:rFonts w:ascii="Times New Roman" w:hAnsi="Times New Roman"/>
          <w:sz w:val="28"/>
          <w:szCs w:val="28"/>
        </w:rPr>
        <w:fldChar w:fldCharType="begin"/>
      </w:r>
      <w:r w:rsidRPr="00D93140">
        <w:rPr>
          <w:rFonts w:ascii="Times New Roman" w:hAnsi="Times New Roman"/>
          <w:sz w:val="28"/>
          <w:szCs w:val="28"/>
        </w:rPr>
        <w:instrText xml:space="preserve"> TOC \o "1-3" \h \z \u </w:instrText>
      </w:r>
      <w:r w:rsidRPr="00D93140">
        <w:rPr>
          <w:rFonts w:ascii="Times New Roman" w:hAnsi="Times New Roman"/>
          <w:sz w:val="28"/>
          <w:szCs w:val="28"/>
        </w:rPr>
        <w:fldChar w:fldCharType="separate"/>
      </w:r>
      <w:hyperlink w:anchor="_Toc215735420" w:history="1">
        <w:r w:rsidRPr="00D93140">
          <w:rPr>
            <w:rStyle w:val="Hipervnculo"/>
            <w:rFonts w:ascii="Times New Roman" w:hAnsi="Times New Roman"/>
            <w:noProof/>
            <w:sz w:val="28"/>
            <w:szCs w:val="28"/>
            <w:lang w:val="es-ES"/>
          </w:rPr>
          <w:t>Síntesis de la decisión</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_Toc215735420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1</w:t>
        </w:r>
        <w:r w:rsidRPr="00D93140">
          <w:rPr>
            <w:rFonts w:ascii="Times New Roman" w:hAnsi="Times New Roman"/>
            <w:noProof/>
            <w:webHidden/>
            <w:sz w:val="28"/>
            <w:szCs w:val="28"/>
          </w:rPr>
          <w:fldChar w:fldCharType="end"/>
        </w:r>
      </w:hyperlink>
    </w:p>
    <w:p w:rsidR="00E05D94" w:rsidRPr="00D93140" w:rsidRDefault="00D93140">
      <w:pPr>
        <w:pStyle w:val="TDC1"/>
        <w:tabs>
          <w:tab w:val="right" w:leader="dot" w:pos="8828"/>
        </w:tabs>
        <w:rPr>
          <w:rFonts w:ascii="Times New Roman" w:hAnsi="Times New Roman"/>
          <w:noProof/>
          <w:sz w:val="28"/>
          <w:szCs w:val="28"/>
        </w:rPr>
      </w:pPr>
      <w:hyperlink w:anchor="_Toc215735421" w:history="1">
        <w:r w:rsidRPr="00D93140">
          <w:rPr>
            <w:rStyle w:val="Hipervnculo"/>
            <w:rFonts w:ascii="Times New Roman" w:hAnsi="Times New Roman"/>
            <w:noProof/>
            <w:sz w:val="28"/>
            <w:szCs w:val="28"/>
          </w:rPr>
          <w:t>I. ANTECEDENTES</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_Toc215735421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4</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22" w:history="1">
        <w:r w:rsidRPr="00D93140">
          <w:rPr>
            <w:rStyle w:val="Hipervnculo"/>
            <w:rFonts w:ascii="Times New Roman" w:hAnsi="Times New Roman"/>
            <w:b/>
            <w:noProof/>
            <w:sz w:val="28"/>
            <w:szCs w:val="28"/>
          </w:rPr>
          <w:t>A. Texto de la</w:t>
        </w:r>
        <w:r w:rsidRPr="00D93140">
          <w:rPr>
            <w:rStyle w:val="Hipervnculo"/>
            <w:rFonts w:ascii="Times New Roman" w:hAnsi="Times New Roman"/>
            <w:b/>
            <w:noProof/>
            <w:sz w:val="28"/>
            <w:szCs w:val="28"/>
          </w:rPr>
          <w:t xml:space="preserve"> norma acusada</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_Toc215735422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4</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23" w:history="1">
        <w:r w:rsidRPr="00D93140">
          <w:rPr>
            <w:rStyle w:val="Hipervnculo"/>
            <w:rFonts w:ascii="Times New Roman" w:hAnsi="Times New Roman"/>
            <w:b/>
            <w:bCs/>
            <w:noProof/>
            <w:sz w:val="28"/>
            <w:szCs w:val="28"/>
          </w:rPr>
          <w:t xml:space="preserve">B. </w:t>
        </w:r>
        <w:r w:rsidRPr="00D93140">
          <w:rPr>
            <w:rStyle w:val="Hipervnculo"/>
            <w:rFonts w:ascii="Times New Roman" w:hAnsi="Times New Roman"/>
            <w:b/>
            <w:noProof/>
            <w:sz w:val="28"/>
            <w:szCs w:val="28"/>
            <w:lang w:val="es-ES"/>
          </w:rPr>
          <w:t>Trámite procesal</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_Toc215735423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9</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24" w:history="1">
        <w:r w:rsidRPr="00D93140">
          <w:rPr>
            <w:rStyle w:val="Hipervnculo"/>
            <w:rFonts w:ascii="Times New Roman" w:hAnsi="Times New Roman"/>
            <w:b/>
            <w:noProof/>
            <w:sz w:val="28"/>
            <w:szCs w:val="28"/>
          </w:rPr>
          <w:t>C. Cargos admitidos y argumentos de las demandas</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_Toc215735424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10</w:t>
        </w:r>
        <w:r w:rsidRPr="00D93140">
          <w:rPr>
            <w:rFonts w:ascii="Times New Roman" w:hAnsi="Times New Roman"/>
            <w:noProof/>
            <w:webHidden/>
            <w:sz w:val="28"/>
            <w:szCs w:val="28"/>
          </w:rPr>
          <w:fldChar w:fldCharType="end"/>
        </w:r>
      </w:hyperlink>
    </w:p>
    <w:p w:rsidR="00E05D94" w:rsidRPr="00D93140" w:rsidRDefault="00D93140">
      <w:pPr>
        <w:pStyle w:val="TDC3"/>
        <w:rPr>
          <w:rFonts w:ascii="Times New Roman" w:hAnsi="Times New Roman"/>
          <w:noProof/>
          <w:sz w:val="28"/>
          <w:szCs w:val="28"/>
        </w:rPr>
      </w:pPr>
      <w:hyperlink w:anchor="_Toc215735425" w:history="1">
        <w:r w:rsidRPr="00D93140">
          <w:rPr>
            <w:rStyle w:val="Hipervnculo"/>
            <w:rFonts w:ascii="Times New Roman" w:hAnsi="Times New Roman"/>
            <w:noProof/>
            <w:sz w:val="28"/>
            <w:szCs w:val="28"/>
          </w:rPr>
          <w:t>1.2. Expediente D-16396</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_Toc215735425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13</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26" w:history="1">
        <w:r w:rsidRPr="00D93140">
          <w:rPr>
            <w:rStyle w:val="Hipervnculo"/>
            <w:rFonts w:ascii="Times New Roman" w:hAnsi="Times New Roman"/>
            <w:b/>
            <w:noProof/>
            <w:sz w:val="28"/>
            <w:szCs w:val="28"/>
            <w:lang w:val="es-ES"/>
          </w:rPr>
          <w:t>D. P</w:t>
        </w:r>
        <w:r w:rsidRPr="00D93140">
          <w:rPr>
            <w:rStyle w:val="Hipervnculo"/>
            <w:rFonts w:ascii="Times New Roman" w:hAnsi="Times New Roman"/>
            <w:b/>
            <w:noProof/>
            <w:sz w:val="28"/>
            <w:szCs w:val="28"/>
            <w:lang w:val="es-ES"/>
          </w:rPr>
          <w:t>ruebas recaudadas</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_Toc215735426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16</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27" w:history="1">
        <w:r w:rsidRPr="00D93140">
          <w:rPr>
            <w:rStyle w:val="Hipervnculo"/>
            <w:rFonts w:ascii="Times New Roman" w:hAnsi="Times New Roman"/>
            <w:b/>
            <w:noProof/>
            <w:sz w:val="28"/>
            <w:szCs w:val="28"/>
            <w:lang w:val="es-ES"/>
          </w:rPr>
          <w:t>E. Intervenciones y conceptos</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_Toc215735427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17</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28" w:history="1">
        <w:r w:rsidRPr="00D93140">
          <w:rPr>
            <w:rStyle w:val="Hipervnculo"/>
            <w:rFonts w:ascii="Times New Roman" w:hAnsi="Times New Roman"/>
            <w:b/>
            <w:noProof/>
            <w:sz w:val="28"/>
            <w:szCs w:val="28"/>
          </w:rPr>
          <w:t>F. Concepto del Procurador General de la Nación</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_Toc215735428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19</w:t>
        </w:r>
        <w:r w:rsidRPr="00D93140">
          <w:rPr>
            <w:rFonts w:ascii="Times New Roman" w:hAnsi="Times New Roman"/>
            <w:noProof/>
            <w:webHidden/>
            <w:sz w:val="28"/>
            <w:szCs w:val="28"/>
          </w:rPr>
          <w:fldChar w:fldCharType="end"/>
        </w:r>
      </w:hyperlink>
    </w:p>
    <w:p w:rsidR="00E05D94" w:rsidRPr="00D93140" w:rsidRDefault="00D93140">
      <w:pPr>
        <w:pStyle w:val="TDC1"/>
        <w:tabs>
          <w:tab w:val="right" w:leader="dot" w:pos="8828"/>
        </w:tabs>
        <w:rPr>
          <w:rFonts w:ascii="Times New Roman" w:hAnsi="Times New Roman"/>
          <w:noProof/>
          <w:sz w:val="28"/>
          <w:szCs w:val="24"/>
        </w:rPr>
      </w:pPr>
      <w:hyperlink w:anchor="_Toc215735429" w:history="1">
        <w:r w:rsidRPr="00D93140">
          <w:rPr>
            <w:rStyle w:val="Hipervnculo"/>
            <w:rFonts w:ascii="Times New Roman" w:hAnsi="Times New Roman"/>
            <w:bCs/>
            <w:noProof/>
            <w:sz w:val="28"/>
            <w:szCs w:val="28"/>
            <w:u w:color="000000"/>
            <w:bdr w:val="nil"/>
          </w:rPr>
          <w:t>II. CONSIDERACIONES</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_Toc215735429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24</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30" w:history="1">
        <w:r w:rsidRPr="00D93140">
          <w:rPr>
            <w:rStyle w:val="Hipervnculo"/>
            <w:rFonts w:ascii="Times New Roman" w:hAnsi="Times New Roman"/>
            <w:b/>
            <w:noProof/>
            <w:sz w:val="28"/>
            <w:szCs w:val="28"/>
            <w:u w:color="000000"/>
            <w:bdr w:val="nil"/>
          </w:rPr>
          <w:t>A. Competencia</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_Toc215735430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24</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31" w:history="1">
        <w:r w:rsidRPr="00D93140">
          <w:rPr>
            <w:rStyle w:val="Hipervnculo"/>
            <w:rFonts w:ascii="Times New Roman" w:hAnsi="Times New Roman"/>
            <w:b/>
            <w:noProof/>
            <w:sz w:val="28"/>
            <w:szCs w:val="28"/>
          </w:rPr>
          <w:t>B. Solicitud de la audiencia pública</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_Toc215735431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25</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32" w:history="1">
        <w:r w:rsidRPr="00D93140">
          <w:rPr>
            <w:rStyle w:val="Hipervnculo"/>
            <w:rFonts w:ascii="Times New Roman" w:hAnsi="Times New Roman"/>
            <w:b/>
            <w:noProof/>
            <w:sz w:val="28"/>
            <w:szCs w:val="28"/>
            <w:u w:color="000000"/>
            <w:bdr w:val="nil"/>
          </w:rPr>
          <w:t>C. Cuestión previa: aptitud de la demanda</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_Toc215735432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25</w:t>
        </w:r>
        <w:r w:rsidRPr="00D93140">
          <w:rPr>
            <w:rFonts w:ascii="Times New Roman" w:hAnsi="Times New Roman"/>
            <w:noProof/>
            <w:webHidden/>
            <w:sz w:val="28"/>
            <w:szCs w:val="28"/>
          </w:rPr>
          <w:fldChar w:fldCharType="end"/>
        </w:r>
      </w:hyperlink>
    </w:p>
    <w:p w:rsidR="00E05D94" w:rsidRPr="00D93140" w:rsidRDefault="00D93140">
      <w:pPr>
        <w:pStyle w:val="TDC2"/>
        <w:tabs>
          <w:tab w:val="right" w:leader="dot" w:pos="8828"/>
        </w:tabs>
        <w:rPr>
          <w:rFonts w:ascii="Times New Roman" w:hAnsi="Times New Roman"/>
          <w:noProof/>
          <w:sz w:val="28"/>
          <w:szCs w:val="28"/>
        </w:rPr>
      </w:pPr>
      <w:hyperlink w:anchor="_Toc215735433" w:history="1">
        <w:r w:rsidRPr="00D93140">
          <w:rPr>
            <w:rStyle w:val="Hipervnculo"/>
            <w:rFonts w:ascii="Times New Roman" w:hAnsi="Times New Roman"/>
            <w:b/>
            <w:noProof/>
            <w:sz w:val="28"/>
            <w:szCs w:val="28"/>
            <w:lang w:val="es-ES"/>
          </w:rPr>
          <w:t>D. Planteamiento de los problemas jurídicos y metodología de la decisión</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w:instrText>
        </w:r>
        <w:r w:rsidRPr="00D93140">
          <w:rPr>
            <w:rFonts w:ascii="Times New Roman" w:hAnsi="Times New Roman"/>
            <w:noProof/>
            <w:webHidden/>
            <w:sz w:val="28"/>
            <w:szCs w:val="28"/>
          </w:rPr>
          <w:instrText xml:space="preserve">GEREF _Toc215735433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43</w:t>
        </w:r>
        <w:r w:rsidRPr="00D93140">
          <w:rPr>
            <w:rFonts w:ascii="Times New Roman" w:hAnsi="Times New Roman"/>
            <w:noProof/>
            <w:webHidden/>
            <w:sz w:val="28"/>
            <w:szCs w:val="28"/>
          </w:rPr>
          <w:fldChar w:fldCharType="end"/>
        </w:r>
      </w:hyperlink>
    </w:p>
    <w:p w:rsidR="00E05D94" w:rsidRPr="00D93140" w:rsidRDefault="00D93140">
      <w:pPr>
        <w:pStyle w:val="TDC3"/>
        <w:rPr>
          <w:rFonts w:ascii="Times New Roman" w:hAnsi="Times New Roman"/>
          <w:noProof/>
          <w:sz w:val="28"/>
          <w:szCs w:val="28"/>
        </w:rPr>
      </w:pPr>
      <w:hyperlink w:anchor="_Toc215735434" w:history="1">
        <w:r w:rsidRPr="00D93140">
          <w:rPr>
            <w:rStyle w:val="Hipervnculo"/>
            <w:rFonts w:ascii="Times New Roman" w:hAnsi="Times New Roman"/>
            <w:noProof/>
            <w:sz w:val="28"/>
            <w:szCs w:val="28"/>
          </w:rPr>
          <w:t>1. Breve caracterización del</w:t>
        </w:r>
        <w:r w:rsidRPr="00D93140">
          <w:rPr>
            <w:rStyle w:val="Hipervnculo"/>
            <w:rFonts w:ascii="Times New Roman" w:hAnsi="Times New Roman"/>
            <w:iCs/>
            <w:noProof/>
            <w:sz w:val="28"/>
            <w:szCs w:val="28"/>
          </w:rPr>
          <w:t xml:space="preserve"> </w:t>
        </w:r>
        <w:r w:rsidRPr="00D93140">
          <w:rPr>
            <w:rStyle w:val="Hipervnculo"/>
            <w:rFonts w:ascii="Times New Roman" w:hAnsi="Times New Roman"/>
            <w:noProof/>
            <w:sz w:val="28"/>
            <w:szCs w:val="28"/>
            <w:lang w:val="es-ES"/>
          </w:rPr>
          <w:t>reconocimiento y la protección de la diversidad étnica y cultural de las comunidades</w:t>
        </w:r>
        <w:r w:rsidRPr="00D93140">
          <w:rPr>
            <w:rStyle w:val="Hipervnculo"/>
            <w:rFonts w:ascii="Times New Roman" w:hAnsi="Times New Roman"/>
            <w:iCs/>
            <w:noProof/>
            <w:sz w:val="28"/>
            <w:szCs w:val="28"/>
          </w:rPr>
          <w:t xml:space="preserve"> indígenas</w:t>
        </w:r>
        <w:r w:rsidRPr="00D93140">
          <w:rPr>
            <w:rStyle w:val="Hipervnculo"/>
            <w:rFonts w:ascii="Times New Roman" w:hAnsi="Times New Roman"/>
            <w:noProof/>
            <w:sz w:val="28"/>
            <w:szCs w:val="28"/>
            <w:lang w:val="es-ES"/>
          </w:rPr>
          <w:t xml:space="preserve"> y su derecho a la autonomía y libre determinación</w:t>
        </w:r>
        <w:r w:rsidRPr="00D93140">
          <w:rPr>
            <w:rStyle w:val="Hipervnculo"/>
            <w:rFonts w:ascii="Times New Roman" w:hAnsi="Times New Roman"/>
            <w:iCs/>
            <w:noProof/>
            <w:sz w:val="28"/>
            <w:szCs w:val="28"/>
          </w:rPr>
          <w:t>. Reiteración de jurisprudencia</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_Toc215735434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44</w:t>
        </w:r>
        <w:r w:rsidRPr="00D93140">
          <w:rPr>
            <w:rFonts w:ascii="Times New Roman" w:hAnsi="Times New Roman"/>
            <w:noProof/>
            <w:webHidden/>
            <w:sz w:val="28"/>
            <w:szCs w:val="28"/>
          </w:rPr>
          <w:fldChar w:fldCharType="end"/>
        </w:r>
      </w:hyperlink>
    </w:p>
    <w:p w:rsidR="00E05D94" w:rsidRPr="00D93140" w:rsidRDefault="00D93140">
      <w:pPr>
        <w:pStyle w:val="TDC3"/>
        <w:rPr>
          <w:rFonts w:ascii="Times New Roman" w:hAnsi="Times New Roman"/>
          <w:noProof/>
          <w:sz w:val="28"/>
          <w:szCs w:val="28"/>
        </w:rPr>
      </w:pPr>
      <w:hyperlink w:anchor="_Toc215735435" w:history="1">
        <w:r w:rsidRPr="00D93140">
          <w:rPr>
            <w:rStyle w:val="Hipervnculo"/>
            <w:rFonts w:ascii="Times New Roman" w:hAnsi="Times New Roman"/>
            <w:noProof/>
            <w:sz w:val="28"/>
            <w:szCs w:val="28"/>
          </w:rPr>
          <w:t>2. El interés general en un Estado social de</w:t>
        </w:r>
        <w:r w:rsidRPr="00D93140">
          <w:rPr>
            <w:rStyle w:val="Hipervnculo"/>
            <w:rFonts w:ascii="Times New Roman" w:hAnsi="Times New Roman"/>
            <w:noProof/>
            <w:sz w:val="28"/>
            <w:szCs w:val="28"/>
          </w:rPr>
          <w:t xml:space="preserve"> derecho pluralista. Reiteración de jurisprudencia</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_Toc215735435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50</w:t>
        </w:r>
        <w:r w:rsidRPr="00D93140">
          <w:rPr>
            <w:rFonts w:ascii="Times New Roman" w:hAnsi="Times New Roman"/>
            <w:noProof/>
            <w:webHidden/>
            <w:sz w:val="28"/>
            <w:szCs w:val="28"/>
          </w:rPr>
          <w:fldChar w:fldCharType="end"/>
        </w:r>
      </w:hyperlink>
    </w:p>
    <w:p w:rsidR="00E05D94" w:rsidRPr="00D93140" w:rsidRDefault="00D93140">
      <w:pPr>
        <w:pStyle w:val="TDC3"/>
        <w:rPr>
          <w:rFonts w:ascii="Times New Roman" w:hAnsi="Times New Roman"/>
          <w:noProof/>
          <w:sz w:val="28"/>
          <w:szCs w:val="28"/>
        </w:rPr>
      </w:pPr>
      <w:hyperlink w:anchor="_Toc215735436" w:history="1">
        <w:r w:rsidRPr="00D93140">
          <w:rPr>
            <w:rStyle w:val="Hipervnculo"/>
            <w:rFonts w:ascii="Times New Roman" w:hAnsi="Times New Roman"/>
            <w:noProof/>
            <w:sz w:val="28"/>
            <w:szCs w:val="28"/>
          </w:rPr>
          <w:t>3. Las Corporaciones Autónomas Regionales en el ordenamiento constitucional.</w:t>
        </w:r>
        <w:r w:rsidRPr="00D93140">
          <w:rPr>
            <w:rStyle w:val="Hipervnculo"/>
            <w:rFonts w:ascii="Times New Roman" w:hAnsi="Times New Roman"/>
            <w:noProof/>
            <w:sz w:val="28"/>
            <w:szCs w:val="28"/>
          </w:rPr>
          <w:t xml:space="preserve"> Naturaleza jurídica, funciones y autonomía. Reiteración de jurisprudencia</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_Toc215735436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52</w:t>
        </w:r>
        <w:r w:rsidRPr="00D93140">
          <w:rPr>
            <w:rFonts w:ascii="Times New Roman" w:hAnsi="Times New Roman"/>
            <w:noProof/>
            <w:webHidden/>
            <w:sz w:val="28"/>
            <w:szCs w:val="28"/>
          </w:rPr>
          <w:fldChar w:fldCharType="end"/>
        </w:r>
      </w:hyperlink>
    </w:p>
    <w:p w:rsidR="00E05D94" w:rsidRPr="00D93140" w:rsidRDefault="00D93140">
      <w:pPr>
        <w:pStyle w:val="TDC3"/>
        <w:rPr>
          <w:rFonts w:ascii="Times New Roman" w:hAnsi="Times New Roman"/>
          <w:noProof/>
          <w:sz w:val="28"/>
          <w:szCs w:val="28"/>
        </w:rPr>
      </w:pPr>
      <w:hyperlink w:anchor="_Toc215735437" w:history="1">
        <w:r w:rsidRPr="00D93140">
          <w:rPr>
            <w:rStyle w:val="Hipervnculo"/>
            <w:rFonts w:ascii="Times New Roman" w:hAnsi="Times New Roman"/>
            <w:noProof/>
            <w:sz w:val="28"/>
            <w:szCs w:val="28"/>
          </w:rPr>
          <w:t xml:space="preserve">4. Derecho administrativo sancionatorio en materia </w:t>
        </w:r>
        <w:r w:rsidRPr="00D93140">
          <w:rPr>
            <w:rStyle w:val="Hipervnculo"/>
            <w:rFonts w:ascii="Times New Roman" w:hAnsi="Times New Roman"/>
            <w:noProof/>
            <w:sz w:val="28"/>
            <w:szCs w:val="28"/>
          </w:rPr>
          <w:t>ambiental.</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_Toc215735437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55</w:t>
        </w:r>
        <w:r w:rsidRPr="00D93140">
          <w:rPr>
            <w:rFonts w:ascii="Times New Roman" w:hAnsi="Times New Roman"/>
            <w:noProof/>
            <w:webHidden/>
            <w:sz w:val="28"/>
            <w:szCs w:val="28"/>
          </w:rPr>
          <w:fldChar w:fldCharType="end"/>
        </w:r>
      </w:hyperlink>
    </w:p>
    <w:p w:rsidR="00E05D94" w:rsidRPr="00D93140" w:rsidRDefault="00D93140">
      <w:pPr>
        <w:pStyle w:val="TDC3"/>
        <w:rPr>
          <w:rFonts w:ascii="Times New Roman" w:hAnsi="Times New Roman"/>
          <w:noProof/>
          <w:sz w:val="28"/>
          <w:szCs w:val="28"/>
        </w:rPr>
      </w:pPr>
      <w:hyperlink w:anchor="_Toc215735438" w:history="1">
        <w:r w:rsidRPr="00D93140">
          <w:rPr>
            <w:rStyle w:val="Hipervnculo"/>
            <w:rFonts w:ascii="Times New Roman" w:hAnsi="Times New Roman"/>
            <w:noProof/>
            <w:sz w:val="28"/>
            <w:szCs w:val="28"/>
          </w:rPr>
          <w:t>5. A</w:t>
        </w:r>
        <w:r w:rsidRPr="00D93140">
          <w:rPr>
            <w:rStyle w:val="Hipervnculo"/>
            <w:rFonts w:ascii="Times New Roman" w:hAnsi="Times New Roman"/>
            <w:noProof/>
            <w:sz w:val="28"/>
            <w:szCs w:val="28"/>
          </w:rPr>
          <w:t>nálisis de los problemas jurídicos</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_Toc215735438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58</w:t>
        </w:r>
        <w:r w:rsidRPr="00D93140">
          <w:rPr>
            <w:rFonts w:ascii="Times New Roman" w:hAnsi="Times New Roman"/>
            <w:noProof/>
            <w:webHidden/>
            <w:sz w:val="28"/>
            <w:szCs w:val="28"/>
          </w:rPr>
          <w:fldChar w:fldCharType="end"/>
        </w:r>
      </w:hyperlink>
    </w:p>
    <w:p w:rsidR="00E05D94" w:rsidRPr="00D93140" w:rsidRDefault="00D93140">
      <w:pPr>
        <w:pStyle w:val="TDC1"/>
        <w:tabs>
          <w:tab w:val="right" w:leader="dot" w:pos="8828"/>
        </w:tabs>
        <w:rPr>
          <w:rFonts w:ascii="Times New Roman" w:hAnsi="Times New Roman"/>
          <w:noProof/>
          <w:sz w:val="28"/>
          <w:szCs w:val="28"/>
        </w:rPr>
      </w:pPr>
      <w:hyperlink w:anchor="_Toc215735439" w:history="1">
        <w:r w:rsidRPr="00D93140">
          <w:rPr>
            <w:rStyle w:val="Hipervnculo"/>
            <w:rFonts w:ascii="Times New Roman" w:hAnsi="Times New Roman"/>
            <w:noProof/>
            <w:sz w:val="28"/>
            <w:szCs w:val="28"/>
          </w:rPr>
          <w:t>RESUELVE</w:t>
        </w:r>
        <w:r w:rsidRPr="00D93140">
          <w:rPr>
            <w:rFonts w:ascii="Times New Roman" w:hAnsi="Times New Roman"/>
            <w:noProof/>
            <w:webHidden/>
            <w:sz w:val="28"/>
            <w:szCs w:val="28"/>
          </w:rPr>
          <w:tab/>
        </w:r>
        <w:r w:rsidRPr="00D93140">
          <w:rPr>
            <w:rFonts w:ascii="Times New Roman" w:hAnsi="Times New Roman"/>
            <w:noProof/>
            <w:webHidden/>
            <w:sz w:val="28"/>
            <w:szCs w:val="28"/>
          </w:rPr>
          <w:fldChar w:fldCharType="begin"/>
        </w:r>
        <w:r w:rsidRPr="00D93140">
          <w:rPr>
            <w:rFonts w:ascii="Times New Roman" w:hAnsi="Times New Roman"/>
            <w:noProof/>
            <w:webHidden/>
            <w:sz w:val="28"/>
            <w:szCs w:val="28"/>
          </w:rPr>
          <w:instrText xml:space="preserve"> PAGEREF _Toc215735439 \h </w:instrText>
        </w:r>
        <w:r w:rsidRPr="00D93140">
          <w:rPr>
            <w:rFonts w:ascii="Times New Roman" w:hAnsi="Times New Roman"/>
            <w:noProof/>
            <w:webHidden/>
            <w:sz w:val="28"/>
            <w:szCs w:val="28"/>
          </w:rPr>
        </w:r>
        <w:r w:rsidRPr="00D93140">
          <w:rPr>
            <w:rFonts w:ascii="Times New Roman" w:hAnsi="Times New Roman"/>
            <w:noProof/>
            <w:webHidden/>
            <w:sz w:val="28"/>
            <w:szCs w:val="28"/>
          </w:rPr>
          <w:fldChar w:fldCharType="separate"/>
        </w:r>
        <w:r w:rsidRPr="00D93140">
          <w:rPr>
            <w:rFonts w:ascii="Times New Roman" w:hAnsi="Times New Roman"/>
            <w:noProof/>
            <w:webHidden/>
            <w:sz w:val="28"/>
            <w:szCs w:val="28"/>
          </w:rPr>
          <w:t>66</w:t>
        </w:r>
        <w:r w:rsidRPr="00D93140">
          <w:rPr>
            <w:rFonts w:ascii="Times New Roman" w:hAnsi="Times New Roman"/>
            <w:noProof/>
            <w:webHidden/>
            <w:sz w:val="28"/>
            <w:szCs w:val="28"/>
          </w:rPr>
          <w:fldChar w:fldCharType="end"/>
        </w:r>
      </w:hyperlink>
    </w:p>
    <w:p w:rsidR="003C3E37" w:rsidRPr="00D93140" w:rsidRDefault="00D93140" w:rsidP="003C3E37">
      <w:pPr>
        <w:outlineLvl w:val="0"/>
        <w:rPr>
          <w:rFonts w:ascii="Times New Roman" w:hAnsi="Times New Roman"/>
          <w:sz w:val="28"/>
        </w:rPr>
      </w:pPr>
      <w:r w:rsidRPr="00D93140">
        <w:rPr>
          <w:rFonts w:ascii="Times New Roman" w:hAnsi="Times New Roman"/>
          <w:b/>
          <w:bCs/>
          <w:sz w:val="28"/>
          <w:szCs w:val="28"/>
          <w:lang w:val="es-ES"/>
        </w:rPr>
        <w:fldChar w:fldCharType="end"/>
      </w:r>
    </w:p>
    <w:p w:rsidR="00135D8C" w:rsidRPr="00D93140" w:rsidRDefault="00D93140" w:rsidP="003C3E37">
      <w:pPr>
        <w:pStyle w:val="Ttulo1"/>
        <w:rPr>
          <w:rFonts w:ascii="Times New Roman" w:hAnsi="Times New Roman"/>
          <w:sz w:val="28"/>
        </w:rPr>
      </w:pPr>
      <w:bookmarkStart w:id="3" w:name="_Toc215735421"/>
      <w:r w:rsidRPr="00D93140">
        <w:rPr>
          <w:rFonts w:ascii="Times New Roman" w:hAnsi="Times New Roman"/>
          <w:sz w:val="28"/>
        </w:rPr>
        <w:t>I. ANTECEDENTES</w:t>
      </w:r>
      <w:bookmarkEnd w:id="3"/>
    </w:p>
    <w:p w:rsidR="00135D8C" w:rsidRPr="00D93140" w:rsidRDefault="00D93140" w:rsidP="00E04174">
      <w:pPr>
        <w:rPr>
          <w:rFonts w:ascii="Times New Roman" w:hAnsi="Times New Roman"/>
          <w:sz w:val="28"/>
          <w:szCs w:val="28"/>
        </w:rPr>
      </w:pPr>
    </w:p>
    <w:p w:rsidR="00FF2960"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En </w:t>
      </w:r>
      <w:r w:rsidRPr="00D93140">
        <w:rPr>
          <w:rFonts w:ascii="Times New Roman" w:hAnsi="Times New Roman"/>
          <w:sz w:val="28"/>
          <w:szCs w:val="28"/>
        </w:rPr>
        <w:t xml:space="preserve">ejercicio de la acción pública de inconstitucionalidad, de forma separada, </w:t>
      </w:r>
      <w:r w:rsidRPr="00D93140">
        <w:rPr>
          <w:rFonts w:ascii="Times New Roman" w:hAnsi="Times New Roman"/>
          <w:sz w:val="28"/>
          <w:szCs w:val="28"/>
        </w:rPr>
        <w:t xml:space="preserve">Carlos Bernal Pulido y Guillermo Otálora Lozano </w:t>
      </w:r>
      <w:r w:rsidRPr="00D93140">
        <w:rPr>
          <w:rFonts w:ascii="Times New Roman" w:hAnsi="Times New Roman"/>
          <w:sz w:val="28"/>
          <w:szCs w:val="28"/>
        </w:rPr>
        <w:t>solicita</w:t>
      </w:r>
      <w:r w:rsidRPr="00D93140">
        <w:rPr>
          <w:rFonts w:ascii="Times New Roman" w:hAnsi="Times New Roman"/>
          <w:sz w:val="28"/>
          <w:szCs w:val="28"/>
        </w:rPr>
        <w:t>ron</w:t>
      </w:r>
      <w:r w:rsidRPr="00D93140">
        <w:rPr>
          <w:rFonts w:ascii="Times New Roman" w:hAnsi="Times New Roman"/>
          <w:sz w:val="28"/>
          <w:szCs w:val="28"/>
        </w:rPr>
        <w:t xml:space="preserve"> a esta c</w:t>
      </w:r>
      <w:r w:rsidRPr="00D93140">
        <w:rPr>
          <w:rFonts w:ascii="Times New Roman" w:hAnsi="Times New Roman"/>
          <w:sz w:val="28"/>
          <w:szCs w:val="28"/>
        </w:rPr>
        <w:t>orporación declarar la inconstitucionalidad de</w:t>
      </w:r>
      <w:r w:rsidRPr="00D93140">
        <w:rPr>
          <w:rFonts w:ascii="Times New Roman" w:hAnsi="Times New Roman"/>
          <w:sz w:val="28"/>
          <w:szCs w:val="28"/>
        </w:rPr>
        <w:t xml:space="preserve"> la totalidad del Decreto 1275 de 2024</w:t>
      </w:r>
      <w:r w:rsidRPr="00D93140">
        <w:rPr>
          <w:rFonts w:ascii="Times New Roman" w:hAnsi="Times New Roman"/>
          <w:sz w:val="28"/>
          <w:szCs w:val="28"/>
        </w:rPr>
        <w:t xml:space="preserve">. </w:t>
      </w:r>
    </w:p>
    <w:p w:rsidR="00CE2247" w:rsidRPr="00D93140" w:rsidRDefault="00D93140" w:rsidP="00E04174">
      <w:pPr>
        <w:pStyle w:val="Prrafodelista"/>
        <w:ind w:left="0"/>
        <w:jc w:val="both"/>
        <w:rPr>
          <w:rFonts w:ascii="Times New Roman" w:hAnsi="Times New Roman"/>
          <w:sz w:val="28"/>
          <w:szCs w:val="28"/>
        </w:rPr>
      </w:pPr>
    </w:p>
    <w:p w:rsidR="00802912"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Expediente D-16</w:t>
      </w:r>
      <w:r w:rsidRPr="00D93140">
        <w:rPr>
          <w:rFonts w:ascii="Times New Roman" w:hAnsi="Times New Roman"/>
          <w:i/>
          <w:iCs/>
          <w:sz w:val="28"/>
          <w:szCs w:val="28"/>
        </w:rPr>
        <w:t>345</w:t>
      </w:r>
      <w:r w:rsidRPr="00D93140">
        <w:rPr>
          <w:rFonts w:ascii="Times New Roman" w:hAnsi="Times New Roman"/>
          <w:i/>
          <w:iCs/>
          <w:sz w:val="28"/>
          <w:szCs w:val="28"/>
        </w:rPr>
        <w:t xml:space="preserve">. </w:t>
      </w:r>
      <w:r w:rsidRPr="00D93140">
        <w:rPr>
          <w:rFonts w:ascii="Times New Roman" w:hAnsi="Times New Roman"/>
          <w:sz w:val="28"/>
          <w:szCs w:val="28"/>
        </w:rPr>
        <w:t>Carlo</w:t>
      </w:r>
      <w:r w:rsidRPr="00D93140">
        <w:rPr>
          <w:rFonts w:ascii="Times New Roman" w:hAnsi="Times New Roman"/>
          <w:sz w:val="28"/>
          <w:szCs w:val="28"/>
        </w:rPr>
        <w:t>s Bernal Pulido</w:t>
      </w:r>
      <w:r w:rsidRPr="00D93140">
        <w:rPr>
          <w:rFonts w:ascii="Times New Roman" w:hAnsi="Times New Roman"/>
          <w:sz w:val="28"/>
          <w:szCs w:val="28"/>
        </w:rPr>
        <w:t xml:space="preserve"> </w:t>
      </w:r>
      <w:r w:rsidRPr="00D93140">
        <w:rPr>
          <w:rFonts w:ascii="Times New Roman" w:hAnsi="Times New Roman"/>
          <w:sz w:val="28"/>
          <w:szCs w:val="28"/>
        </w:rPr>
        <w:t>como pretensión principal, solicita la inexequibilidad de todo el Decreto y, de manera subsidiaria, la inexequibilidad de los artículos 1º (parcial), 2º, 3º [literales (f), (h) e (i, parcial)], 5º, 6º y 10º, por desconocimiento de los artíc</w:t>
      </w:r>
      <w:r w:rsidRPr="00D93140">
        <w:rPr>
          <w:rFonts w:ascii="Times New Roman" w:hAnsi="Times New Roman"/>
          <w:sz w:val="28"/>
          <w:szCs w:val="28"/>
        </w:rPr>
        <w:t>ulos 1º, 29, 56 transitorio, 78, 79, 80,150.7, 151, 288, 325, 330, 331 y 334 de la Constitución, así como 7º de la Ley Orgánica 819 de 2003.</w:t>
      </w:r>
    </w:p>
    <w:p w:rsidR="00802912" w:rsidRPr="00D93140" w:rsidRDefault="00D93140" w:rsidP="00E04174">
      <w:pPr>
        <w:pStyle w:val="Prrafodelista"/>
        <w:ind w:left="0"/>
        <w:jc w:val="both"/>
        <w:rPr>
          <w:rFonts w:ascii="Times New Roman" w:hAnsi="Times New Roman"/>
          <w:sz w:val="28"/>
          <w:szCs w:val="28"/>
        </w:rPr>
      </w:pPr>
    </w:p>
    <w:p w:rsidR="00FD4C3D"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Expediente D-16</w:t>
      </w:r>
      <w:r w:rsidRPr="00D93140">
        <w:rPr>
          <w:rFonts w:ascii="Times New Roman" w:hAnsi="Times New Roman"/>
          <w:i/>
          <w:iCs/>
          <w:sz w:val="28"/>
          <w:szCs w:val="28"/>
        </w:rPr>
        <w:t>396</w:t>
      </w:r>
      <w:r w:rsidRPr="00D93140">
        <w:rPr>
          <w:rFonts w:ascii="Times New Roman" w:hAnsi="Times New Roman"/>
          <w:i/>
          <w:iCs/>
          <w:sz w:val="28"/>
          <w:szCs w:val="28"/>
        </w:rPr>
        <w:t>.</w:t>
      </w:r>
      <w:r w:rsidRPr="00D93140">
        <w:rPr>
          <w:rFonts w:ascii="Times New Roman" w:hAnsi="Times New Roman"/>
          <w:sz w:val="28"/>
          <w:szCs w:val="28"/>
        </w:rPr>
        <w:t xml:space="preserve"> </w:t>
      </w:r>
      <w:r w:rsidRPr="00D93140">
        <w:rPr>
          <w:rFonts w:ascii="Times New Roman" w:hAnsi="Times New Roman"/>
          <w:sz w:val="28"/>
          <w:szCs w:val="28"/>
        </w:rPr>
        <w:t xml:space="preserve">Guillermo Otálora Lozano considera que el Decreto 1275 de 2024 desconoce </w:t>
      </w:r>
      <w:r w:rsidRPr="00D93140">
        <w:rPr>
          <w:rFonts w:ascii="Times New Roman" w:hAnsi="Times New Roman"/>
          <w:sz w:val="28"/>
          <w:szCs w:val="28"/>
        </w:rPr>
        <w:t>los artículos</w:t>
      </w:r>
      <w:r w:rsidRPr="00D93140">
        <w:rPr>
          <w:rFonts w:ascii="Times New Roman" w:hAnsi="Times New Roman"/>
          <w:sz w:val="28"/>
          <w:szCs w:val="28"/>
        </w:rPr>
        <w:t xml:space="preserve"> 2, 6, 11, 12, 29, 93, 121, 123, 152, 210, 229, 246, 330 y 56 transitorio de la Constitución Política, al igual que el artículo 6 del Convenio 169 de la OIT</w:t>
      </w:r>
      <w:r w:rsidRPr="00D93140">
        <w:rPr>
          <w:rFonts w:ascii="Times New Roman" w:hAnsi="Times New Roman"/>
          <w:sz w:val="28"/>
          <w:szCs w:val="28"/>
        </w:rPr>
        <w:t>, motivo por el cual solicita la inexequibilidad del mismo</w:t>
      </w:r>
      <w:r w:rsidRPr="00D93140">
        <w:rPr>
          <w:rFonts w:ascii="Times New Roman" w:hAnsi="Times New Roman"/>
          <w:sz w:val="28"/>
          <w:szCs w:val="28"/>
        </w:rPr>
        <w:t>.</w:t>
      </w:r>
    </w:p>
    <w:p w:rsidR="00FD4C3D" w:rsidRPr="00D93140" w:rsidRDefault="00D93140" w:rsidP="00E04174">
      <w:pPr>
        <w:rPr>
          <w:rFonts w:ascii="Times New Roman" w:hAnsi="Times New Roman"/>
          <w:sz w:val="28"/>
          <w:szCs w:val="28"/>
        </w:rPr>
      </w:pPr>
    </w:p>
    <w:p w:rsidR="00135D8C" w:rsidRPr="00D93140" w:rsidRDefault="00D93140" w:rsidP="003C3E37">
      <w:pPr>
        <w:pStyle w:val="Ttulo2"/>
        <w:rPr>
          <w:rFonts w:ascii="Times New Roman" w:hAnsi="Times New Roman"/>
          <w:b/>
          <w:sz w:val="28"/>
        </w:rPr>
      </w:pPr>
      <w:bookmarkStart w:id="4" w:name="_Toc215735422"/>
      <w:r w:rsidRPr="00D93140">
        <w:rPr>
          <w:rFonts w:ascii="Times New Roman" w:hAnsi="Times New Roman"/>
          <w:b/>
          <w:sz w:val="28"/>
        </w:rPr>
        <w:t xml:space="preserve">A. </w:t>
      </w:r>
      <w:r w:rsidRPr="00D93140">
        <w:rPr>
          <w:rFonts w:ascii="Times New Roman" w:hAnsi="Times New Roman"/>
          <w:b/>
          <w:sz w:val="28"/>
        </w:rPr>
        <w:t>Texto de la norma acusada</w:t>
      </w:r>
      <w:bookmarkEnd w:id="4"/>
    </w:p>
    <w:p w:rsidR="00135D8C" w:rsidRPr="00D93140" w:rsidRDefault="00D93140" w:rsidP="00E04174">
      <w:pPr>
        <w:jc w:val="both"/>
        <w:rPr>
          <w:rFonts w:ascii="Times New Roman" w:hAnsi="Times New Roman"/>
          <w:sz w:val="28"/>
          <w:szCs w:val="28"/>
        </w:rPr>
      </w:pPr>
    </w:p>
    <w:p w:rsidR="00135D8C"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 </w:t>
      </w:r>
      <w:r w:rsidRPr="00D93140">
        <w:rPr>
          <w:rFonts w:ascii="Times New Roman" w:hAnsi="Times New Roman"/>
          <w:sz w:val="28"/>
          <w:szCs w:val="28"/>
        </w:rPr>
        <w:t>continuación, se transcriben las normas acusadas según su publicación en el Diario Oficial No. 52910 del 15 de octubre de 2024</w:t>
      </w:r>
      <w:r w:rsidRPr="00D93140">
        <w:rPr>
          <w:rStyle w:val="Refdenotaalpie"/>
          <w:rFonts w:ascii="Times New Roman" w:hAnsi="Times New Roman"/>
          <w:sz w:val="28"/>
          <w:szCs w:val="28"/>
        </w:rPr>
        <w:footnoteReference w:id="2"/>
      </w:r>
      <w:r w:rsidRPr="00D93140">
        <w:rPr>
          <w:rFonts w:ascii="Times New Roman" w:hAnsi="Times New Roman"/>
          <w:sz w:val="28"/>
          <w:szCs w:val="28"/>
        </w:rPr>
        <w:t>:</w:t>
      </w:r>
    </w:p>
    <w:p w:rsidR="00135D8C" w:rsidRPr="00D93140" w:rsidRDefault="00D93140" w:rsidP="00E04174">
      <w:pPr>
        <w:jc w:val="both"/>
        <w:rPr>
          <w:rFonts w:ascii="Times New Roman" w:hAnsi="Times New Roman"/>
          <w:sz w:val="28"/>
          <w:szCs w:val="28"/>
        </w:rPr>
      </w:pPr>
    </w:p>
    <w:p w:rsidR="00655743" w:rsidRPr="00D93140" w:rsidRDefault="00D93140" w:rsidP="00E04174">
      <w:pPr>
        <w:ind w:left="708"/>
        <w:jc w:val="center"/>
        <w:rPr>
          <w:rFonts w:ascii="Times New Roman" w:hAnsi="Times New Roman"/>
          <w:b/>
          <w:bCs/>
          <w:sz w:val="28"/>
          <w:szCs w:val="24"/>
        </w:rPr>
      </w:pPr>
      <w:r w:rsidRPr="00D93140">
        <w:rPr>
          <w:rFonts w:ascii="Times New Roman" w:hAnsi="Times New Roman"/>
          <w:b/>
          <w:bCs/>
          <w:sz w:val="28"/>
          <w:szCs w:val="24"/>
          <w:lang w:val="es-MX"/>
        </w:rPr>
        <w:t>DECRETO 1275 DE 2024</w:t>
      </w:r>
    </w:p>
    <w:p w:rsidR="00655743" w:rsidRPr="00D93140" w:rsidRDefault="00D93140" w:rsidP="00E04174">
      <w:pPr>
        <w:ind w:left="708"/>
        <w:jc w:val="center"/>
        <w:rPr>
          <w:rFonts w:ascii="Times New Roman" w:hAnsi="Times New Roman"/>
          <w:b/>
          <w:bCs/>
          <w:sz w:val="28"/>
          <w:szCs w:val="24"/>
        </w:rPr>
      </w:pPr>
      <w:r w:rsidRPr="00D93140">
        <w:rPr>
          <w:rFonts w:ascii="Times New Roman" w:hAnsi="Times New Roman"/>
          <w:b/>
          <w:bCs/>
          <w:sz w:val="28"/>
          <w:szCs w:val="24"/>
          <w:lang w:val="es-MX"/>
        </w:rPr>
        <w:t>(Octubre 15)</w:t>
      </w:r>
    </w:p>
    <w:p w:rsidR="00655743" w:rsidRPr="00D93140" w:rsidRDefault="00D93140" w:rsidP="00E04174">
      <w:pPr>
        <w:ind w:left="708"/>
        <w:jc w:val="both"/>
        <w:rPr>
          <w:rFonts w:ascii="Times New Roman" w:hAnsi="Times New Roman"/>
          <w:b/>
          <w:bCs/>
          <w:sz w:val="28"/>
          <w:szCs w:val="24"/>
        </w:rPr>
      </w:pPr>
      <w:r w:rsidRPr="00D93140">
        <w:rPr>
          <w:rFonts w:ascii="Times New Roman" w:hAnsi="Times New Roman"/>
          <w:b/>
          <w:bCs/>
          <w:sz w:val="28"/>
          <w:szCs w:val="24"/>
          <w:lang w:val="es-MX"/>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i/>
          <w:iCs/>
          <w:sz w:val="28"/>
          <w:szCs w:val="24"/>
        </w:rPr>
        <w:t xml:space="preserve">Por el cual se establecen las normas requeridas para el funcionamiento de los territorios </w:t>
      </w:r>
      <w:r w:rsidRPr="00D93140">
        <w:rPr>
          <w:rFonts w:ascii="Times New Roman" w:hAnsi="Times New Roman"/>
          <w:bCs/>
          <w:i/>
          <w:iCs/>
          <w:sz w:val="28"/>
          <w:szCs w:val="24"/>
        </w:rPr>
        <w:t>indígenas en materia ambiental y el desarrollo de las competencias ambientales de las autoridades indígenas y su coordinación efectiva con las demás autoridades y/o entidades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EL PRESIDENTE DE LA REPÚBLICA DE COLOMBIA</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xml:space="preserve">En uso de sus facultades </w:t>
      </w:r>
      <w:r w:rsidRPr="00D93140">
        <w:rPr>
          <w:rFonts w:ascii="Times New Roman" w:hAnsi="Times New Roman"/>
          <w:bCs/>
          <w:sz w:val="28"/>
          <w:szCs w:val="24"/>
        </w:rPr>
        <w:t>constitucionales y legales, en especial la conferida por el artículo 56, transitorio, en concordancia con el artículo 330 de la Constitución Política y el artículo 4 de la Ley 21 de 1991, y</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w:t>
      </w:r>
    </w:p>
    <w:p w:rsidR="00655743" w:rsidRPr="00D93140" w:rsidRDefault="00D93140" w:rsidP="00E04174">
      <w:pPr>
        <w:ind w:left="708"/>
        <w:jc w:val="center"/>
        <w:rPr>
          <w:rFonts w:ascii="Times New Roman" w:hAnsi="Times New Roman"/>
          <w:bCs/>
          <w:sz w:val="28"/>
          <w:szCs w:val="24"/>
        </w:rPr>
      </w:pP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DECRETA:</w:t>
      </w:r>
    </w:p>
    <w:p w:rsidR="00655743" w:rsidRPr="00D93140" w:rsidRDefault="00D93140" w:rsidP="00E04174">
      <w:pPr>
        <w:ind w:left="708"/>
        <w:jc w:val="center"/>
        <w:rPr>
          <w:rFonts w:ascii="Times New Roman" w:hAnsi="Times New Roman"/>
          <w:bCs/>
          <w:sz w:val="28"/>
          <w:szCs w:val="24"/>
        </w:rPr>
      </w:pP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TÍTULO I</w:t>
      </w:r>
    </w:p>
    <w:p w:rsidR="00655743" w:rsidRPr="00D93140" w:rsidRDefault="00D93140" w:rsidP="00E04174">
      <w:pPr>
        <w:ind w:left="708"/>
        <w:jc w:val="center"/>
        <w:rPr>
          <w:rFonts w:ascii="Times New Roman" w:hAnsi="Times New Roman"/>
          <w:bCs/>
          <w:sz w:val="28"/>
          <w:szCs w:val="24"/>
        </w:rPr>
      </w:pP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OBJETO, PRINCIPIOS Y ÁMBITO DE APLICACI</w:t>
      </w:r>
      <w:r w:rsidRPr="00D93140">
        <w:rPr>
          <w:rFonts w:ascii="Times New Roman" w:hAnsi="Times New Roman"/>
          <w:bCs/>
          <w:sz w:val="28"/>
          <w:szCs w:val="24"/>
        </w:rPr>
        <w:t>ÓN</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1. </w:t>
      </w:r>
      <w:r w:rsidRPr="00D93140">
        <w:rPr>
          <w:rFonts w:ascii="Times New Roman" w:hAnsi="Times New Roman"/>
          <w:bCs/>
          <w:i/>
          <w:iCs/>
          <w:sz w:val="28"/>
          <w:szCs w:val="24"/>
        </w:rPr>
        <w:t>Objeto.</w:t>
      </w:r>
      <w:r w:rsidRPr="00D93140">
        <w:rPr>
          <w:rFonts w:ascii="Times New Roman" w:hAnsi="Times New Roman"/>
          <w:bCs/>
          <w:sz w:val="28"/>
          <w:szCs w:val="24"/>
        </w:rPr>
        <w:t> La presente norma tiene por objeto establecer medidas requeridas para el funcionamiento de los territorios indígenas en materia ambiental y el desarrollo de las competencias ambientales de las autoridades indígenas y su coordinació</w:t>
      </w:r>
      <w:r w:rsidRPr="00D93140">
        <w:rPr>
          <w:rFonts w:ascii="Times New Roman" w:hAnsi="Times New Roman"/>
          <w:bCs/>
          <w:sz w:val="28"/>
          <w:szCs w:val="24"/>
        </w:rPr>
        <w:t>n efectiva con las demás autoridades y/o entidades.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2. </w:t>
      </w:r>
      <w:r w:rsidRPr="00D93140">
        <w:rPr>
          <w:rFonts w:ascii="Times New Roman" w:hAnsi="Times New Roman"/>
          <w:bCs/>
          <w:i/>
          <w:iCs/>
          <w:sz w:val="28"/>
          <w:szCs w:val="24"/>
        </w:rPr>
        <w:t>Primacía del interés general.</w:t>
      </w:r>
      <w:r w:rsidRPr="00D93140">
        <w:rPr>
          <w:rFonts w:ascii="Times New Roman" w:hAnsi="Times New Roman"/>
          <w:bCs/>
          <w:sz w:val="28"/>
          <w:szCs w:val="24"/>
        </w:rPr>
        <w:t xml:space="preserve"> Para los efectos del presente Decreto, el interés general será entendido como la prevalencia de las disposiciones constitucionales tendientes al reconocimiento </w:t>
      </w:r>
      <w:r w:rsidRPr="00D93140">
        <w:rPr>
          <w:rFonts w:ascii="Times New Roman" w:hAnsi="Times New Roman"/>
          <w:bCs/>
          <w:sz w:val="28"/>
          <w:szCs w:val="24"/>
        </w:rPr>
        <w:t>y protección de la diversidad étnica cultural y aquellas que propendan por garantizar la conservación, preservación, restauración, cuidado y protección del ambiente, en atención al principio de maximización de la autonomía de los pueblos indígenas.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3. </w:t>
      </w:r>
      <w:r w:rsidRPr="00D93140">
        <w:rPr>
          <w:rFonts w:ascii="Times New Roman" w:hAnsi="Times New Roman"/>
          <w:bCs/>
          <w:i/>
          <w:iCs/>
          <w:sz w:val="28"/>
          <w:szCs w:val="24"/>
        </w:rPr>
        <w:t>Principios.</w:t>
      </w:r>
      <w:r w:rsidRPr="00D93140">
        <w:rPr>
          <w:rFonts w:ascii="Times New Roman" w:hAnsi="Times New Roman"/>
          <w:bCs/>
          <w:sz w:val="28"/>
          <w:szCs w:val="24"/>
        </w:rPr>
        <w:t> La interpretación del presente Decreto tendrá como fundamento los principios establecidos en el artículo </w:t>
      </w:r>
      <w:hyperlink r:id="rId8" w:anchor="10" w:history="1">
        <w:r w:rsidRPr="00D93140">
          <w:rPr>
            <w:rStyle w:val="Hipervnculo"/>
            <w:rFonts w:ascii="Times New Roman" w:hAnsi="Times New Roman"/>
            <w:bCs/>
            <w:color w:val="auto"/>
            <w:sz w:val="28"/>
            <w:szCs w:val="24"/>
          </w:rPr>
          <w:t>10</w:t>
        </w:r>
      </w:hyperlink>
      <w:r w:rsidRPr="00D93140">
        <w:rPr>
          <w:rFonts w:ascii="Times New Roman" w:hAnsi="Times New Roman"/>
          <w:bCs/>
          <w:sz w:val="28"/>
          <w:szCs w:val="24"/>
        </w:rPr>
        <w:t xml:space="preserve"> del Decreto Ley 1953 de 2014, el </w:t>
      </w:r>
      <w:r w:rsidRPr="00D93140">
        <w:rPr>
          <w:rFonts w:ascii="Times New Roman" w:hAnsi="Times New Roman"/>
          <w:bCs/>
          <w:sz w:val="28"/>
          <w:szCs w:val="24"/>
        </w:rPr>
        <w:t>artículo 4 del Decreto Ley 632 de 2018, el artículo </w:t>
      </w:r>
      <w:hyperlink r:id="rId9" w:anchor="1" w:history="1">
        <w:r w:rsidRPr="00D93140">
          <w:rPr>
            <w:rStyle w:val="Hipervnculo"/>
            <w:rFonts w:ascii="Times New Roman" w:hAnsi="Times New Roman"/>
            <w:bCs/>
            <w:color w:val="auto"/>
            <w:sz w:val="28"/>
            <w:szCs w:val="24"/>
          </w:rPr>
          <w:t>1</w:t>
        </w:r>
      </w:hyperlink>
      <w:r w:rsidRPr="00D93140">
        <w:rPr>
          <w:rFonts w:ascii="Times New Roman" w:hAnsi="Times New Roman"/>
          <w:bCs/>
          <w:sz w:val="28"/>
          <w:szCs w:val="24"/>
        </w:rPr>
        <w:t> de la Ley 99 de 1993 y en específicos los siguientes: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 Espiritualidad Indígena: La espiritualidad nace de la L</w:t>
      </w:r>
      <w:r w:rsidRPr="00D93140">
        <w:rPr>
          <w:rFonts w:ascii="Times New Roman" w:hAnsi="Times New Roman"/>
          <w:bCs/>
          <w:sz w:val="28"/>
          <w:szCs w:val="24"/>
        </w:rPr>
        <w:t>ey de origen de cada pueblo, es la energía que le da vida a la cultura, al tiempo que logra la interrelación entre los elementos del universo, establece las orientaciones para mantener el equilibrio, la armonía, reciprocidad y revitalizar el conocimiento y</w:t>
      </w:r>
      <w:r w:rsidRPr="00D93140">
        <w:rPr>
          <w:rFonts w:ascii="Times New Roman" w:hAnsi="Times New Roman"/>
          <w:bCs/>
          <w:sz w:val="28"/>
          <w:szCs w:val="24"/>
        </w:rPr>
        <w:t xml:space="preserve"> prácticas de los saberes ancestrales.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B. Territorialidad: El territorio indígena comprende todos aquellos espacios que los pueblos indígenas reconocen como esenciales en la vivencia de su cosmovisión y que son fundamentales para su existencia como puebl</w:t>
      </w:r>
      <w:r w:rsidRPr="00D93140">
        <w:rPr>
          <w:rFonts w:ascii="Times New Roman" w:hAnsi="Times New Roman"/>
          <w:bCs/>
          <w:sz w:val="28"/>
          <w:szCs w:val="24"/>
        </w:rPr>
        <w:t>os indígenas.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C. Comunitariedad: Son acciones solidarias y reciprocas, aptitudes y actitudes del pensamiento colectivo que conduce a la conformación y fortalecimiento de la identidad como pueblos indígenas.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D. Reciprocidad Natural: Para los Pueblos Ind</w:t>
      </w:r>
      <w:r w:rsidRPr="00D93140">
        <w:rPr>
          <w:rFonts w:ascii="Times New Roman" w:hAnsi="Times New Roman"/>
          <w:bCs/>
          <w:sz w:val="28"/>
          <w:szCs w:val="24"/>
        </w:rPr>
        <w:t>ígenas la Tierra es la madre que da vida y brinda todos los elementos para la existencia, agua, oxígeno, alimentos y abrigo, a cambio de esto los humanos le deben retribuir respeto, valoración, protección, uso debido y cuidado permanente de los elementos n</w:t>
      </w:r>
      <w:r w:rsidRPr="00D93140">
        <w:rPr>
          <w:rFonts w:ascii="Times New Roman" w:hAnsi="Times New Roman"/>
          <w:bCs/>
          <w:sz w:val="28"/>
          <w:szCs w:val="24"/>
        </w:rPr>
        <w:t>aturales.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E. Armonía y Equilibrio: Son fuerzas complementarias que fundamentan la justicia y el control social, permiten el mantenimiento del orden comunitario en el territorio, regulan las relaciones entre los hombres y estos con la naturaleza, hacen pa</w:t>
      </w:r>
      <w:r w:rsidRPr="00D93140">
        <w:rPr>
          <w:rFonts w:ascii="Times New Roman" w:hAnsi="Times New Roman"/>
          <w:bCs/>
          <w:sz w:val="28"/>
          <w:szCs w:val="24"/>
        </w:rPr>
        <w:t>rte de los sistemas de conocimiento, Derecho Mayor, Derecho Propio, Ley de Origen, Ley Natural, Palabra de Vida y se fortalecen en el ejercicio de la Jurisdicción Especial Indígena reconocida en el artículo </w:t>
      </w:r>
      <w:hyperlink r:id="rId10" w:anchor="246" w:history="1">
        <w:r w:rsidRPr="00D93140">
          <w:rPr>
            <w:rStyle w:val="Hipervnculo"/>
            <w:rFonts w:ascii="Times New Roman" w:hAnsi="Times New Roman"/>
            <w:bCs/>
            <w:color w:val="auto"/>
            <w:sz w:val="28"/>
            <w:szCs w:val="24"/>
          </w:rPr>
          <w:t>246</w:t>
        </w:r>
      </w:hyperlink>
      <w:r w:rsidRPr="00D93140">
        <w:rPr>
          <w:rFonts w:ascii="Times New Roman" w:hAnsi="Times New Roman"/>
          <w:bCs/>
          <w:sz w:val="28"/>
          <w:szCs w:val="24"/>
        </w:rPr>
        <w:t> de la Constitución Política.</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F. Coordinación Ambiental Efectiva: La coordinación constante y dialogada de gobierno a gobierno deberá ser desarrollada en el marco del respeto mutuo. Las entidades con competenc</w:t>
      </w:r>
      <w:r w:rsidRPr="00D93140">
        <w:rPr>
          <w:rFonts w:ascii="Times New Roman" w:hAnsi="Times New Roman"/>
          <w:bCs/>
          <w:sz w:val="28"/>
          <w:szCs w:val="24"/>
        </w:rPr>
        <w:t>ias ambientales, incluidos los territorios indígenas, coordinarán de manera amplia aquellos asuntos que sean de su conocimiento y del interés general de la Nación, siempre en salvaguarda de la protección de la naturaleza.</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xml:space="preserve">G. Responsabilidad ambiental </w:t>
      </w:r>
      <w:r w:rsidRPr="00D93140">
        <w:rPr>
          <w:rFonts w:ascii="Times New Roman" w:hAnsi="Times New Roman"/>
          <w:bCs/>
          <w:sz w:val="28"/>
          <w:szCs w:val="24"/>
        </w:rPr>
        <w:t>intergeneracional: El sujeto individual y colectivo es responsable con las generaciones actuales y futuras en la obligación de garantizar la integridad étnica y cultural de la nación y la protección de los elementos ambientales que, desde los sistemas de c</w:t>
      </w:r>
      <w:r w:rsidRPr="00D93140">
        <w:rPr>
          <w:rFonts w:ascii="Times New Roman" w:hAnsi="Times New Roman"/>
          <w:bCs/>
          <w:sz w:val="28"/>
          <w:szCs w:val="24"/>
        </w:rPr>
        <w:t>onocimiento, Derecho Mayor, Derecho Propio, Ley de Origen, Ley Natural, Palabra de Vida resultan esenciales para la existencia de pueblos indígenas.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H. Integridad territorial y ecosistémica: Las regulaciones que expidan las autoridades indígenas, en el m</w:t>
      </w:r>
      <w:r w:rsidRPr="00D93140">
        <w:rPr>
          <w:rFonts w:ascii="Times New Roman" w:hAnsi="Times New Roman"/>
          <w:bCs/>
          <w:sz w:val="28"/>
          <w:szCs w:val="24"/>
        </w:rPr>
        <w:t xml:space="preserve">arco de su autonomía normativa, respecto de la protección, preservación, uso y manejo de los recursos naturales, el ambiente y el territorio, siempre podrán hacer más rigurosa la normatividad ambiental y no menos flexible. En caso de que las disposiciones </w:t>
      </w:r>
      <w:r w:rsidRPr="00D93140">
        <w:rPr>
          <w:rFonts w:ascii="Times New Roman" w:hAnsi="Times New Roman"/>
          <w:bCs/>
          <w:sz w:val="28"/>
          <w:szCs w:val="24"/>
        </w:rPr>
        <w:t>sean más rigurosas, estas deberán ser respetadas por las demás autoridades y/o entidades en el ámbito de sus competencias.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l. Precaución ambiental: para los efectos de lo previsto en este Decreto, en el marco de la interpretación cultural, se entiende es</w:t>
      </w:r>
      <w:r w:rsidRPr="00D93140">
        <w:rPr>
          <w:rFonts w:ascii="Times New Roman" w:hAnsi="Times New Roman"/>
          <w:bCs/>
          <w:sz w:val="28"/>
          <w:szCs w:val="24"/>
        </w:rPr>
        <w:t>te principio conforme al cual, cuando exista peligro de daño grave e irreversible, para la integridad ambiental o cultural de los pueblos indígenas, la falta de certeza científica absoluta no deberá utilizarse como razón para postergar la adopción de medid</w:t>
      </w:r>
      <w:r w:rsidRPr="00D93140">
        <w:rPr>
          <w:rFonts w:ascii="Times New Roman" w:hAnsi="Times New Roman"/>
          <w:bCs/>
          <w:sz w:val="28"/>
          <w:szCs w:val="24"/>
        </w:rPr>
        <w:t>as eficaces para impedir su degradación.</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J. Pluralismo Jurídico: para efectos de lo dispuesto en este Decreto, en el diálogo entre las autoridades ambientales primarán la coordinación, complementariedad e interdependencia; en todo caso, se aplicarán de p</w:t>
      </w:r>
      <w:r w:rsidRPr="00D93140">
        <w:rPr>
          <w:rFonts w:ascii="Times New Roman" w:hAnsi="Times New Roman"/>
          <w:bCs/>
          <w:sz w:val="28"/>
          <w:szCs w:val="24"/>
        </w:rPr>
        <w:t>referencia los sistemas normativos propios de los pueblos, así como los principios establecidos en la </w:t>
      </w:r>
      <w:hyperlink r:id="rId11" w:anchor="246" w:history="1">
        <w:r w:rsidRPr="00D93140">
          <w:rPr>
            <w:rStyle w:val="Hipervnculo"/>
            <w:rFonts w:ascii="Times New Roman" w:hAnsi="Times New Roman"/>
            <w:bCs/>
            <w:color w:val="auto"/>
            <w:sz w:val="28"/>
            <w:szCs w:val="24"/>
          </w:rPr>
          <w:t>Constitución</w:t>
        </w:r>
      </w:hyperlink>
      <w:r w:rsidRPr="00D93140">
        <w:rPr>
          <w:rFonts w:ascii="Times New Roman" w:hAnsi="Times New Roman"/>
          <w:bCs/>
          <w:sz w:val="28"/>
          <w:szCs w:val="24"/>
        </w:rPr>
        <w:t> y las reglas derivadas de la jurisprudencia nacion</w:t>
      </w:r>
      <w:r w:rsidRPr="00D93140">
        <w:rPr>
          <w:rFonts w:ascii="Times New Roman" w:hAnsi="Times New Roman"/>
          <w:bCs/>
          <w:sz w:val="28"/>
          <w:szCs w:val="24"/>
        </w:rPr>
        <w:t>al e internacional respecto a los derechos de los pueblos indígenas y su rol como autoridades políticas, administrativas, ambientales y jurisdiccionales, en el ámbito de sus competencias.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Parágrafo. Para todos los efectos, se tendrán en cuenta las reglas</w:t>
      </w:r>
      <w:r w:rsidRPr="00D93140">
        <w:rPr>
          <w:rFonts w:ascii="Times New Roman" w:hAnsi="Times New Roman"/>
          <w:bCs/>
          <w:sz w:val="28"/>
          <w:szCs w:val="24"/>
        </w:rPr>
        <w:t xml:space="preserve"> de interpretación contenidas en la jurisprudencia de la Corte Constitucional y de la Corte Interamericana de Derechos Humanos.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4. </w:t>
      </w:r>
      <w:r w:rsidRPr="00D93140">
        <w:rPr>
          <w:rFonts w:ascii="Times New Roman" w:hAnsi="Times New Roman"/>
          <w:bCs/>
          <w:i/>
          <w:iCs/>
          <w:sz w:val="28"/>
          <w:szCs w:val="24"/>
        </w:rPr>
        <w:t>Ámbito de aplicación.</w:t>
      </w:r>
      <w:r w:rsidRPr="00D93140">
        <w:rPr>
          <w:rFonts w:ascii="Times New Roman" w:hAnsi="Times New Roman"/>
          <w:bCs/>
          <w:sz w:val="28"/>
          <w:szCs w:val="24"/>
        </w:rPr>
        <w:t> Las disposiciones establecidas en el presente Decreto aplican en los Territorios Indígenas d</w:t>
      </w:r>
      <w:r w:rsidRPr="00D93140">
        <w:rPr>
          <w:rFonts w:ascii="Times New Roman" w:hAnsi="Times New Roman"/>
          <w:bCs/>
          <w:sz w:val="28"/>
          <w:szCs w:val="24"/>
        </w:rPr>
        <w:t>e los que trata los artículos </w:t>
      </w:r>
      <w:hyperlink r:id="rId12" w:anchor="286" w:history="1">
        <w:r w:rsidRPr="00D93140">
          <w:rPr>
            <w:rStyle w:val="Hipervnculo"/>
            <w:rFonts w:ascii="Times New Roman" w:hAnsi="Times New Roman"/>
            <w:bCs/>
            <w:color w:val="auto"/>
            <w:sz w:val="28"/>
            <w:szCs w:val="24"/>
          </w:rPr>
          <w:t>286</w:t>
        </w:r>
      </w:hyperlink>
      <w:r w:rsidRPr="00D93140">
        <w:rPr>
          <w:rFonts w:ascii="Times New Roman" w:hAnsi="Times New Roman"/>
          <w:bCs/>
          <w:sz w:val="28"/>
          <w:szCs w:val="24"/>
        </w:rPr>
        <w:t> y </w:t>
      </w:r>
      <w:hyperlink r:id="rId13" w:anchor="330" w:history="1">
        <w:r w:rsidRPr="00D93140">
          <w:rPr>
            <w:rStyle w:val="Hipervnculo"/>
            <w:rFonts w:ascii="Times New Roman" w:hAnsi="Times New Roman"/>
            <w:bCs/>
            <w:color w:val="auto"/>
            <w:sz w:val="28"/>
            <w:szCs w:val="24"/>
          </w:rPr>
          <w:t>330</w:t>
        </w:r>
      </w:hyperlink>
      <w:r w:rsidRPr="00D93140">
        <w:rPr>
          <w:rFonts w:ascii="Times New Roman" w:hAnsi="Times New Roman"/>
          <w:bCs/>
          <w:sz w:val="28"/>
          <w:szCs w:val="24"/>
        </w:rPr>
        <w:t> de la Constitución Política y comp</w:t>
      </w:r>
      <w:r w:rsidRPr="00D93140">
        <w:rPr>
          <w:rFonts w:ascii="Times New Roman" w:hAnsi="Times New Roman"/>
          <w:bCs/>
          <w:sz w:val="28"/>
          <w:szCs w:val="24"/>
        </w:rPr>
        <w:t>lementan el Decreto Ley </w:t>
      </w:r>
      <w:hyperlink r:id="rId14" w:history="1">
        <w:r w:rsidRPr="00D93140">
          <w:rPr>
            <w:rStyle w:val="Hipervnculo"/>
            <w:rFonts w:ascii="Times New Roman" w:hAnsi="Times New Roman"/>
            <w:bCs/>
            <w:color w:val="auto"/>
            <w:sz w:val="28"/>
            <w:szCs w:val="24"/>
          </w:rPr>
          <w:t>1953</w:t>
        </w:r>
      </w:hyperlink>
      <w:r w:rsidRPr="00D93140">
        <w:rPr>
          <w:rFonts w:ascii="Times New Roman" w:hAnsi="Times New Roman"/>
          <w:bCs/>
          <w:sz w:val="28"/>
          <w:szCs w:val="24"/>
        </w:rPr>
        <w:t> de 2014; los territorios indígenas puestos en funcionamiento en virtud del Decreto Ley 632 de 2018 o de aquellos que se pongan en funcionamiento</w:t>
      </w:r>
      <w:r w:rsidRPr="00D93140">
        <w:rPr>
          <w:rFonts w:ascii="Times New Roman" w:hAnsi="Times New Roman"/>
          <w:bCs/>
          <w:sz w:val="28"/>
          <w:szCs w:val="24"/>
        </w:rPr>
        <w:t xml:space="preserve"> con normas de igual alcance constitucional; los resguardos indígenas y las reservas indígenas. Así mismo, a los territorios ancestrales, las territorialidades y las áreas poseídas por las comunidades que tengan un gobierno propio y hayan solicitado por la</w:t>
      </w:r>
      <w:r w:rsidRPr="00D93140">
        <w:rPr>
          <w:rFonts w:ascii="Times New Roman" w:hAnsi="Times New Roman"/>
          <w:bCs/>
          <w:sz w:val="28"/>
          <w:szCs w:val="24"/>
        </w:rPr>
        <w:t>s respectivas autoridades la puesta en funcionamiento de la entidad territorial indígena o la formalización y/o seguridad jurídica del territorio indígena de acuerdo con las normas pertinentes y serán ejercidas por las autoridades propias de cada pueblo in</w:t>
      </w:r>
      <w:r w:rsidRPr="00D93140">
        <w:rPr>
          <w:rFonts w:ascii="Times New Roman" w:hAnsi="Times New Roman"/>
          <w:bCs/>
          <w:sz w:val="28"/>
          <w:szCs w:val="24"/>
        </w:rPr>
        <w:t>dígena, de acuerdo con sus sistemas de conocimiento, Derecho Mayor, Derecho Propio, Ley de Origen, Ley Natural, Palabra de Vida, respecto de los miembros de cada pueblo y en sus propias territorialidades.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xml:space="preserve">Parágrafo. Frente a los territorios indígenas de </w:t>
      </w:r>
      <w:r w:rsidRPr="00D93140">
        <w:rPr>
          <w:rFonts w:ascii="Times New Roman" w:hAnsi="Times New Roman"/>
          <w:bCs/>
          <w:sz w:val="28"/>
          <w:szCs w:val="24"/>
        </w:rPr>
        <w:t>la Sierra Nevada de Santa Marta, el ámbito de aplicación del presente Decreto será de conformidad con el artículo 6 del Decreto 1500 del 2018.</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TÍTULO II</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COMPETENCIAS Y DIRECTRICES PARA LA COORDINACIÓN EFECTIVA</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5. </w:t>
      </w:r>
      <w:r w:rsidRPr="00D93140">
        <w:rPr>
          <w:rFonts w:ascii="Times New Roman" w:hAnsi="Times New Roman"/>
          <w:bCs/>
          <w:i/>
          <w:iCs/>
          <w:sz w:val="28"/>
          <w:szCs w:val="24"/>
        </w:rPr>
        <w:t xml:space="preserve">Competencias Ambientales de </w:t>
      </w:r>
      <w:r w:rsidRPr="00D93140">
        <w:rPr>
          <w:rFonts w:ascii="Times New Roman" w:hAnsi="Times New Roman"/>
          <w:bCs/>
          <w:i/>
          <w:iCs/>
          <w:sz w:val="28"/>
          <w:szCs w:val="24"/>
        </w:rPr>
        <w:t>las Autoridades Indígenas.</w:t>
      </w:r>
      <w:r w:rsidRPr="00D93140">
        <w:rPr>
          <w:rFonts w:ascii="Times New Roman" w:hAnsi="Times New Roman"/>
          <w:bCs/>
          <w:sz w:val="28"/>
          <w:szCs w:val="24"/>
        </w:rPr>
        <w:t> Las autoridades tradicionales indígenas, las autoridades propias de los territorios indígenas, los consejos indígenas y otras estructuras similares de gobierno propio en sus resguardos indígenas, los territorios indígenas y las á</w:t>
      </w:r>
      <w:r w:rsidRPr="00D93140">
        <w:rPr>
          <w:rFonts w:ascii="Times New Roman" w:hAnsi="Times New Roman"/>
          <w:bCs/>
          <w:sz w:val="28"/>
          <w:szCs w:val="24"/>
        </w:rPr>
        <w:t>reas poseídas por los pueblos indígenas en los términos del artículo 4 del presente Decreto, hacen parte del Sistema Nacional Ambiental y ejercen las competencias en materia de ordenamiento ambiental territorial, determinación de los mecanismos regulatorio</w:t>
      </w:r>
      <w:r w:rsidRPr="00D93140">
        <w:rPr>
          <w:rFonts w:ascii="Times New Roman" w:hAnsi="Times New Roman"/>
          <w:bCs/>
          <w:sz w:val="28"/>
          <w:szCs w:val="24"/>
        </w:rPr>
        <w:t xml:space="preserve">s, de gestión y gobierno con fines de preservación, conservación, restauración, protección, cuidado, uso y manejo de los recursos naturales de acuerdo con lo establecido en el artículo 15 del Convenio 169 de la OIT, sus elementos o recursos de acuerdo con </w:t>
      </w:r>
      <w:r w:rsidRPr="00D93140">
        <w:rPr>
          <w:rFonts w:ascii="Times New Roman" w:hAnsi="Times New Roman"/>
          <w:bCs/>
          <w:sz w:val="28"/>
          <w:szCs w:val="24"/>
        </w:rPr>
        <w:t>sus sistemas de conocimiento, Derecho Mayor, Derecho Propio, Ley de Origen, Ley Natural, Palabra de Vida, en concordancia con el marco constitucional y las normas aquí establecidas.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En el ejercicio de sus competencias, las autoridades indígenas previstas</w:t>
      </w:r>
      <w:r w:rsidRPr="00D93140">
        <w:rPr>
          <w:rFonts w:ascii="Times New Roman" w:hAnsi="Times New Roman"/>
          <w:bCs/>
          <w:sz w:val="28"/>
          <w:szCs w:val="24"/>
        </w:rPr>
        <w:t xml:space="preserve"> en esta norma y las demás autoridades ambientales del Estado, establecerán conjuntamente mecanismos directos que permitan la debida aplicación de los principios de coordinación, concurrencia, complementariedad y subsidiariedad, respetuosos de la autonomía</w:t>
      </w:r>
      <w:r w:rsidRPr="00D93140">
        <w:rPr>
          <w:rFonts w:ascii="Times New Roman" w:hAnsi="Times New Roman"/>
          <w:bCs/>
          <w:sz w:val="28"/>
          <w:szCs w:val="24"/>
        </w:rPr>
        <w:t xml:space="preserve"> y los sistemas de conocimiento de los pueblos indígenas, con la finalidad de garantizar la protección armónica de los ecosistemas y territorios en los casos en los que se supere el ámbito de aplicación del presente Decreto y concurran competencias ambient</w:t>
      </w:r>
      <w:r w:rsidRPr="00D93140">
        <w:rPr>
          <w:rFonts w:ascii="Times New Roman" w:hAnsi="Times New Roman"/>
          <w:bCs/>
          <w:sz w:val="28"/>
          <w:szCs w:val="24"/>
        </w:rPr>
        <w:t>ales.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6. </w:t>
      </w:r>
      <w:r w:rsidRPr="00D93140">
        <w:rPr>
          <w:rFonts w:ascii="Times New Roman" w:hAnsi="Times New Roman"/>
          <w:bCs/>
          <w:i/>
          <w:iCs/>
          <w:sz w:val="28"/>
          <w:szCs w:val="24"/>
        </w:rPr>
        <w:t>Competencias complementarias de las autoridades indígenas en materia ambiental.</w:t>
      </w:r>
      <w:r w:rsidRPr="00D93140">
        <w:rPr>
          <w:rFonts w:ascii="Times New Roman" w:hAnsi="Times New Roman"/>
          <w:bCs/>
          <w:sz w:val="28"/>
          <w:szCs w:val="24"/>
        </w:rPr>
        <w:t> Además de lo dispuesto en el artículo anterior, serán competencias ambientales de las autoridades indígenas las siguientes: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1. Formular, adoptar y desarro</w:t>
      </w:r>
      <w:r w:rsidRPr="00D93140">
        <w:rPr>
          <w:rFonts w:ascii="Times New Roman" w:hAnsi="Times New Roman"/>
          <w:bCs/>
          <w:sz w:val="28"/>
          <w:szCs w:val="24"/>
        </w:rPr>
        <w:t>llar en su ámbito territorial los instrumentos de regulación y gestión ambiental, tales como planes de ordenamiento ambiental indígena, componentes en materia ambiental de los planes de vida, programas o proyectos que tengan como objeto, entre otros la pro</w:t>
      </w:r>
      <w:r w:rsidRPr="00D93140">
        <w:rPr>
          <w:rFonts w:ascii="Times New Roman" w:hAnsi="Times New Roman"/>
          <w:bCs/>
          <w:sz w:val="28"/>
          <w:szCs w:val="24"/>
        </w:rPr>
        <w:t>tección del ambiente, su conectividad ecosistémica, la recuperación de bosques, páramos, acuíferos, humedales, nacimientos de agua, aire, costas, manglares, ambiente y su biodiversidad. Estos incluirán la definición, de acuerdo con sus sistemas de conocimi</w:t>
      </w:r>
      <w:r w:rsidRPr="00D93140">
        <w:rPr>
          <w:rFonts w:ascii="Times New Roman" w:hAnsi="Times New Roman"/>
          <w:bCs/>
          <w:sz w:val="28"/>
          <w:szCs w:val="24"/>
        </w:rPr>
        <w:t>ento de los determinantes de ordenamiento territorial, en armonía con lo dispuesto en el parágrafo </w:t>
      </w:r>
      <w:hyperlink r:id="rId15" w:anchor="32.p.3" w:history="1">
        <w:r w:rsidRPr="00D93140">
          <w:rPr>
            <w:rStyle w:val="Hipervnculo"/>
            <w:rFonts w:ascii="Times New Roman" w:hAnsi="Times New Roman"/>
            <w:bCs/>
            <w:color w:val="auto"/>
            <w:sz w:val="28"/>
            <w:szCs w:val="24"/>
          </w:rPr>
          <w:t>3</w:t>
        </w:r>
      </w:hyperlink>
      <w:r w:rsidRPr="00D93140">
        <w:rPr>
          <w:rFonts w:ascii="Times New Roman" w:hAnsi="Times New Roman"/>
          <w:bCs/>
          <w:sz w:val="28"/>
          <w:szCs w:val="24"/>
        </w:rPr>
        <w:t xml:space="preserve"> del artículo 32 de la Ley 2294 de 2023, modificatorio del </w:t>
      </w:r>
      <w:r w:rsidRPr="00D93140">
        <w:rPr>
          <w:rFonts w:ascii="Times New Roman" w:hAnsi="Times New Roman"/>
          <w:bCs/>
          <w:sz w:val="28"/>
          <w:szCs w:val="24"/>
        </w:rPr>
        <w:t>artículo </w:t>
      </w:r>
      <w:hyperlink r:id="rId16" w:anchor="10" w:history="1">
        <w:r w:rsidRPr="00D93140">
          <w:rPr>
            <w:rStyle w:val="Hipervnculo"/>
            <w:rFonts w:ascii="Times New Roman" w:hAnsi="Times New Roman"/>
            <w:bCs/>
            <w:color w:val="auto"/>
            <w:sz w:val="28"/>
            <w:szCs w:val="24"/>
          </w:rPr>
          <w:t>10</w:t>
        </w:r>
      </w:hyperlink>
      <w:r w:rsidRPr="00D93140">
        <w:rPr>
          <w:rFonts w:ascii="Times New Roman" w:hAnsi="Times New Roman"/>
          <w:bCs/>
          <w:sz w:val="28"/>
          <w:szCs w:val="24"/>
        </w:rPr>
        <w:t> de la Ley 388 de 1997.</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2. Definir e implementar, desde las estructuras de gobierno propio y de acuerdo a sus sistemas de conocimiento, Derecho Mayor, Der</w:t>
      </w:r>
      <w:r w:rsidRPr="00D93140">
        <w:rPr>
          <w:rFonts w:ascii="Times New Roman" w:hAnsi="Times New Roman"/>
          <w:bCs/>
          <w:sz w:val="28"/>
          <w:szCs w:val="24"/>
        </w:rPr>
        <w:t>echo Propio, Ley de Origen, Ley Natural, Palabra de Vida, reglamentos dirigidos a administrar, preservar, conservar, proteger, restaurar, y fortalecer o rescatar la importancia especial que para las culturas y los valores espirituales de los pueblos indíge</w:t>
      </w:r>
      <w:r w:rsidRPr="00D93140">
        <w:rPr>
          <w:rFonts w:ascii="Times New Roman" w:hAnsi="Times New Roman"/>
          <w:bCs/>
          <w:sz w:val="28"/>
          <w:szCs w:val="24"/>
        </w:rPr>
        <w:t>nas reviste su relación con sus territorios y en especial con los seres materiales e inmateriales que en estos habitan y en particular los aspectos colectivos de esa relación.</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xml:space="preserve">3. Sancionar en el marco de la justicia propia a miembros de sus comunidades. </w:t>
      </w:r>
      <w:r w:rsidRPr="00D93140">
        <w:rPr>
          <w:rFonts w:ascii="Times New Roman" w:hAnsi="Times New Roman"/>
          <w:bCs/>
          <w:sz w:val="28"/>
          <w:szCs w:val="24"/>
        </w:rPr>
        <w:t>En caso de infracciones cometidas por personas que no estén bajo la jurisdicción indígena, la autoridad ambiental competente coordinará con la autoridad indígena respectiva, la imposición de las sanciones y medidas compensatorias a que haya lugar, así como</w:t>
      </w:r>
      <w:r w:rsidRPr="00D93140">
        <w:rPr>
          <w:rFonts w:ascii="Times New Roman" w:hAnsi="Times New Roman"/>
          <w:bCs/>
          <w:sz w:val="28"/>
          <w:szCs w:val="24"/>
        </w:rPr>
        <w:t xml:space="preserve"> de las de obras o acciones para la restauración del medio ambiente, los recursos naturales o el paisaje.</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4. Planificar, adoptar sus presupuestos y administrar los recursos que le correspondan para el ejercicio de las competencias establecidas en este De</w:t>
      </w:r>
      <w:r w:rsidRPr="00D93140">
        <w:rPr>
          <w:rFonts w:ascii="Times New Roman" w:hAnsi="Times New Roman"/>
          <w:bCs/>
          <w:sz w:val="28"/>
          <w:szCs w:val="24"/>
        </w:rPr>
        <w:t>creto.</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7. </w:t>
      </w:r>
      <w:r w:rsidRPr="00D93140">
        <w:rPr>
          <w:rFonts w:ascii="Times New Roman" w:hAnsi="Times New Roman"/>
          <w:bCs/>
          <w:i/>
          <w:iCs/>
          <w:sz w:val="28"/>
          <w:szCs w:val="24"/>
        </w:rPr>
        <w:t>Disposiciones generales para el desarrollo de la coordinación efectiva.</w:t>
      </w:r>
      <w:r w:rsidRPr="00D93140">
        <w:rPr>
          <w:rFonts w:ascii="Times New Roman" w:hAnsi="Times New Roman"/>
          <w:bCs/>
          <w:sz w:val="28"/>
          <w:szCs w:val="24"/>
        </w:rPr>
        <w:t> En el ejercicio de las competencias ambientales y en virtud del pluralismo jurídico, además de los principios administrativos de coordinación, concurrencia, subsid</w:t>
      </w:r>
      <w:r w:rsidRPr="00D93140">
        <w:rPr>
          <w:rFonts w:ascii="Times New Roman" w:hAnsi="Times New Roman"/>
          <w:bCs/>
          <w:sz w:val="28"/>
          <w:szCs w:val="24"/>
        </w:rPr>
        <w:t>iariedad, para llevar a cabo la coordinación ambiental efectiva de acuerdo con lo establecido en el presente Decreto, se aplicarán las siguientes disposiciones: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1. El Ministerio de Ambiente y Desarrollo Sostenible, los institutos adscritos y vinculados a</w:t>
      </w:r>
      <w:r w:rsidRPr="00D93140">
        <w:rPr>
          <w:rFonts w:ascii="Times New Roman" w:hAnsi="Times New Roman"/>
          <w:bCs/>
          <w:sz w:val="28"/>
          <w:szCs w:val="24"/>
        </w:rPr>
        <w:t xml:space="preserve"> este cuando se requiera, las autoridades ambientales urbanas, regionales y nacionales, los establecimientos públicos ambientales, las entidades territoriales, se coordinarán de manera efectiva con las autoridades tradicionales indígenas, las autoridades p</w:t>
      </w:r>
      <w:r w:rsidRPr="00D93140">
        <w:rPr>
          <w:rFonts w:ascii="Times New Roman" w:hAnsi="Times New Roman"/>
          <w:bCs/>
          <w:sz w:val="28"/>
          <w:szCs w:val="24"/>
        </w:rPr>
        <w:t>ropias de los territorios indígenas, los Consejos Indígenas u otras estructuras similares de gobierno propio, en los términos del artículo 5 de este Decreto.</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xml:space="preserve">2. Las entidades públicas están llamadas a la coordinación de las competencias ambientales, con </w:t>
      </w:r>
      <w:r w:rsidRPr="00D93140">
        <w:rPr>
          <w:rFonts w:ascii="Times New Roman" w:hAnsi="Times New Roman"/>
          <w:bCs/>
          <w:sz w:val="28"/>
          <w:szCs w:val="24"/>
        </w:rPr>
        <w:t>observancia de los sistemas de conocimiento, Derecho Mayor, Derecho Propio, Ley de Origen, Ley Natural, Palabra de Vida, planes de ordenamiento ambiental indígena, componentes en materia ambiental de los planes de vida; con la adopción de medidas y/o instr</w:t>
      </w:r>
      <w:r w:rsidRPr="00D93140">
        <w:rPr>
          <w:rFonts w:ascii="Times New Roman" w:hAnsi="Times New Roman"/>
          <w:bCs/>
          <w:sz w:val="28"/>
          <w:szCs w:val="24"/>
        </w:rPr>
        <w:t>umentos pertinentes, eficaces, eficientes, permanentes y culturalmente adecuadas, para consolidar la coordinación de autoridad a autoridad.</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TÍTULO</w:t>
      </w:r>
      <w:r w:rsidRPr="00D93140">
        <w:rPr>
          <w:rFonts w:ascii="Times New Roman" w:hAnsi="Times New Roman"/>
          <w:bCs/>
          <w:sz w:val="28"/>
          <w:szCs w:val="24"/>
        </w:rPr>
        <w:t xml:space="preserve"> </w:t>
      </w:r>
      <w:r w:rsidRPr="00D93140">
        <w:rPr>
          <w:rFonts w:ascii="Times New Roman" w:hAnsi="Times New Roman"/>
          <w:bCs/>
          <w:sz w:val="28"/>
          <w:szCs w:val="24"/>
        </w:rPr>
        <w:t>II</w:t>
      </w:r>
      <w:r w:rsidRPr="00D93140">
        <w:rPr>
          <w:rFonts w:ascii="Times New Roman" w:hAnsi="Times New Roman"/>
          <w:bCs/>
          <w:sz w:val="28"/>
          <w:szCs w:val="24"/>
        </w:rPr>
        <w:t>I</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ESTRUCTURAS Y ARTICULACIÓN</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8. </w:t>
      </w:r>
      <w:r w:rsidRPr="00D93140">
        <w:rPr>
          <w:rFonts w:ascii="Times New Roman" w:hAnsi="Times New Roman"/>
          <w:bCs/>
          <w:i/>
          <w:iCs/>
          <w:sz w:val="28"/>
          <w:szCs w:val="24"/>
        </w:rPr>
        <w:t>Estructuras de Gobierno propio.</w:t>
      </w:r>
      <w:r w:rsidRPr="00D93140">
        <w:rPr>
          <w:rFonts w:ascii="Times New Roman" w:hAnsi="Times New Roman"/>
          <w:bCs/>
          <w:sz w:val="28"/>
          <w:szCs w:val="24"/>
        </w:rPr>
        <w:t xml:space="preserve"> Las autoridades tradicionales </w:t>
      </w:r>
      <w:r w:rsidRPr="00D93140">
        <w:rPr>
          <w:rFonts w:ascii="Times New Roman" w:hAnsi="Times New Roman"/>
          <w:bCs/>
          <w:sz w:val="28"/>
          <w:szCs w:val="24"/>
        </w:rPr>
        <w:t>de los pueblos indígenas ejercerán las competencias establecidas en este Decreto desde sus estructuras de gobierno propio conforme a sus sistemas de conocimiento, Derecho Mayor, Derecho Propio, Ley de Origen, Ley Natural, Palabra de Vida.</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9. </w:t>
      </w:r>
      <w:r w:rsidRPr="00D93140">
        <w:rPr>
          <w:rFonts w:ascii="Times New Roman" w:hAnsi="Times New Roman"/>
          <w:bCs/>
          <w:i/>
          <w:iCs/>
          <w:sz w:val="28"/>
          <w:szCs w:val="24"/>
        </w:rPr>
        <w:t>Art</w:t>
      </w:r>
      <w:r w:rsidRPr="00D93140">
        <w:rPr>
          <w:rFonts w:ascii="Times New Roman" w:hAnsi="Times New Roman"/>
          <w:bCs/>
          <w:i/>
          <w:iCs/>
          <w:sz w:val="28"/>
          <w:szCs w:val="24"/>
        </w:rPr>
        <w:t>iculación de los mecanismos especiales de protección.</w:t>
      </w:r>
      <w:r w:rsidRPr="00D93140">
        <w:rPr>
          <w:rFonts w:ascii="Times New Roman" w:hAnsi="Times New Roman"/>
          <w:bCs/>
          <w:sz w:val="28"/>
          <w:szCs w:val="24"/>
        </w:rPr>
        <w:t> Para efectos de las competencias ambientales establecidas, se articulan a las disposiciones del presente Decreto, los siguientes mecanismos de protección a los pueblos indígenas: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xml:space="preserve">1. Del acuerdo final </w:t>
      </w:r>
      <w:r w:rsidRPr="00D93140">
        <w:rPr>
          <w:rFonts w:ascii="Times New Roman" w:hAnsi="Times New Roman"/>
          <w:bCs/>
          <w:sz w:val="28"/>
          <w:szCs w:val="24"/>
        </w:rPr>
        <w:t>para la terminación del conflicto y la construcción de una paz estable y duradera, se articula la siguiente disposición contenida en el inciso segundo del numeral </w:t>
      </w:r>
      <w:hyperlink r:id="rId17" w:anchor="6.2.2" w:history="1">
        <w:r w:rsidRPr="00D93140">
          <w:rPr>
            <w:rStyle w:val="Hipervnculo"/>
            <w:rFonts w:ascii="Times New Roman" w:hAnsi="Times New Roman"/>
            <w:bCs/>
            <w:color w:val="auto"/>
            <w:sz w:val="28"/>
            <w:szCs w:val="24"/>
          </w:rPr>
          <w:t>6.2.2.</w:t>
        </w:r>
      </w:hyperlink>
      <w:r w:rsidRPr="00D93140">
        <w:rPr>
          <w:rFonts w:ascii="Times New Roman" w:hAnsi="Times New Roman"/>
          <w:bCs/>
          <w:sz w:val="28"/>
          <w:szCs w:val="24"/>
        </w:rPr>
        <w:t> Principios: </w:t>
      </w:r>
      <w:r w:rsidRPr="00D93140">
        <w:rPr>
          <w:rFonts w:ascii="Times New Roman" w:hAnsi="Times New Roman"/>
          <w:bCs/>
          <w:i/>
          <w:iCs/>
          <w:sz w:val="28"/>
          <w:szCs w:val="24"/>
        </w:rPr>
        <w:t>“En la interpretación e implementación del Acuerdo Final para la Terminación del Conflicto y la Construcción de una Paz Estable y Duradera en Colombia, con enfoque étnico se tendrá en cuenta entre otros los siguientes principios a la li</w:t>
      </w:r>
      <w:r w:rsidRPr="00D93140">
        <w:rPr>
          <w:rFonts w:ascii="Times New Roman" w:hAnsi="Times New Roman"/>
          <w:bCs/>
          <w:i/>
          <w:iCs/>
          <w:sz w:val="28"/>
          <w:szCs w:val="24"/>
        </w:rPr>
        <w:t>bre determinación, la autonomía y el gobierno propio, a la participación, la consulta y el consentimiento previo libre e informado; a la identidad e integridad social, económica y cultural, a los derechos de propiedad y el uso y goce sobre sus tierras, ter</w:t>
      </w:r>
      <w:r w:rsidRPr="00D93140">
        <w:rPr>
          <w:rFonts w:ascii="Times New Roman" w:hAnsi="Times New Roman"/>
          <w:bCs/>
          <w:i/>
          <w:iCs/>
          <w:sz w:val="28"/>
          <w:szCs w:val="24"/>
        </w:rPr>
        <w:t>ritorios y recursos, que implican el reconocimiento de sus prácticas territoriales ancestrales, el derecho a la restitución y fortalecimiento de su territorialidad, los mecanismos vigentes para la protección y seguridad jurídica de las tierras y territorio</w:t>
      </w:r>
      <w:r w:rsidRPr="00D93140">
        <w:rPr>
          <w:rFonts w:ascii="Times New Roman" w:hAnsi="Times New Roman"/>
          <w:bCs/>
          <w:i/>
          <w:iCs/>
          <w:sz w:val="28"/>
          <w:szCs w:val="24"/>
        </w:rPr>
        <w:t>s ocupados o poseídos ancestralmente y/o tradicionalmente”.</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2. Del Decreto 2333 de 2014, compilado en el Decreto </w:t>
      </w:r>
      <w:hyperlink r:id="rId18" w:history="1">
        <w:r w:rsidRPr="00D93140">
          <w:rPr>
            <w:rStyle w:val="Hipervnculo"/>
            <w:rFonts w:ascii="Times New Roman" w:hAnsi="Times New Roman"/>
            <w:bCs/>
            <w:color w:val="auto"/>
            <w:sz w:val="28"/>
            <w:szCs w:val="24"/>
          </w:rPr>
          <w:t>1071</w:t>
        </w:r>
      </w:hyperlink>
      <w:r w:rsidRPr="00D93140">
        <w:rPr>
          <w:rFonts w:ascii="Times New Roman" w:hAnsi="Times New Roman"/>
          <w:bCs/>
          <w:sz w:val="28"/>
          <w:szCs w:val="24"/>
        </w:rPr>
        <w:t xml:space="preserve"> de 2015, se articulan con la presente norma, los </w:t>
      </w:r>
      <w:r w:rsidRPr="00D93140">
        <w:rPr>
          <w:rFonts w:ascii="Times New Roman" w:hAnsi="Times New Roman"/>
          <w:bCs/>
          <w:sz w:val="28"/>
          <w:szCs w:val="24"/>
        </w:rPr>
        <w:t>numerales </w:t>
      </w:r>
      <w:hyperlink r:id="rId19" w:anchor="2.n.2" w:history="1">
        <w:r w:rsidRPr="00D93140">
          <w:rPr>
            <w:rStyle w:val="Hipervnculo"/>
            <w:rFonts w:ascii="Times New Roman" w:hAnsi="Times New Roman"/>
            <w:bCs/>
            <w:color w:val="auto"/>
            <w:sz w:val="28"/>
            <w:szCs w:val="24"/>
          </w:rPr>
          <w:t>2</w:t>
        </w:r>
      </w:hyperlink>
      <w:r w:rsidRPr="00D93140">
        <w:rPr>
          <w:rFonts w:ascii="Times New Roman" w:hAnsi="Times New Roman"/>
          <w:bCs/>
          <w:sz w:val="28"/>
          <w:szCs w:val="24"/>
        </w:rPr>
        <w:t>, </w:t>
      </w:r>
      <w:hyperlink r:id="rId20" w:anchor="2.n.3" w:history="1">
        <w:r w:rsidRPr="00D93140">
          <w:rPr>
            <w:rStyle w:val="Hipervnculo"/>
            <w:rFonts w:ascii="Times New Roman" w:hAnsi="Times New Roman"/>
            <w:bCs/>
            <w:color w:val="auto"/>
            <w:sz w:val="28"/>
            <w:szCs w:val="24"/>
          </w:rPr>
          <w:t>3</w:t>
        </w:r>
      </w:hyperlink>
      <w:r w:rsidRPr="00D93140">
        <w:rPr>
          <w:rFonts w:ascii="Times New Roman" w:hAnsi="Times New Roman"/>
          <w:bCs/>
          <w:sz w:val="28"/>
          <w:szCs w:val="24"/>
        </w:rPr>
        <w:t> y </w:t>
      </w:r>
      <w:hyperlink r:id="rId21" w:anchor="2.n.4" w:history="1">
        <w:r w:rsidRPr="00D93140">
          <w:rPr>
            <w:rStyle w:val="Hipervnculo"/>
            <w:rFonts w:ascii="Times New Roman" w:hAnsi="Times New Roman"/>
            <w:bCs/>
            <w:color w:val="auto"/>
            <w:sz w:val="28"/>
            <w:szCs w:val="24"/>
          </w:rPr>
          <w:t>4</w:t>
        </w:r>
      </w:hyperlink>
      <w:r w:rsidRPr="00D93140">
        <w:rPr>
          <w:rFonts w:ascii="Times New Roman" w:hAnsi="Times New Roman"/>
          <w:bCs/>
          <w:sz w:val="28"/>
          <w:szCs w:val="24"/>
        </w:rPr>
        <w:t> del artículo 2.</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TÍTULO IV</w:t>
      </w:r>
    </w:p>
    <w:p w:rsidR="00655743" w:rsidRPr="00D93140" w:rsidRDefault="00D93140" w:rsidP="00E04174">
      <w:pPr>
        <w:ind w:left="708"/>
        <w:jc w:val="center"/>
        <w:rPr>
          <w:rFonts w:ascii="Times New Roman" w:hAnsi="Times New Roman"/>
          <w:bCs/>
          <w:sz w:val="28"/>
          <w:szCs w:val="24"/>
        </w:rPr>
      </w:pPr>
      <w:r w:rsidRPr="00D93140">
        <w:rPr>
          <w:rFonts w:ascii="Times New Roman" w:hAnsi="Times New Roman"/>
          <w:bCs/>
          <w:sz w:val="28"/>
          <w:szCs w:val="24"/>
        </w:rPr>
        <w:t>FINANCIACIÓN Y DISPOSICIONES FINALES</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10. </w:t>
      </w:r>
      <w:r w:rsidRPr="00D93140">
        <w:rPr>
          <w:rFonts w:ascii="Times New Roman" w:hAnsi="Times New Roman"/>
          <w:bCs/>
          <w:i/>
          <w:iCs/>
          <w:sz w:val="28"/>
          <w:szCs w:val="24"/>
        </w:rPr>
        <w:t>Alistamiento Institucional y Financiamiento.</w:t>
      </w:r>
      <w:r w:rsidRPr="00D93140">
        <w:rPr>
          <w:rFonts w:ascii="Times New Roman" w:hAnsi="Times New Roman"/>
          <w:bCs/>
          <w:sz w:val="28"/>
          <w:szCs w:val="24"/>
        </w:rPr>
        <w:t xml:space="preserve"> El Ministerio de Ambiente y Desarrollo Sostenible coordinará con las entidades del </w:t>
      </w:r>
      <w:r w:rsidRPr="00D93140">
        <w:rPr>
          <w:rFonts w:ascii="Times New Roman" w:hAnsi="Times New Roman"/>
          <w:bCs/>
          <w:sz w:val="28"/>
          <w:szCs w:val="24"/>
        </w:rPr>
        <w:t xml:space="preserve">Gobierno Nacional pertinentes y en concertación con la MPC la definición de los mecanismos y realizarán las acciones necesarias para garantizar los recursos de funcionamiento de las competencias ambientales de las autoridades indígenas, de conformidad con </w:t>
      </w:r>
      <w:r w:rsidRPr="00D93140">
        <w:rPr>
          <w:rFonts w:ascii="Times New Roman" w:hAnsi="Times New Roman"/>
          <w:bCs/>
          <w:sz w:val="28"/>
          <w:szCs w:val="24"/>
        </w:rPr>
        <w:t>lo establecido en el artículo </w:t>
      </w:r>
      <w:hyperlink r:id="rId22" w:anchor="4" w:history="1">
        <w:r w:rsidRPr="00D93140">
          <w:rPr>
            <w:rStyle w:val="Hipervnculo"/>
            <w:rFonts w:ascii="Times New Roman" w:hAnsi="Times New Roman"/>
            <w:bCs/>
            <w:color w:val="auto"/>
            <w:sz w:val="28"/>
            <w:szCs w:val="24"/>
          </w:rPr>
          <w:t>4</w:t>
        </w:r>
      </w:hyperlink>
      <w:r w:rsidRPr="00D93140">
        <w:rPr>
          <w:rFonts w:ascii="Times New Roman" w:hAnsi="Times New Roman"/>
          <w:bCs/>
          <w:sz w:val="28"/>
          <w:szCs w:val="24"/>
        </w:rPr>
        <w:t> del presente Decreto, en un plazo no mayor de seis (6) meses contados a partir de la entrada en vigencia del presente Decreto.</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De m</w:t>
      </w:r>
      <w:r w:rsidRPr="00D93140">
        <w:rPr>
          <w:rFonts w:ascii="Times New Roman" w:hAnsi="Times New Roman"/>
          <w:bCs/>
          <w:sz w:val="28"/>
          <w:szCs w:val="24"/>
        </w:rPr>
        <w:t>anera simultánea y en este mismo término de tiempo se acordarán con el apoyo del Ministerio de ambiente y Desarrollo Sostenible, la Mesa Permanente de Concertación -MPC- y las autoridades ambientales, las medidas que permitan el alistamiento institucional.</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 </w:t>
      </w:r>
    </w:p>
    <w:p w:rsidR="00655743" w:rsidRPr="00D93140" w:rsidRDefault="00D93140" w:rsidP="00E04174">
      <w:pPr>
        <w:ind w:left="708"/>
        <w:jc w:val="both"/>
        <w:rPr>
          <w:rFonts w:ascii="Times New Roman" w:hAnsi="Times New Roman"/>
          <w:bCs/>
          <w:sz w:val="28"/>
          <w:szCs w:val="24"/>
        </w:rPr>
      </w:pPr>
      <w:r w:rsidRPr="00D93140">
        <w:rPr>
          <w:rFonts w:ascii="Times New Roman" w:hAnsi="Times New Roman"/>
          <w:bCs/>
          <w:sz w:val="28"/>
          <w:szCs w:val="24"/>
        </w:rPr>
        <w:t>Artículo 11. </w:t>
      </w:r>
      <w:r w:rsidRPr="00D93140">
        <w:rPr>
          <w:rFonts w:ascii="Times New Roman" w:hAnsi="Times New Roman"/>
          <w:bCs/>
          <w:i/>
          <w:iCs/>
          <w:sz w:val="28"/>
          <w:szCs w:val="24"/>
        </w:rPr>
        <w:t>Derogatorias y Vigencias.</w:t>
      </w:r>
      <w:r w:rsidRPr="00D93140">
        <w:rPr>
          <w:rFonts w:ascii="Times New Roman" w:hAnsi="Times New Roman"/>
          <w:bCs/>
          <w:sz w:val="28"/>
          <w:szCs w:val="24"/>
        </w:rPr>
        <w:t> El presente decreto rige a partir de la fecha de su publicación en el diario oficial y deroga todas las normas que le sean contrarias.</w:t>
      </w:r>
    </w:p>
    <w:p w:rsidR="00517D4F" w:rsidRPr="00D93140" w:rsidRDefault="00D93140" w:rsidP="00E04174">
      <w:pPr>
        <w:ind w:left="708"/>
        <w:jc w:val="both"/>
        <w:rPr>
          <w:rFonts w:ascii="Times New Roman" w:hAnsi="Times New Roman"/>
          <w:sz w:val="28"/>
          <w:szCs w:val="28"/>
        </w:rPr>
      </w:pPr>
    </w:p>
    <w:p w:rsidR="00666A42" w:rsidRPr="00D93140" w:rsidRDefault="00D93140" w:rsidP="003C3E37">
      <w:pPr>
        <w:pStyle w:val="Ttulo2"/>
        <w:rPr>
          <w:rFonts w:ascii="Times New Roman" w:hAnsi="Times New Roman"/>
          <w:b/>
          <w:sz w:val="28"/>
          <w:lang w:val="es-ES"/>
        </w:rPr>
      </w:pPr>
      <w:bookmarkStart w:id="5" w:name="_Toc215735423"/>
      <w:r w:rsidRPr="00D93140">
        <w:rPr>
          <w:rFonts w:ascii="Times New Roman" w:hAnsi="Times New Roman"/>
          <w:b/>
          <w:bCs/>
          <w:sz w:val="28"/>
        </w:rPr>
        <w:t xml:space="preserve">B. </w:t>
      </w:r>
      <w:r w:rsidRPr="00D93140">
        <w:rPr>
          <w:rFonts w:ascii="Times New Roman" w:hAnsi="Times New Roman"/>
          <w:b/>
          <w:sz w:val="28"/>
          <w:lang w:val="es-ES"/>
        </w:rPr>
        <w:t>Trámite procesal</w:t>
      </w:r>
      <w:bookmarkEnd w:id="5"/>
    </w:p>
    <w:p w:rsidR="00666A42" w:rsidRPr="00D93140" w:rsidRDefault="00D93140" w:rsidP="00E04174">
      <w:pPr>
        <w:pStyle w:val="Sinespaciado"/>
        <w:jc w:val="both"/>
        <w:rPr>
          <w:rFonts w:ascii="Times New Roman" w:hAnsi="Times New Roman"/>
          <w:sz w:val="28"/>
          <w:szCs w:val="28"/>
          <w:lang w:val="es-ES"/>
        </w:rPr>
      </w:pPr>
    </w:p>
    <w:p w:rsidR="00666A42"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El 29 de enero de 2025, la Sala Plena decidió acumular las referidas demandas y, previo sorteo, repartirlas </w:t>
      </w:r>
      <w:r w:rsidRPr="00D93140">
        <w:rPr>
          <w:rFonts w:ascii="Times New Roman" w:hAnsi="Times New Roman"/>
          <w:sz w:val="28"/>
          <w:szCs w:val="28"/>
        </w:rPr>
        <w:t>a la entonces magistrada sustanciadora Cristina Pardo Schlesinger, quien finalizó su periodo el 17 de mayo de 2025</w:t>
      </w:r>
      <w:r w:rsidRPr="00D93140">
        <w:rPr>
          <w:rFonts w:ascii="Times New Roman" w:hAnsi="Times New Roman"/>
          <w:sz w:val="28"/>
          <w:szCs w:val="28"/>
        </w:rPr>
        <w:t xml:space="preserve">. </w:t>
      </w:r>
    </w:p>
    <w:p w:rsidR="00666A42" w:rsidRPr="00D93140" w:rsidRDefault="00D93140" w:rsidP="00E04174">
      <w:pPr>
        <w:pStyle w:val="Prrafodelista"/>
        <w:ind w:left="0"/>
        <w:jc w:val="both"/>
        <w:rPr>
          <w:rFonts w:ascii="Times New Roman" w:hAnsi="Times New Roman"/>
          <w:sz w:val="28"/>
          <w:szCs w:val="28"/>
        </w:rPr>
      </w:pPr>
    </w:p>
    <w:p w:rsidR="00666A42"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lang w:val="es-ES"/>
        </w:rPr>
        <w:t xml:space="preserve">Mediante </w:t>
      </w:r>
      <w:r w:rsidRPr="00D93140">
        <w:rPr>
          <w:rFonts w:ascii="Times New Roman" w:hAnsi="Times New Roman"/>
          <w:bCs/>
          <w:sz w:val="28"/>
          <w:szCs w:val="28"/>
          <w:lang w:val="es-ES"/>
        </w:rPr>
        <w:t xml:space="preserve">Auto del 14 de </w:t>
      </w:r>
      <w:r w:rsidRPr="00D93140">
        <w:rPr>
          <w:rFonts w:ascii="Times New Roman" w:hAnsi="Times New Roman"/>
          <w:bCs/>
          <w:sz w:val="28"/>
          <w:szCs w:val="28"/>
          <w:lang w:val="es-ES"/>
        </w:rPr>
        <w:t>febrero de 2025, se admitieron algunos cargos y se inadmitieron los cargos primero, cuarto, sexto y octavo del expediente D-16345 y los cargos segundo, tercero y sexto del expediente D-16396, tras considerar que los demandantes no superaron la carga argume</w:t>
      </w:r>
      <w:r w:rsidRPr="00D93140">
        <w:rPr>
          <w:rFonts w:ascii="Times New Roman" w:hAnsi="Times New Roman"/>
          <w:bCs/>
          <w:sz w:val="28"/>
          <w:szCs w:val="28"/>
          <w:lang w:val="es-ES"/>
        </w:rPr>
        <w:t>ntativa que exige el presupuesto del concepto de violación. Puntualmente, las exigencias de claridad, certeza, especificidad, pertinencia y suficiencia.</w:t>
      </w:r>
      <w:r w:rsidRPr="00D93140">
        <w:rPr>
          <w:rFonts w:ascii="Times New Roman" w:hAnsi="Times New Roman"/>
          <w:bCs/>
          <w:sz w:val="28"/>
          <w:szCs w:val="28"/>
          <w:lang w:val="es-ES"/>
        </w:rPr>
        <w:t xml:space="preserve"> </w:t>
      </w:r>
      <w:r w:rsidRPr="00D93140">
        <w:rPr>
          <w:rFonts w:ascii="Times New Roman" w:hAnsi="Times New Roman"/>
          <w:sz w:val="28"/>
          <w:szCs w:val="28"/>
          <w:lang w:val="es-ES"/>
        </w:rPr>
        <w:t>En esa providencia, se</w:t>
      </w:r>
      <w:r w:rsidRPr="00D93140">
        <w:rPr>
          <w:rFonts w:ascii="Times New Roman" w:hAnsi="Times New Roman"/>
          <w:bCs/>
          <w:sz w:val="28"/>
          <w:szCs w:val="28"/>
          <w:lang w:val="es-ES"/>
        </w:rPr>
        <w:t xml:space="preserve"> ordenó a </w:t>
      </w:r>
      <w:r w:rsidRPr="00D93140">
        <w:rPr>
          <w:rFonts w:ascii="Times New Roman" w:hAnsi="Times New Roman"/>
          <w:sz w:val="28"/>
          <w:szCs w:val="28"/>
          <w:lang w:val="es-ES"/>
        </w:rPr>
        <w:t xml:space="preserve">la Secretaría General de la Corte Constitucional que (i) oficiara a la </w:t>
      </w:r>
      <w:r w:rsidRPr="00D93140">
        <w:rPr>
          <w:rFonts w:ascii="Times New Roman" w:hAnsi="Times New Roman"/>
          <w:sz w:val="28"/>
          <w:szCs w:val="28"/>
        </w:rPr>
        <w:t>Secretaría Jurídica de la Presidencia de la República y a la Oficina Asesora Jurídica del Ministerio del Interior para que, remitiera la memoria justificativa del Decreto Ley 1275 de 2024, así como los documentos que deben acompañar dicha memoria, de acuer</w:t>
      </w:r>
      <w:r w:rsidRPr="00D93140">
        <w:rPr>
          <w:rFonts w:ascii="Times New Roman" w:hAnsi="Times New Roman"/>
          <w:sz w:val="28"/>
          <w:szCs w:val="28"/>
        </w:rPr>
        <w:t>do con lo dispuesto en el artículo 2.1.2.1.6 del Decreto 1081 de 2015 y a la Dirección Nacional de Consulta Previa del Ministerio del Interior para que, certifique si se cumplió o no el proceso de consulta previa del Decreto Ley 1275 de 2024 con las comuni</w:t>
      </w:r>
      <w:r w:rsidRPr="00D93140">
        <w:rPr>
          <w:rFonts w:ascii="Times New Roman" w:hAnsi="Times New Roman"/>
          <w:sz w:val="28"/>
          <w:szCs w:val="28"/>
        </w:rPr>
        <w:t xml:space="preserve">dades indígenas, negras, afrodescendientes, raizales y palenqueras; (ii) </w:t>
      </w:r>
      <w:r w:rsidRPr="00D93140">
        <w:rPr>
          <w:rFonts w:ascii="Times New Roman" w:hAnsi="Times New Roman"/>
          <w:sz w:val="28"/>
          <w:szCs w:val="28"/>
          <w:lang w:val="es-ES"/>
        </w:rPr>
        <w:t xml:space="preserve">comunicara el inicio del proceso a la Presidencia de la República, </w:t>
      </w:r>
      <w:r w:rsidRPr="00D93140">
        <w:rPr>
          <w:rFonts w:ascii="Times New Roman" w:hAnsi="Times New Roman"/>
          <w:sz w:val="28"/>
          <w:szCs w:val="28"/>
          <w:lang w:val="es-ES"/>
        </w:rPr>
        <w:t>al Congreso</w:t>
      </w:r>
      <w:r w:rsidRPr="00D93140">
        <w:rPr>
          <w:rFonts w:ascii="Times New Roman" w:hAnsi="Times New Roman"/>
          <w:sz w:val="28"/>
          <w:szCs w:val="28"/>
          <w:lang w:val="es-ES"/>
        </w:rPr>
        <w:t xml:space="preserve"> de la República</w:t>
      </w:r>
      <w:r w:rsidRPr="00D93140">
        <w:rPr>
          <w:rFonts w:ascii="Times New Roman" w:hAnsi="Times New Roman"/>
          <w:sz w:val="28"/>
          <w:szCs w:val="28"/>
          <w:lang w:val="es-ES"/>
        </w:rPr>
        <w:t>,</w:t>
      </w:r>
      <w:r w:rsidRPr="00D93140">
        <w:rPr>
          <w:rFonts w:ascii="Times New Roman" w:hAnsi="Times New Roman"/>
          <w:sz w:val="28"/>
          <w:szCs w:val="28"/>
        </w:rPr>
        <w:t xml:space="preserve"> a los ministerios del Interior, Hacienda y Crédito Público y Ambiente y Desarrollo Sost</w:t>
      </w:r>
      <w:r w:rsidRPr="00D93140">
        <w:rPr>
          <w:rFonts w:ascii="Times New Roman" w:hAnsi="Times New Roman"/>
          <w:sz w:val="28"/>
          <w:szCs w:val="28"/>
        </w:rPr>
        <w:t>enible y al Departamento Nacional de Planeación</w:t>
      </w:r>
      <w:r w:rsidRPr="00D93140">
        <w:rPr>
          <w:rFonts w:ascii="Times New Roman" w:hAnsi="Times New Roman"/>
          <w:sz w:val="28"/>
          <w:szCs w:val="28"/>
          <w:lang w:val="es-ES"/>
        </w:rPr>
        <w:t xml:space="preserve"> (ii</w:t>
      </w:r>
      <w:r w:rsidRPr="00D93140">
        <w:rPr>
          <w:rFonts w:ascii="Times New Roman" w:hAnsi="Times New Roman"/>
          <w:sz w:val="28"/>
          <w:szCs w:val="28"/>
          <w:lang w:val="es-ES"/>
        </w:rPr>
        <w:t>i</w:t>
      </w:r>
      <w:r w:rsidRPr="00D93140">
        <w:rPr>
          <w:rFonts w:ascii="Times New Roman" w:hAnsi="Times New Roman"/>
          <w:sz w:val="28"/>
          <w:szCs w:val="28"/>
          <w:lang w:val="es-ES"/>
        </w:rPr>
        <w:t>) fijara el asunto en lista por un término de diez días para permitir que los ciudadanos pudieran defender o cuestionar la constitucionalidad de las disposiciones objeto de reproche; (i</w:t>
      </w:r>
      <w:r w:rsidRPr="00D93140">
        <w:rPr>
          <w:rFonts w:ascii="Times New Roman" w:hAnsi="Times New Roman"/>
          <w:sz w:val="28"/>
          <w:szCs w:val="28"/>
          <w:lang w:val="es-ES"/>
        </w:rPr>
        <w:t>v</w:t>
      </w:r>
      <w:r w:rsidRPr="00D93140">
        <w:rPr>
          <w:rFonts w:ascii="Times New Roman" w:hAnsi="Times New Roman"/>
          <w:sz w:val="28"/>
          <w:szCs w:val="28"/>
          <w:lang w:val="es-ES"/>
        </w:rPr>
        <w:t xml:space="preserve">) trasladara a la </w:t>
      </w:r>
      <w:r w:rsidRPr="00D93140">
        <w:rPr>
          <w:rFonts w:ascii="Times New Roman" w:hAnsi="Times New Roman"/>
          <w:sz w:val="28"/>
          <w:szCs w:val="28"/>
          <w:lang w:val="es-ES"/>
        </w:rPr>
        <w:t>Procuraduría General de la Nación para que rindiera su concepto; (v) invitara a algunas entidades públicas, a varias facultades de derecho a distintas universidades para que, si lo estimaban pertinente, intervinieran en el caso de la referencia</w:t>
      </w:r>
      <w:r w:rsidRPr="00D93140">
        <w:rPr>
          <w:rFonts w:ascii="Times New Roman" w:hAnsi="Times New Roman"/>
          <w:sz w:val="28"/>
          <w:szCs w:val="28"/>
          <w:lang w:val="es-ES"/>
        </w:rPr>
        <w:t>.</w:t>
      </w:r>
      <w:r w:rsidRPr="00D93140">
        <w:rPr>
          <w:rFonts w:ascii="Times New Roman" w:hAnsi="Times New Roman"/>
          <w:bCs/>
          <w:sz w:val="28"/>
          <w:szCs w:val="28"/>
          <w:lang w:val="es-ES"/>
        </w:rPr>
        <w:t xml:space="preserve"> </w:t>
      </w:r>
    </w:p>
    <w:p w:rsidR="00666A42" w:rsidRPr="00D93140" w:rsidRDefault="00D93140" w:rsidP="00E04174">
      <w:pPr>
        <w:pStyle w:val="Prrafodelista"/>
        <w:ind w:left="0"/>
        <w:jc w:val="both"/>
        <w:rPr>
          <w:rFonts w:ascii="Times New Roman" w:hAnsi="Times New Roman"/>
          <w:sz w:val="28"/>
          <w:szCs w:val="28"/>
        </w:rPr>
      </w:pPr>
    </w:p>
    <w:p w:rsidR="00660FF8"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lang w:val="es-ES"/>
        </w:rPr>
        <w:t>Dentro d</w:t>
      </w:r>
      <w:r w:rsidRPr="00D93140">
        <w:rPr>
          <w:rFonts w:ascii="Times New Roman" w:hAnsi="Times New Roman"/>
          <w:sz w:val="28"/>
          <w:szCs w:val="28"/>
          <w:lang w:val="es-ES"/>
        </w:rPr>
        <w:t xml:space="preserve">el término de ejecutoria del auto referido, los demandantes presentaron escrito de corrección de la demanda de la referencia. </w:t>
      </w:r>
      <w:r w:rsidRPr="00D93140">
        <w:rPr>
          <w:rFonts w:ascii="Times New Roman" w:hAnsi="Times New Roman"/>
          <w:sz w:val="28"/>
          <w:szCs w:val="28"/>
          <w:lang w:val="es-ES"/>
        </w:rPr>
        <w:t xml:space="preserve">Mediante Auto del </w:t>
      </w:r>
      <w:r w:rsidRPr="00D93140">
        <w:rPr>
          <w:rFonts w:ascii="Times New Roman" w:hAnsi="Times New Roman"/>
          <w:sz w:val="28"/>
          <w:szCs w:val="28"/>
          <w:lang w:val="es-ES"/>
        </w:rPr>
        <w:t>7</w:t>
      </w:r>
      <w:r w:rsidRPr="00D93140">
        <w:rPr>
          <w:rFonts w:ascii="Times New Roman" w:hAnsi="Times New Roman"/>
          <w:sz w:val="28"/>
          <w:szCs w:val="28"/>
          <w:lang w:val="es-ES"/>
        </w:rPr>
        <w:t xml:space="preserve"> de marzo de 2025, se rechazó el cargo sexto y se admitieron los cargos primero cuarto y octavo dentro del expe</w:t>
      </w:r>
      <w:r w:rsidRPr="00D93140">
        <w:rPr>
          <w:rFonts w:ascii="Times New Roman" w:hAnsi="Times New Roman"/>
          <w:sz w:val="28"/>
          <w:szCs w:val="28"/>
          <w:lang w:val="es-ES"/>
        </w:rPr>
        <w:t>diente D-16345 y se admitió el cargo tercero</w:t>
      </w:r>
      <w:r w:rsidRPr="00D93140">
        <w:rPr>
          <w:rStyle w:val="Refdenotaalpie"/>
          <w:rFonts w:ascii="Times New Roman" w:hAnsi="Times New Roman"/>
          <w:sz w:val="28"/>
          <w:szCs w:val="28"/>
          <w:lang w:val="es-ES"/>
        </w:rPr>
        <w:footnoteReference w:id="3"/>
      </w:r>
      <w:r w:rsidRPr="00D93140">
        <w:rPr>
          <w:rFonts w:ascii="Times New Roman" w:hAnsi="Times New Roman"/>
          <w:sz w:val="28"/>
          <w:szCs w:val="28"/>
          <w:lang w:val="es-ES"/>
        </w:rPr>
        <w:t xml:space="preserve"> dentro del expediente D-16396</w:t>
      </w:r>
      <w:r w:rsidRPr="00D93140">
        <w:rPr>
          <w:rFonts w:ascii="Times New Roman" w:hAnsi="Times New Roman"/>
          <w:sz w:val="28"/>
          <w:szCs w:val="28"/>
          <w:lang w:val="es-ES"/>
        </w:rPr>
        <w:t xml:space="preserve">. </w:t>
      </w:r>
      <w:r w:rsidRPr="00D93140">
        <w:rPr>
          <w:rFonts w:ascii="Times New Roman" w:hAnsi="Times New Roman"/>
          <w:sz w:val="28"/>
          <w:szCs w:val="28"/>
          <w:lang w:val="es-ES"/>
        </w:rPr>
        <w:t>Además, se ordenó oficiar (</w:t>
      </w:r>
      <w:r w:rsidRPr="00D93140">
        <w:rPr>
          <w:rFonts w:ascii="Times New Roman" w:hAnsi="Times New Roman"/>
          <w:sz w:val="28"/>
          <w:szCs w:val="28"/>
        </w:rPr>
        <w:t xml:space="preserve">i) al Ministerio de Ambiente y Desarrollo Sostenible para que certificara si se analizaron los costos fiscales de la iniciativa y la fuente de ingreso </w:t>
      </w:r>
      <w:r w:rsidRPr="00D93140">
        <w:rPr>
          <w:rFonts w:ascii="Times New Roman" w:hAnsi="Times New Roman"/>
          <w:sz w:val="28"/>
          <w:szCs w:val="28"/>
        </w:rPr>
        <w:t>adicional generada para el financiamiento de esos costos; y (ii) al Ministerio de Hacienda y Crédito Público para que certifi</w:t>
      </w:r>
      <w:r w:rsidRPr="00D93140">
        <w:rPr>
          <w:rFonts w:ascii="Times New Roman" w:hAnsi="Times New Roman"/>
          <w:sz w:val="28"/>
          <w:szCs w:val="28"/>
        </w:rPr>
        <w:t>cara</w:t>
      </w:r>
      <w:r w:rsidRPr="00D93140">
        <w:rPr>
          <w:rFonts w:ascii="Times New Roman" w:hAnsi="Times New Roman"/>
          <w:sz w:val="28"/>
          <w:szCs w:val="28"/>
        </w:rPr>
        <w:t xml:space="preserve"> si se </w:t>
      </w:r>
      <w:r w:rsidRPr="00D93140">
        <w:rPr>
          <w:rFonts w:ascii="Times New Roman" w:hAnsi="Times New Roman"/>
          <w:i/>
          <w:iCs/>
          <w:sz w:val="28"/>
          <w:szCs w:val="28"/>
        </w:rPr>
        <w:t>analizó</w:t>
      </w:r>
      <w:r w:rsidRPr="00D93140">
        <w:rPr>
          <w:rFonts w:ascii="Times New Roman" w:hAnsi="Times New Roman"/>
          <w:sz w:val="28"/>
          <w:szCs w:val="28"/>
        </w:rPr>
        <w:t xml:space="preserve"> y </w:t>
      </w:r>
      <w:r w:rsidRPr="00D93140">
        <w:rPr>
          <w:rFonts w:ascii="Times New Roman" w:hAnsi="Times New Roman"/>
          <w:i/>
          <w:iCs/>
          <w:sz w:val="28"/>
          <w:szCs w:val="28"/>
        </w:rPr>
        <w:t>aprobó</w:t>
      </w:r>
      <w:r w:rsidRPr="00D93140">
        <w:rPr>
          <w:rFonts w:ascii="Times New Roman" w:hAnsi="Times New Roman"/>
          <w:sz w:val="28"/>
          <w:szCs w:val="28"/>
        </w:rPr>
        <w:t xml:space="preserve"> la correspondiente fuente sustitutiva por disminución de gasto o aumentos de ingresos. Lo anterior teni</w:t>
      </w:r>
      <w:r w:rsidRPr="00D93140">
        <w:rPr>
          <w:rFonts w:ascii="Times New Roman" w:hAnsi="Times New Roman"/>
          <w:sz w:val="28"/>
          <w:szCs w:val="28"/>
        </w:rPr>
        <w:t>endo en cuenta lo dispuesto en el artículo 10 del Decreto Ley 1275 de 2024 y de conformidad con lo establecido en el artículo 7</w:t>
      </w:r>
      <w:r w:rsidRPr="00D93140">
        <w:rPr>
          <w:rFonts w:ascii="Times New Roman" w:hAnsi="Times New Roman"/>
          <w:sz w:val="28"/>
          <w:szCs w:val="28"/>
        </w:rPr>
        <w:t xml:space="preserve"> </w:t>
      </w:r>
      <w:r w:rsidRPr="00D93140">
        <w:rPr>
          <w:rFonts w:ascii="Times New Roman" w:hAnsi="Times New Roman"/>
          <w:sz w:val="28"/>
          <w:szCs w:val="28"/>
        </w:rPr>
        <w:t xml:space="preserve">de la Ley 819 de 2003 y en la jurisprudencia de esta corporación. </w:t>
      </w:r>
      <w:r w:rsidRPr="00D93140">
        <w:rPr>
          <w:rFonts w:ascii="Times New Roman" w:hAnsi="Times New Roman"/>
          <w:sz w:val="28"/>
          <w:szCs w:val="28"/>
        </w:rPr>
        <w:t xml:space="preserve">Igualmente, se reiteró lo dispuesto en el </w:t>
      </w:r>
      <w:r w:rsidRPr="00D93140">
        <w:rPr>
          <w:rFonts w:ascii="Times New Roman" w:hAnsi="Times New Roman"/>
          <w:sz w:val="28"/>
          <w:szCs w:val="28"/>
        </w:rPr>
        <w:t>numeral “DÉ</w:t>
      </w:r>
      <w:r w:rsidRPr="00D93140">
        <w:rPr>
          <w:rFonts w:ascii="Times New Roman" w:hAnsi="Times New Roman"/>
          <w:sz w:val="28"/>
          <w:szCs w:val="28"/>
        </w:rPr>
        <w:t>CIMO” del</w:t>
      </w:r>
      <w:r w:rsidRPr="00D93140">
        <w:rPr>
          <w:rFonts w:ascii="Times New Roman" w:hAnsi="Times New Roman"/>
          <w:sz w:val="28"/>
          <w:szCs w:val="28"/>
        </w:rPr>
        <w:t xml:space="preserve"> auto del 14 de febrero de 2025. </w:t>
      </w:r>
    </w:p>
    <w:p w:rsidR="000A769B" w:rsidRPr="00D93140" w:rsidRDefault="00D93140" w:rsidP="00E04174">
      <w:pPr>
        <w:pStyle w:val="Prrafodelista"/>
        <w:ind w:left="0"/>
        <w:jc w:val="both"/>
        <w:rPr>
          <w:rFonts w:ascii="Times New Roman" w:hAnsi="Times New Roman"/>
          <w:sz w:val="28"/>
          <w:szCs w:val="28"/>
        </w:rPr>
      </w:pPr>
    </w:p>
    <w:p w:rsidR="000A769B"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lang w:val="es-ES"/>
        </w:rPr>
        <w:t xml:space="preserve">Mediante auto del 22 de abril de 2025, el despacho negó la solicitud </w:t>
      </w:r>
      <w:r w:rsidRPr="00D93140">
        <w:rPr>
          <w:rFonts w:ascii="Times New Roman" w:hAnsi="Times New Roman"/>
          <w:bCs/>
          <w:iCs/>
          <w:sz w:val="28"/>
          <w:szCs w:val="28"/>
          <w:lang w:val="es-ES"/>
        </w:rPr>
        <w:t>de suspensión provisional del Decreto 1275 de 2024</w:t>
      </w:r>
      <w:r w:rsidRPr="00D93140">
        <w:rPr>
          <w:rFonts w:ascii="Times New Roman" w:hAnsi="Times New Roman"/>
          <w:bCs/>
          <w:iCs/>
          <w:sz w:val="28"/>
          <w:szCs w:val="28"/>
          <w:lang w:val="es-ES"/>
        </w:rPr>
        <w:t xml:space="preserve"> elevada por el ciudadano Carlos Bernal Pulido, por considera</w:t>
      </w:r>
      <w:r w:rsidRPr="00D93140">
        <w:rPr>
          <w:rFonts w:ascii="Times New Roman" w:hAnsi="Times New Roman"/>
          <w:bCs/>
          <w:iCs/>
          <w:sz w:val="28"/>
          <w:szCs w:val="28"/>
          <w:lang w:val="es-ES"/>
        </w:rPr>
        <w:t>r</w:t>
      </w:r>
      <w:r w:rsidRPr="00D93140">
        <w:rPr>
          <w:rFonts w:ascii="Times New Roman" w:hAnsi="Times New Roman"/>
          <w:bCs/>
          <w:iCs/>
          <w:sz w:val="28"/>
          <w:szCs w:val="28"/>
          <w:lang w:val="es-ES"/>
        </w:rPr>
        <w:t xml:space="preserve"> que, </w:t>
      </w:r>
      <w:r w:rsidRPr="00D93140">
        <w:rPr>
          <w:rFonts w:ascii="Times New Roman" w:hAnsi="Times New Roman"/>
          <w:sz w:val="28"/>
          <w:szCs w:val="28"/>
          <w:lang w:val="es-ES_tradnl" w:eastAsia="es-MX"/>
        </w:rPr>
        <w:t>a pesar de los argumentos expuesto</w:t>
      </w:r>
      <w:r w:rsidRPr="00D93140">
        <w:rPr>
          <w:rFonts w:ascii="Times New Roman" w:hAnsi="Times New Roman"/>
          <w:sz w:val="28"/>
          <w:szCs w:val="28"/>
          <w:lang w:val="es-ES_tradnl" w:eastAsia="es-MX"/>
        </w:rPr>
        <w:t xml:space="preserve">s en la demanda para </w:t>
      </w:r>
      <w:r w:rsidRPr="00D93140">
        <w:rPr>
          <w:rFonts w:ascii="Times New Roman" w:hAnsi="Times New Roman"/>
          <w:iCs/>
          <w:sz w:val="28"/>
          <w:szCs w:val="28"/>
          <w:lang w:val="es-ES"/>
        </w:rPr>
        <w:t>permitir el análisis de constitucionalidad del citado decreto, las razones presentadas en su solicitud no permitían sustentar la adopción de una medida excepcional orientada a impedir la producción de efectos del citado decreto. Lo ant</w:t>
      </w:r>
      <w:r w:rsidRPr="00D93140">
        <w:rPr>
          <w:rFonts w:ascii="Times New Roman" w:hAnsi="Times New Roman"/>
          <w:iCs/>
          <w:sz w:val="28"/>
          <w:szCs w:val="28"/>
          <w:lang w:val="es-ES"/>
        </w:rPr>
        <w:t xml:space="preserve">erior, porque </w:t>
      </w:r>
      <w:r w:rsidRPr="00D93140">
        <w:rPr>
          <w:rFonts w:ascii="Times New Roman" w:hAnsi="Times New Roman"/>
          <w:bCs/>
          <w:iCs/>
          <w:sz w:val="28"/>
          <w:szCs w:val="28"/>
          <w:lang w:val="es-ES"/>
        </w:rPr>
        <w:t>el actor no demostró ni existe evidencia suficiente de que las disposiciones contenidas en el Decreto 1275</w:t>
      </w:r>
      <w:r w:rsidRPr="00D93140">
        <w:rPr>
          <w:rFonts w:ascii="Times New Roman" w:hAnsi="Times New Roman"/>
          <w:bCs/>
          <w:iCs/>
          <w:sz w:val="28"/>
          <w:szCs w:val="28"/>
          <w:lang w:val="es-ES"/>
        </w:rPr>
        <w:t xml:space="preserve"> de 2024</w:t>
      </w:r>
      <w:r w:rsidRPr="00D93140">
        <w:rPr>
          <w:rFonts w:ascii="Times New Roman" w:hAnsi="Times New Roman"/>
          <w:bCs/>
          <w:iCs/>
          <w:sz w:val="28"/>
          <w:szCs w:val="28"/>
          <w:lang w:val="es-ES"/>
        </w:rPr>
        <w:t xml:space="preserve">, </w:t>
      </w:r>
      <w:r w:rsidRPr="00D93140">
        <w:rPr>
          <w:rFonts w:ascii="Times New Roman" w:hAnsi="Times New Roman"/>
          <w:bCs/>
          <w:i/>
          <w:iCs/>
          <w:sz w:val="28"/>
          <w:szCs w:val="28"/>
          <w:lang w:val="es-ES"/>
        </w:rPr>
        <w:t>prima facie</w:t>
      </w:r>
      <w:r w:rsidRPr="00D93140">
        <w:rPr>
          <w:rFonts w:ascii="Times New Roman" w:hAnsi="Times New Roman"/>
          <w:bCs/>
          <w:iCs/>
          <w:sz w:val="28"/>
          <w:szCs w:val="28"/>
          <w:lang w:val="es-ES"/>
        </w:rPr>
        <w:t>,</w:t>
      </w:r>
      <w:r w:rsidRPr="00D93140">
        <w:rPr>
          <w:rFonts w:ascii="Times New Roman" w:hAnsi="Times New Roman"/>
          <w:bCs/>
          <w:i/>
          <w:iCs/>
          <w:sz w:val="28"/>
          <w:szCs w:val="28"/>
          <w:lang w:val="es-ES"/>
        </w:rPr>
        <w:t xml:space="preserve"> </w:t>
      </w:r>
      <w:r w:rsidRPr="00D93140">
        <w:rPr>
          <w:rFonts w:ascii="Times New Roman" w:hAnsi="Times New Roman"/>
          <w:bCs/>
          <w:iCs/>
          <w:sz w:val="28"/>
          <w:szCs w:val="28"/>
          <w:lang w:val="es-ES"/>
        </w:rPr>
        <w:t>sean abierta o manifiestamente inconstitucionales, que la medida</w:t>
      </w:r>
      <w:r w:rsidRPr="00D93140">
        <w:rPr>
          <w:rFonts w:ascii="Times New Roman" w:hAnsi="Times New Roman"/>
          <w:sz w:val="28"/>
          <w:szCs w:val="28"/>
          <w:lang w:val="es-ES_tradnl" w:eastAsia="es-MX"/>
        </w:rPr>
        <w:t xml:space="preserve"> es imperiosa para la protección de bienes consti</w:t>
      </w:r>
      <w:r w:rsidRPr="00D93140">
        <w:rPr>
          <w:rFonts w:ascii="Times New Roman" w:hAnsi="Times New Roman"/>
          <w:sz w:val="28"/>
          <w:szCs w:val="28"/>
          <w:lang w:val="es-ES_tradnl" w:eastAsia="es-MX"/>
        </w:rPr>
        <w:t>tucionalmente valiosos</w:t>
      </w:r>
      <w:r w:rsidRPr="00D93140">
        <w:rPr>
          <w:rFonts w:ascii="Times New Roman" w:hAnsi="Times New Roman"/>
          <w:bCs/>
          <w:iCs/>
          <w:sz w:val="28"/>
          <w:szCs w:val="28"/>
          <w:lang w:val="es-ES"/>
        </w:rPr>
        <w:t xml:space="preserve"> y, además, tengan un efecto irremediable</w:t>
      </w:r>
      <w:r w:rsidRPr="00D93140">
        <w:rPr>
          <w:rFonts w:ascii="Times New Roman" w:hAnsi="Times New Roman"/>
          <w:b/>
          <w:bCs/>
          <w:iCs/>
          <w:sz w:val="28"/>
          <w:szCs w:val="28"/>
          <w:lang w:val="es-ES"/>
        </w:rPr>
        <w:t>.</w:t>
      </w:r>
    </w:p>
    <w:p w:rsidR="00666A42" w:rsidRPr="00D93140" w:rsidRDefault="00D93140" w:rsidP="00E04174">
      <w:pPr>
        <w:tabs>
          <w:tab w:val="left" w:pos="5343"/>
        </w:tabs>
        <w:rPr>
          <w:rFonts w:ascii="Times New Roman" w:hAnsi="Times New Roman"/>
          <w:b/>
          <w:bCs/>
          <w:sz w:val="28"/>
          <w:szCs w:val="28"/>
        </w:rPr>
      </w:pPr>
    </w:p>
    <w:p w:rsidR="00135D8C" w:rsidRPr="00D93140" w:rsidRDefault="00D93140" w:rsidP="003C3E37">
      <w:pPr>
        <w:pStyle w:val="Ttulo2"/>
        <w:rPr>
          <w:rFonts w:ascii="Times New Roman" w:hAnsi="Times New Roman"/>
          <w:b/>
          <w:sz w:val="28"/>
        </w:rPr>
      </w:pPr>
      <w:bookmarkStart w:id="6" w:name="_Toc215735424"/>
      <w:r w:rsidRPr="00D93140">
        <w:rPr>
          <w:rFonts w:ascii="Times New Roman" w:hAnsi="Times New Roman"/>
          <w:b/>
          <w:sz w:val="28"/>
        </w:rPr>
        <w:t>C</w:t>
      </w:r>
      <w:r w:rsidRPr="00D93140">
        <w:rPr>
          <w:rFonts w:ascii="Times New Roman" w:hAnsi="Times New Roman"/>
          <w:b/>
          <w:sz w:val="28"/>
        </w:rPr>
        <w:t xml:space="preserve">. Cargos admitidos </w:t>
      </w:r>
      <w:r w:rsidRPr="00D93140">
        <w:rPr>
          <w:rFonts w:ascii="Times New Roman" w:hAnsi="Times New Roman"/>
          <w:b/>
          <w:sz w:val="28"/>
        </w:rPr>
        <w:t>y argumentos de</w:t>
      </w:r>
      <w:r w:rsidRPr="00D93140">
        <w:rPr>
          <w:rFonts w:ascii="Times New Roman" w:hAnsi="Times New Roman"/>
          <w:b/>
          <w:sz w:val="28"/>
        </w:rPr>
        <w:t xml:space="preserve"> las </w:t>
      </w:r>
      <w:r w:rsidRPr="00D93140">
        <w:rPr>
          <w:rFonts w:ascii="Times New Roman" w:hAnsi="Times New Roman"/>
          <w:b/>
          <w:sz w:val="28"/>
        </w:rPr>
        <w:t>demand</w:t>
      </w:r>
      <w:r w:rsidRPr="00D93140">
        <w:rPr>
          <w:rFonts w:ascii="Times New Roman" w:hAnsi="Times New Roman"/>
          <w:b/>
          <w:sz w:val="28"/>
        </w:rPr>
        <w:t>as</w:t>
      </w:r>
      <w:bookmarkEnd w:id="6"/>
    </w:p>
    <w:p w:rsidR="00274773" w:rsidRPr="00D93140" w:rsidRDefault="00D93140" w:rsidP="00E04174">
      <w:pPr>
        <w:tabs>
          <w:tab w:val="left" w:pos="5343"/>
        </w:tabs>
        <w:rPr>
          <w:rFonts w:ascii="Times New Roman" w:hAnsi="Times New Roman"/>
          <w:b/>
          <w:bCs/>
          <w:sz w:val="28"/>
          <w:szCs w:val="28"/>
        </w:rPr>
      </w:pPr>
    </w:p>
    <w:p w:rsidR="007C00A0" w:rsidRPr="00D93140" w:rsidRDefault="00D93140" w:rsidP="00EB76FB">
      <w:pPr>
        <w:rPr>
          <w:rFonts w:ascii="Times New Roman" w:hAnsi="Times New Roman"/>
          <w:b/>
          <w:sz w:val="28"/>
        </w:rPr>
      </w:pPr>
      <w:r w:rsidRPr="00D93140">
        <w:rPr>
          <w:rFonts w:ascii="Times New Roman" w:hAnsi="Times New Roman"/>
          <w:b/>
          <w:sz w:val="28"/>
        </w:rPr>
        <w:t xml:space="preserve">1.1. </w:t>
      </w:r>
      <w:r w:rsidRPr="00D93140">
        <w:rPr>
          <w:rFonts w:ascii="Times New Roman" w:hAnsi="Times New Roman"/>
          <w:b/>
          <w:sz w:val="28"/>
        </w:rPr>
        <w:t>Expediente D-16</w:t>
      </w:r>
      <w:r w:rsidRPr="00D93140">
        <w:rPr>
          <w:rFonts w:ascii="Times New Roman" w:hAnsi="Times New Roman"/>
          <w:b/>
          <w:sz w:val="28"/>
        </w:rPr>
        <w:t>345</w:t>
      </w:r>
      <w:r w:rsidRPr="00D93140">
        <w:rPr>
          <w:rFonts w:ascii="Times New Roman" w:hAnsi="Times New Roman"/>
          <w:b/>
          <w:sz w:val="28"/>
        </w:rPr>
        <w:t xml:space="preserve"> </w:t>
      </w:r>
    </w:p>
    <w:p w:rsidR="007C00A0" w:rsidRPr="00D93140" w:rsidRDefault="00D93140" w:rsidP="00E04174">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 xml:space="preserve">Vulneración del artículo 56 transitorio constitucional. </w:t>
      </w:r>
      <w:r w:rsidRPr="00D93140">
        <w:rPr>
          <w:rFonts w:ascii="Times New Roman" w:hAnsi="Times New Roman"/>
          <w:sz w:val="28"/>
          <w:szCs w:val="28"/>
        </w:rPr>
        <w:t>En primer lugar y como cargo principal, el ciudadano Carlos Bernal Pulido asegura que el Decreto 1275 de 2024, en su totalidad, es inconstitucional al desconocer el artículo 56 transitorio de la Constitución ya que la competencia allí prevista ya fue ejerc</w:t>
      </w:r>
      <w:r w:rsidRPr="00D93140">
        <w:rPr>
          <w:rFonts w:ascii="Times New Roman" w:hAnsi="Times New Roman"/>
          <w:sz w:val="28"/>
          <w:szCs w:val="28"/>
        </w:rPr>
        <w:t xml:space="preserve">ida y, en consecuencia, se agotó su vigencia. Lo anterior, atendiendo lo señalado en la </w:t>
      </w:r>
      <w:r w:rsidRPr="00D93140">
        <w:rPr>
          <w:rFonts w:ascii="Times New Roman" w:hAnsi="Times New Roman"/>
          <w:sz w:val="28"/>
          <w:szCs w:val="28"/>
        </w:rPr>
        <w:t>Sentencia</w:t>
      </w:r>
      <w:r w:rsidRPr="00D93140">
        <w:rPr>
          <w:rFonts w:ascii="Times New Roman" w:hAnsi="Times New Roman"/>
          <w:sz w:val="28"/>
          <w:szCs w:val="28"/>
        </w:rPr>
        <w:t xml:space="preserve"> C-617 de 2015 sobre el alcance del artículo 56 transitorio de la Constitución, el cual le permite afirmar que la competencia fijada en el citado artículo se a</w:t>
      </w:r>
      <w:r w:rsidRPr="00D93140">
        <w:rPr>
          <w:rFonts w:ascii="Times New Roman" w:hAnsi="Times New Roman"/>
          <w:sz w:val="28"/>
          <w:szCs w:val="28"/>
        </w:rPr>
        <w:t xml:space="preserve">gotó con la expedición de los </w:t>
      </w:r>
      <w:r w:rsidRPr="00D93140">
        <w:rPr>
          <w:rFonts w:ascii="Times New Roman" w:hAnsi="Times New Roman"/>
          <w:sz w:val="28"/>
          <w:szCs w:val="28"/>
        </w:rPr>
        <w:t>D</w:t>
      </w:r>
      <w:r w:rsidRPr="00D93140">
        <w:rPr>
          <w:rFonts w:ascii="Times New Roman" w:hAnsi="Times New Roman"/>
          <w:sz w:val="28"/>
          <w:szCs w:val="28"/>
        </w:rPr>
        <w:t>ecreto</w:t>
      </w:r>
      <w:r w:rsidRPr="00D93140">
        <w:rPr>
          <w:rFonts w:ascii="Times New Roman" w:hAnsi="Times New Roman"/>
          <w:sz w:val="28"/>
          <w:szCs w:val="28"/>
        </w:rPr>
        <w:t>s</w:t>
      </w:r>
      <w:r w:rsidRPr="00D93140">
        <w:rPr>
          <w:rFonts w:ascii="Times New Roman" w:hAnsi="Times New Roman"/>
          <w:sz w:val="28"/>
          <w:szCs w:val="28"/>
        </w:rPr>
        <w:t xml:space="preserve"> Ley 1088 de 1993</w:t>
      </w:r>
      <w:r w:rsidRPr="00D93140">
        <w:rPr>
          <w:rStyle w:val="Refdenotaalpie"/>
          <w:rFonts w:ascii="Times New Roman" w:hAnsi="Times New Roman"/>
          <w:sz w:val="28"/>
          <w:szCs w:val="28"/>
        </w:rPr>
        <w:footnoteReference w:id="4"/>
      </w:r>
      <w:r w:rsidRPr="00D93140">
        <w:rPr>
          <w:rFonts w:ascii="Times New Roman" w:hAnsi="Times New Roman"/>
          <w:sz w:val="28"/>
          <w:szCs w:val="28"/>
        </w:rPr>
        <w:t xml:space="preserve"> y 1953 de 2014</w:t>
      </w:r>
      <w:r w:rsidRPr="00D93140">
        <w:rPr>
          <w:rStyle w:val="Refdenotaalpie"/>
          <w:rFonts w:ascii="Times New Roman" w:hAnsi="Times New Roman"/>
          <w:sz w:val="28"/>
          <w:szCs w:val="28"/>
        </w:rPr>
        <w:footnoteReference w:id="5"/>
      </w:r>
      <w:r w:rsidRPr="00D93140">
        <w:rPr>
          <w:rFonts w:ascii="Times New Roman" w:hAnsi="Times New Roman"/>
          <w:sz w:val="28"/>
          <w:szCs w:val="28"/>
        </w:rPr>
        <w:t>.</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En ese contexto, el ciudadano expone que la competencia prevista por el artículo 56 transitorio de la Constitución se extingue con la expedición de la ley a la que se refiere el </w:t>
      </w:r>
      <w:r w:rsidRPr="00D93140">
        <w:rPr>
          <w:rFonts w:ascii="Times New Roman" w:hAnsi="Times New Roman"/>
          <w:sz w:val="28"/>
          <w:szCs w:val="28"/>
        </w:rPr>
        <w:t>artículo 329 de la Constitución, o cuando se profieren, mediante una o varias regulaciones, las normas relativas a los aspectos señalados en el artículo 56 transitorio, los cuales, en su criterio ya fueron regulados en su totalidad por los mencionados decr</w:t>
      </w:r>
      <w:r w:rsidRPr="00D93140">
        <w:rPr>
          <w:rFonts w:ascii="Times New Roman" w:hAnsi="Times New Roman"/>
          <w:sz w:val="28"/>
          <w:szCs w:val="28"/>
        </w:rPr>
        <w:t>etos. Por lo tanto, ejercer una competencia que se encuentra agotada genera un vicio competencial que conlleva la inconstitucionalidad de la norma demandada.</w:t>
      </w:r>
    </w:p>
    <w:p w:rsidR="00E814A7" w:rsidRPr="00D93140" w:rsidRDefault="00D93140" w:rsidP="00E814A7">
      <w:pPr>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Los artículos 1º (parcial), 3º [literales (f) y (h)], 5º y 6º del Decreto 1275 de 2024 vulneran l</w:t>
      </w:r>
      <w:r w:rsidRPr="00D93140">
        <w:rPr>
          <w:rFonts w:ascii="Times New Roman" w:hAnsi="Times New Roman"/>
          <w:i/>
          <w:sz w:val="28"/>
          <w:szCs w:val="28"/>
        </w:rPr>
        <w:t>os artículos 56 transitorio, 151 y 288 de la Constitución Política</w:t>
      </w:r>
      <w:r w:rsidRPr="00D93140">
        <w:rPr>
          <w:rFonts w:ascii="Times New Roman" w:hAnsi="Times New Roman"/>
          <w:sz w:val="28"/>
          <w:szCs w:val="28"/>
        </w:rPr>
        <w:t>. Considera el demandante que las materias reguladas por los artículos 1° (parcial), 3° [literales (f) y (h)], 5° y 6° del Decreto 1275 de 2024 fijan claramente competencias ambientales de l</w:t>
      </w:r>
      <w:r w:rsidRPr="00D93140">
        <w:rPr>
          <w:rFonts w:ascii="Times New Roman" w:hAnsi="Times New Roman"/>
          <w:sz w:val="28"/>
          <w:szCs w:val="28"/>
        </w:rPr>
        <w:t>as comunidades indígenas, las cuales no están comprendidas en los asuntos previstos por el ámbito normativo del artículo 56 transitorio. Por lo tanto, exceden la competencia otorgada por dicho artículo y desconoce la reserva de ley orgánica prevista por lo</w:t>
      </w:r>
      <w:r w:rsidRPr="00D93140">
        <w:rPr>
          <w:rFonts w:ascii="Times New Roman" w:hAnsi="Times New Roman"/>
          <w:sz w:val="28"/>
          <w:szCs w:val="28"/>
        </w:rPr>
        <w:t>s artículos 151 y 288 de la Constitución, para la distribución de competencias entre la Nación y las entidades territoriales.</w:t>
      </w:r>
    </w:p>
    <w:p w:rsidR="00E814A7" w:rsidRPr="00D93140" w:rsidRDefault="00D93140" w:rsidP="00E814A7">
      <w:pPr>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iCs/>
          <w:sz w:val="28"/>
          <w:szCs w:val="28"/>
        </w:rPr>
      </w:pPr>
      <w:r w:rsidRPr="00D93140">
        <w:rPr>
          <w:rFonts w:ascii="Times New Roman" w:hAnsi="Times New Roman"/>
          <w:sz w:val="28"/>
          <w:szCs w:val="28"/>
        </w:rPr>
        <w:t xml:space="preserve">Insiste el ciudadano en que estos aspectos ambientales deben ser </w:t>
      </w:r>
      <w:r w:rsidRPr="00D93140">
        <w:rPr>
          <w:rFonts w:ascii="Times New Roman" w:hAnsi="Times New Roman"/>
          <w:iCs/>
          <w:sz w:val="28"/>
          <w:szCs w:val="28"/>
        </w:rPr>
        <w:t>regulados de forma razonable, proporcionada y deliberativa por p</w:t>
      </w:r>
      <w:r w:rsidRPr="00D93140">
        <w:rPr>
          <w:rFonts w:ascii="Times New Roman" w:hAnsi="Times New Roman"/>
          <w:iCs/>
          <w:sz w:val="28"/>
          <w:szCs w:val="28"/>
        </w:rPr>
        <w:t>arte del legislador ordinario u orgánico. De modo que, aun estando vigente la competencia consagrada en el artículo 56 transitorio de la Constitución, en ejercicio de esta solo podrían expedirse normas necesarias para el funcionamiento de los territorios i</w:t>
      </w:r>
      <w:r w:rsidRPr="00D93140">
        <w:rPr>
          <w:rFonts w:ascii="Times New Roman" w:hAnsi="Times New Roman"/>
          <w:iCs/>
          <w:sz w:val="28"/>
          <w:szCs w:val="28"/>
        </w:rPr>
        <w:t>ndígenas y no, como en este caso, para asignar competencias ambientales a los territorios indígenas.</w:t>
      </w:r>
    </w:p>
    <w:p w:rsidR="00E814A7" w:rsidRPr="00D93140" w:rsidRDefault="00D93140" w:rsidP="00E814A7">
      <w:pPr>
        <w:jc w:val="both"/>
        <w:rPr>
          <w:rFonts w:ascii="Times New Roman" w:hAnsi="Times New Roman"/>
          <w:i/>
          <w:iCs/>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Vulneración del artículo 330 de la Constitución por los artículos 1º (parcial), 3º [literales (f) y (h)], 5º y 6º del Decreto 1275 de 2024</w:t>
      </w:r>
      <w:r w:rsidRPr="00D93140">
        <w:rPr>
          <w:rFonts w:ascii="Times New Roman" w:hAnsi="Times New Roman"/>
          <w:sz w:val="28"/>
          <w:szCs w:val="28"/>
        </w:rPr>
        <w:t>. Considera el actor que las competencias de los territorios indígenas señaladas en la Constitución son taxativas y solo pueden ser interpretadas de manera expansiva, para incluir en su ámbito asuntos ambientales, si así lo decide el Legislador. Así, al no</w:t>
      </w:r>
      <w:r w:rsidRPr="00D93140">
        <w:rPr>
          <w:rFonts w:ascii="Times New Roman" w:hAnsi="Times New Roman"/>
          <w:sz w:val="28"/>
          <w:szCs w:val="28"/>
        </w:rPr>
        <w:t xml:space="preserve"> prever el artículo 330 superior la atribución de competencias ambientales a las autoridades indígenas no puede entenderse que habilita al Gobierno para otorgar, mediante un decreto, dichas facultades.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ese contexto, concluye el actor que velar por la</w:t>
      </w:r>
      <w:r w:rsidRPr="00D93140">
        <w:rPr>
          <w:rFonts w:ascii="Times New Roman" w:hAnsi="Times New Roman"/>
          <w:sz w:val="28"/>
          <w:szCs w:val="28"/>
        </w:rPr>
        <w:t xml:space="preserve"> preservación de sus recursos naturales, como lo establece la Constitución no es una competencia normativa sino un asunto de hecho.</w:t>
      </w:r>
    </w:p>
    <w:p w:rsidR="00E814A7" w:rsidRPr="00D93140" w:rsidRDefault="00D93140" w:rsidP="00E814A7">
      <w:pPr>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El artículo 5º del Decreto 1275 de 2024 vulnera los artículos 150.7, 325 y 331 de la Constitución Política, por cuanto se o</w:t>
      </w:r>
      <w:r w:rsidRPr="00D93140">
        <w:rPr>
          <w:rFonts w:ascii="Times New Roman" w:hAnsi="Times New Roman"/>
          <w:i/>
          <w:sz w:val="28"/>
          <w:szCs w:val="28"/>
        </w:rPr>
        <w:t>pone el régimen de autonomía de las Corporaciones Autónomas Regionales- CAR</w:t>
      </w:r>
      <w:r w:rsidRPr="00D93140">
        <w:rPr>
          <w:rFonts w:ascii="Times New Roman" w:hAnsi="Times New Roman"/>
          <w:sz w:val="28"/>
          <w:szCs w:val="28"/>
        </w:rPr>
        <w:t>.  Luego de contextualizar sobre la naturaleza y autonomía de estas corporaciones, explica el accionante que de este artículo se entiende que la aplicación de los principios de coor</w:t>
      </w:r>
      <w:r w:rsidRPr="00D93140">
        <w:rPr>
          <w:rFonts w:ascii="Times New Roman" w:hAnsi="Times New Roman"/>
          <w:sz w:val="28"/>
          <w:szCs w:val="28"/>
        </w:rPr>
        <w:t>dinación, concurrencia, complementariedad y subsidiariedad solo procede cuando (i) se supere el ámbito de aplicación del Decreto demandado que, en términos generales, se refiere a los territorios de su jurisdicción, y (ii) concurran competencias ambientale</w:t>
      </w:r>
      <w:r w:rsidRPr="00D93140">
        <w:rPr>
          <w:rFonts w:ascii="Times New Roman" w:hAnsi="Times New Roman"/>
          <w:sz w:val="28"/>
          <w:szCs w:val="28"/>
        </w:rPr>
        <w:t xml:space="preserve">s. Lo anterior le permite llegar a dos conclusiones, a saber: </w:t>
      </w:r>
    </w:p>
    <w:p w:rsidR="00E814A7" w:rsidRPr="00D93140" w:rsidRDefault="00D93140" w:rsidP="00E814A7">
      <w:pPr>
        <w:rPr>
          <w:rFonts w:ascii="Times New Roman" w:hAnsi="Times New Roman"/>
          <w:sz w:val="28"/>
          <w:szCs w:val="28"/>
        </w:rPr>
      </w:pPr>
    </w:p>
    <w:p w:rsidR="00E814A7" w:rsidRPr="00D93140" w:rsidRDefault="00D93140" w:rsidP="00E814A7">
      <w:pPr>
        <w:ind w:left="567"/>
        <w:jc w:val="both"/>
        <w:rPr>
          <w:rFonts w:ascii="Times New Roman" w:hAnsi="Times New Roman"/>
          <w:sz w:val="28"/>
          <w:szCs w:val="24"/>
        </w:rPr>
      </w:pPr>
      <w:r w:rsidRPr="00D93140">
        <w:rPr>
          <w:rFonts w:ascii="Times New Roman" w:hAnsi="Times New Roman"/>
          <w:sz w:val="28"/>
          <w:szCs w:val="24"/>
        </w:rPr>
        <w:t>62.1. Primero, el artículo 5º del decreto demandado otorga competencia exclusiva y excluyente para que las autoridades indígenas determinen los mecanismos regulatorios, de gestión y gobierno c</w:t>
      </w:r>
      <w:r w:rsidRPr="00D93140">
        <w:rPr>
          <w:rFonts w:ascii="Times New Roman" w:hAnsi="Times New Roman"/>
          <w:sz w:val="28"/>
          <w:szCs w:val="24"/>
        </w:rPr>
        <w:t>on fines de preservación, conservación, restauración, protección, cuidado, uso y manejo de los recursos naturales dentro de sus territorios indígenas. Es decir, ejercen atribuciones administrativas ambientales, usurpando las facultades dadas por el artícul</w:t>
      </w:r>
      <w:r w:rsidRPr="00D93140">
        <w:rPr>
          <w:rFonts w:ascii="Times New Roman" w:hAnsi="Times New Roman"/>
          <w:sz w:val="28"/>
          <w:szCs w:val="24"/>
        </w:rPr>
        <w:t>o 23</w:t>
      </w:r>
      <w:r w:rsidRPr="00D93140">
        <w:rPr>
          <w:rStyle w:val="Refdenotaalpie"/>
          <w:rFonts w:ascii="Times New Roman" w:hAnsi="Times New Roman"/>
          <w:sz w:val="28"/>
          <w:szCs w:val="24"/>
        </w:rPr>
        <w:footnoteReference w:id="6"/>
      </w:r>
      <w:r w:rsidRPr="00D93140">
        <w:rPr>
          <w:rFonts w:ascii="Times New Roman" w:hAnsi="Times New Roman"/>
          <w:sz w:val="28"/>
          <w:szCs w:val="24"/>
        </w:rPr>
        <w:t>, que a su vez es desarrollo legal del mandato constitucional derivado del artículo 150.7 de la Constitución, según el cual las CAR llevarán a cabo sus funciones dentro de un régimen de autonomía.</w:t>
      </w:r>
    </w:p>
    <w:p w:rsidR="00E814A7" w:rsidRPr="00D93140" w:rsidRDefault="00D93140" w:rsidP="00E814A7">
      <w:pPr>
        <w:ind w:left="567"/>
        <w:jc w:val="both"/>
        <w:rPr>
          <w:rFonts w:ascii="Times New Roman" w:hAnsi="Times New Roman"/>
          <w:sz w:val="28"/>
          <w:szCs w:val="24"/>
        </w:rPr>
      </w:pPr>
    </w:p>
    <w:p w:rsidR="00E814A7" w:rsidRPr="00D93140" w:rsidRDefault="00D93140" w:rsidP="00E814A7">
      <w:pPr>
        <w:ind w:left="567"/>
        <w:jc w:val="both"/>
        <w:rPr>
          <w:rFonts w:ascii="Times New Roman" w:hAnsi="Times New Roman"/>
          <w:sz w:val="28"/>
          <w:szCs w:val="24"/>
        </w:rPr>
      </w:pPr>
      <w:r w:rsidRPr="00D93140">
        <w:rPr>
          <w:rFonts w:ascii="Times New Roman" w:hAnsi="Times New Roman"/>
          <w:sz w:val="28"/>
          <w:szCs w:val="24"/>
        </w:rPr>
        <w:t>62.2. Segundo, el artículo 5 del decreto demandado ot</w:t>
      </w:r>
      <w:r w:rsidRPr="00D93140">
        <w:rPr>
          <w:rFonts w:ascii="Times New Roman" w:hAnsi="Times New Roman"/>
          <w:sz w:val="28"/>
          <w:szCs w:val="24"/>
        </w:rPr>
        <w:t>orga amplia competencia para que las autoridades indígenas determinen mecanismos regulatorios, de gestión y gobierno con fines de preservación, conservación, restauración, protección, cuidado, uso y manejo de los recursos naturales por fuera de sus territo</w:t>
      </w:r>
      <w:r w:rsidRPr="00D93140">
        <w:rPr>
          <w:rFonts w:ascii="Times New Roman" w:hAnsi="Times New Roman"/>
          <w:sz w:val="28"/>
          <w:szCs w:val="24"/>
        </w:rPr>
        <w:t>rios. Esto también desconoce las competencias otorgadas por el artículo 23 a las CAR, que se reitera gozan de un régimen de autonomía por expresa disposición constitucional, conforme al artículo 150.7 de la Constitución, según el cual las CAR llevarán a ca</w:t>
      </w:r>
      <w:r w:rsidRPr="00D93140">
        <w:rPr>
          <w:rFonts w:ascii="Times New Roman" w:hAnsi="Times New Roman"/>
          <w:sz w:val="28"/>
          <w:szCs w:val="24"/>
        </w:rPr>
        <w:t>bo sus funciones dentro de un régimen de autonomía.</w:t>
      </w:r>
    </w:p>
    <w:p w:rsidR="00E814A7" w:rsidRPr="00D93140" w:rsidRDefault="00D93140" w:rsidP="00E814A7">
      <w:pPr>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Precisa que los mecanismos de coordinación previstos en el decreto resultan inanes y meramente enunciativos dada la primacía del interés general que se adopta en favo</w:t>
      </w:r>
      <w:r w:rsidRPr="00D93140">
        <w:rPr>
          <w:rFonts w:ascii="Times New Roman" w:hAnsi="Times New Roman"/>
          <w:sz w:val="28"/>
          <w:szCs w:val="28"/>
        </w:rPr>
        <w:t>r de las comunidades indígenas</w:t>
      </w:r>
      <w:r w:rsidRPr="00D93140">
        <w:rPr>
          <w:rFonts w:ascii="Times New Roman" w:hAnsi="Times New Roman"/>
          <w:sz w:val="28"/>
          <w:szCs w:val="28"/>
        </w:rPr>
        <w:t xml:space="preserve">. Así, </w:t>
      </w:r>
      <w:r w:rsidRPr="00D93140">
        <w:rPr>
          <w:rFonts w:ascii="Times New Roman" w:hAnsi="Times New Roman"/>
          <w:sz w:val="28"/>
          <w:szCs w:val="28"/>
        </w:rPr>
        <w:t>las competencias con fines regulatorios por fuera de los territorios indígenas, inclusive en aquellos en los que las CAR ejercen plena competencia, restringe, de manera desproporcionada, el régimen de autonomía de estas entidades.</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El artículo 2 del Decret</w:t>
      </w:r>
      <w:r w:rsidRPr="00D93140">
        <w:rPr>
          <w:rFonts w:ascii="Times New Roman" w:hAnsi="Times New Roman"/>
          <w:i/>
          <w:sz w:val="28"/>
          <w:szCs w:val="28"/>
        </w:rPr>
        <w:t>o 1275 de 2024 vulnera el artículo 1º de la Constitución Política</w:t>
      </w:r>
      <w:r w:rsidRPr="00D93140">
        <w:rPr>
          <w:rFonts w:ascii="Times New Roman" w:hAnsi="Times New Roman"/>
          <w:sz w:val="28"/>
          <w:szCs w:val="28"/>
        </w:rPr>
        <w:t>.  El accionante considera que el artículo demandado introduce una definición alternativa, contraria y contradictoria a la definición existente del principio de prevalencia interés general, a</w:t>
      </w:r>
      <w:r w:rsidRPr="00D93140">
        <w:rPr>
          <w:rFonts w:ascii="Times New Roman" w:hAnsi="Times New Roman"/>
          <w:sz w:val="28"/>
          <w:szCs w:val="28"/>
        </w:rPr>
        <w:t xml:space="preserve">cudiendo a un criterio restrictivo a pesar de que los asuntos ambientales se proyectan sobre diferentes intereses.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criterio del actor, el interés particular de las comunidades indígenas ahora tendrá primacía en el ordenamiento jurídico colombiano y ob</w:t>
      </w:r>
      <w:r w:rsidRPr="00D93140">
        <w:rPr>
          <w:rFonts w:ascii="Times New Roman" w:hAnsi="Times New Roman"/>
          <w:sz w:val="28"/>
          <w:szCs w:val="28"/>
        </w:rPr>
        <w:t xml:space="preserve">liga a que en todos los casos tenga que prevalecer el criterio de la autoridad indígena por sobre los demás intereses nacionales.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También señala que como el decreto tiene alcance nacional, el ejercicio de las competencias otorgadas podría dificultar la e</w:t>
      </w:r>
      <w:r w:rsidRPr="00D93140">
        <w:rPr>
          <w:rFonts w:ascii="Times New Roman" w:hAnsi="Times New Roman"/>
          <w:sz w:val="28"/>
          <w:szCs w:val="28"/>
        </w:rPr>
        <w:t>structuración de proyectos de infraestructura que beneficien el acceso de todos los ciudadanos a bienes básicos y a la exploración y explotación de recursos naturales no renovables de los que derivan regalías imprescindibles para el equilibrio presupuestal</w:t>
      </w:r>
      <w:r w:rsidRPr="00D93140">
        <w:rPr>
          <w:rFonts w:ascii="Times New Roman" w:hAnsi="Times New Roman"/>
          <w:sz w:val="28"/>
          <w:szCs w:val="28"/>
        </w:rPr>
        <w:t>. Esto ya que la atribución de competencias ambientales a las autoridades indígenas no permitiría la ponderación entre estos bienes de interés general y los derechos al medio ambiente sano y a la preservación del patrimonio cultural de los pueblos indígena</w:t>
      </w:r>
      <w:r w:rsidRPr="00D93140">
        <w:rPr>
          <w:rFonts w:ascii="Times New Roman" w:hAnsi="Times New Roman"/>
          <w:sz w:val="28"/>
          <w:szCs w:val="28"/>
        </w:rPr>
        <w:t>s por parte de las autoridades nacionales.</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Finalmente, señala que, de conformidad con la jurisprudencia de esta Corte, la maximización de la autonomía de las comunidades indígenas es una pauta de interpretación y no un principio de superioridad o prevalen</w:t>
      </w:r>
      <w:r w:rsidRPr="00D93140">
        <w:rPr>
          <w:rFonts w:ascii="Times New Roman" w:hAnsi="Times New Roman"/>
          <w:sz w:val="28"/>
          <w:szCs w:val="28"/>
        </w:rPr>
        <w:t xml:space="preserve">cia sobre el marco jurídico nacional.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El artículo 6 (núm. 3) del Decreto 1275 de 2024 vulnera el artículo 29 de la Constitución Política</w:t>
      </w:r>
      <w:r w:rsidRPr="00D93140">
        <w:rPr>
          <w:rFonts w:ascii="Times New Roman" w:hAnsi="Times New Roman"/>
          <w:sz w:val="28"/>
          <w:szCs w:val="28"/>
        </w:rPr>
        <w:t xml:space="preserve">. En su criterio, esta atribución viola los mandatos derivados del derecho al debido proceso, así como los principios </w:t>
      </w:r>
      <w:r w:rsidRPr="00D93140">
        <w:rPr>
          <w:rFonts w:ascii="Times New Roman" w:hAnsi="Times New Roman"/>
          <w:sz w:val="28"/>
          <w:szCs w:val="28"/>
        </w:rPr>
        <w:t>de legalidad y tipicidad. Esto es así, al menos, por las siguientes tres razones: (i) se trata de una competencia vaga abstracta e indeterminada al no contener un marco normativo claro sobre conductas sancionables, cuantías o término de la sanción; (ii) pe</w:t>
      </w:r>
      <w:r w:rsidRPr="00D93140">
        <w:rPr>
          <w:rFonts w:ascii="Times New Roman" w:hAnsi="Times New Roman"/>
          <w:sz w:val="28"/>
          <w:szCs w:val="28"/>
        </w:rPr>
        <w:t>rmiten que las autoridades indígenas y las entidades ambientales respectivas, fijen de manera discrecional la sanción y todos los aspectos relativos a ella; (iii) atribuye competencia para que las autoridades indígenas impongan sanciones respecto de person</w:t>
      </w:r>
      <w:r w:rsidRPr="00D93140">
        <w:rPr>
          <w:rFonts w:ascii="Times New Roman" w:hAnsi="Times New Roman"/>
          <w:sz w:val="28"/>
          <w:szCs w:val="28"/>
        </w:rPr>
        <w:t>as que no forman parte de su comunidad.</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Finalmente resalta el actor que esta norma tampoco prevé la forma en la que se protegerán estas garantías fundamentales en el marco de las sanciones impuestas por las autoridades indígenas respecto de los miembros d</w:t>
      </w:r>
      <w:r w:rsidRPr="00D93140">
        <w:rPr>
          <w:rFonts w:ascii="Times New Roman" w:hAnsi="Times New Roman"/>
          <w:sz w:val="28"/>
          <w:szCs w:val="28"/>
        </w:rPr>
        <w:t>e su comunidad. Lo anterior, constituye una violación al derecho de defensa y a tener un juicio justo en los términos dispuestos por el artículo 29 de la Constitución.</w:t>
      </w:r>
    </w:p>
    <w:p w:rsidR="00E814A7" w:rsidRPr="00D93140" w:rsidRDefault="00D93140" w:rsidP="00E814A7">
      <w:pPr>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 xml:space="preserve">El artículo 10 del Decreto 1275 de 2024 vulnera los artículos 151 y 334 de la </w:t>
      </w:r>
      <w:r w:rsidRPr="00D93140">
        <w:rPr>
          <w:rFonts w:ascii="Times New Roman" w:hAnsi="Times New Roman"/>
          <w:i/>
          <w:sz w:val="28"/>
          <w:szCs w:val="28"/>
        </w:rPr>
        <w:t>Constitución Política</w:t>
      </w:r>
      <w:r w:rsidRPr="00D93140">
        <w:rPr>
          <w:rFonts w:ascii="Times New Roman" w:hAnsi="Times New Roman"/>
          <w:sz w:val="28"/>
          <w:szCs w:val="28"/>
        </w:rPr>
        <w:t>. Considera el ciudadano que este artículo demandado incluye una orden de gasto, ya que implica necesariamente un incremento porcentual anual de una partida presupuestaria para el ejercicio de las competencias ambientales concedidas. E</w:t>
      </w:r>
      <w:r w:rsidRPr="00D93140">
        <w:rPr>
          <w:rFonts w:ascii="Times New Roman" w:hAnsi="Times New Roman"/>
          <w:sz w:val="28"/>
          <w:szCs w:val="28"/>
        </w:rPr>
        <w:t>stima que se trata de un mandato imperativo de gasto y, por tanto, constituye un título jurídico suficiente y obligatorio para la inclusión de una partida presupuestal y era necesario valorar el impacto fiscal que tendría, así como la fuente del mismo.</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As</w:t>
      </w:r>
      <w:r w:rsidRPr="00D93140">
        <w:rPr>
          <w:rFonts w:ascii="Times New Roman" w:hAnsi="Times New Roman"/>
          <w:sz w:val="28"/>
          <w:szCs w:val="28"/>
        </w:rPr>
        <w:t>egura que con esta medida el Gobierno Nacional asigna recursos para el financiamiento de competencias ambientales de las autoridades indígenas sin que se haya previsto el impacto fiscal de esta orden ni su integración con el sistema de planificación y sost</w:t>
      </w:r>
      <w:r w:rsidRPr="00D93140">
        <w:rPr>
          <w:rFonts w:ascii="Times New Roman" w:hAnsi="Times New Roman"/>
          <w:sz w:val="28"/>
          <w:szCs w:val="28"/>
        </w:rPr>
        <w:t>enibilidad fiscal que regula el gasto público en Colombia.</w:t>
      </w:r>
    </w:p>
    <w:p w:rsidR="00E814A7" w:rsidRPr="00D93140" w:rsidRDefault="00D93140" w:rsidP="00E814A7">
      <w:pPr>
        <w:jc w:val="both"/>
        <w:rPr>
          <w:rFonts w:ascii="Times New Roman" w:hAnsi="Times New Roman"/>
          <w:sz w:val="28"/>
          <w:szCs w:val="28"/>
        </w:rPr>
      </w:pPr>
    </w:p>
    <w:p w:rsidR="00E814A7" w:rsidRPr="00D93140" w:rsidRDefault="00D93140" w:rsidP="001C7D85">
      <w:pPr>
        <w:pStyle w:val="Ttulo3"/>
        <w:rPr>
          <w:rFonts w:ascii="Times New Roman" w:hAnsi="Times New Roman"/>
          <w:sz w:val="28"/>
        </w:rPr>
      </w:pPr>
      <w:bookmarkStart w:id="7" w:name="_Toc215735425"/>
      <w:r w:rsidRPr="00D93140">
        <w:rPr>
          <w:rFonts w:ascii="Times New Roman" w:hAnsi="Times New Roman"/>
          <w:sz w:val="28"/>
        </w:rPr>
        <w:t>1.2. Expediente D-16396</w:t>
      </w:r>
      <w:bookmarkEnd w:id="7"/>
      <w:r w:rsidRPr="00D93140">
        <w:rPr>
          <w:rFonts w:ascii="Times New Roman" w:hAnsi="Times New Roman"/>
          <w:sz w:val="28"/>
        </w:rPr>
        <w:t xml:space="preserve"> </w:t>
      </w:r>
    </w:p>
    <w:p w:rsidR="00E814A7" w:rsidRPr="00D93140" w:rsidRDefault="00D93140" w:rsidP="00E814A7">
      <w:pPr>
        <w:pStyle w:val="Prrafodelista"/>
        <w:rPr>
          <w:rFonts w:ascii="Times New Roman" w:hAnsi="Times New Roman"/>
          <w:i/>
          <w:iCs/>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 xml:space="preserve">Desconocimiento del derecho de consulta previa. </w:t>
      </w:r>
      <w:r w:rsidRPr="00D93140">
        <w:rPr>
          <w:rFonts w:ascii="Times New Roman" w:hAnsi="Times New Roman"/>
          <w:sz w:val="28"/>
          <w:szCs w:val="28"/>
        </w:rPr>
        <w:t>El accionante, Guillermo Otálora sostiene que el decreto demandado desconoce este derecho por las siguientes tres razones:</w:t>
      </w:r>
      <w:r w:rsidRPr="00D93140">
        <w:rPr>
          <w:rFonts w:ascii="Times New Roman" w:hAnsi="Times New Roman"/>
          <w:sz w:val="28"/>
          <w:szCs w:val="28"/>
        </w:rPr>
        <w:t xml:space="preserve"> (i) se trata de una medida que expresamente se orienta a desarrollar el Convenio 169 de la OIT. (ii) Se trata de una medida que recae sobre los derechos de los pueblos indígenas. (iii) El Decreto 1275 de 2024 impone cargas a las comunidades indígenas, al </w:t>
      </w:r>
      <w:r w:rsidRPr="00D93140">
        <w:rPr>
          <w:rFonts w:ascii="Times New Roman" w:hAnsi="Times New Roman"/>
          <w:sz w:val="28"/>
          <w:szCs w:val="28"/>
        </w:rPr>
        <w:t>atribuirles funciones públicas y, por lo tanto, todas las obligaciones y responsabilidades atinentes al ejercicio de la función pública de manera inconsulta e indiscriminada.</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Adicionalmente, alega que este decreto 1275 configura una afectación directa a l</w:t>
      </w:r>
      <w:r w:rsidRPr="00D93140">
        <w:rPr>
          <w:rFonts w:ascii="Times New Roman" w:hAnsi="Times New Roman"/>
          <w:sz w:val="28"/>
          <w:szCs w:val="28"/>
        </w:rPr>
        <w:t xml:space="preserve">as comunidades negras, afrodescendientes, raizales y palenqueras, las cuales no fueron investidas con funciones de autoridad ambiental. Lo anterior, por cuanto, dice, el decreto no se limita a las autoridades de pueblos indígenas que habitan en resguardos </w:t>
      </w:r>
      <w:r w:rsidRPr="00D93140">
        <w:rPr>
          <w:rFonts w:ascii="Times New Roman" w:hAnsi="Times New Roman"/>
          <w:sz w:val="28"/>
          <w:szCs w:val="28"/>
        </w:rPr>
        <w:t>sino a todo tipo de espacios donde habiten. De modo que afecta también a las comunidades negras, afrodescendientes, raizales y palenqueras que puedan encontrarse dentro del ámbito territorial reclamado por cualquier colectividad indígena del país, cuyas au</w:t>
      </w:r>
      <w:r w:rsidRPr="00D93140">
        <w:rPr>
          <w:rFonts w:ascii="Times New Roman" w:hAnsi="Times New Roman"/>
          <w:sz w:val="28"/>
          <w:szCs w:val="28"/>
        </w:rPr>
        <w:t>toridades tradicionales quedan dotadas de funciones de autoridad ambiental.</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Finalmente, el ciudadano sostiene que las eventuales reuniones de socialización realizadas y que se aduzcan en defensa de la norma no cumplirían con los parámetros de la jurisprud</w:t>
      </w:r>
      <w:r w:rsidRPr="00D93140">
        <w:rPr>
          <w:rFonts w:ascii="Times New Roman" w:hAnsi="Times New Roman"/>
          <w:sz w:val="28"/>
          <w:szCs w:val="28"/>
        </w:rPr>
        <w:t>encia constitucional y la certificación del Ministerio del Interior—misma autoridad que expidió el decreto demandado— reconoció que no se llevó a cabo la consulta previa respecto del proyecto de decreto.</w:t>
      </w:r>
    </w:p>
    <w:p w:rsidR="00E814A7" w:rsidRPr="00D93140" w:rsidRDefault="00D93140" w:rsidP="00E814A7">
      <w:pPr>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El Gobierno Nacional excedió las facultades previst</w:t>
      </w:r>
      <w:r w:rsidRPr="00D93140">
        <w:rPr>
          <w:rFonts w:ascii="Times New Roman" w:hAnsi="Times New Roman"/>
          <w:i/>
          <w:iCs/>
          <w:sz w:val="28"/>
          <w:szCs w:val="28"/>
        </w:rPr>
        <w:t xml:space="preserve">as en el artículo 56 transitorio. </w:t>
      </w:r>
      <w:r w:rsidRPr="00D93140">
        <w:rPr>
          <w:rFonts w:ascii="Times New Roman" w:hAnsi="Times New Roman"/>
          <w:sz w:val="28"/>
          <w:szCs w:val="28"/>
        </w:rPr>
        <w:t>Resalta el actor que el artículo transitorio no autoriza al Gobierno para legislar sobre todos los aspectos concernientes a los territorios indígenas, sino para dictar las normas fiscales necesarias y las relativas al func</w:t>
      </w:r>
      <w:r w:rsidRPr="00D93140">
        <w:rPr>
          <w:rFonts w:ascii="Times New Roman" w:hAnsi="Times New Roman"/>
          <w:sz w:val="28"/>
          <w:szCs w:val="28"/>
        </w:rPr>
        <w:t xml:space="preserve">ionamiento de los territorios indígenas y su coordinación con las demás entidades territoriales.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Cs/>
          <w:sz w:val="28"/>
          <w:szCs w:val="28"/>
        </w:rPr>
        <w:t xml:space="preserve">En ese escenario, explica el ciudadano que el contenido material de este decreto </w:t>
      </w:r>
      <w:r w:rsidRPr="00D93140">
        <w:rPr>
          <w:rFonts w:ascii="Times New Roman" w:hAnsi="Times New Roman"/>
          <w:sz w:val="28"/>
          <w:szCs w:val="28"/>
        </w:rPr>
        <w:t>atribuye las funciones, cargas y responsabilidades de la autoridad ambiental</w:t>
      </w:r>
      <w:r w:rsidRPr="00D93140">
        <w:rPr>
          <w:rFonts w:ascii="Times New Roman" w:hAnsi="Times New Roman"/>
          <w:sz w:val="28"/>
          <w:szCs w:val="28"/>
        </w:rPr>
        <w:t xml:space="preserve"> a una gran cantidad de actores de comunidades indígenas que no corresponden con la categoría de territorio indígena.  Aspectos que permiten evidenciar la ausencia de coincidencia temática y el consecuente desconocimiento de la Constitución.</w:t>
      </w:r>
    </w:p>
    <w:p w:rsidR="00E814A7" w:rsidRPr="00D93140" w:rsidRDefault="00D93140" w:rsidP="00E814A7">
      <w:pPr>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Desconocimien</w:t>
      </w:r>
      <w:r w:rsidRPr="00D93140">
        <w:rPr>
          <w:rFonts w:ascii="Times New Roman" w:hAnsi="Times New Roman"/>
          <w:i/>
          <w:sz w:val="28"/>
          <w:szCs w:val="28"/>
        </w:rPr>
        <w:t>to de los artículos 123 y 210 de la constitución</w:t>
      </w:r>
      <w:r w:rsidRPr="00D93140">
        <w:rPr>
          <w:rFonts w:ascii="Times New Roman" w:hAnsi="Times New Roman"/>
          <w:sz w:val="28"/>
          <w:szCs w:val="28"/>
        </w:rPr>
        <w:t>. A juicio del ciudadano, este decreto plantea un vaciamiento de las funciones de las autoridades ambientales, en contra de la Constitución al atribuir funciones de autoridad a particulares, provenientes de f</w:t>
      </w:r>
      <w:r w:rsidRPr="00D93140">
        <w:rPr>
          <w:rFonts w:ascii="Times New Roman" w:hAnsi="Times New Roman"/>
          <w:sz w:val="28"/>
          <w:szCs w:val="28"/>
        </w:rPr>
        <w:t>ormas organizativas que no se reconocen como entidades públicas en la Constitución ni en las leyes. Señala que de una lectura del artículo 4, se puede concluir que el decreto no solamente cubre a los territorios indígenas, sino a todas las comunidades indí</w:t>
      </w:r>
      <w:r w:rsidRPr="00D93140">
        <w:rPr>
          <w:rFonts w:ascii="Times New Roman" w:hAnsi="Times New Roman"/>
          <w:sz w:val="28"/>
          <w:szCs w:val="28"/>
        </w:rPr>
        <w:t>genas, aun aquellas que no se conviertan en entidad pública en virtud del Decreto 1953 de 2014.</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Aunque reconoce que lo anterior no es en sí mismo inconstitucional, los artículos 123 y 210 de la Constitución exigen que estas funciones estén delimitadas con</w:t>
      </w:r>
      <w:r w:rsidRPr="00D93140">
        <w:rPr>
          <w:rFonts w:ascii="Times New Roman" w:hAnsi="Times New Roman"/>
          <w:sz w:val="28"/>
          <w:szCs w:val="28"/>
        </w:rPr>
        <w:t xml:space="preserve"> el fin de evitar el vaciamiento de la función de la autoridad administrativa, lo que no ocurre en este caso ya que al revisar las funciones otorgadas en los artículos 5, 6 y 7 del decreto demandado, advierte que no son transitorias sino permanentes a dife</w:t>
      </w:r>
      <w:r w:rsidRPr="00D93140">
        <w:rPr>
          <w:rFonts w:ascii="Times New Roman" w:hAnsi="Times New Roman"/>
          <w:sz w:val="28"/>
          <w:szCs w:val="28"/>
        </w:rPr>
        <w:t xml:space="preserve">rencia de lo que ocurre con otros casos de atribución de función pública a particulares.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Igualmente, expone que la ausencia de una definición clara del territorio sobre el cual ejercerán su jurisdicción las autoridades indígenas con competencias ambienta</w:t>
      </w:r>
      <w:r w:rsidRPr="00D93140">
        <w:rPr>
          <w:rFonts w:ascii="Times New Roman" w:hAnsi="Times New Roman"/>
          <w:sz w:val="28"/>
          <w:szCs w:val="28"/>
        </w:rPr>
        <w:t xml:space="preserve">les, puede a su vez crear conflictos interétnicos y generar incertidumbres sobre las competencias de las autoridades ambientales indígenas y las ya existente asignadas a instituciones de gobierno. </w:t>
      </w:r>
    </w:p>
    <w:p w:rsidR="00E814A7" w:rsidRPr="00D93140" w:rsidRDefault="00D93140" w:rsidP="00E814A7">
      <w:pPr>
        <w:pStyle w:val="Prrafodelista"/>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 xml:space="preserve">Vulneración del derecho fundamental de acceso a la </w:t>
      </w:r>
      <w:r w:rsidRPr="00D93140">
        <w:rPr>
          <w:rFonts w:ascii="Times New Roman" w:hAnsi="Times New Roman"/>
          <w:i/>
          <w:sz w:val="28"/>
          <w:szCs w:val="28"/>
        </w:rPr>
        <w:t>administración de justicia al sustraer las determinaciones de las autoridades indígenas del control jurisdiccional</w:t>
      </w:r>
      <w:r w:rsidRPr="00D93140">
        <w:rPr>
          <w:rFonts w:ascii="Times New Roman" w:hAnsi="Times New Roman"/>
          <w:sz w:val="28"/>
          <w:szCs w:val="28"/>
        </w:rPr>
        <w:t>.  Señala que este decreto en los artículos 5 y 6, atribuye a las autoridades indígenas una serie de funciones que contemplan la expedición de</w:t>
      </w:r>
      <w:r w:rsidRPr="00D93140">
        <w:rPr>
          <w:rFonts w:ascii="Times New Roman" w:hAnsi="Times New Roman"/>
          <w:sz w:val="28"/>
          <w:szCs w:val="28"/>
        </w:rPr>
        <w:t xml:space="preserve"> actos generales y actos particulares, sin especificar si son actos administrativos, ni indicar si se sujetan a la Constitución y la ley, ni señalar si los mismos son susceptibles de control jurisdiccional.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Al no establecer estas acciones y procedimiento</w:t>
      </w:r>
      <w:r w:rsidRPr="00D93140">
        <w:rPr>
          <w:rFonts w:ascii="Times New Roman" w:hAnsi="Times New Roman"/>
          <w:sz w:val="28"/>
          <w:szCs w:val="28"/>
        </w:rPr>
        <w:t xml:space="preserve">s, se desconoce el derecho de toda persona a acudir a la jurisdicción para controvertir las determinaciones de las autoridades o de particulares que ejercen funciones públicas, determinaciones que, de acuerdo con la </w:t>
      </w:r>
      <w:r w:rsidRPr="00D93140">
        <w:rPr>
          <w:rFonts w:ascii="Times New Roman" w:hAnsi="Times New Roman"/>
          <w:sz w:val="28"/>
          <w:szCs w:val="28"/>
        </w:rPr>
        <w:t>Sentencia</w:t>
      </w:r>
      <w:r w:rsidRPr="00D93140">
        <w:rPr>
          <w:rFonts w:ascii="Times New Roman" w:hAnsi="Times New Roman"/>
          <w:sz w:val="28"/>
          <w:szCs w:val="28"/>
        </w:rPr>
        <w:t xml:space="preserve"> C-1436 de 2000, deben ser exam</w:t>
      </w:r>
      <w:r w:rsidRPr="00D93140">
        <w:rPr>
          <w:rFonts w:ascii="Times New Roman" w:hAnsi="Times New Roman"/>
          <w:sz w:val="28"/>
          <w:szCs w:val="28"/>
        </w:rPr>
        <w:t xml:space="preserve">inadas exclusivamente por la Rama Judicial y no por particulares investidos de la función de administrar justicia.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Expone el actor que una defensa de la norma que indique que el control jurisdiccional corresponde a la jurisdicción especial indígena, no e</w:t>
      </w:r>
      <w:r w:rsidRPr="00D93140">
        <w:rPr>
          <w:rFonts w:ascii="Times New Roman" w:hAnsi="Times New Roman"/>
          <w:sz w:val="28"/>
          <w:szCs w:val="28"/>
        </w:rPr>
        <w:t xml:space="preserve">s de recibo pues las decisiones afectan a todas las personas, indígenas o no, al estar ejercidas en un ámbito territorial extenso. Quedando entonces desprovistas del derecho de acceso a la administración de justicia, al no contar con un procedimiento para </w:t>
      </w:r>
      <w:r w:rsidRPr="00D93140">
        <w:rPr>
          <w:rFonts w:ascii="Times New Roman" w:hAnsi="Times New Roman"/>
          <w:sz w:val="28"/>
          <w:szCs w:val="28"/>
        </w:rPr>
        <w:t>controvertir los eventuales actos administrativos que expedirán estas autoridades indígenas.</w:t>
      </w:r>
    </w:p>
    <w:p w:rsidR="00E814A7" w:rsidRPr="00D93140" w:rsidRDefault="00D93140" w:rsidP="00E814A7">
      <w:pPr>
        <w:pStyle w:val="Prrafodelista"/>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El artículo 6, numeral 3 del Decreto 1275 desconoce el debido proceso al otorgar a comunidades indígenas competencias administrativas, en aplicación del derecho p</w:t>
      </w:r>
      <w:r w:rsidRPr="00D93140">
        <w:rPr>
          <w:rFonts w:ascii="Times New Roman" w:hAnsi="Times New Roman"/>
          <w:i/>
          <w:sz w:val="28"/>
          <w:szCs w:val="28"/>
        </w:rPr>
        <w:t>ropio, respecto de personas ajenas a ellas</w:t>
      </w:r>
      <w:r w:rsidRPr="00D93140">
        <w:rPr>
          <w:rFonts w:ascii="Times New Roman" w:hAnsi="Times New Roman"/>
          <w:sz w:val="28"/>
          <w:szCs w:val="28"/>
        </w:rPr>
        <w:t>. A juicio del accionante dicho artículo otorga competencia para sancionar a personas, la cual se divide en dos: la sanción para personas pertenecientes a la comunidad y la declaración de responsabilidad de persona</w:t>
      </w:r>
      <w:r w:rsidRPr="00D93140">
        <w:rPr>
          <w:rFonts w:ascii="Times New Roman" w:hAnsi="Times New Roman"/>
          <w:sz w:val="28"/>
          <w:szCs w:val="28"/>
        </w:rPr>
        <w:t>s ajenas a ella. Esta última es, en su criterio, inconstitucional, por desconocer el debido proceso de las personas ajenas a las comunidades indígenas.</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Señala que este artículo no indica conforme a cuáles leyes se va a declarar la responsabilidad de las p</w:t>
      </w:r>
      <w:r w:rsidRPr="00D93140">
        <w:rPr>
          <w:rFonts w:ascii="Times New Roman" w:hAnsi="Times New Roman"/>
          <w:sz w:val="28"/>
          <w:szCs w:val="28"/>
        </w:rPr>
        <w:t>ersonas ajenas a la comunidad indígena, ni los tipos de sanciones o medidas compensatorias que puede imponer la autoridad ambiental, una vez esta se “coordine” con la autoridad indígena. Lo anterior, dice, es contrario al régimen sancionatorio ambiental, q</w:t>
      </w:r>
      <w:r w:rsidRPr="00D93140">
        <w:rPr>
          <w:rFonts w:ascii="Times New Roman" w:hAnsi="Times New Roman"/>
          <w:sz w:val="28"/>
          <w:szCs w:val="28"/>
        </w:rPr>
        <w:t xml:space="preserve">ue contiene la lista de sanciones que puede eventualmente imponer la autoridad ambiental luego de declarar la responsabilidad de un infractor. </w:t>
      </w:r>
    </w:p>
    <w:p w:rsidR="00E814A7" w:rsidRPr="00D93140" w:rsidRDefault="00D93140" w:rsidP="00E814A7">
      <w:pPr>
        <w:pStyle w:val="Prrafodelista"/>
        <w:ind w:left="0"/>
        <w:jc w:val="both"/>
        <w:rPr>
          <w:rFonts w:ascii="Times New Roman" w:hAnsi="Times New Roman"/>
          <w:sz w:val="28"/>
          <w:szCs w:val="28"/>
        </w:rPr>
      </w:pPr>
    </w:p>
    <w:p w:rsidR="00E814A7" w:rsidRPr="00D93140" w:rsidRDefault="00D93140" w:rsidP="00E814A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Estima el actor que esta norma también desconoce la garantía de juez natural, prevista en el artículo 29 de la </w:t>
      </w:r>
      <w:r w:rsidRPr="00D93140">
        <w:rPr>
          <w:rFonts w:ascii="Times New Roman" w:hAnsi="Times New Roman"/>
          <w:sz w:val="28"/>
          <w:szCs w:val="28"/>
        </w:rPr>
        <w:t>Constitución. Con la atribución a la jurisdicción especial indígena para declarar responsabilidades ambientales de personas ajenas a la comunidad, se exceden las competencias de la jurisdicción indígena, las cuales han sido desarrolladas previamente por la</w:t>
      </w:r>
      <w:r w:rsidRPr="00D93140">
        <w:rPr>
          <w:rFonts w:ascii="Times New Roman" w:hAnsi="Times New Roman"/>
          <w:sz w:val="28"/>
          <w:szCs w:val="28"/>
        </w:rPr>
        <w:t xml:space="preserve"> jurisprudencia, en particular por la </w:t>
      </w:r>
      <w:r w:rsidRPr="00D93140">
        <w:rPr>
          <w:rFonts w:ascii="Times New Roman" w:hAnsi="Times New Roman"/>
          <w:sz w:val="28"/>
          <w:szCs w:val="28"/>
        </w:rPr>
        <w:t>Sentencia</w:t>
      </w:r>
      <w:r w:rsidRPr="00D93140">
        <w:rPr>
          <w:rFonts w:ascii="Times New Roman" w:hAnsi="Times New Roman"/>
          <w:sz w:val="28"/>
          <w:szCs w:val="28"/>
        </w:rPr>
        <w:t xml:space="preserve"> T-617 de 2010, que estableció cuatro elementos que deben estar presentes para que la jurisdicción indígena pueda ser ejercida en un caso particular: el elemento personal, el territorial, el institucional y el</w:t>
      </w:r>
      <w:r w:rsidRPr="00D93140">
        <w:rPr>
          <w:rFonts w:ascii="Times New Roman" w:hAnsi="Times New Roman"/>
          <w:sz w:val="28"/>
          <w:szCs w:val="28"/>
        </w:rPr>
        <w:t xml:space="preserve"> objetivo.  </w:t>
      </w:r>
    </w:p>
    <w:p w:rsidR="00811ED3" w:rsidRPr="00D93140" w:rsidRDefault="00D93140" w:rsidP="00E04174">
      <w:pPr>
        <w:jc w:val="both"/>
        <w:rPr>
          <w:rFonts w:ascii="Times New Roman" w:hAnsi="Times New Roman"/>
          <w:sz w:val="28"/>
          <w:szCs w:val="28"/>
        </w:rPr>
      </w:pPr>
    </w:p>
    <w:p w:rsidR="0020765A" w:rsidRPr="00D93140" w:rsidRDefault="00D93140" w:rsidP="003C3E37">
      <w:pPr>
        <w:pStyle w:val="Ttulo2"/>
        <w:rPr>
          <w:rFonts w:ascii="Times New Roman" w:hAnsi="Times New Roman"/>
          <w:b/>
          <w:sz w:val="28"/>
          <w:lang w:val="es-ES"/>
        </w:rPr>
      </w:pPr>
      <w:bookmarkStart w:id="8" w:name="_Toc215735426"/>
      <w:r w:rsidRPr="00D93140">
        <w:rPr>
          <w:rFonts w:ascii="Times New Roman" w:hAnsi="Times New Roman"/>
          <w:b/>
          <w:sz w:val="28"/>
          <w:lang w:val="es-ES"/>
        </w:rPr>
        <w:t xml:space="preserve">D. </w:t>
      </w:r>
      <w:r w:rsidRPr="00D93140">
        <w:rPr>
          <w:rFonts w:ascii="Times New Roman" w:hAnsi="Times New Roman"/>
          <w:b/>
          <w:sz w:val="28"/>
          <w:lang w:val="es-ES"/>
        </w:rPr>
        <w:t>Pruebas recaudadas</w:t>
      </w:r>
      <w:bookmarkEnd w:id="8"/>
    </w:p>
    <w:p w:rsidR="0020765A" w:rsidRPr="00D93140" w:rsidRDefault="00D93140" w:rsidP="00E04174">
      <w:pPr>
        <w:rPr>
          <w:rFonts w:ascii="Times New Roman" w:hAnsi="Times New Roman"/>
          <w:b/>
          <w:bCs/>
          <w:sz w:val="28"/>
          <w:szCs w:val="28"/>
          <w:lang w:val="es-ES"/>
        </w:rPr>
      </w:pPr>
    </w:p>
    <w:p w:rsidR="00C43BF7" w:rsidRPr="00D93140" w:rsidRDefault="00D93140" w:rsidP="00E04174">
      <w:pPr>
        <w:pStyle w:val="Prrafodelista"/>
        <w:numPr>
          <w:ilvl w:val="0"/>
          <w:numId w:val="1"/>
        </w:numPr>
        <w:ind w:left="0" w:firstLine="0"/>
        <w:jc w:val="both"/>
        <w:rPr>
          <w:rFonts w:ascii="Times New Roman" w:hAnsi="Times New Roman"/>
          <w:bCs/>
          <w:sz w:val="28"/>
          <w:szCs w:val="28"/>
          <w:lang w:val="es-ES"/>
        </w:rPr>
      </w:pPr>
      <w:r w:rsidRPr="00D93140">
        <w:rPr>
          <w:rFonts w:ascii="Times New Roman" w:hAnsi="Times New Roman"/>
          <w:bCs/>
          <w:sz w:val="28"/>
          <w:szCs w:val="28"/>
          <w:lang w:val="es-ES"/>
        </w:rPr>
        <w:t xml:space="preserve">En respuesta a lo ordenado en los numerales </w:t>
      </w:r>
      <w:r w:rsidRPr="00D93140">
        <w:rPr>
          <w:rFonts w:ascii="Times New Roman" w:hAnsi="Times New Roman"/>
          <w:bCs/>
          <w:sz w:val="28"/>
          <w:szCs w:val="28"/>
          <w:lang w:val="es-ES"/>
        </w:rPr>
        <w:t xml:space="preserve">octavo y noveno del auto de fecha 14 de febrero de 2025 y </w:t>
      </w:r>
      <w:r w:rsidRPr="00D93140">
        <w:rPr>
          <w:rFonts w:ascii="Times New Roman" w:hAnsi="Times New Roman"/>
          <w:bCs/>
          <w:sz w:val="28"/>
          <w:szCs w:val="28"/>
          <w:lang w:val="es-ES"/>
        </w:rPr>
        <w:t>quinto de</w:t>
      </w:r>
      <w:r w:rsidRPr="00D93140">
        <w:rPr>
          <w:rFonts w:ascii="Times New Roman" w:hAnsi="Times New Roman"/>
          <w:bCs/>
          <w:sz w:val="28"/>
          <w:szCs w:val="28"/>
          <w:lang w:val="es-ES"/>
        </w:rPr>
        <w:t>l</w:t>
      </w:r>
      <w:r w:rsidRPr="00D93140">
        <w:rPr>
          <w:rFonts w:ascii="Times New Roman" w:hAnsi="Times New Roman"/>
          <w:bCs/>
          <w:sz w:val="28"/>
          <w:szCs w:val="28"/>
          <w:lang w:val="es-ES"/>
        </w:rPr>
        <w:t xml:space="preserve"> auto de fecha </w:t>
      </w:r>
      <w:r w:rsidRPr="00D93140">
        <w:rPr>
          <w:rFonts w:ascii="Times New Roman" w:hAnsi="Times New Roman"/>
          <w:bCs/>
          <w:sz w:val="28"/>
          <w:szCs w:val="28"/>
          <w:lang w:val="es-ES"/>
        </w:rPr>
        <w:t>7</w:t>
      </w:r>
      <w:r w:rsidRPr="00D93140">
        <w:rPr>
          <w:rFonts w:ascii="Times New Roman" w:hAnsi="Times New Roman"/>
          <w:bCs/>
          <w:sz w:val="28"/>
          <w:szCs w:val="28"/>
          <w:lang w:val="es-ES"/>
        </w:rPr>
        <w:t xml:space="preserve"> de marzo de 2025, </w:t>
      </w:r>
      <w:r w:rsidRPr="00D93140">
        <w:rPr>
          <w:rFonts w:ascii="Times New Roman" w:hAnsi="Times New Roman"/>
          <w:bCs/>
          <w:sz w:val="28"/>
          <w:szCs w:val="28"/>
          <w:lang w:val="es-ES"/>
        </w:rPr>
        <w:t>las entidades requeridas indicaron lo siguiente:</w:t>
      </w:r>
    </w:p>
    <w:p w:rsidR="00492695" w:rsidRPr="00D93140" w:rsidRDefault="00D93140" w:rsidP="00E04174">
      <w:pPr>
        <w:pStyle w:val="Prrafodelista"/>
        <w:ind w:left="0"/>
        <w:jc w:val="both"/>
        <w:rPr>
          <w:rFonts w:ascii="Times New Roman" w:hAnsi="Times New Roman"/>
          <w:bCs/>
          <w:sz w:val="28"/>
          <w:szCs w:val="28"/>
          <w:lang w:val="es-ES"/>
        </w:rPr>
      </w:pPr>
    </w:p>
    <w:p w:rsidR="00492695" w:rsidRPr="00D93140" w:rsidRDefault="00D93140" w:rsidP="00E04174">
      <w:pPr>
        <w:pStyle w:val="Prrafodelista"/>
        <w:numPr>
          <w:ilvl w:val="0"/>
          <w:numId w:val="1"/>
        </w:numPr>
        <w:ind w:left="0" w:firstLine="0"/>
        <w:jc w:val="both"/>
        <w:rPr>
          <w:rFonts w:ascii="Times New Roman" w:hAnsi="Times New Roman"/>
          <w:bCs/>
          <w:sz w:val="28"/>
          <w:szCs w:val="28"/>
          <w:lang w:val="es-ES"/>
        </w:rPr>
      </w:pPr>
      <w:r w:rsidRPr="00D93140">
        <w:rPr>
          <w:rFonts w:ascii="Times New Roman" w:hAnsi="Times New Roman"/>
          <w:bCs/>
          <w:sz w:val="28"/>
          <w:szCs w:val="28"/>
          <w:lang w:val="es-ES"/>
        </w:rPr>
        <w:t xml:space="preserve">El </w:t>
      </w:r>
      <w:r w:rsidRPr="00D93140">
        <w:rPr>
          <w:rFonts w:ascii="Times New Roman" w:hAnsi="Times New Roman"/>
          <w:bCs/>
          <w:sz w:val="28"/>
          <w:szCs w:val="28"/>
          <w:lang w:val="es-ES"/>
        </w:rPr>
        <w:t xml:space="preserve">Departamento Administrativo de la Presidencia de la República y el </w:t>
      </w:r>
      <w:r w:rsidRPr="00D93140">
        <w:rPr>
          <w:rFonts w:ascii="Times New Roman" w:hAnsi="Times New Roman"/>
          <w:bCs/>
          <w:sz w:val="28"/>
          <w:szCs w:val="28"/>
          <w:lang w:val="es-ES"/>
        </w:rPr>
        <w:t>Mi</w:t>
      </w:r>
      <w:r w:rsidRPr="00D93140">
        <w:rPr>
          <w:rFonts w:ascii="Times New Roman" w:hAnsi="Times New Roman"/>
          <w:bCs/>
          <w:sz w:val="28"/>
          <w:szCs w:val="28"/>
          <w:lang w:val="es-ES"/>
        </w:rPr>
        <w:t>n</w:t>
      </w:r>
      <w:r w:rsidRPr="00D93140">
        <w:rPr>
          <w:rFonts w:ascii="Times New Roman" w:hAnsi="Times New Roman"/>
          <w:bCs/>
          <w:sz w:val="28"/>
          <w:szCs w:val="28"/>
          <w:lang w:val="es-ES"/>
        </w:rPr>
        <w:t xml:space="preserve">isterio del </w:t>
      </w:r>
      <w:r w:rsidRPr="00D93140">
        <w:rPr>
          <w:rFonts w:ascii="Times New Roman" w:hAnsi="Times New Roman"/>
          <w:bCs/>
          <w:sz w:val="28"/>
          <w:szCs w:val="28"/>
          <w:lang w:val="es-ES"/>
        </w:rPr>
        <w:t>I</w:t>
      </w:r>
      <w:r w:rsidRPr="00D93140">
        <w:rPr>
          <w:rFonts w:ascii="Times New Roman" w:hAnsi="Times New Roman"/>
          <w:bCs/>
          <w:sz w:val="28"/>
          <w:szCs w:val="28"/>
          <w:lang w:val="es-ES"/>
        </w:rPr>
        <w:t>nterior</w:t>
      </w:r>
      <w:r w:rsidRPr="00D93140">
        <w:rPr>
          <w:rFonts w:ascii="Times New Roman" w:hAnsi="Times New Roman"/>
          <w:bCs/>
          <w:sz w:val="28"/>
          <w:szCs w:val="28"/>
          <w:lang w:val="es-ES"/>
        </w:rPr>
        <w:t xml:space="preserve"> </w:t>
      </w:r>
      <w:r w:rsidRPr="00D93140">
        <w:rPr>
          <w:rFonts w:ascii="Times New Roman" w:hAnsi="Times New Roman"/>
          <w:bCs/>
          <w:sz w:val="28"/>
          <w:szCs w:val="28"/>
          <w:lang w:val="es-ES"/>
        </w:rPr>
        <w:t>aclararon en primer lugar que el Decreto 1275 de 2024 al ser expedido con fundamento en el artículo 56 transitorio de la Constitución, no se rige por lo dispuesto en</w:t>
      </w:r>
      <w:r w:rsidRPr="00D93140">
        <w:rPr>
          <w:rFonts w:ascii="Times New Roman" w:hAnsi="Times New Roman"/>
          <w:bCs/>
          <w:sz w:val="28"/>
          <w:szCs w:val="28"/>
          <w:lang w:val="es-ES"/>
        </w:rPr>
        <w:t xml:space="preserve"> el artículo 2.1.2.1.6 del Decreto 1081 de 2015 y, en consecuencia, no es exigible, como requisito previo para su trámite de firma ante el presidente de la República, el tener que haber sido acompañado su proyecto de una memoria justificativa. No obstante,</w:t>
      </w:r>
      <w:r w:rsidRPr="00D93140">
        <w:rPr>
          <w:rFonts w:ascii="Times New Roman" w:hAnsi="Times New Roman"/>
          <w:bCs/>
          <w:sz w:val="28"/>
          <w:szCs w:val="28"/>
          <w:lang w:val="es-ES"/>
        </w:rPr>
        <w:t xml:space="preserve"> señalaron que</w:t>
      </w:r>
      <w:r w:rsidRPr="00D93140">
        <w:rPr>
          <w:rFonts w:ascii="Times New Roman" w:hAnsi="Times New Roman"/>
          <w:bCs/>
          <w:sz w:val="28"/>
          <w:szCs w:val="28"/>
          <w:lang w:val="es-ES"/>
        </w:rPr>
        <w:t>,</w:t>
      </w:r>
      <w:r w:rsidRPr="00D93140">
        <w:rPr>
          <w:rFonts w:ascii="Times New Roman" w:hAnsi="Times New Roman"/>
          <w:bCs/>
          <w:sz w:val="28"/>
          <w:szCs w:val="28"/>
          <w:lang w:val="es-ES"/>
        </w:rPr>
        <w:t xml:space="preserve"> en virtud de los requerimientos formulados por el Ministerio Público en su momento, el Ministerio de Ambiente y Desarrollo Sostenible decidió elaborar una memoria justificativa del decreto bajo examen, que se allega</w:t>
      </w:r>
      <w:r w:rsidRPr="00D93140">
        <w:rPr>
          <w:rFonts w:ascii="Times New Roman" w:hAnsi="Times New Roman"/>
          <w:bCs/>
          <w:sz w:val="28"/>
          <w:szCs w:val="28"/>
          <w:lang w:val="es-ES"/>
        </w:rPr>
        <w:t xml:space="preserve"> en </w:t>
      </w:r>
      <w:r w:rsidRPr="00D93140">
        <w:rPr>
          <w:rFonts w:ascii="Times New Roman" w:hAnsi="Times New Roman"/>
          <w:bCs/>
          <w:sz w:val="28"/>
          <w:szCs w:val="28"/>
          <w:lang w:val="es-ES"/>
        </w:rPr>
        <w:t>documento</w:t>
      </w:r>
      <w:r w:rsidRPr="00D93140">
        <w:rPr>
          <w:rFonts w:ascii="Times New Roman" w:hAnsi="Times New Roman"/>
          <w:bCs/>
          <w:sz w:val="28"/>
          <w:szCs w:val="28"/>
          <w:lang w:val="es-ES"/>
        </w:rPr>
        <w:t xml:space="preserve"> anexo a la </w:t>
      </w:r>
      <w:r w:rsidRPr="00D93140">
        <w:rPr>
          <w:rFonts w:ascii="Times New Roman" w:hAnsi="Times New Roman"/>
          <w:bCs/>
          <w:sz w:val="28"/>
          <w:szCs w:val="28"/>
          <w:lang w:val="es-ES"/>
        </w:rPr>
        <w:t>respuesta</w:t>
      </w:r>
      <w:r w:rsidRPr="00D93140">
        <w:rPr>
          <w:rFonts w:ascii="Times New Roman" w:hAnsi="Times New Roman"/>
          <w:bCs/>
          <w:sz w:val="28"/>
          <w:szCs w:val="28"/>
          <w:lang w:val="es-ES"/>
        </w:rPr>
        <w:t>.</w:t>
      </w:r>
    </w:p>
    <w:p w:rsidR="0015696D" w:rsidRPr="00D93140" w:rsidRDefault="00D93140" w:rsidP="00E04174">
      <w:pPr>
        <w:pStyle w:val="Prrafodelista"/>
        <w:ind w:left="0"/>
        <w:jc w:val="both"/>
        <w:rPr>
          <w:rFonts w:ascii="Times New Roman" w:hAnsi="Times New Roman"/>
          <w:bCs/>
          <w:sz w:val="28"/>
          <w:szCs w:val="28"/>
          <w:lang w:val="es-ES"/>
        </w:rPr>
      </w:pPr>
    </w:p>
    <w:p w:rsidR="009E5382" w:rsidRPr="00D93140" w:rsidRDefault="00D93140" w:rsidP="00E04174">
      <w:pPr>
        <w:pStyle w:val="Prrafodelista"/>
        <w:numPr>
          <w:ilvl w:val="0"/>
          <w:numId w:val="1"/>
        </w:numPr>
        <w:ind w:left="0" w:firstLine="0"/>
        <w:jc w:val="both"/>
        <w:rPr>
          <w:rFonts w:ascii="Times New Roman" w:hAnsi="Times New Roman"/>
          <w:bCs/>
          <w:sz w:val="28"/>
          <w:szCs w:val="28"/>
          <w:lang w:val="es-ES"/>
        </w:rPr>
      </w:pPr>
      <w:r w:rsidRPr="00D93140">
        <w:rPr>
          <w:rFonts w:ascii="Times New Roman" w:hAnsi="Times New Roman"/>
          <w:bCs/>
          <w:sz w:val="28"/>
          <w:szCs w:val="28"/>
          <w:lang w:val="es-ES"/>
        </w:rPr>
        <w:t xml:space="preserve">El Ministerio de Ambiente y Desarrollo Sostenible </w:t>
      </w:r>
      <w:r w:rsidRPr="00D93140">
        <w:rPr>
          <w:rFonts w:ascii="Times New Roman" w:hAnsi="Times New Roman"/>
          <w:bCs/>
          <w:sz w:val="28"/>
          <w:szCs w:val="28"/>
          <w:lang w:val="es-ES"/>
        </w:rPr>
        <w:t xml:space="preserve">indicó que para el desarrollo responsable de la Coordinación Ambiental Efectiva y atendiendo a los principios de planeación presupuestal, sostenibilidad fiscal y la coherencia macroeconómica, el Decreto no constituye una orden de </w:t>
      </w:r>
      <w:r w:rsidRPr="00D93140">
        <w:rPr>
          <w:rFonts w:ascii="Times New Roman" w:hAnsi="Times New Roman"/>
          <w:bCs/>
          <w:sz w:val="28"/>
          <w:szCs w:val="28"/>
          <w:lang w:val="es-ES"/>
        </w:rPr>
        <w:t>gasto,</w:t>
      </w:r>
      <w:r w:rsidRPr="00D93140">
        <w:rPr>
          <w:rFonts w:ascii="Times New Roman" w:hAnsi="Times New Roman"/>
          <w:bCs/>
          <w:sz w:val="28"/>
          <w:szCs w:val="28"/>
          <w:lang w:val="es-ES"/>
        </w:rPr>
        <w:t xml:space="preserve"> pero sí establece u</w:t>
      </w:r>
      <w:r w:rsidRPr="00D93140">
        <w:rPr>
          <w:rFonts w:ascii="Times New Roman" w:hAnsi="Times New Roman"/>
          <w:bCs/>
          <w:sz w:val="28"/>
          <w:szCs w:val="28"/>
          <w:lang w:val="es-ES"/>
        </w:rPr>
        <w:t>n mecanismo que atiende la naturaleza de las competencias autonómicas especiales que deben articularse entre autoridades en el marco del pluralismo jurídico. En tal virtud, el 22 de mayo de 2024 se realizó una mesa técnica con el Ministerio de Hacienda y C</w:t>
      </w:r>
      <w:r w:rsidRPr="00D93140">
        <w:rPr>
          <w:rFonts w:ascii="Times New Roman" w:hAnsi="Times New Roman"/>
          <w:bCs/>
          <w:sz w:val="28"/>
          <w:szCs w:val="28"/>
          <w:lang w:val="es-ES"/>
        </w:rPr>
        <w:t>rédito Público, con el fin de analizar la viabilidad presupuestal que podría establecer la norma y abordar posibilidades a partir del análisis de diferentes fuentes presupuestales que podrían contribuir tales como el Presupuesto General de la Nación, Fondo</w:t>
      </w:r>
      <w:r w:rsidRPr="00D93140">
        <w:rPr>
          <w:rFonts w:ascii="Times New Roman" w:hAnsi="Times New Roman"/>
          <w:bCs/>
          <w:sz w:val="28"/>
          <w:szCs w:val="28"/>
          <w:lang w:val="es-ES"/>
        </w:rPr>
        <w:t xml:space="preserve">s de Regalías, Sistema General de Participaciones, Fondo para la vida y la Biodiversidad o la implementación de otros mecanismos ya restablecidos por normas como los Decretos 1953 y 632 de 2018. </w:t>
      </w:r>
    </w:p>
    <w:p w:rsidR="009E5382" w:rsidRPr="00D93140" w:rsidRDefault="00D93140" w:rsidP="00E04174">
      <w:pPr>
        <w:pStyle w:val="Prrafodelista"/>
        <w:ind w:left="0"/>
        <w:jc w:val="both"/>
        <w:rPr>
          <w:rFonts w:ascii="Times New Roman" w:hAnsi="Times New Roman"/>
          <w:bCs/>
          <w:sz w:val="28"/>
          <w:szCs w:val="28"/>
          <w:lang w:val="es-ES"/>
        </w:rPr>
      </w:pPr>
    </w:p>
    <w:p w:rsidR="009C4F96" w:rsidRPr="00D93140" w:rsidRDefault="00D93140" w:rsidP="00E04174">
      <w:pPr>
        <w:pStyle w:val="Prrafodelista"/>
        <w:numPr>
          <w:ilvl w:val="0"/>
          <w:numId w:val="1"/>
        </w:numPr>
        <w:ind w:left="0" w:firstLine="0"/>
        <w:jc w:val="both"/>
        <w:rPr>
          <w:rFonts w:ascii="Times New Roman" w:hAnsi="Times New Roman"/>
          <w:bCs/>
          <w:sz w:val="28"/>
          <w:szCs w:val="28"/>
          <w:lang w:val="es-ES"/>
        </w:rPr>
      </w:pPr>
      <w:r w:rsidRPr="00D93140">
        <w:rPr>
          <w:rFonts w:ascii="Times New Roman" w:hAnsi="Times New Roman"/>
          <w:bCs/>
          <w:sz w:val="28"/>
          <w:szCs w:val="28"/>
          <w:lang w:val="es-ES"/>
        </w:rPr>
        <w:t xml:space="preserve">Ante este escenario, se redactó la norma de modo que </w:t>
      </w:r>
      <w:r w:rsidRPr="00D93140">
        <w:rPr>
          <w:rFonts w:ascii="Times New Roman" w:hAnsi="Times New Roman"/>
          <w:bCs/>
          <w:sz w:val="28"/>
          <w:szCs w:val="28"/>
          <w:lang w:val="es-ES"/>
        </w:rPr>
        <w:t xml:space="preserve">convocara a las entidades de Gobierno, que más allá de la cartera ambiental, asistieran a un diálogo concertado con los pueblos indígenas para definir la mejor fórmula que garantice estos recursos, analizando no solo el impacto fiscal sino la mejor fuente </w:t>
      </w:r>
      <w:r w:rsidRPr="00D93140">
        <w:rPr>
          <w:rFonts w:ascii="Times New Roman" w:hAnsi="Times New Roman"/>
          <w:bCs/>
          <w:sz w:val="28"/>
          <w:szCs w:val="28"/>
          <w:lang w:val="es-ES"/>
        </w:rPr>
        <w:t>presupuestal que garantice el reconocimiento y fortalecimiento de sus funciones ambientales de acuerdo a la configuración de sus estructuras de gobierno y las posibilidades legales y políticas del Estado, asunto cuya discusión se debía iniciar dentro de lo</w:t>
      </w:r>
      <w:r w:rsidRPr="00D93140">
        <w:rPr>
          <w:rFonts w:ascii="Times New Roman" w:hAnsi="Times New Roman"/>
          <w:bCs/>
          <w:sz w:val="28"/>
          <w:szCs w:val="28"/>
          <w:lang w:val="es-ES"/>
        </w:rPr>
        <w:t>s primeros seis (6) meses de entrada en vigencia de la norma y en el marco de la Mesa Permanente de Concertación.</w:t>
      </w:r>
    </w:p>
    <w:p w:rsidR="00C169DE" w:rsidRPr="00D93140" w:rsidRDefault="00D93140" w:rsidP="00E04174">
      <w:pPr>
        <w:pStyle w:val="Prrafodelista"/>
        <w:ind w:left="0"/>
        <w:jc w:val="both"/>
        <w:rPr>
          <w:rFonts w:ascii="Times New Roman" w:hAnsi="Times New Roman"/>
          <w:bCs/>
          <w:sz w:val="28"/>
          <w:szCs w:val="28"/>
          <w:lang w:val="es-ES"/>
        </w:rPr>
      </w:pPr>
    </w:p>
    <w:p w:rsidR="009C4F96" w:rsidRPr="00D93140" w:rsidRDefault="00D93140" w:rsidP="00E04174">
      <w:pPr>
        <w:pStyle w:val="Prrafodelista"/>
        <w:numPr>
          <w:ilvl w:val="0"/>
          <w:numId w:val="1"/>
        </w:numPr>
        <w:ind w:left="0" w:firstLine="0"/>
        <w:jc w:val="both"/>
        <w:rPr>
          <w:rFonts w:ascii="Times New Roman" w:hAnsi="Times New Roman"/>
          <w:bCs/>
          <w:sz w:val="28"/>
          <w:szCs w:val="28"/>
          <w:lang w:val="es-ES"/>
        </w:rPr>
      </w:pPr>
      <w:r w:rsidRPr="00D93140">
        <w:rPr>
          <w:rFonts w:ascii="Times New Roman" w:hAnsi="Times New Roman"/>
          <w:bCs/>
          <w:sz w:val="28"/>
          <w:szCs w:val="28"/>
          <w:lang w:val="es-ES"/>
        </w:rPr>
        <w:t>Por su parte, el Ministerio del Interior manifestó que el Decreto Ley 1275 de 2024 fue objeto de un proceso de consulta previa debidamente re</w:t>
      </w:r>
      <w:r w:rsidRPr="00D93140">
        <w:rPr>
          <w:rFonts w:ascii="Times New Roman" w:hAnsi="Times New Roman"/>
          <w:bCs/>
          <w:sz w:val="28"/>
          <w:szCs w:val="28"/>
          <w:lang w:val="es-ES"/>
        </w:rPr>
        <w:t>alizado y concluido con las comunidades indígenas, a través de la Mesa Permanente de Concertación, mecanismo principal de interlocución entre el Estado colombiano y los pueblos indígenas.</w:t>
      </w:r>
    </w:p>
    <w:p w:rsidR="009E31D6" w:rsidRPr="00D93140" w:rsidRDefault="00D93140" w:rsidP="00E04174">
      <w:pPr>
        <w:pStyle w:val="Prrafodelista"/>
        <w:ind w:left="0"/>
        <w:jc w:val="both"/>
        <w:rPr>
          <w:rFonts w:ascii="Times New Roman" w:hAnsi="Times New Roman"/>
          <w:bCs/>
          <w:sz w:val="28"/>
          <w:szCs w:val="28"/>
          <w:lang w:val="es-ES"/>
        </w:rPr>
      </w:pPr>
    </w:p>
    <w:p w:rsidR="009E31D6" w:rsidRPr="00D93140" w:rsidRDefault="00D93140" w:rsidP="00E04174">
      <w:pPr>
        <w:pStyle w:val="Prrafodelista"/>
        <w:numPr>
          <w:ilvl w:val="0"/>
          <w:numId w:val="1"/>
        </w:numPr>
        <w:ind w:left="0" w:firstLine="0"/>
        <w:jc w:val="both"/>
        <w:rPr>
          <w:rFonts w:ascii="Times New Roman" w:hAnsi="Times New Roman"/>
          <w:bCs/>
          <w:sz w:val="28"/>
          <w:szCs w:val="28"/>
          <w:lang w:val="es-ES"/>
        </w:rPr>
      </w:pPr>
      <w:r w:rsidRPr="00D93140">
        <w:rPr>
          <w:rFonts w:ascii="Times New Roman" w:hAnsi="Times New Roman"/>
          <w:bCs/>
          <w:sz w:val="28"/>
          <w:szCs w:val="28"/>
          <w:lang w:val="es-ES"/>
        </w:rPr>
        <w:t>El Ministerio de Hacienda y Crédito Público refirió que los decreto</w:t>
      </w:r>
      <w:r w:rsidRPr="00D93140">
        <w:rPr>
          <w:rFonts w:ascii="Times New Roman" w:hAnsi="Times New Roman"/>
          <w:bCs/>
          <w:sz w:val="28"/>
          <w:szCs w:val="28"/>
          <w:lang w:val="es-ES"/>
        </w:rPr>
        <w:t>s que se expiden con fundamento en el artículo 56 transitorio de la Constitución Política no están sujetos al trámite y debate ante el Congreso de la República, de modo que el análisis de impacto fiscal, en los términos del artículo 7 de la Ley 819 de 2003</w:t>
      </w:r>
      <w:r w:rsidRPr="00D93140">
        <w:rPr>
          <w:rFonts w:ascii="Times New Roman" w:hAnsi="Times New Roman"/>
          <w:bCs/>
          <w:sz w:val="28"/>
          <w:szCs w:val="28"/>
          <w:lang w:val="es-ES"/>
        </w:rPr>
        <w:t xml:space="preserve">, no se impone como un requisito para su elaboración. En todo caso, indicó que el artículo 10 del Decreto Ley 1275 de 2024 no infringe los principios presupuestales, ni la sostenibilidad fiscal, en tanto la norma no comporta una orden ni una asignación de </w:t>
      </w:r>
      <w:r w:rsidRPr="00D93140">
        <w:rPr>
          <w:rFonts w:ascii="Times New Roman" w:hAnsi="Times New Roman"/>
          <w:bCs/>
          <w:sz w:val="28"/>
          <w:szCs w:val="28"/>
          <w:lang w:val="es-ES"/>
        </w:rPr>
        <w:t>gasto. Por el contrario, el citado artículo establece el deber de adelantar un proceso de coordinación entre el Ministerio de Ambiente y Desarrollo Sostenible y las entidades del gobierno nacional pertinentes, así como la concertación con la Mesa Permanent</w:t>
      </w:r>
      <w:r w:rsidRPr="00D93140">
        <w:rPr>
          <w:rFonts w:ascii="Times New Roman" w:hAnsi="Times New Roman"/>
          <w:bCs/>
          <w:sz w:val="28"/>
          <w:szCs w:val="28"/>
          <w:lang w:val="es-ES"/>
        </w:rPr>
        <w:t>e de Concertación (MPC), para que conjuntamente definan mecanismos y se adelanten acciones que permitan garantizar los recursos para el funcionamiento de las competencias ambientales de las autoridades indígenas, teniendo en cuenta para el efecto el criter</w:t>
      </w:r>
      <w:r w:rsidRPr="00D93140">
        <w:rPr>
          <w:rFonts w:ascii="Times New Roman" w:hAnsi="Times New Roman"/>
          <w:bCs/>
          <w:sz w:val="28"/>
          <w:szCs w:val="28"/>
          <w:lang w:val="es-ES"/>
        </w:rPr>
        <w:t xml:space="preserve">io orientador de sostenibilidad de las finanzas públicas. </w:t>
      </w:r>
    </w:p>
    <w:p w:rsidR="009E31D6" w:rsidRPr="00D93140" w:rsidRDefault="00D93140" w:rsidP="00E04174">
      <w:pPr>
        <w:rPr>
          <w:rFonts w:ascii="Times New Roman" w:hAnsi="Times New Roman"/>
          <w:bCs/>
          <w:sz w:val="28"/>
          <w:szCs w:val="28"/>
          <w:lang w:val="es-ES"/>
        </w:rPr>
      </w:pPr>
    </w:p>
    <w:p w:rsidR="00D10F23" w:rsidRPr="00D93140" w:rsidRDefault="00D93140" w:rsidP="003C3E37">
      <w:pPr>
        <w:pStyle w:val="Ttulo2"/>
        <w:rPr>
          <w:rFonts w:ascii="Times New Roman" w:hAnsi="Times New Roman"/>
          <w:b/>
          <w:sz w:val="28"/>
          <w:lang w:val="es-ES"/>
        </w:rPr>
      </w:pPr>
      <w:bookmarkStart w:id="9" w:name="_Toc215735427"/>
      <w:r w:rsidRPr="00D93140">
        <w:rPr>
          <w:rFonts w:ascii="Times New Roman" w:hAnsi="Times New Roman"/>
          <w:b/>
          <w:sz w:val="28"/>
          <w:lang w:val="es-ES"/>
        </w:rPr>
        <w:t xml:space="preserve">E. </w:t>
      </w:r>
      <w:r w:rsidRPr="00D93140">
        <w:rPr>
          <w:rFonts w:ascii="Times New Roman" w:hAnsi="Times New Roman"/>
          <w:b/>
          <w:sz w:val="28"/>
          <w:lang w:val="es-ES"/>
        </w:rPr>
        <w:t>Intervenciones y conceptos</w:t>
      </w:r>
      <w:bookmarkEnd w:id="9"/>
    </w:p>
    <w:p w:rsidR="00D10F23" w:rsidRPr="00D93140" w:rsidRDefault="00D93140" w:rsidP="00E04174">
      <w:pPr>
        <w:pStyle w:val="Prrafodelista"/>
        <w:ind w:left="0"/>
        <w:rPr>
          <w:rFonts w:ascii="Times New Roman" w:hAnsi="Times New Roman"/>
          <w:sz w:val="28"/>
          <w:szCs w:val="28"/>
          <w:lang w:val="es-ES"/>
        </w:rPr>
      </w:pPr>
    </w:p>
    <w:p w:rsidR="00BC39E4" w:rsidRPr="00D93140" w:rsidRDefault="00D93140" w:rsidP="00E04174">
      <w:pPr>
        <w:numPr>
          <w:ilvl w:val="0"/>
          <w:numId w:val="1"/>
        </w:numPr>
        <w:ind w:left="0" w:firstLine="0"/>
        <w:jc w:val="both"/>
        <w:rPr>
          <w:rFonts w:ascii="Times New Roman" w:hAnsi="Times New Roman"/>
          <w:bCs/>
          <w:sz w:val="28"/>
          <w:szCs w:val="28"/>
          <w:lang w:val="es-ES_tradnl"/>
        </w:rPr>
      </w:pPr>
      <w:r w:rsidRPr="00D93140">
        <w:rPr>
          <w:rFonts w:ascii="Times New Roman" w:hAnsi="Times New Roman"/>
          <w:bCs/>
          <w:sz w:val="28"/>
          <w:szCs w:val="28"/>
          <w:lang w:val="es-ES_tradnl"/>
        </w:rPr>
        <w:t xml:space="preserve">Dentro del presente proceso, se recibieron </w:t>
      </w:r>
      <w:r w:rsidRPr="00D93140">
        <w:rPr>
          <w:rFonts w:ascii="Times New Roman" w:hAnsi="Times New Roman"/>
          <w:bCs/>
          <w:sz w:val="28"/>
          <w:szCs w:val="28"/>
          <w:lang w:val="es-ES_tradnl"/>
        </w:rPr>
        <w:t xml:space="preserve">31 </w:t>
      </w:r>
      <w:r w:rsidRPr="00D93140">
        <w:rPr>
          <w:rFonts w:ascii="Times New Roman" w:hAnsi="Times New Roman"/>
          <w:bCs/>
          <w:sz w:val="28"/>
          <w:szCs w:val="28"/>
          <w:lang w:val="es-ES_tradnl"/>
        </w:rPr>
        <w:t>intervenciones</w:t>
      </w:r>
      <w:r w:rsidRPr="00D93140">
        <w:rPr>
          <w:rFonts w:ascii="Times New Roman" w:hAnsi="Times New Roman"/>
          <w:bCs/>
          <w:sz w:val="28"/>
          <w:szCs w:val="28"/>
          <w:vertAlign w:val="superscript"/>
          <w:lang w:val="es-ES_tradnl"/>
        </w:rPr>
        <w:footnoteReference w:id="7"/>
      </w:r>
      <w:r w:rsidRPr="00D93140">
        <w:rPr>
          <w:rFonts w:ascii="Times New Roman" w:hAnsi="Times New Roman"/>
          <w:bCs/>
          <w:sz w:val="28"/>
          <w:szCs w:val="28"/>
          <w:lang w:val="es-ES_tradnl"/>
        </w:rPr>
        <w:t xml:space="preserve">: </w:t>
      </w:r>
      <w:r w:rsidRPr="00D93140">
        <w:rPr>
          <w:rFonts w:ascii="Times New Roman" w:hAnsi="Times New Roman"/>
          <w:bCs/>
          <w:sz w:val="28"/>
          <w:szCs w:val="28"/>
          <w:lang w:val="es-ES_tradnl"/>
        </w:rPr>
        <w:t>ocho</w:t>
      </w:r>
      <w:r w:rsidRPr="00D93140">
        <w:rPr>
          <w:rFonts w:ascii="Times New Roman" w:hAnsi="Times New Roman"/>
          <w:bCs/>
          <w:sz w:val="28"/>
          <w:szCs w:val="28"/>
          <w:lang w:val="es-ES_tradnl"/>
        </w:rPr>
        <w:t xml:space="preserve"> (</w:t>
      </w:r>
      <w:r w:rsidRPr="00D93140">
        <w:rPr>
          <w:rFonts w:ascii="Times New Roman" w:hAnsi="Times New Roman"/>
          <w:bCs/>
          <w:sz w:val="28"/>
          <w:szCs w:val="28"/>
          <w:lang w:val="es-ES_tradnl"/>
        </w:rPr>
        <w:t>8</w:t>
      </w:r>
      <w:r w:rsidRPr="00D93140">
        <w:rPr>
          <w:rFonts w:ascii="Times New Roman" w:hAnsi="Times New Roman"/>
          <w:bCs/>
          <w:sz w:val="28"/>
          <w:szCs w:val="28"/>
          <w:lang w:val="es-ES_tradnl"/>
        </w:rPr>
        <w:t xml:space="preserve">) </w:t>
      </w:r>
      <w:r w:rsidRPr="00D93140">
        <w:rPr>
          <w:rFonts w:ascii="Times New Roman" w:hAnsi="Times New Roman"/>
          <w:bCs/>
          <w:sz w:val="28"/>
          <w:szCs w:val="28"/>
          <w:lang w:val="es-ES_tradnl"/>
        </w:rPr>
        <w:t xml:space="preserve">escritos de coadyuvancia, dos (2) </w:t>
      </w:r>
      <w:r w:rsidRPr="00D93140">
        <w:rPr>
          <w:rFonts w:ascii="Times New Roman" w:hAnsi="Times New Roman"/>
          <w:bCs/>
          <w:sz w:val="28"/>
          <w:szCs w:val="28"/>
          <w:lang w:val="es-ES_tradnl"/>
        </w:rPr>
        <w:t>antes del término de fijación en lista</w:t>
      </w:r>
      <w:r w:rsidRPr="00D93140">
        <w:rPr>
          <w:rFonts w:ascii="Times New Roman" w:hAnsi="Times New Roman"/>
          <w:bCs/>
          <w:sz w:val="28"/>
          <w:szCs w:val="28"/>
          <w:vertAlign w:val="superscript"/>
          <w:lang w:val="es-ES_tradnl"/>
        </w:rPr>
        <w:footnoteReference w:id="8"/>
      </w:r>
      <w:r w:rsidRPr="00D93140">
        <w:rPr>
          <w:rFonts w:ascii="Times New Roman" w:hAnsi="Times New Roman"/>
          <w:bCs/>
          <w:sz w:val="28"/>
          <w:szCs w:val="28"/>
          <w:lang w:val="es-ES_tradnl"/>
        </w:rPr>
        <w:t xml:space="preserve">, </w:t>
      </w:r>
      <w:r w:rsidRPr="00D93140">
        <w:rPr>
          <w:rFonts w:ascii="Times New Roman" w:hAnsi="Times New Roman"/>
          <w:bCs/>
          <w:sz w:val="28"/>
          <w:szCs w:val="28"/>
          <w:lang w:val="es-ES_tradnl"/>
        </w:rPr>
        <w:t>seis</w:t>
      </w:r>
      <w:r w:rsidRPr="00D93140">
        <w:rPr>
          <w:rFonts w:ascii="Times New Roman" w:hAnsi="Times New Roman"/>
          <w:bCs/>
          <w:sz w:val="28"/>
          <w:szCs w:val="28"/>
          <w:lang w:val="es-ES_tradnl"/>
        </w:rPr>
        <w:t xml:space="preserve"> (</w:t>
      </w:r>
      <w:r w:rsidRPr="00D93140">
        <w:rPr>
          <w:rFonts w:ascii="Times New Roman" w:hAnsi="Times New Roman"/>
          <w:bCs/>
          <w:sz w:val="28"/>
          <w:szCs w:val="28"/>
          <w:lang w:val="es-ES_tradnl"/>
        </w:rPr>
        <w:t>6</w:t>
      </w:r>
      <w:r w:rsidRPr="00D93140">
        <w:rPr>
          <w:rFonts w:ascii="Times New Roman" w:hAnsi="Times New Roman"/>
          <w:bCs/>
          <w:sz w:val="28"/>
          <w:szCs w:val="28"/>
          <w:lang w:val="es-ES_tradnl"/>
        </w:rPr>
        <w:t>) de manera</w:t>
      </w:r>
      <w:r w:rsidRPr="00D93140">
        <w:rPr>
          <w:rFonts w:ascii="Times New Roman" w:hAnsi="Times New Roman"/>
          <w:bCs/>
          <w:sz w:val="28"/>
          <w:szCs w:val="28"/>
          <w:lang w:val="es-ES_tradnl"/>
        </w:rPr>
        <w:t xml:space="preserve"> extemporánea</w:t>
      </w:r>
      <w:r w:rsidRPr="00D93140">
        <w:rPr>
          <w:rFonts w:ascii="Times New Roman" w:hAnsi="Times New Roman"/>
          <w:bCs/>
          <w:sz w:val="28"/>
          <w:szCs w:val="28"/>
          <w:vertAlign w:val="superscript"/>
          <w:lang w:val="es-ES_tradnl"/>
        </w:rPr>
        <w:footnoteReference w:id="9"/>
      </w:r>
      <w:r w:rsidRPr="00D93140">
        <w:rPr>
          <w:rFonts w:ascii="Times New Roman" w:hAnsi="Times New Roman"/>
          <w:bCs/>
          <w:sz w:val="28"/>
          <w:szCs w:val="28"/>
          <w:lang w:val="es-ES_tradnl"/>
        </w:rPr>
        <w:t xml:space="preserve">, y las </w:t>
      </w:r>
      <w:r w:rsidRPr="00D93140">
        <w:rPr>
          <w:rFonts w:ascii="Times New Roman" w:hAnsi="Times New Roman"/>
          <w:bCs/>
          <w:sz w:val="28"/>
          <w:szCs w:val="28"/>
          <w:lang w:val="es-ES_tradnl"/>
        </w:rPr>
        <w:t xml:space="preserve">quince (15) </w:t>
      </w:r>
      <w:r w:rsidRPr="00D93140">
        <w:rPr>
          <w:rFonts w:ascii="Times New Roman" w:hAnsi="Times New Roman"/>
          <w:bCs/>
          <w:sz w:val="28"/>
          <w:szCs w:val="28"/>
          <w:lang w:val="es-ES_tradnl"/>
        </w:rPr>
        <w:t xml:space="preserve">restantes, dentro de la oportunidad señalada por esta corporación. </w:t>
      </w:r>
      <w:r w:rsidRPr="00D93140">
        <w:rPr>
          <w:rFonts w:ascii="Times New Roman" w:hAnsi="Times New Roman"/>
          <w:bCs/>
          <w:sz w:val="28"/>
          <w:szCs w:val="28"/>
          <w:lang w:val="es-ES_tradnl"/>
        </w:rPr>
        <w:t xml:space="preserve">Varias </w:t>
      </w:r>
      <w:r w:rsidRPr="00D93140">
        <w:rPr>
          <w:rFonts w:ascii="Times New Roman" w:hAnsi="Times New Roman"/>
          <w:bCs/>
          <w:sz w:val="28"/>
          <w:szCs w:val="28"/>
          <w:lang w:val="es-ES_tradnl"/>
        </w:rPr>
        <w:t>de ellas cuestion</w:t>
      </w:r>
      <w:r w:rsidRPr="00D93140">
        <w:rPr>
          <w:rFonts w:ascii="Times New Roman" w:hAnsi="Times New Roman"/>
          <w:bCs/>
          <w:sz w:val="28"/>
          <w:szCs w:val="28"/>
          <w:lang w:val="es-ES_tradnl"/>
        </w:rPr>
        <w:t>aron</w:t>
      </w:r>
      <w:r w:rsidRPr="00D93140">
        <w:rPr>
          <w:rFonts w:ascii="Times New Roman" w:hAnsi="Times New Roman"/>
          <w:bCs/>
          <w:sz w:val="28"/>
          <w:szCs w:val="28"/>
          <w:lang w:val="es-ES_tradnl"/>
        </w:rPr>
        <w:t xml:space="preserve"> la aptitud de la</w:t>
      </w:r>
      <w:r w:rsidRPr="00D93140">
        <w:rPr>
          <w:rFonts w:ascii="Times New Roman" w:hAnsi="Times New Roman"/>
          <w:bCs/>
          <w:sz w:val="28"/>
          <w:szCs w:val="28"/>
          <w:lang w:val="es-ES_tradnl"/>
        </w:rPr>
        <w:t>s</w:t>
      </w:r>
      <w:r w:rsidRPr="00D93140">
        <w:rPr>
          <w:rFonts w:ascii="Times New Roman" w:hAnsi="Times New Roman"/>
          <w:bCs/>
          <w:sz w:val="28"/>
          <w:szCs w:val="28"/>
          <w:lang w:val="es-ES_tradnl"/>
        </w:rPr>
        <w:t xml:space="preserve"> demanda</w:t>
      </w:r>
      <w:r w:rsidRPr="00D93140">
        <w:rPr>
          <w:rFonts w:ascii="Times New Roman" w:hAnsi="Times New Roman"/>
          <w:bCs/>
          <w:sz w:val="28"/>
          <w:szCs w:val="28"/>
          <w:lang w:val="es-ES_tradnl"/>
        </w:rPr>
        <w:t>s</w:t>
      </w:r>
      <w:r w:rsidRPr="00D93140">
        <w:rPr>
          <w:rStyle w:val="Refdenotaalpie"/>
          <w:rFonts w:ascii="Times New Roman" w:hAnsi="Times New Roman"/>
          <w:bCs/>
          <w:sz w:val="28"/>
          <w:szCs w:val="28"/>
          <w:lang w:val="es-ES_tradnl"/>
        </w:rPr>
        <w:footnoteReference w:id="10"/>
      </w:r>
      <w:r w:rsidRPr="00D93140">
        <w:rPr>
          <w:rFonts w:ascii="Times New Roman" w:hAnsi="Times New Roman"/>
          <w:bCs/>
          <w:sz w:val="28"/>
          <w:szCs w:val="28"/>
          <w:lang w:val="es-ES_tradnl"/>
        </w:rPr>
        <w:t>.</w:t>
      </w:r>
    </w:p>
    <w:p w:rsidR="00BC39E4" w:rsidRPr="00D93140" w:rsidRDefault="00D93140" w:rsidP="00E04174">
      <w:pPr>
        <w:jc w:val="both"/>
        <w:rPr>
          <w:rFonts w:ascii="Times New Roman" w:hAnsi="Times New Roman"/>
          <w:bCs/>
          <w:sz w:val="28"/>
          <w:szCs w:val="28"/>
          <w:lang w:val="es-ES_tradnl"/>
        </w:rPr>
      </w:pPr>
    </w:p>
    <w:p w:rsidR="00A653A1" w:rsidRPr="00D93140" w:rsidRDefault="00D93140" w:rsidP="00E04174">
      <w:pPr>
        <w:numPr>
          <w:ilvl w:val="0"/>
          <w:numId w:val="1"/>
        </w:numPr>
        <w:ind w:left="0" w:firstLine="0"/>
        <w:jc w:val="both"/>
        <w:rPr>
          <w:rFonts w:ascii="Times New Roman" w:hAnsi="Times New Roman"/>
          <w:bCs/>
          <w:sz w:val="28"/>
          <w:szCs w:val="28"/>
          <w:lang w:val="es-ES_tradnl"/>
        </w:rPr>
      </w:pPr>
      <w:r w:rsidRPr="00D93140">
        <w:rPr>
          <w:rFonts w:ascii="Times New Roman" w:hAnsi="Times New Roman"/>
          <w:bCs/>
          <w:sz w:val="28"/>
          <w:szCs w:val="28"/>
          <w:lang w:val="es-ES_tradnl"/>
        </w:rPr>
        <w:t>En la siguiente tabla se sintetiza el sentido de las intervenciones recibidas:</w:t>
      </w:r>
    </w:p>
    <w:p w:rsidR="00A653A1" w:rsidRPr="00D93140" w:rsidRDefault="00D93140" w:rsidP="00E04174">
      <w:pPr>
        <w:jc w:val="both"/>
        <w:rPr>
          <w:rFonts w:ascii="Times New Roman" w:hAnsi="Times New Roman"/>
          <w:bCs/>
          <w:sz w:val="28"/>
          <w:szCs w:val="2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D93140" w:rsidRPr="00D93140" w:rsidTr="00D93140">
        <w:tc>
          <w:tcPr>
            <w:tcW w:w="2942" w:type="dxa"/>
            <w:shd w:val="clear" w:color="auto" w:fill="auto"/>
          </w:tcPr>
          <w:p w:rsidR="00A653A1" w:rsidRPr="00D93140" w:rsidRDefault="00D93140" w:rsidP="00D93140">
            <w:pPr>
              <w:jc w:val="center"/>
              <w:rPr>
                <w:rFonts w:ascii="Times New Roman" w:hAnsi="Times New Roman"/>
                <w:b/>
                <w:bCs/>
                <w:sz w:val="28"/>
                <w:lang w:val="es-ES_tradnl"/>
              </w:rPr>
            </w:pPr>
            <w:r w:rsidRPr="00D93140">
              <w:rPr>
                <w:rFonts w:ascii="Times New Roman" w:hAnsi="Times New Roman"/>
                <w:b/>
                <w:bCs/>
                <w:sz w:val="28"/>
                <w:lang w:val="es-ES_tradnl"/>
              </w:rPr>
              <w:t>Inhibición</w:t>
            </w:r>
          </w:p>
        </w:tc>
        <w:tc>
          <w:tcPr>
            <w:tcW w:w="2943" w:type="dxa"/>
            <w:shd w:val="clear" w:color="auto" w:fill="auto"/>
          </w:tcPr>
          <w:p w:rsidR="00A653A1" w:rsidRPr="00D93140" w:rsidRDefault="00D93140" w:rsidP="00D93140">
            <w:pPr>
              <w:jc w:val="center"/>
              <w:rPr>
                <w:rFonts w:ascii="Times New Roman" w:hAnsi="Times New Roman"/>
                <w:b/>
                <w:bCs/>
                <w:sz w:val="28"/>
                <w:lang w:val="es-ES_tradnl"/>
              </w:rPr>
            </w:pPr>
            <w:r w:rsidRPr="00D93140">
              <w:rPr>
                <w:rFonts w:ascii="Times New Roman" w:hAnsi="Times New Roman"/>
                <w:b/>
                <w:bCs/>
                <w:sz w:val="28"/>
                <w:lang w:val="es-ES_tradnl"/>
              </w:rPr>
              <w:t>Exequibilidad</w:t>
            </w:r>
          </w:p>
        </w:tc>
        <w:tc>
          <w:tcPr>
            <w:tcW w:w="2943" w:type="dxa"/>
            <w:shd w:val="clear" w:color="auto" w:fill="auto"/>
          </w:tcPr>
          <w:p w:rsidR="00A653A1" w:rsidRPr="00D93140" w:rsidRDefault="00D93140" w:rsidP="00D93140">
            <w:pPr>
              <w:jc w:val="center"/>
              <w:rPr>
                <w:rFonts w:ascii="Times New Roman" w:hAnsi="Times New Roman"/>
                <w:b/>
                <w:bCs/>
                <w:sz w:val="28"/>
                <w:lang w:val="es-ES_tradnl"/>
              </w:rPr>
            </w:pPr>
            <w:r w:rsidRPr="00D93140">
              <w:rPr>
                <w:rFonts w:ascii="Times New Roman" w:hAnsi="Times New Roman"/>
                <w:b/>
                <w:bCs/>
                <w:sz w:val="28"/>
                <w:lang w:val="es-ES_tradnl"/>
              </w:rPr>
              <w:t>Inexequibilidad</w:t>
            </w:r>
          </w:p>
        </w:tc>
      </w:tr>
      <w:tr w:rsidR="00A653A1" w:rsidRPr="00D93140" w:rsidTr="00D93140">
        <w:tc>
          <w:tcPr>
            <w:tcW w:w="2942" w:type="dxa"/>
            <w:shd w:val="clear" w:color="auto" w:fill="auto"/>
          </w:tcPr>
          <w:p w:rsidR="00A653A1"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Ministerio de Ambiente y Desarrollo Sostenible</w:t>
            </w:r>
          </w:p>
        </w:tc>
        <w:tc>
          <w:tcPr>
            <w:tcW w:w="2943" w:type="dxa"/>
            <w:shd w:val="clear" w:color="auto" w:fill="auto"/>
          </w:tcPr>
          <w:p w:rsidR="00A653A1"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Ministerio de Ambiente y Desarrollo Sostenible</w:t>
            </w:r>
          </w:p>
        </w:tc>
        <w:tc>
          <w:tcPr>
            <w:tcW w:w="2943" w:type="dxa"/>
            <w:shd w:val="clear" w:color="auto" w:fill="auto"/>
          </w:tcPr>
          <w:p w:rsidR="00A653A1"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Sociedad de Agricultores de Colombia - SAC</w:t>
            </w:r>
          </w:p>
        </w:tc>
      </w:tr>
      <w:tr w:rsidR="00A653A1" w:rsidRPr="00D93140" w:rsidTr="00D93140">
        <w:tc>
          <w:tcPr>
            <w:tcW w:w="2942" w:type="dxa"/>
            <w:shd w:val="clear" w:color="auto" w:fill="auto"/>
          </w:tcPr>
          <w:p w:rsidR="00A653A1" w:rsidRPr="00D93140" w:rsidRDefault="00D93140" w:rsidP="00D93140">
            <w:pPr>
              <w:jc w:val="both"/>
              <w:rPr>
                <w:rFonts w:ascii="Times New Roman" w:hAnsi="Times New Roman"/>
                <w:bCs/>
                <w:sz w:val="28"/>
                <w:lang w:val="es-ES_tradnl"/>
              </w:rPr>
            </w:pPr>
            <w:r w:rsidRPr="00D93140">
              <w:rPr>
                <w:rFonts w:ascii="Times New Roman" w:hAnsi="Times New Roman"/>
                <w:bCs/>
                <w:sz w:val="28"/>
              </w:rPr>
              <w:t>Universidad de Antioquia</w:t>
            </w:r>
          </w:p>
        </w:tc>
        <w:tc>
          <w:tcPr>
            <w:tcW w:w="2943" w:type="dxa"/>
            <w:shd w:val="clear" w:color="auto" w:fill="auto"/>
          </w:tcPr>
          <w:p w:rsidR="00A653A1"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Ministerio de Hacienda y Crédito Público</w:t>
            </w:r>
          </w:p>
        </w:tc>
        <w:tc>
          <w:tcPr>
            <w:tcW w:w="2943" w:type="dxa"/>
            <w:shd w:val="clear" w:color="auto" w:fill="auto"/>
          </w:tcPr>
          <w:p w:rsidR="00A653A1"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 xml:space="preserve">Asociación Nacional </w:t>
            </w:r>
            <w:r w:rsidRPr="00D93140">
              <w:rPr>
                <w:rFonts w:ascii="Times New Roman" w:hAnsi="Times New Roman"/>
                <w:bCs/>
                <w:sz w:val="28"/>
                <w:lang w:val="es-ES_tradnl"/>
              </w:rPr>
              <w:t>de Empresarios de Colombia - ANDI</w:t>
            </w:r>
          </w:p>
        </w:tc>
      </w:tr>
      <w:tr w:rsidR="003F533A" w:rsidRPr="00D93140" w:rsidTr="00D93140">
        <w:tc>
          <w:tcPr>
            <w:tcW w:w="2942" w:type="dxa"/>
            <w:shd w:val="clear" w:color="auto" w:fill="auto"/>
          </w:tcPr>
          <w:p w:rsidR="003F533A" w:rsidRPr="00D93140" w:rsidRDefault="00D93140" w:rsidP="00D93140">
            <w:pPr>
              <w:jc w:val="both"/>
              <w:rPr>
                <w:rFonts w:ascii="Times New Roman" w:hAnsi="Times New Roman"/>
                <w:bCs/>
                <w:sz w:val="28"/>
                <w:lang w:val="en-US"/>
              </w:rPr>
            </w:pPr>
            <w:r w:rsidRPr="00D93140">
              <w:rPr>
                <w:rFonts w:ascii="Times New Roman" w:hAnsi="Times New Roman"/>
                <w:bCs/>
                <w:sz w:val="28"/>
                <w:lang w:val="en-US"/>
              </w:rPr>
              <w:t>Amazon Conse</w:t>
            </w:r>
            <w:r w:rsidRPr="00D93140">
              <w:rPr>
                <w:rFonts w:ascii="Times New Roman" w:hAnsi="Times New Roman"/>
                <w:bCs/>
                <w:sz w:val="28"/>
                <w:lang w:val="en-US"/>
              </w:rPr>
              <w:t>rvation Team Colombia (ACT-COL)</w:t>
            </w: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rPr>
              <w:t>Mesa Permanente de Concertación con los Pueblos y Organizaciones Indígenas - MPC</w:t>
            </w: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Asociación Colombiana de Generadores de Energía, ACOLGEN</w:t>
            </w:r>
          </w:p>
        </w:tc>
      </w:tr>
      <w:tr w:rsidR="003F533A" w:rsidRPr="00D93140" w:rsidTr="00D93140">
        <w:tc>
          <w:tcPr>
            <w:tcW w:w="2942"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 xml:space="preserve">Organización Nacional Indígena de </w:t>
            </w:r>
            <w:r w:rsidRPr="00D93140">
              <w:rPr>
                <w:rFonts w:ascii="Times New Roman" w:hAnsi="Times New Roman"/>
                <w:bCs/>
                <w:sz w:val="28"/>
                <w:lang w:val="es-ES_tradnl"/>
              </w:rPr>
              <w:t>Colombia, ONIC</w:t>
            </w: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Comisión Nacional de Territorios indígenas CNTI</w:t>
            </w: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Cámara Colombiana de Infraestructura</w:t>
            </w:r>
          </w:p>
        </w:tc>
      </w:tr>
      <w:tr w:rsidR="003F533A" w:rsidRPr="00D93140" w:rsidTr="00D93140">
        <w:tc>
          <w:tcPr>
            <w:tcW w:w="2942" w:type="dxa"/>
            <w:shd w:val="clear" w:color="auto" w:fill="auto"/>
          </w:tcPr>
          <w:p w:rsidR="003F533A" w:rsidRPr="00D93140" w:rsidRDefault="00D93140" w:rsidP="00D93140">
            <w:pPr>
              <w:jc w:val="both"/>
              <w:rPr>
                <w:rFonts w:ascii="Times New Roman" w:hAnsi="Times New Roman"/>
                <w:bCs/>
                <w:sz w:val="28"/>
                <w:lang w:val="es-ES_tradnl"/>
              </w:rPr>
            </w:pP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rPr>
              <w:t>Universidad de Antioquia</w:t>
            </w: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Asociación de Corporaciones Autónomas Regionales y de Desarrollo Sostenible - ASOCARS</w:t>
            </w:r>
          </w:p>
        </w:tc>
      </w:tr>
      <w:tr w:rsidR="003F533A" w:rsidRPr="00D93140" w:rsidTr="00D93140">
        <w:tc>
          <w:tcPr>
            <w:tcW w:w="2942" w:type="dxa"/>
            <w:shd w:val="clear" w:color="auto" w:fill="auto"/>
          </w:tcPr>
          <w:p w:rsidR="003F533A" w:rsidRPr="00D93140" w:rsidRDefault="00D93140" w:rsidP="00D93140">
            <w:pPr>
              <w:jc w:val="both"/>
              <w:rPr>
                <w:rFonts w:ascii="Times New Roman" w:hAnsi="Times New Roman"/>
                <w:bCs/>
                <w:sz w:val="28"/>
                <w:lang w:val="es-ES_tradnl"/>
              </w:rPr>
            </w:pP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Universidad Libre</w:t>
            </w:r>
          </w:p>
        </w:tc>
        <w:tc>
          <w:tcPr>
            <w:tcW w:w="2943" w:type="dxa"/>
            <w:shd w:val="clear" w:color="auto" w:fill="auto"/>
          </w:tcPr>
          <w:p w:rsidR="003F533A"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 xml:space="preserve">Cámara Colombiana de </w:t>
            </w:r>
            <w:r w:rsidRPr="00D93140">
              <w:rPr>
                <w:rFonts w:ascii="Times New Roman" w:hAnsi="Times New Roman"/>
                <w:bCs/>
                <w:sz w:val="28"/>
                <w:lang w:val="es-ES_tradnl"/>
              </w:rPr>
              <w:t>Bienes y Servicios de Petróleo, Gas y Energía – CAMPETROL</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Universidad EAFIT</w:t>
            </w:r>
          </w:p>
        </w:tc>
        <w:tc>
          <w:tcPr>
            <w:tcW w:w="2943" w:type="dxa"/>
            <w:shd w:val="clear" w:color="auto" w:fill="auto"/>
          </w:tcPr>
          <w:p w:rsidR="000F3B4E" w:rsidRPr="00D93140" w:rsidRDefault="00D93140" w:rsidP="00D93140">
            <w:pPr>
              <w:jc w:val="both"/>
              <w:rPr>
                <w:rFonts w:ascii="Times New Roman" w:hAnsi="Times New Roman"/>
                <w:bCs/>
                <w:sz w:val="28"/>
                <w:lang w:val="es-ES_tradnl"/>
              </w:rPr>
            </w:pPr>
            <w:r w:rsidRPr="00D93140">
              <w:rPr>
                <w:rFonts w:ascii="Times New Roman" w:hAnsi="Times New Roman"/>
                <w:bCs/>
                <w:sz w:val="28"/>
              </w:rPr>
              <w:t>Consejo Gremial Nacional</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n-US"/>
              </w:rPr>
            </w:pPr>
            <w:r w:rsidRPr="00D93140">
              <w:rPr>
                <w:rFonts w:ascii="Times New Roman" w:hAnsi="Times New Roman"/>
                <w:bCs/>
                <w:sz w:val="28"/>
                <w:lang w:val="en-US"/>
              </w:rPr>
              <w:t>Amazon Conservation Team Colombia (ACT-COL)</w:t>
            </w:r>
          </w:p>
        </w:tc>
        <w:tc>
          <w:tcPr>
            <w:tcW w:w="2943" w:type="dxa"/>
            <w:shd w:val="clear" w:color="auto" w:fill="auto"/>
          </w:tcPr>
          <w:p w:rsidR="000F3B4E" w:rsidRPr="00D93140" w:rsidRDefault="00D93140" w:rsidP="00D93140">
            <w:pPr>
              <w:jc w:val="both"/>
              <w:rPr>
                <w:rFonts w:ascii="Times New Roman" w:hAnsi="Times New Roman"/>
                <w:bCs/>
                <w:sz w:val="28"/>
              </w:rPr>
            </w:pPr>
            <w:r w:rsidRPr="00D93140">
              <w:rPr>
                <w:rFonts w:ascii="Times New Roman" w:hAnsi="Times New Roman"/>
                <w:bCs/>
                <w:sz w:val="28"/>
              </w:rPr>
              <w:t>Asociación Coquizadores de Norte De Santander</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
              </w:rPr>
              <w:t>Norman David Bañol Álvarez</w:t>
            </w:r>
          </w:p>
        </w:tc>
        <w:tc>
          <w:tcPr>
            <w:tcW w:w="2943" w:type="dxa"/>
            <w:shd w:val="clear" w:color="auto" w:fill="auto"/>
          </w:tcPr>
          <w:p w:rsidR="000F3B4E" w:rsidRPr="00D93140" w:rsidRDefault="00D93140" w:rsidP="00D93140">
            <w:pPr>
              <w:jc w:val="both"/>
              <w:rPr>
                <w:rFonts w:ascii="Times New Roman" w:hAnsi="Times New Roman"/>
                <w:bCs/>
                <w:sz w:val="28"/>
              </w:rPr>
            </w:pPr>
            <w:r w:rsidRPr="00D93140">
              <w:rPr>
                <w:rFonts w:ascii="Times New Roman" w:hAnsi="Times New Roman"/>
                <w:bCs/>
                <w:sz w:val="28"/>
                <w:lang w:val="es-ES"/>
              </w:rPr>
              <w:t xml:space="preserve">Asociación Nacional de Usuarios </w:t>
            </w:r>
            <w:r w:rsidRPr="00D93140">
              <w:rPr>
                <w:rFonts w:ascii="Times New Roman" w:hAnsi="Times New Roman"/>
                <w:bCs/>
                <w:sz w:val="28"/>
                <w:lang w:val="es-ES"/>
              </w:rPr>
              <w:t>Campesinos de Colombia (ANUC)</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s-ES_tradnl"/>
              </w:rPr>
            </w:pPr>
            <w:r w:rsidRPr="00D93140">
              <w:rPr>
                <w:rFonts w:ascii="Times New Roman" w:hAnsi="Times New Roman"/>
                <w:bCs/>
                <w:sz w:val="28"/>
                <w:lang w:val="es-ES_tradnl"/>
              </w:rPr>
              <w:t>Rodrigo Corpus Soscue</w:t>
            </w:r>
          </w:p>
        </w:tc>
        <w:tc>
          <w:tcPr>
            <w:tcW w:w="2943" w:type="dxa"/>
            <w:shd w:val="clear" w:color="auto" w:fill="auto"/>
          </w:tcPr>
          <w:p w:rsidR="000F3B4E" w:rsidRPr="00D93140" w:rsidRDefault="00D93140" w:rsidP="00D93140">
            <w:pPr>
              <w:jc w:val="both"/>
              <w:rPr>
                <w:rFonts w:ascii="Times New Roman" w:hAnsi="Times New Roman"/>
                <w:bCs/>
                <w:sz w:val="28"/>
              </w:rPr>
            </w:pPr>
            <w:r w:rsidRPr="00D93140">
              <w:rPr>
                <w:rFonts w:ascii="Times New Roman" w:hAnsi="Times New Roman"/>
                <w:bCs/>
                <w:sz w:val="28"/>
              </w:rPr>
              <w:t>Fundación para el Estado de Derecho</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rPr>
            </w:pPr>
            <w:r w:rsidRPr="00D93140">
              <w:rPr>
                <w:rFonts w:ascii="Times New Roman" w:hAnsi="Times New Roman"/>
                <w:bCs/>
                <w:sz w:val="28"/>
              </w:rPr>
              <w:t>Instituto de Ciencia Política Hernán Echavarría Olózaga</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rPr>
            </w:pPr>
            <w:r w:rsidRPr="00D93140">
              <w:rPr>
                <w:rFonts w:ascii="Times New Roman" w:hAnsi="Times New Roman"/>
                <w:bCs/>
                <w:sz w:val="28"/>
              </w:rPr>
              <w:t>Gilberto Estupiñan Parra</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rPr>
            </w:pPr>
            <w:r w:rsidRPr="00D93140">
              <w:rPr>
                <w:rFonts w:ascii="Times New Roman" w:hAnsi="Times New Roman"/>
                <w:bCs/>
                <w:sz w:val="28"/>
              </w:rPr>
              <w:t>John Iván Nova Arias</w:t>
            </w:r>
          </w:p>
        </w:tc>
      </w:tr>
      <w:tr w:rsidR="000F3B4E" w:rsidRPr="00D93140" w:rsidTr="00D93140">
        <w:tc>
          <w:tcPr>
            <w:tcW w:w="2942"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lang w:val="es-ES_tradnl"/>
              </w:rPr>
            </w:pPr>
          </w:p>
        </w:tc>
        <w:tc>
          <w:tcPr>
            <w:tcW w:w="2943" w:type="dxa"/>
            <w:shd w:val="clear" w:color="auto" w:fill="auto"/>
          </w:tcPr>
          <w:p w:rsidR="000F3B4E" w:rsidRPr="00D93140" w:rsidRDefault="00D93140" w:rsidP="00D93140">
            <w:pPr>
              <w:jc w:val="both"/>
              <w:rPr>
                <w:rFonts w:ascii="Times New Roman" w:hAnsi="Times New Roman"/>
                <w:bCs/>
                <w:sz w:val="28"/>
              </w:rPr>
            </w:pPr>
            <w:r w:rsidRPr="00D93140">
              <w:rPr>
                <w:rFonts w:ascii="Times New Roman" w:hAnsi="Times New Roman"/>
                <w:bCs/>
                <w:sz w:val="28"/>
                <w:lang w:val="es-ES"/>
              </w:rPr>
              <w:t>Pablo Esteban Vivas Parra</w:t>
            </w:r>
          </w:p>
        </w:tc>
      </w:tr>
    </w:tbl>
    <w:p w:rsidR="00A653A1" w:rsidRPr="00D93140" w:rsidRDefault="00D93140" w:rsidP="00E04174">
      <w:pPr>
        <w:jc w:val="both"/>
        <w:rPr>
          <w:rFonts w:ascii="Times New Roman" w:hAnsi="Times New Roman"/>
          <w:bCs/>
          <w:sz w:val="28"/>
          <w:szCs w:val="28"/>
          <w:lang w:val="es-ES_tradnl"/>
        </w:rPr>
      </w:pPr>
    </w:p>
    <w:p w:rsidR="00A653A1" w:rsidRPr="00D93140" w:rsidRDefault="00D93140" w:rsidP="00E04174">
      <w:pPr>
        <w:numPr>
          <w:ilvl w:val="0"/>
          <w:numId w:val="1"/>
        </w:numPr>
        <w:ind w:left="0" w:firstLine="0"/>
        <w:jc w:val="both"/>
        <w:rPr>
          <w:rFonts w:ascii="Times New Roman" w:hAnsi="Times New Roman"/>
          <w:bCs/>
          <w:sz w:val="28"/>
          <w:szCs w:val="28"/>
          <w:lang w:val="es-ES_tradnl"/>
        </w:rPr>
      </w:pPr>
      <w:r w:rsidRPr="00D93140">
        <w:rPr>
          <w:rFonts w:ascii="Times New Roman" w:hAnsi="Times New Roman"/>
          <w:sz w:val="28"/>
          <w:szCs w:val="28"/>
          <w:lang w:val="es-ES_tradnl"/>
        </w:rPr>
        <w:t xml:space="preserve">Los intervinientes que </w:t>
      </w:r>
      <w:r w:rsidRPr="00D93140">
        <w:rPr>
          <w:rFonts w:ascii="Times New Roman" w:hAnsi="Times New Roman"/>
          <w:sz w:val="28"/>
          <w:szCs w:val="28"/>
          <w:lang w:val="es-ES_tradnl"/>
        </w:rPr>
        <w:t>apoyan los argumentos de la demanda, considera</w:t>
      </w:r>
      <w:r w:rsidRPr="00D93140">
        <w:rPr>
          <w:rFonts w:ascii="Times New Roman" w:hAnsi="Times New Roman"/>
          <w:sz w:val="28"/>
          <w:szCs w:val="28"/>
          <w:lang w:val="es-ES_tradnl"/>
        </w:rPr>
        <w:t>ro</w:t>
      </w:r>
      <w:r w:rsidRPr="00D93140">
        <w:rPr>
          <w:rFonts w:ascii="Times New Roman" w:hAnsi="Times New Roman"/>
          <w:sz w:val="28"/>
          <w:szCs w:val="28"/>
          <w:lang w:val="es-ES_tradnl"/>
        </w:rPr>
        <w:t>n, en términos generales, que</w:t>
      </w:r>
      <w:r w:rsidRPr="00D93140">
        <w:rPr>
          <w:rFonts w:ascii="Times New Roman" w:hAnsi="Times New Roman"/>
          <w:sz w:val="28"/>
          <w:szCs w:val="28"/>
          <w:lang w:val="es-ES"/>
        </w:rPr>
        <w:t xml:space="preserve"> el Decreto 1275 de 2024 excede las facultades que el artículo 56 transitorio de la Constitución le otorga al gobierno y, que en la práctica, no se crean medidas para el funcionam</w:t>
      </w:r>
      <w:r w:rsidRPr="00D93140">
        <w:rPr>
          <w:rFonts w:ascii="Times New Roman" w:hAnsi="Times New Roman"/>
          <w:sz w:val="28"/>
          <w:szCs w:val="28"/>
          <w:lang w:val="es-ES"/>
        </w:rPr>
        <w:t xml:space="preserve">iento de los territorios indígenas sino que se otorgan competencias ambientales que no necesariamente conciernen a la organización territorial y que además </w:t>
      </w:r>
      <w:r w:rsidRPr="00D93140">
        <w:rPr>
          <w:rFonts w:ascii="Times New Roman" w:hAnsi="Times New Roman"/>
          <w:sz w:val="28"/>
          <w:szCs w:val="28"/>
          <w:lang w:val="es-ES"/>
        </w:rPr>
        <w:t>riñen con las que h</w:t>
      </w:r>
      <w:r w:rsidRPr="00D93140">
        <w:rPr>
          <w:rFonts w:ascii="Times New Roman" w:hAnsi="Times New Roman"/>
          <w:sz w:val="28"/>
          <w:szCs w:val="28"/>
          <w:lang w:val="es-ES"/>
        </w:rPr>
        <w:t>an sido asignadas a las Corporaciones Autónomas Regionales</w:t>
      </w:r>
      <w:r w:rsidRPr="00D93140">
        <w:rPr>
          <w:rFonts w:ascii="Times New Roman" w:hAnsi="Times New Roman"/>
          <w:sz w:val="28"/>
          <w:szCs w:val="28"/>
          <w:lang w:val="es-ES_tradnl"/>
        </w:rPr>
        <w:t>. Además, coincid</w:t>
      </w:r>
      <w:r w:rsidRPr="00D93140">
        <w:rPr>
          <w:rFonts w:ascii="Times New Roman" w:hAnsi="Times New Roman"/>
          <w:sz w:val="28"/>
          <w:szCs w:val="28"/>
          <w:lang w:val="es-ES_tradnl"/>
        </w:rPr>
        <w:t>ieron</w:t>
      </w:r>
      <w:r w:rsidRPr="00D93140">
        <w:rPr>
          <w:rFonts w:ascii="Times New Roman" w:hAnsi="Times New Roman"/>
          <w:sz w:val="28"/>
          <w:szCs w:val="28"/>
          <w:lang w:val="es-ES_tradnl"/>
        </w:rPr>
        <w:t xml:space="preserve"> </w:t>
      </w:r>
      <w:r w:rsidRPr="00D93140">
        <w:rPr>
          <w:rFonts w:ascii="Times New Roman" w:hAnsi="Times New Roman"/>
          <w:sz w:val="28"/>
          <w:szCs w:val="28"/>
          <w:lang w:val="es-ES_tradnl"/>
        </w:rPr>
        <w:t xml:space="preserve">en señalar que </w:t>
      </w:r>
      <w:r w:rsidRPr="00D93140">
        <w:rPr>
          <w:rFonts w:ascii="Times New Roman" w:hAnsi="Times New Roman"/>
          <w:sz w:val="28"/>
          <w:szCs w:val="28"/>
          <w:lang w:val="es-ES_tradnl"/>
        </w:rPr>
        <w:t xml:space="preserve">no se garantizó el derecho a la consulta previa de las comunidades indígenas y </w:t>
      </w:r>
      <w:r w:rsidRPr="00D93140">
        <w:rPr>
          <w:rFonts w:ascii="Times New Roman" w:hAnsi="Times New Roman"/>
          <w:sz w:val="28"/>
          <w:szCs w:val="28"/>
        </w:rPr>
        <w:t>desconoc</w:t>
      </w:r>
      <w:r w:rsidRPr="00D93140">
        <w:rPr>
          <w:rFonts w:ascii="Times New Roman" w:hAnsi="Times New Roman"/>
          <w:sz w:val="28"/>
          <w:szCs w:val="28"/>
        </w:rPr>
        <w:t>ieron las garantías básicas d</w:t>
      </w:r>
      <w:r w:rsidRPr="00D93140">
        <w:rPr>
          <w:rFonts w:ascii="Times New Roman" w:hAnsi="Times New Roman"/>
          <w:sz w:val="28"/>
          <w:szCs w:val="28"/>
        </w:rPr>
        <w:t xml:space="preserve">el derecho al debido proceso y a la administración de justicia al asignar a las autoridades indígenas competencias </w:t>
      </w:r>
      <w:r w:rsidRPr="00D93140">
        <w:rPr>
          <w:rFonts w:ascii="Times New Roman" w:hAnsi="Times New Roman"/>
          <w:sz w:val="28"/>
          <w:szCs w:val="28"/>
        </w:rPr>
        <w:t>sancionato</w:t>
      </w:r>
      <w:r w:rsidRPr="00D93140">
        <w:rPr>
          <w:rFonts w:ascii="Times New Roman" w:hAnsi="Times New Roman"/>
          <w:sz w:val="28"/>
          <w:szCs w:val="28"/>
        </w:rPr>
        <w:t>rias contra particulares que no hacen parte de sus comunidades.</w:t>
      </w:r>
    </w:p>
    <w:p w:rsidR="00A653A1" w:rsidRPr="00D93140" w:rsidRDefault="00D93140" w:rsidP="00E04174">
      <w:pPr>
        <w:jc w:val="both"/>
        <w:rPr>
          <w:rFonts w:ascii="Times New Roman" w:hAnsi="Times New Roman"/>
          <w:bCs/>
          <w:sz w:val="28"/>
          <w:szCs w:val="28"/>
          <w:lang w:val="es-ES_tradnl"/>
        </w:rPr>
      </w:pPr>
    </w:p>
    <w:p w:rsidR="004B55BE" w:rsidRPr="00D93140" w:rsidRDefault="00D93140" w:rsidP="00E04174">
      <w:pPr>
        <w:numPr>
          <w:ilvl w:val="0"/>
          <w:numId w:val="1"/>
        </w:numPr>
        <w:ind w:left="0" w:firstLine="0"/>
        <w:jc w:val="both"/>
        <w:rPr>
          <w:rFonts w:ascii="Times New Roman" w:hAnsi="Times New Roman"/>
          <w:bCs/>
          <w:sz w:val="28"/>
          <w:szCs w:val="28"/>
          <w:lang w:val="es-ES_tradnl"/>
        </w:rPr>
      </w:pPr>
      <w:r w:rsidRPr="00D93140">
        <w:rPr>
          <w:rFonts w:ascii="Times New Roman" w:hAnsi="Times New Roman"/>
          <w:sz w:val="28"/>
          <w:szCs w:val="28"/>
          <w:lang w:val="es-ES_tradnl"/>
        </w:rPr>
        <w:t xml:space="preserve">Por su parte, quienes defienden la exequibilidad de las normas, </w:t>
      </w:r>
      <w:r w:rsidRPr="00D93140">
        <w:rPr>
          <w:rFonts w:ascii="Times New Roman" w:hAnsi="Times New Roman"/>
          <w:sz w:val="28"/>
          <w:szCs w:val="28"/>
          <w:lang w:val="es-ES_tradnl"/>
        </w:rPr>
        <w:t>sostuvieron</w:t>
      </w:r>
      <w:r w:rsidRPr="00D93140">
        <w:rPr>
          <w:rFonts w:ascii="Times New Roman" w:hAnsi="Times New Roman"/>
          <w:sz w:val="28"/>
          <w:szCs w:val="28"/>
          <w:lang w:val="es-ES_tradnl"/>
        </w:rPr>
        <w:t xml:space="preserve"> que</w:t>
      </w:r>
      <w:r w:rsidRPr="00D93140">
        <w:rPr>
          <w:rFonts w:ascii="Times New Roman" w:hAnsi="Times New Roman"/>
          <w:sz w:val="28"/>
          <w:szCs w:val="28"/>
          <w:lang w:val="es-ES_tradnl"/>
        </w:rPr>
        <w:t xml:space="preserve"> </w:t>
      </w:r>
      <w:r w:rsidRPr="00D93140">
        <w:rPr>
          <w:rFonts w:ascii="Times New Roman" w:hAnsi="Times New Roman"/>
          <w:sz w:val="28"/>
          <w:szCs w:val="28"/>
          <w:lang w:val="es-ES"/>
        </w:rPr>
        <w:t>l</w:t>
      </w:r>
      <w:r w:rsidRPr="00D93140">
        <w:rPr>
          <w:rFonts w:ascii="Times New Roman" w:hAnsi="Times New Roman"/>
          <w:sz w:val="28"/>
          <w:szCs w:val="28"/>
        </w:rPr>
        <w:t>a competencia prevista en el artículo 56 transitorio de la Constitución no ha sido agotada, de conformidad con</w:t>
      </w:r>
      <w:r w:rsidRPr="00D93140">
        <w:rPr>
          <w:rFonts w:ascii="Times New Roman" w:hAnsi="Times New Roman"/>
          <w:sz w:val="28"/>
          <w:szCs w:val="28"/>
        </w:rPr>
        <w:t xml:space="preserve"> los pronunciamientos de la Corte Constitucional, que </w:t>
      </w:r>
      <w:r w:rsidRPr="00D93140">
        <w:rPr>
          <w:rFonts w:ascii="Times New Roman" w:hAnsi="Times New Roman"/>
          <w:sz w:val="28"/>
          <w:szCs w:val="28"/>
          <w:lang w:val="es-ES"/>
        </w:rPr>
        <w:t xml:space="preserve">las competencias ambientales de las autoridades indígenas no son creadas por el decreto, sino que se derivan de normas del bloque de constitucionalidad, habilitaciones legales y reglamentarias previas. Además, coincidieron en alegar que no se desconoce el </w:t>
      </w:r>
      <w:r w:rsidRPr="00D93140">
        <w:rPr>
          <w:rFonts w:ascii="Times New Roman" w:hAnsi="Times New Roman"/>
          <w:sz w:val="28"/>
          <w:szCs w:val="28"/>
          <w:lang w:val="es-ES"/>
        </w:rPr>
        <w:t xml:space="preserve">derecho a la consulta previa de las comunidades indígenas ya que el decreto </w:t>
      </w:r>
      <w:r w:rsidRPr="00D93140">
        <w:rPr>
          <w:rFonts w:ascii="Times New Roman" w:hAnsi="Times New Roman"/>
          <w:sz w:val="28"/>
          <w:szCs w:val="28"/>
        </w:rPr>
        <w:t>es el resultado de un proceso acumulado, continuo y concertado en el marco de la Mesa Permanente de Concertación con los Pueblos y Organizaciones Indígenas</w:t>
      </w:r>
      <w:r w:rsidRPr="00D93140">
        <w:rPr>
          <w:rFonts w:ascii="Times New Roman" w:hAnsi="Times New Roman"/>
          <w:sz w:val="28"/>
          <w:szCs w:val="28"/>
          <w:lang w:val="es-ES_tradnl"/>
        </w:rPr>
        <w:t>.</w:t>
      </w:r>
      <w:r w:rsidRPr="00D93140">
        <w:rPr>
          <w:rFonts w:ascii="Times New Roman" w:hAnsi="Times New Roman"/>
          <w:sz w:val="28"/>
          <w:szCs w:val="28"/>
          <w:lang w:val="es-ES_tradnl"/>
        </w:rPr>
        <w:t xml:space="preserve"> Ahora, en cuanto a la d</w:t>
      </w:r>
      <w:r w:rsidRPr="00D93140">
        <w:rPr>
          <w:rFonts w:ascii="Times New Roman" w:hAnsi="Times New Roman"/>
          <w:sz w:val="28"/>
          <w:szCs w:val="28"/>
          <w:lang w:val="es-ES_tradnl"/>
        </w:rPr>
        <w:t xml:space="preserve">efinición del interés general, consideraron que este ha sido redefinido </w:t>
      </w:r>
      <w:r w:rsidRPr="00D93140">
        <w:rPr>
          <w:rFonts w:ascii="Times New Roman" w:hAnsi="Times New Roman"/>
          <w:sz w:val="28"/>
          <w:szCs w:val="28"/>
          <w:lang w:val="es-ES"/>
        </w:rPr>
        <w:t>en armonía con el pluralismo jurídico y la protección ambiental. Concordaron también en que no existe una afectación del debido proceso en tanto</w:t>
      </w:r>
      <w:r w:rsidRPr="00D93140">
        <w:rPr>
          <w:rFonts w:ascii="Times New Roman" w:hAnsi="Times New Roman"/>
          <w:sz w:val="28"/>
          <w:szCs w:val="28"/>
          <w:lang w:val="es-ES"/>
        </w:rPr>
        <w:t xml:space="preserve"> el decreto es claro al establecer que e</w:t>
      </w:r>
      <w:r w:rsidRPr="00D93140">
        <w:rPr>
          <w:rFonts w:ascii="Times New Roman" w:hAnsi="Times New Roman"/>
          <w:sz w:val="28"/>
          <w:szCs w:val="28"/>
          <w:lang w:val="es-ES"/>
        </w:rPr>
        <w:t xml:space="preserve">n los eventos que involucren a terceros ajenos a la comunidad, deberá primar una coordinación funcional entre jurisdicciones, en armonía con los principios de concurrencia, coordinación y subsidiariedad que rigen tanto el Estado colombiano como el Sistema </w:t>
      </w:r>
      <w:r w:rsidRPr="00D93140">
        <w:rPr>
          <w:rFonts w:ascii="Times New Roman" w:hAnsi="Times New Roman"/>
          <w:sz w:val="28"/>
          <w:szCs w:val="28"/>
          <w:lang w:val="es-ES"/>
        </w:rPr>
        <w:t>Nacional Ambiental</w:t>
      </w:r>
      <w:r w:rsidRPr="00D93140">
        <w:rPr>
          <w:rFonts w:ascii="Times New Roman" w:hAnsi="Times New Roman"/>
          <w:sz w:val="28"/>
          <w:szCs w:val="28"/>
          <w:lang w:val="es-ES"/>
        </w:rPr>
        <w:t xml:space="preserve">, </w:t>
      </w:r>
      <w:r w:rsidRPr="00D93140">
        <w:rPr>
          <w:rFonts w:ascii="Times New Roman" w:hAnsi="Times New Roman"/>
          <w:sz w:val="28"/>
          <w:szCs w:val="28"/>
          <w:lang w:val="es-ES"/>
        </w:rPr>
        <w:t>y tampoco representa un vaciamiento de las funciones de las Corporaciones Autónomas Regionales (CAR) sino un desarrollo y una articulación armónica de las competencias ambientales de las comunidades indígenas, conforme a la Constitución</w:t>
      </w:r>
      <w:r w:rsidRPr="00D93140">
        <w:rPr>
          <w:rFonts w:ascii="Times New Roman" w:hAnsi="Times New Roman"/>
          <w:sz w:val="28"/>
          <w:szCs w:val="28"/>
          <w:lang w:val="es-ES"/>
        </w:rPr>
        <w:t>.</w:t>
      </w:r>
    </w:p>
    <w:p w:rsidR="00D10F23" w:rsidRPr="00D93140" w:rsidRDefault="00D93140" w:rsidP="00E04174">
      <w:pPr>
        <w:jc w:val="both"/>
        <w:rPr>
          <w:rFonts w:ascii="Times New Roman" w:hAnsi="Times New Roman"/>
          <w:sz w:val="28"/>
          <w:szCs w:val="28"/>
        </w:rPr>
      </w:pPr>
    </w:p>
    <w:p w:rsidR="00DC2356" w:rsidRPr="00D93140" w:rsidRDefault="00D93140" w:rsidP="003C3E37">
      <w:pPr>
        <w:pStyle w:val="Ttulo2"/>
        <w:rPr>
          <w:rFonts w:ascii="Times New Roman" w:hAnsi="Times New Roman"/>
          <w:b/>
          <w:sz w:val="28"/>
        </w:rPr>
      </w:pPr>
      <w:bookmarkStart w:id="10" w:name="_Toc215735428"/>
      <w:r w:rsidRPr="00D93140">
        <w:rPr>
          <w:rFonts w:ascii="Times New Roman" w:hAnsi="Times New Roman"/>
          <w:b/>
          <w:sz w:val="28"/>
        </w:rPr>
        <w:t>F</w:t>
      </w:r>
      <w:r w:rsidRPr="00D93140">
        <w:rPr>
          <w:rFonts w:ascii="Times New Roman" w:hAnsi="Times New Roman"/>
          <w:b/>
          <w:sz w:val="28"/>
        </w:rPr>
        <w:t>. Concepto del Procurador General de la Nación</w:t>
      </w:r>
      <w:bookmarkEnd w:id="10"/>
    </w:p>
    <w:p w:rsidR="008F047A" w:rsidRPr="00D93140" w:rsidRDefault="00D93140" w:rsidP="00E04174">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El Procurador General de la Nación mediante concepto No. 7484 del 21 de julio de 2025 </w:t>
      </w:r>
      <w:r w:rsidRPr="00D93140">
        <w:rPr>
          <w:rFonts w:ascii="Times New Roman" w:hAnsi="Times New Roman"/>
          <w:sz w:val="28"/>
          <w:szCs w:val="28"/>
          <w:lang w:val="es-ES_tradnl"/>
        </w:rPr>
        <w:t>formuló diferentes solicitudes relativas a cada cargo admitido, como se expone a continuación.</w:t>
      </w:r>
    </w:p>
    <w:p w:rsidR="0080276F" w:rsidRPr="00D93140" w:rsidRDefault="00D93140" w:rsidP="0080276F">
      <w:pPr>
        <w:jc w:val="both"/>
        <w:rPr>
          <w:rFonts w:ascii="Times New Roman" w:hAnsi="Times New Roman"/>
          <w:sz w:val="28"/>
          <w:szCs w:val="28"/>
        </w:rPr>
      </w:pPr>
    </w:p>
    <w:p w:rsidR="0080276F" w:rsidRPr="00D93140" w:rsidRDefault="00D93140" w:rsidP="0080276F">
      <w:pPr>
        <w:jc w:val="both"/>
        <w:rPr>
          <w:rFonts w:ascii="Times New Roman" w:hAnsi="Times New Roman"/>
          <w:i/>
          <w:sz w:val="28"/>
          <w:szCs w:val="28"/>
        </w:rPr>
      </w:pPr>
      <w:r w:rsidRPr="00D93140">
        <w:rPr>
          <w:rFonts w:ascii="Times New Roman" w:hAnsi="Times New Roman"/>
          <w:i/>
          <w:sz w:val="28"/>
          <w:szCs w:val="28"/>
        </w:rPr>
        <w:t>Cargos que no están ll</w:t>
      </w:r>
      <w:r w:rsidRPr="00D93140">
        <w:rPr>
          <w:rFonts w:ascii="Times New Roman" w:hAnsi="Times New Roman"/>
          <w:i/>
          <w:sz w:val="28"/>
          <w:szCs w:val="28"/>
        </w:rPr>
        <w:t>amados a prosperar en criterio del Ministerio Público.</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Cargos primero y segundo del expediente D-16345 y tercero del expediente D-16396, relacionados con el desconocimiento del artículo 56 transitorio de la Constitución</w:t>
      </w:r>
      <w:r w:rsidRPr="00D93140">
        <w:rPr>
          <w:rFonts w:ascii="Times New Roman" w:hAnsi="Times New Roman"/>
          <w:sz w:val="28"/>
          <w:szCs w:val="28"/>
        </w:rPr>
        <w:t>. Señaló que “el presidente de la Re</w:t>
      </w:r>
      <w:r w:rsidRPr="00D93140">
        <w:rPr>
          <w:rFonts w:ascii="Times New Roman" w:hAnsi="Times New Roman"/>
          <w:sz w:val="28"/>
          <w:szCs w:val="28"/>
        </w:rPr>
        <w:t>pública se encuentra revestido de la potestad conferida por el artículo 56 transitorio de la Constitución, de conformidad con el alcance que el alto tribunal fijó para esta disposición transitoria”</w:t>
      </w:r>
      <w:r w:rsidRPr="00D93140">
        <w:rPr>
          <w:rStyle w:val="Refdenotaalpie"/>
          <w:rFonts w:ascii="Times New Roman" w:hAnsi="Times New Roman"/>
          <w:sz w:val="28"/>
          <w:szCs w:val="28"/>
        </w:rPr>
        <w:footnoteReference w:id="11"/>
      </w:r>
      <w:r w:rsidRPr="00D93140">
        <w:rPr>
          <w:rFonts w:ascii="Times New Roman" w:hAnsi="Times New Roman"/>
          <w:sz w:val="28"/>
          <w:szCs w:val="28"/>
        </w:rPr>
        <w:t xml:space="preserve">. </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primer lugar, expuso que las materias del Decreto 1</w:t>
      </w:r>
      <w:r w:rsidRPr="00D93140">
        <w:rPr>
          <w:rFonts w:ascii="Times New Roman" w:hAnsi="Times New Roman"/>
          <w:sz w:val="28"/>
          <w:szCs w:val="28"/>
        </w:rPr>
        <w:t>275 de 2024 pueden incluirse dentro del componente material de la norma constitucional habilitante en lo relativo al funcionamiento de los territorios indígenas y su coordinación con las demás entidades territoriales, atendiendo el objeto del citado decret</w:t>
      </w:r>
      <w:r w:rsidRPr="00D93140">
        <w:rPr>
          <w:rFonts w:ascii="Times New Roman" w:hAnsi="Times New Roman"/>
          <w:sz w:val="28"/>
          <w:szCs w:val="28"/>
        </w:rPr>
        <w:t>o. Para la Procuraduría General de la Nación, el manejo del ambiente es un componente central y no accesorio en el funcionamiento de las entidades territoriales y de los territorios indígenas, teniendo en cuenta que el aspecto ambiental es un elemento fund</w:t>
      </w:r>
      <w:r w:rsidRPr="00D93140">
        <w:rPr>
          <w:rFonts w:ascii="Times New Roman" w:hAnsi="Times New Roman"/>
          <w:sz w:val="28"/>
          <w:szCs w:val="28"/>
        </w:rPr>
        <w:t>amental de la Constitución Política de 1991.</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segundo lugar, alegó que la facultad transitoria conferida por el artículo 56 al presidente de la República no se ha extinguido, ya que no se ha expedido la norma de que trata el artículo 329 de la Carta Pol</w:t>
      </w:r>
      <w:r w:rsidRPr="00D93140">
        <w:rPr>
          <w:rFonts w:ascii="Times New Roman" w:hAnsi="Times New Roman"/>
          <w:sz w:val="28"/>
          <w:szCs w:val="28"/>
        </w:rPr>
        <w:t>ítica. Resaltó, además, que el presidente puede ejercer esta facultad más de una vez, como lo ha avalado la Corte Constitucional.</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Finalmente, señaló que esta conclusión le permite inferir que tampoco se desconoció la reserva de ley orgánica ya que se trat</w:t>
      </w:r>
      <w:r w:rsidRPr="00D93140">
        <w:rPr>
          <w:rFonts w:ascii="Times New Roman" w:hAnsi="Times New Roman"/>
          <w:sz w:val="28"/>
          <w:szCs w:val="28"/>
        </w:rPr>
        <w:t xml:space="preserve">a de una atribución constitucional directa del presidente, que escapa del reparto ordinario de competencias reconocidas a cada una de las ramas del poder público y que en consecuencia no debe surtir los procedimientos especiales impuestos al Congreso. Una </w:t>
      </w:r>
      <w:r w:rsidRPr="00D93140">
        <w:rPr>
          <w:rFonts w:ascii="Times New Roman" w:hAnsi="Times New Roman"/>
          <w:sz w:val="28"/>
          <w:szCs w:val="28"/>
        </w:rPr>
        <w:t xml:space="preserve">interpretación contraria, dejaría sin eficacia estas facultades transitorias y no se podría cumplir con su finalidad enfocada hacia la transición constitucional de un régimen anterior a otro posterior. </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Cargo tercero del expediente D-16345, relacionado co</w:t>
      </w:r>
      <w:r w:rsidRPr="00D93140">
        <w:rPr>
          <w:rFonts w:ascii="Times New Roman" w:hAnsi="Times New Roman"/>
          <w:sz w:val="28"/>
          <w:szCs w:val="28"/>
          <w:u w:val="single"/>
        </w:rPr>
        <w:t>n la vulneración del artículo 330 superior</w:t>
      </w:r>
      <w:r w:rsidRPr="00D93140">
        <w:rPr>
          <w:rFonts w:ascii="Times New Roman" w:hAnsi="Times New Roman"/>
          <w:sz w:val="28"/>
          <w:szCs w:val="28"/>
        </w:rPr>
        <w:t xml:space="preserve">. Para el Ministerio público, el accionante al plantear sus argumentos no tiene en cuenta los demás postulados superiores de reivindicación y protección de la diversidad étnica y cultural de la Nación (arts. 1, 7, </w:t>
      </w:r>
      <w:r w:rsidRPr="00D93140">
        <w:rPr>
          <w:rFonts w:ascii="Times New Roman" w:hAnsi="Times New Roman"/>
          <w:sz w:val="28"/>
          <w:szCs w:val="28"/>
        </w:rPr>
        <w:t>8, 10, 246, 330, 63, 329, entre otros, C.P.),</w:t>
      </w:r>
      <w:r w:rsidRPr="00D93140">
        <w:rPr>
          <w:rFonts w:ascii="Times New Roman" w:hAnsi="Times New Roman"/>
          <w:sz w:val="28"/>
          <w:szCs w:val="28"/>
        </w:rPr>
        <w:t xml:space="preserve"> </w:t>
      </w:r>
      <w:r w:rsidRPr="00D93140">
        <w:rPr>
          <w:rFonts w:ascii="Times New Roman" w:hAnsi="Times New Roman"/>
          <w:sz w:val="28"/>
          <w:szCs w:val="28"/>
        </w:rPr>
        <w:t>el Convenio 169 de la OIT, ni las facultades propias de las entidades territoriales derivadas del artículo 287 de la Carta Política.</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Destacó “que en el marco del desarrollo de autogobierno de los pueblos indíg</w:t>
      </w:r>
      <w:r w:rsidRPr="00D93140">
        <w:rPr>
          <w:rFonts w:ascii="Times New Roman" w:hAnsi="Times New Roman"/>
          <w:sz w:val="28"/>
          <w:szCs w:val="28"/>
        </w:rPr>
        <w:t>enas, las autoridades indígenas también están facultadas para dictar sus propias normas, aplicables en el marco de sus territorios, dentro de los límites que defina la Constitución y la ley”</w:t>
      </w:r>
      <w:r w:rsidRPr="00D93140">
        <w:rPr>
          <w:rStyle w:val="Refdenotaalpie"/>
          <w:rFonts w:ascii="Times New Roman" w:hAnsi="Times New Roman"/>
          <w:sz w:val="28"/>
          <w:szCs w:val="28"/>
        </w:rPr>
        <w:footnoteReference w:id="12"/>
      </w:r>
      <w:r w:rsidRPr="00D93140">
        <w:rPr>
          <w:rFonts w:ascii="Times New Roman" w:hAnsi="Times New Roman"/>
          <w:sz w:val="28"/>
          <w:szCs w:val="28"/>
        </w:rPr>
        <w:t xml:space="preserve">. Por lo tanto, las facultades reconocidas en el Decreto 1275 de </w:t>
      </w:r>
      <w:r w:rsidRPr="00D93140">
        <w:rPr>
          <w:rFonts w:ascii="Times New Roman" w:hAnsi="Times New Roman"/>
          <w:sz w:val="28"/>
          <w:szCs w:val="28"/>
        </w:rPr>
        <w:t xml:space="preserve">2024 son necesarias ya que estos pueblos, como parte del conglomerado nacional, requieren pautas de coordinación, articulación y funcionamiento de sus autoridades con las demás autoridades ambientales de la sociedad mayoritaria. </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 xml:space="preserve">Cargo cuarto del </w:t>
      </w:r>
      <w:r w:rsidRPr="00D93140">
        <w:rPr>
          <w:rFonts w:ascii="Times New Roman" w:hAnsi="Times New Roman"/>
          <w:sz w:val="28"/>
          <w:szCs w:val="28"/>
          <w:u w:val="single"/>
        </w:rPr>
        <w:t>Expediente D-16396 desconocimiento de los artículos 123 y 21</w:t>
      </w:r>
      <w:r w:rsidRPr="00D93140">
        <w:rPr>
          <w:rFonts w:ascii="Times New Roman" w:hAnsi="Times New Roman"/>
          <w:sz w:val="28"/>
          <w:szCs w:val="28"/>
          <w:u w:val="single"/>
        </w:rPr>
        <w:t>0</w:t>
      </w:r>
      <w:r w:rsidRPr="00D93140">
        <w:rPr>
          <w:rFonts w:ascii="Times New Roman" w:hAnsi="Times New Roman"/>
          <w:sz w:val="28"/>
          <w:szCs w:val="28"/>
          <w:u w:val="single"/>
        </w:rPr>
        <w:t xml:space="preserve"> de la Constitución Política</w:t>
      </w:r>
      <w:r w:rsidRPr="00D93140">
        <w:rPr>
          <w:rFonts w:ascii="Times New Roman" w:hAnsi="Times New Roman"/>
          <w:sz w:val="28"/>
          <w:szCs w:val="28"/>
        </w:rPr>
        <w:t>. Consideró el Procurador que la interpretación del accionante no es armónica con los principios de pluralismo jurídico y las garantías derivadas del autogobierno y la libre determinación de los pueblos indígenas. En su criterio, la finalidad del Decreto 1</w:t>
      </w:r>
      <w:r w:rsidRPr="00D93140">
        <w:rPr>
          <w:rFonts w:ascii="Times New Roman" w:hAnsi="Times New Roman"/>
          <w:sz w:val="28"/>
          <w:szCs w:val="28"/>
        </w:rPr>
        <w:t xml:space="preserve">275 de 2024 no es “otorgar” competencias ambientales a las autoridades indígenas, sino “reconocer” las que ejercen dentro de sus territorios en virtud de sus figuras propias de autogobierno, y “armonizarlas” con las demás autoridades en materia ambiental, </w:t>
      </w:r>
      <w:r w:rsidRPr="00D93140">
        <w:rPr>
          <w:rFonts w:ascii="Times New Roman" w:hAnsi="Times New Roman"/>
          <w:sz w:val="28"/>
          <w:szCs w:val="28"/>
        </w:rPr>
        <w:t xml:space="preserve">garantizando así una coordinación efectiva entre ellas, en el marco de la Constitución y la ley. Lo anterior, </w:t>
      </w:r>
      <w:r w:rsidRPr="00D93140">
        <w:rPr>
          <w:rFonts w:ascii="Times New Roman" w:hAnsi="Times New Roman"/>
          <w:sz w:val="28"/>
          <w:szCs w:val="28"/>
        </w:rPr>
        <w:t>por cuanto</w:t>
      </w:r>
      <w:r w:rsidRPr="00D93140">
        <w:rPr>
          <w:rFonts w:ascii="Times New Roman" w:hAnsi="Times New Roman"/>
          <w:sz w:val="28"/>
          <w:szCs w:val="28"/>
        </w:rPr>
        <w:t xml:space="preserve"> los pueblos indígenas hacen parte del ordenamiento constitucional y deben estar cohesionados en virtud del principio de Estado unitario</w:t>
      </w:r>
      <w:r w:rsidRPr="00D93140">
        <w:rPr>
          <w:rFonts w:ascii="Times New Roman" w:hAnsi="Times New Roman"/>
          <w:sz w:val="28"/>
          <w:szCs w:val="28"/>
        </w:rPr>
        <w:t>.</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Cargo octavo del D-16345 por violación de los artículos 151 y 334 de la Constitución Política</w:t>
      </w:r>
      <w:r w:rsidRPr="00D93140">
        <w:rPr>
          <w:rFonts w:ascii="Times New Roman" w:hAnsi="Times New Roman"/>
          <w:sz w:val="28"/>
          <w:szCs w:val="28"/>
        </w:rPr>
        <w:t>. Contrario a lo alegado por el actor, el Procurador manifestó que el artículo 10 del Decreto 1275 de 2025 no contiene una orden de gasto a pesar de identificar</w:t>
      </w:r>
      <w:r w:rsidRPr="00D93140">
        <w:rPr>
          <w:rFonts w:ascii="Times New Roman" w:hAnsi="Times New Roman"/>
          <w:sz w:val="28"/>
          <w:szCs w:val="28"/>
        </w:rPr>
        <w:t>se en él una orden imperativa de garantizar los recursos de funcionamiento de las competencias ambientales de las autoridades indígenas en el plazo establecido. Al fija</w:t>
      </w:r>
      <w:r w:rsidRPr="00D93140">
        <w:rPr>
          <w:rFonts w:ascii="Times New Roman" w:hAnsi="Times New Roman"/>
          <w:sz w:val="28"/>
          <w:szCs w:val="28"/>
        </w:rPr>
        <w:t>r</w:t>
      </w:r>
      <w:r w:rsidRPr="00D93140">
        <w:rPr>
          <w:rFonts w:ascii="Times New Roman" w:hAnsi="Times New Roman"/>
          <w:sz w:val="28"/>
          <w:szCs w:val="28"/>
        </w:rPr>
        <w:t xml:space="preserve"> la norma como condición previa la definición de los mecanismos que hagan posible esas </w:t>
      </w:r>
      <w:r w:rsidRPr="00D93140">
        <w:rPr>
          <w:rFonts w:ascii="Times New Roman" w:hAnsi="Times New Roman"/>
          <w:sz w:val="28"/>
          <w:szCs w:val="28"/>
        </w:rPr>
        <w:t xml:space="preserve">asignaciones presupuestales, se está ante una disposición de carácter </w:t>
      </w:r>
      <w:r w:rsidRPr="00D93140">
        <w:rPr>
          <w:rFonts w:ascii="Times New Roman" w:hAnsi="Times New Roman"/>
          <w:sz w:val="28"/>
          <w:szCs w:val="28"/>
        </w:rPr>
        <w:t xml:space="preserve">general </w:t>
      </w:r>
      <w:r w:rsidRPr="00D93140">
        <w:rPr>
          <w:rFonts w:ascii="Times New Roman" w:hAnsi="Times New Roman"/>
          <w:sz w:val="28"/>
          <w:szCs w:val="28"/>
        </w:rPr>
        <w:t>y por tanto, no procede el análisis de impacto fiscal, ya que se requiere una intervención posterior del ejecutivo.</w:t>
      </w:r>
    </w:p>
    <w:p w:rsidR="0080276F" w:rsidRPr="00D93140" w:rsidRDefault="00D93140" w:rsidP="0080276F">
      <w:pPr>
        <w:jc w:val="both"/>
        <w:rPr>
          <w:rFonts w:ascii="Times New Roman" w:hAnsi="Times New Roman"/>
          <w:sz w:val="28"/>
          <w:szCs w:val="28"/>
        </w:rPr>
      </w:pPr>
    </w:p>
    <w:p w:rsidR="0080276F" w:rsidRPr="00D93140" w:rsidRDefault="00D93140" w:rsidP="0080276F">
      <w:pPr>
        <w:jc w:val="both"/>
        <w:rPr>
          <w:rFonts w:ascii="Times New Roman" w:hAnsi="Times New Roman"/>
          <w:i/>
          <w:sz w:val="28"/>
          <w:szCs w:val="28"/>
        </w:rPr>
      </w:pPr>
      <w:r w:rsidRPr="00D93140">
        <w:rPr>
          <w:rFonts w:ascii="Times New Roman" w:hAnsi="Times New Roman"/>
          <w:i/>
          <w:sz w:val="28"/>
          <w:szCs w:val="28"/>
        </w:rPr>
        <w:t>Cargos que no prosperan si se condiciona el ámbito de aplicac</w:t>
      </w:r>
      <w:r w:rsidRPr="00D93140">
        <w:rPr>
          <w:rFonts w:ascii="Times New Roman" w:hAnsi="Times New Roman"/>
          <w:i/>
          <w:sz w:val="28"/>
          <w:szCs w:val="28"/>
        </w:rPr>
        <w:t>ión del Decreto Ley 1275 de 2024.</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Cargo primero del Expediente D-16396 desconocimiento del art. 6 del Convenio 169 de la OIT</w:t>
      </w:r>
      <w:r w:rsidRPr="00D93140">
        <w:rPr>
          <w:rFonts w:ascii="Times New Roman" w:hAnsi="Times New Roman"/>
          <w:sz w:val="28"/>
          <w:szCs w:val="28"/>
        </w:rPr>
        <w:t>. La Procuraduría explicó que el cargo debe prosperar únicamente respecto de la afectación al derecho a la consulta previa de otros</w:t>
      </w:r>
      <w:r w:rsidRPr="00D93140">
        <w:rPr>
          <w:rFonts w:ascii="Times New Roman" w:hAnsi="Times New Roman"/>
          <w:sz w:val="28"/>
          <w:szCs w:val="28"/>
        </w:rPr>
        <w:t xml:space="preserve"> pueblos étnicos diferentes a los pueblos indígenas, pues respecto de estos últimos se considera que la misma se adelantó en debida forma, en atención a que la discusión y aprobación del Decreto Ley 1275 de 2024 se dio en el marco del diálogo y construcció</w:t>
      </w:r>
      <w:r w:rsidRPr="00D93140">
        <w:rPr>
          <w:rFonts w:ascii="Times New Roman" w:hAnsi="Times New Roman"/>
          <w:sz w:val="28"/>
          <w:szCs w:val="28"/>
        </w:rPr>
        <w:t>n conjunta entre los integrantes de la Mesa Permanente de Concertación, en adelante, MPC, instancia legítima de deliberación y consenso de las medidas legislativas, siempre que se garantice una participación activa de las comunidades indígenas, en este cas</w:t>
      </w:r>
      <w:r w:rsidRPr="00D93140">
        <w:rPr>
          <w:rFonts w:ascii="Times New Roman" w:hAnsi="Times New Roman"/>
          <w:sz w:val="28"/>
          <w:szCs w:val="28"/>
        </w:rPr>
        <w:t>o, a través de los representantes de sus organizaciones.</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Sin embargo, reconoció que sí se desconoció la consulta previa de las comunidades negras, afrodescendientes, raizales, palenqueras y Rom. Explicó que “si bien la norma está dirigida en concreto a lo</w:t>
      </w:r>
      <w:r w:rsidRPr="00D93140">
        <w:rPr>
          <w:rFonts w:ascii="Times New Roman" w:hAnsi="Times New Roman"/>
          <w:sz w:val="28"/>
          <w:szCs w:val="28"/>
        </w:rPr>
        <w:t>s pueblos indígenas, en su aplicación, eventualmente puede colisionar con los derechos de otros pueblos étnicos. Las tensiones se generarían principalmente en caso de que se traslapen sus territorios colectivos en una misma región y los mismos estén en dis</w:t>
      </w:r>
      <w:r w:rsidRPr="00D93140">
        <w:rPr>
          <w:rFonts w:ascii="Times New Roman" w:hAnsi="Times New Roman"/>
          <w:sz w:val="28"/>
          <w:szCs w:val="28"/>
        </w:rPr>
        <w:t>puta”.</w:t>
      </w:r>
      <w:r w:rsidRPr="00D93140">
        <w:rPr>
          <w:rStyle w:val="Refdenotaalpie"/>
          <w:rFonts w:ascii="Times New Roman" w:hAnsi="Times New Roman"/>
          <w:sz w:val="28"/>
          <w:szCs w:val="28"/>
        </w:rPr>
        <w:footnoteReference w:id="13"/>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ese escenario, la Procuraduría General de la Nación estimó necesario, limitar el ámbito territorial del decreto demandado para el adecuado ejercicio de los derechos de los pueblos y su armonización con las demás comunidades y con el Estado mayo</w:t>
      </w:r>
      <w:r w:rsidRPr="00D93140">
        <w:rPr>
          <w:rFonts w:ascii="Times New Roman" w:hAnsi="Times New Roman"/>
          <w:sz w:val="28"/>
          <w:szCs w:val="28"/>
        </w:rPr>
        <w:t xml:space="preserve">ritario, ante la amplitud en relación al ámbito territorial señalado en el artículo 4 del decreto. </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Por lo tanto, señaló que</w:t>
      </w:r>
      <w:r w:rsidRPr="00D93140">
        <w:rPr>
          <w:rFonts w:ascii="Times New Roman" w:hAnsi="Times New Roman"/>
          <w:sz w:val="28"/>
          <w:szCs w:val="28"/>
        </w:rPr>
        <w:t>,</w:t>
      </w:r>
      <w:r w:rsidRPr="00D93140">
        <w:rPr>
          <w:rFonts w:ascii="Times New Roman" w:hAnsi="Times New Roman"/>
          <w:sz w:val="28"/>
          <w:szCs w:val="28"/>
        </w:rPr>
        <w:t xml:space="preserve"> para proteger los derechos de las demás comunidades étnicas, así como de terceros, el ámbito territorial deberá estar condicionad</w:t>
      </w:r>
      <w:r w:rsidRPr="00D93140">
        <w:rPr>
          <w:rFonts w:ascii="Times New Roman" w:hAnsi="Times New Roman"/>
          <w:sz w:val="28"/>
          <w:szCs w:val="28"/>
        </w:rPr>
        <w:t>o a áreas formalmente delimitadas, en los términos del artículo 3 del Decreto 1953 de 2014, es decir, que la puesta en funcionamiento parta, además de las instituciones reconocidas, de la posesión exclusiva, tradicional, ininterrumpida y pacífica. Con esto</w:t>
      </w:r>
      <w:r w:rsidRPr="00D93140">
        <w:rPr>
          <w:rFonts w:ascii="Times New Roman" w:hAnsi="Times New Roman"/>
          <w:sz w:val="28"/>
          <w:szCs w:val="28"/>
        </w:rPr>
        <w:t>, se reducen “las probabilidades de afectación directa a otros grupos étnicos, como las comunidades NARP, pues si existen conflictos por el territorio, se consideraría que la posesión en cuestión no es exclusiva o pasiva, y en consecuencia, no podrían ejer</w:t>
      </w:r>
      <w:r w:rsidRPr="00D93140">
        <w:rPr>
          <w:rFonts w:ascii="Times New Roman" w:hAnsi="Times New Roman"/>
          <w:sz w:val="28"/>
          <w:szCs w:val="28"/>
        </w:rPr>
        <w:t>cer de forma plena las competencias reconocidas mediante la norma demandada”</w:t>
      </w:r>
      <w:r w:rsidRPr="00D93140">
        <w:rPr>
          <w:rStyle w:val="Refdenotaalpie"/>
          <w:rFonts w:ascii="Times New Roman" w:hAnsi="Times New Roman"/>
          <w:sz w:val="28"/>
          <w:szCs w:val="28"/>
        </w:rPr>
        <w:footnoteReference w:id="14"/>
      </w:r>
      <w:r w:rsidRPr="00D93140">
        <w:rPr>
          <w:rFonts w:ascii="Times New Roman" w:hAnsi="Times New Roman"/>
          <w:sz w:val="28"/>
          <w:szCs w:val="28"/>
        </w:rPr>
        <w:t>.</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Cargo quinto del Expediente D-16396 relacionado con la violación del artículo 229 de la Constitución Política</w:t>
      </w:r>
      <w:r w:rsidRPr="00D93140">
        <w:rPr>
          <w:rFonts w:ascii="Times New Roman" w:hAnsi="Times New Roman"/>
          <w:sz w:val="28"/>
          <w:szCs w:val="28"/>
        </w:rPr>
        <w:t xml:space="preserve">. El Procurador consideró que era necesario interpretar el decreto </w:t>
      </w:r>
      <w:r w:rsidRPr="00D93140">
        <w:rPr>
          <w:rFonts w:ascii="Times New Roman" w:hAnsi="Times New Roman"/>
          <w:sz w:val="28"/>
          <w:szCs w:val="28"/>
        </w:rPr>
        <w:t>ley demandado a la luz de los postulados derivados del artículo 246 de la Carta Política. En virtud del elemento institucional desarrollado por la Corte Constitucional, no se puede exigir a la comunidad indígena que acredite la existencia de normas escrita</w:t>
      </w:r>
      <w:r w:rsidRPr="00D93140">
        <w:rPr>
          <w:rFonts w:ascii="Times New Roman" w:hAnsi="Times New Roman"/>
          <w:sz w:val="28"/>
          <w:szCs w:val="28"/>
        </w:rPr>
        <w:t>s, o de compendios de precedentes para ejercer la autonomía jurisdiccional, sin que ello signifique que no se respeten los postulados fundamentales del ordenamiento constitucional como el derecho al debido proceso.</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tal virtud, indicó, que las actuacion</w:t>
      </w:r>
      <w:r w:rsidRPr="00D93140">
        <w:rPr>
          <w:rFonts w:ascii="Times New Roman" w:hAnsi="Times New Roman"/>
          <w:sz w:val="28"/>
          <w:szCs w:val="28"/>
        </w:rPr>
        <w:t>es de las autoridades indígenas están sujetas a control, ya sea ejercido desde la misma comunidad o por la jurisdicción ordinaria y/o constitucional, según sea el caso, así ello no se diga en el decreto cuestionado.</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Sin perjuicio de lo anterior, coincidió</w:t>
      </w:r>
      <w:r w:rsidRPr="00D93140">
        <w:rPr>
          <w:rFonts w:ascii="Times New Roman" w:hAnsi="Times New Roman"/>
          <w:sz w:val="28"/>
          <w:szCs w:val="28"/>
        </w:rPr>
        <w:t xml:space="preserve"> con el accionante al señalar que el decreto puede afectar a personas que no hagan parte de las comunidades indígenas. Por lo tanto, estimó que la delimitación de los territorios indígenas facilita y armoniza los contenidos del decreto con el elemento terr</w:t>
      </w:r>
      <w:r w:rsidRPr="00D93140">
        <w:rPr>
          <w:rFonts w:ascii="Times New Roman" w:hAnsi="Times New Roman"/>
          <w:sz w:val="28"/>
          <w:szCs w:val="28"/>
        </w:rPr>
        <w:t>itorial y personal, al disminuir el campo de acción de las autoridades indígenas. Elementos que deben analizarse al momento de establecer si se activa o no la jurisdicción especial indígena. En ese escenario, concluyó que, de condicionarse el cargo relacio</w:t>
      </w:r>
      <w:r w:rsidRPr="00D93140">
        <w:rPr>
          <w:rFonts w:ascii="Times New Roman" w:hAnsi="Times New Roman"/>
          <w:sz w:val="28"/>
          <w:szCs w:val="28"/>
        </w:rPr>
        <w:t>nado con la consulta previa, este no prosperaría.</w:t>
      </w:r>
    </w:p>
    <w:p w:rsidR="0080276F" w:rsidRPr="00D93140" w:rsidRDefault="00D93140" w:rsidP="0080276F">
      <w:pPr>
        <w:jc w:val="both"/>
        <w:rPr>
          <w:rFonts w:ascii="Times New Roman" w:hAnsi="Times New Roman"/>
          <w:sz w:val="28"/>
          <w:szCs w:val="28"/>
        </w:rPr>
      </w:pPr>
    </w:p>
    <w:p w:rsidR="0080276F" w:rsidRPr="00D93140" w:rsidRDefault="00D93140" w:rsidP="0080276F">
      <w:pPr>
        <w:rPr>
          <w:rFonts w:ascii="Times New Roman" w:hAnsi="Times New Roman"/>
          <w:i/>
          <w:sz w:val="28"/>
          <w:szCs w:val="28"/>
        </w:rPr>
      </w:pPr>
      <w:r w:rsidRPr="00D93140">
        <w:rPr>
          <w:rFonts w:ascii="Times New Roman" w:hAnsi="Times New Roman"/>
          <w:i/>
          <w:sz w:val="28"/>
          <w:szCs w:val="28"/>
        </w:rPr>
        <w:t>Cargos llamados a prosperar</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Cargo cuarto del Expediente D-16345 desconocimiento de los artículos 150.7, 325 y 331 de la Constitución Política</w:t>
      </w:r>
      <w:r w:rsidRPr="00D93140">
        <w:rPr>
          <w:rFonts w:ascii="Times New Roman" w:hAnsi="Times New Roman"/>
          <w:sz w:val="28"/>
          <w:szCs w:val="28"/>
        </w:rPr>
        <w:t xml:space="preserve">. Al respecto, indicó que le asiste razón al demandante ya que </w:t>
      </w:r>
      <w:r w:rsidRPr="00D93140">
        <w:rPr>
          <w:rFonts w:ascii="Times New Roman" w:hAnsi="Times New Roman"/>
          <w:sz w:val="28"/>
          <w:szCs w:val="28"/>
        </w:rPr>
        <w:t>el artículo 5 del decreto (i) excluye dentro de su ámbito territorial el ejercicio de las funciones de las CAR y (ii) no establece con claridad la forma en la que estas corporaciones ejercerán sus funciones en los casos en los que se supere el ámbito de ap</w:t>
      </w:r>
      <w:r w:rsidRPr="00D93140">
        <w:rPr>
          <w:rFonts w:ascii="Times New Roman" w:hAnsi="Times New Roman"/>
          <w:sz w:val="28"/>
          <w:szCs w:val="28"/>
        </w:rPr>
        <w:t>licación del presente Decreto, “pues a pesar de indicar que el ejercicio de las competencias ambientales se realizará de conformidad con los principios de coordinación, concurrencia, complementariedad y subsidiariedad, la norma acusada se enfoca, en términ</w:t>
      </w:r>
      <w:r w:rsidRPr="00D93140">
        <w:rPr>
          <w:rFonts w:ascii="Times New Roman" w:hAnsi="Times New Roman"/>
          <w:sz w:val="28"/>
          <w:szCs w:val="28"/>
        </w:rPr>
        <w:t>os prácticos, a dar primacía a las consideraciones indígenas”.</w:t>
      </w:r>
      <w:r w:rsidRPr="00D93140">
        <w:rPr>
          <w:rStyle w:val="Refdenotaalpie"/>
          <w:rFonts w:ascii="Times New Roman" w:hAnsi="Times New Roman"/>
          <w:sz w:val="28"/>
          <w:szCs w:val="28"/>
        </w:rPr>
        <w:footnoteReference w:id="15"/>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Esto, en su criterio, afecta el núcleo esencial de la autonomía de las CAR y haría inconstitucional el artículo 5.  No obstante, y en aplicación del principio de conservación del derecho, la </w:t>
      </w:r>
      <w:r w:rsidRPr="00D93140">
        <w:rPr>
          <w:rFonts w:ascii="Times New Roman" w:hAnsi="Times New Roman"/>
          <w:sz w:val="28"/>
          <w:szCs w:val="28"/>
        </w:rPr>
        <w:t>Procuraduría General de la Nación consideró que la norma se puede interpretar y aplicar conforme a los postulados constitucionales si</w:t>
      </w:r>
      <w:r w:rsidRPr="00D93140">
        <w:rPr>
          <w:rStyle w:val="Refdenotaalpie"/>
          <w:rFonts w:ascii="Times New Roman" w:hAnsi="Times New Roman"/>
          <w:sz w:val="28"/>
          <w:szCs w:val="28"/>
        </w:rPr>
        <w:footnoteReference w:id="16"/>
      </w:r>
      <w:r w:rsidRPr="00D93140">
        <w:rPr>
          <w:rFonts w:ascii="Times New Roman" w:hAnsi="Times New Roman"/>
          <w:sz w:val="28"/>
          <w:szCs w:val="28"/>
        </w:rPr>
        <w:t>:</w:t>
      </w:r>
    </w:p>
    <w:p w:rsidR="0080276F" w:rsidRPr="00D93140" w:rsidRDefault="00D93140" w:rsidP="0080276F">
      <w:pPr>
        <w:jc w:val="both"/>
        <w:rPr>
          <w:rFonts w:ascii="Times New Roman" w:hAnsi="Times New Roman"/>
          <w:sz w:val="28"/>
          <w:szCs w:val="28"/>
        </w:rPr>
      </w:pPr>
    </w:p>
    <w:p w:rsidR="0080276F" w:rsidRPr="00D93140" w:rsidRDefault="00D93140" w:rsidP="0080276F">
      <w:pPr>
        <w:ind w:left="708"/>
        <w:jc w:val="both"/>
        <w:rPr>
          <w:rFonts w:ascii="Times New Roman" w:hAnsi="Times New Roman"/>
          <w:sz w:val="28"/>
          <w:szCs w:val="24"/>
        </w:rPr>
      </w:pPr>
      <w:r w:rsidRPr="00D93140">
        <w:rPr>
          <w:rFonts w:ascii="Times New Roman" w:hAnsi="Times New Roman"/>
          <w:sz w:val="28"/>
          <w:szCs w:val="24"/>
        </w:rPr>
        <w:t>i) En la parte final del inciso primero “en concordancia con el marco constitucional y las normas aquí establecidas”, se entiende también incorporada como limitante las demás leyes que resulten aplicables, en tanto de conformidad con los artículos 287 y 33</w:t>
      </w:r>
      <w:r w:rsidRPr="00D93140">
        <w:rPr>
          <w:rFonts w:ascii="Times New Roman" w:hAnsi="Times New Roman"/>
          <w:sz w:val="28"/>
          <w:szCs w:val="24"/>
        </w:rPr>
        <w:t>0 superiores, las ETls deben ejercer sus funciones “de conformidad con la Constitución y las leyes”, directrices que también deben resultar aplicables a los territorios indígenas que se ponen en funcionamiento, en virtud del artículo 56 transitorio.</w:t>
      </w:r>
    </w:p>
    <w:p w:rsidR="0080276F" w:rsidRPr="00D93140" w:rsidRDefault="00D93140" w:rsidP="0080276F">
      <w:pPr>
        <w:ind w:left="708"/>
        <w:jc w:val="both"/>
        <w:rPr>
          <w:rFonts w:ascii="Times New Roman" w:hAnsi="Times New Roman"/>
          <w:sz w:val="28"/>
          <w:szCs w:val="24"/>
        </w:rPr>
      </w:pPr>
    </w:p>
    <w:p w:rsidR="0080276F" w:rsidRPr="00D93140" w:rsidRDefault="00D93140" w:rsidP="0080276F">
      <w:pPr>
        <w:ind w:left="708"/>
        <w:jc w:val="both"/>
        <w:rPr>
          <w:rFonts w:ascii="Times New Roman" w:hAnsi="Times New Roman"/>
          <w:sz w:val="28"/>
          <w:szCs w:val="24"/>
        </w:rPr>
      </w:pPr>
      <w:r w:rsidRPr="00D93140">
        <w:rPr>
          <w:rFonts w:ascii="Times New Roman" w:hAnsi="Times New Roman"/>
          <w:sz w:val="28"/>
          <w:szCs w:val="24"/>
        </w:rPr>
        <w:t>ii) S</w:t>
      </w:r>
      <w:r w:rsidRPr="00D93140">
        <w:rPr>
          <w:rFonts w:ascii="Times New Roman" w:hAnsi="Times New Roman"/>
          <w:sz w:val="28"/>
          <w:szCs w:val="24"/>
        </w:rPr>
        <w:t>e declara la inexequibilidad de la expresión “en los casos en los que se supere el ámbito de aplicación del presente decreto y concurran competencias ambientales”, con el fin de que el ejercicio de las competencias de las autoridades indígenas se ejerza de</w:t>
      </w:r>
      <w:r w:rsidRPr="00D93140">
        <w:rPr>
          <w:rFonts w:ascii="Times New Roman" w:hAnsi="Times New Roman"/>
          <w:sz w:val="28"/>
          <w:szCs w:val="24"/>
        </w:rPr>
        <w:t xml:space="preserve"> conformidad con los principios de coordinación, concurrencia, complementariedad y subsidiariedad, respecto de las demás autoridades ambientales independientemente, si se está o no dentro de los territorios de los pueblos indígenas. Lo anterior con el fin </w:t>
      </w:r>
      <w:r w:rsidRPr="00D93140">
        <w:rPr>
          <w:rFonts w:ascii="Times New Roman" w:hAnsi="Times New Roman"/>
          <w:sz w:val="28"/>
          <w:szCs w:val="24"/>
        </w:rPr>
        <w:t xml:space="preserve">de proteger tanto la autonomía de las comunidades indígenas como la autonomía de las Corporaciones Autónomas Regionales </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u w:val="single"/>
        </w:rPr>
      </w:pPr>
      <w:r w:rsidRPr="00D93140">
        <w:rPr>
          <w:rFonts w:ascii="Times New Roman" w:hAnsi="Times New Roman"/>
          <w:sz w:val="28"/>
          <w:szCs w:val="28"/>
          <w:u w:val="single"/>
        </w:rPr>
        <w:t>Cargo séptimo del Expediente D-16345 y del Expediente D-16396 por desconocimiento del artículo 29 de la Constitución Política</w:t>
      </w:r>
      <w:r w:rsidRPr="00D93140">
        <w:rPr>
          <w:rFonts w:ascii="Times New Roman" w:hAnsi="Times New Roman"/>
          <w:sz w:val="28"/>
          <w:szCs w:val="28"/>
        </w:rPr>
        <w:t xml:space="preserve">. El </w:t>
      </w:r>
      <w:r w:rsidRPr="00D93140">
        <w:rPr>
          <w:rFonts w:ascii="Times New Roman" w:hAnsi="Times New Roman"/>
          <w:sz w:val="28"/>
          <w:szCs w:val="28"/>
        </w:rPr>
        <w:t>Proc</w:t>
      </w:r>
      <w:r w:rsidRPr="00D93140">
        <w:rPr>
          <w:rFonts w:ascii="Times New Roman" w:hAnsi="Times New Roman"/>
          <w:sz w:val="28"/>
          <w:szCs w:val="28"/>
        </w:rPr>
        <w:t>urador</w:t>
      </w:r>
      <w:r w:rsidRPr="00D93140">
        <w:rPr>
          <w:rFonts w:ascii="Times New Roman" w:hAnsi="Times New Roman"/>
          <w:sz w:val="28"/>
          <w:szCs w:val="28"/>
        </w:rPr>
        <w:t xml:space="preserve"> consideró que le asiste razón a los accionantes al señalar que el numeral 3 del artículo 6 del decreto es contrario a las garantías derivadas del debido proceso y excede el alcance que la jurisprudencia constitucional le ha otorgado al fuero indígen</w:t>
      </w:r>
      <w:r w:rsidRPr="00D93140">
        <w:rPr>
          <w:rFonts w:ascii="Times New Roman" w:hAnsi="Times New Roman"/>
          <w:sz w:val="28"/>
          <w:szCs w:val="28"/>
        </w:rPr>
        <w:t>a y de la jurisdicción especial indígena.</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Lo anterior, expuso el Procurador General de la Nación porque (i) no hay claridad sobre las infracciones que pueden ser aplicadas a las personas no pertenecientes a las comunidades indígenas; (ii) no es claro el a</w:t>
      </w:r>
      <w:r w:rsidRPr="00D93140">
        <w:rPr>
          <w:rFonts w:ascii="Times New Roman" w:hAnsi="Times New Roman"/>
          <w:sz w:val="28"/>
          <w:szCs w:val="28"/>
        </w:rPr>
        <w:t>lcance de la coordinación de la autoridad indígena con la autoridad ambiental competente para la imposición de sanciones; (iii) no es claro el alcance de la injerencia de las autoridades indígenas en los procesos sancionatorios ambientales, lo que desconoc</w:t>
      </w:r>
      <w:r w:rsidRPr="00D93140">
        <w:rPr>
          <w:rFonts w:ascii="Times New Roman" w:hAnsi="Times New Roman"/>
          <w:sz w:val="28"/>
          <w:szCs w:val="28"/>
        </w:rPr>
        <w:t xml:space="preserve">e las condiciones exigidas para la activación de la jurisdicción especial indígena. </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consecuencia, señaló que debería declararse inexequible la expresión “sanciones y”, contenida en el numeral demandado, con el fin de asegurar que los particulares sean</w:t>
      </w:r>
      <w:r w:rsidRPr="00D93140">
        <w:rPr>
          <w:rFonts w:ascii="Times New Roman" w:hAnsi="Times New Roman"/>
          <w:sz w:val="28"/>
          <w:szCs w:val="28"/>
        </w:rPr>
        <w:t xml:space="preserve"> sancionados únicamente por la autoridad competente de conformidad con las normas legales aplicables. No obstante, consideró ajustado a la Carta Política “mantener la posibilidad de coordinación con la autoridad indígena respecto de las medidas compensator</w:t>
      </w:r>
      <w:r w:rsidRPr="00D93140">
        <w:rPr>
          <w:rFonts w:ascii="Times New Roman" w:hAnsi="Times New Roman"/>
          <w:sz w:val="28"/>
          <w:szCs w:val="28"/>
        </w:rPr>
        <w:t>ias a que haya lugar, en razón a la proximidad de las comunidades indígenas con las consecuencias de los daños ocasionados por el sancionado”</w:t>
      </w:r>
      <w:r w:rsidRPr="00D93140">
        <w:rPr>
          <w:rStyle w:val="Refdenotaalpie"/>
          <w:rFonts w:ascii="Times New Roman" w:hAnsi="Times New Roman"/>
          <w:sz w:val="28"/>
          <w:szCs w:val="28"/>
        </w:rPr>
        <w:footnoteReference w:id="17"/>
      </w:r>
      <w:r w:rsidRPr="00D93140">
        <w:rPr>
          <w:rFonts w:ascii="Times New Roman" w:hAnsi="Times New Roman"/>
          <w:sz w:val="28"/>
          <w:szCs w:val="28"/>
        </w:rPr>
        <w:t>. Esto porque los conocimientos y saberes de las autoridades indígenas pueden contribuir a que efectivamente se di</w:t>
      </w:r>
      <w:r w:rsidRPr="00D93140">
        <w:rPr>
          <w:rFonts w:ascii="Times New Roman" w:hAnsi="Times New Roman"/>
          <w:sz w:val="28"/>
          <w:szCs w:val="28"/>
        </w:rPr>
        <w:t>ctaminen las medidas de reparación requeridas para retrotraer el daño o recuperar las afectaciones sustancialmente.</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val="single"/>
        </w:rPr>
        <w:t>Cargo quinto del Expediente D-16345 por vulneración del artículo 1 de la Constitución Política</w:t>
      </w:r>
      <w:r w:rsidRPr="00D93140">
        <w:rPr>
          <w:rFonts w:ascii="Times New Roman" w:hAnsi="Times New Roman"/>
          <w:sz w:val="28"/>
          <w:szCs w:val="28"/>
        </w:rPr>
        <w:t>. El Ministerio Público coincidió con el dema</w:t>
      </w:r>
      <w:r w:rsidRPr="00D93140">
        <w:rPr>
          <w:rFonts w:ascii="Times New Roman" w:hAnsi="Times New Roman"/>
          <w:sz w:val="28"/>
          <w:szCs w:val="28"/>
        </w:rPr>
        <w:t>ndante por cuanto la definición de interés general contenida en el artículo 2 del decreto cuestionado, tiene la virtualidad de generar conflicto con lo que se ha interpretado como interés general en aquellas circunstancias “en que las cuestiones ambientale</w:t>
      </w:r>
      <w:r w:rsidRPr="00D93140">
        <w:rPr>
          <w:rFonts w:ascii="Times New Roman" w:hAnsi="Times New Roman"/>
          <w:sz w:val="28"/>
          <w:szCs w:val="28"/>
        </w:rPr>
        <w:t>s rebasen el interés de las comunidades locales al punto de adquirir una importancia nacional, situación frente a la cual se justifica la intervención y limitación de la autonomía de las entidades territoriales, tal como fue explicado precedentemente”</w:t>
      </w:r>
      <w:r w:rsidRPr="00D93140">
        <w:rPr>
          <w:rStyle w:val="Refdenotaalpie"/>
          <w:rFonts w:ascii="Times New Roman" w:hAnsi="Times New Roman"/>
          <w:sz w:val="28"/>
          <w:szCs w:val="28"/>
        </w:rPr>
        <w:footnoteReference w:id="18"/>
      </w:r>
      <w:r w:rsidRPr="00D93140">
        <w:rPr>
          <w:rFonts w:ascii="Times New Roman" w:hAnsi="Times New Roman"/>
          <w:sz w:val="28"/>
          <w:szCs w:val="28"/>
        </w:rPr>
        <w:t xml:space="preserve">. </w:t>
      </w:r>
    </w:p>
    <w:p w:rsidR="0080276F" w:rsidRPr="00D93140" w:rsidRDefault="00D93140" w:rsidP="0080276F">
      <w:pPr>
        <w:jc w:val="both"/>
        <w:rPr>
          <w:rFonts w:ascii="Times New Roman" w:hAnsi="Times New Roman"/>
          <w:sz w:val="28"/>
          <w:szCs w:val="28"/>
        </w:rPr>
      </w:pPr>
    </w:p>
    <w:p w:rsidR="0080276F" w:rsidRPr="00D93140" w:rsidRDefault="00D93140" w:rsidP="0080276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Además, en criterio del Ministerio Público, la interpretación sistemática de la norma acusada con el artículo 3, literal j, desconoce también los artículos 41, 287 y 330 superiores, “en la medida que excluyen como límites en el ejercicio de sus facultades </w:t>
      </w:r>
      <w:r w:rsidRPr="00D93140">
        <w:rPr>
          <w:rFonts w:ascii="Times New Roman" w:hAnsi="Times New Roman"/>
          <w:sz w:val="28"/>
          <w:szCs w:val="28"/>
        </w:rPr>
        <w:t>de las autoridades indígenas, las disposiciones de carácter legal que resulten aplicables y respetuosas de su diversidad étnica y cultural, al esta</w:t>
      </w:r>
      <w:r w:rsidRPr="00D93140">
        <w:rPr>
          <w:rFonts w:ascii="Times New Roman" w:hAnsi="Times New Roman"/>
          <w:sz w:val="28"/>
          <w:szCs w:val="28"/>
        </w:rPr>
        <w:t>blecer que solamente se aplicará</w:t>
      </w:r>
      <w:r w:rsidRPr="00D93140">
        <w:rPr>
          <w:rFonts w:ascii="Times New Roman" w:hAnsi="Times New Roman"/>
          <w:sz w:val="28"/>
          <w:szCs w:val="28"/>
        </w:rPr>
        <w:t>n de preferencia (i) los sistemas normativos propios, (ii) la Constitución, y</w:t>
      </w:r>
      <w:r w:rsidRPr="00D93140">
        <w:rPr>
          <w:rFonts w:ascii="Times New Roman" w:hAnsi="Times New Roman"/>
          <w:sz w:val="28"/>
          <w:szCs w:val="28"/>
        </w:rPr>
        <w:t xml:space="preserve"> (iii) las reglas derivadas de la jurisprudencia nacional e internacional”</w:t>
      </w:r>
      <w:r w:rsidRPr="00D93140">
        <w:rPr>
          <w:rStyle w:val="Refdenotaalpie"/>
          <w:rFonts w:ascii="Times New Roman" w:hAnsi="Times New Roman"/>
          <w:sz w:val="28"/>
          <w:szCs w:val="28"/>
        </w:rPr>
        <w:footnoteReference w:id="19"/>
      </w:r>
      <w:r w:rsidRPr="00D93140">
        <w:rPr>
          <w:rFonts w:ascii="Times New Roman" w:hAnsi="Times New Roman"/>
          <w:sz w:val="28"/>
          <w:szCs w:val="28"/>
        </w:rPr>
        <w:t>.  Razón por la que solicitó que se declare la inexequibilidad del precepto acusado por resultar contrario al artículo 1 º de la Constitución Política.</w:t>
      </w:r>
    </w:p>
    <w:p w:rsidR="00D10F23" w:rsidRPr="00D93140" w:rsidRDefault="00D93140" w:rsidP="00E04174">
      <w:pPr>
        <w:jc w:val="both"/>
        <w:rPr>
          <w:rFonts w:ascii="Times New Roman" w:hAnsi="Times New Roman"/>
          <w:sz w:val="28"/>
          <w:szCs w:val="28"/>
        </w:rPr>
      </w:pPr>
    </w:p>
    <w:p w:rsidR="00233DFC" w:rsidRPr="00D93140" w:rsidRDefault="00D93140" w:rsidP="003C3E37">
      <w:pPr>
        <w:pStyle w:val="Ttulo1"/>
        <w:rPr>
          <w:rStyle w:val="Nmerodepgina"/>
          <w:rFonts w:ascii="Times New Roman" w:hAnsi="Times New Roman"/>
          <w:b w:val="0"/>
          <w:bCs/>
          <w:sz w:val="28"/>
          <w:szCs w:val="28"/>
          <w:u w:color="000000"/>
          <w:bdr w:val="nil"/>
        </w:rPr>
      </w:pPr>
      <w:bookmarkStart w:id="11" w:name="_Toc215735429"/>
      <w:r w:rsidRPr="00D93140">
        <w:rPr>
          <w:rStyle w:val="Nmerodepgina"/>
          <w:rFonts w:ascii="Times New Roman" w:hAnsi="Times New Roman"/>
          <w:bCs/>
          <w:sz w:val="28"/>
          <w:szCs w:val="28"/>
          <w:u w:color="000000"/>
          <w:bdr w:val="nil"/>
        </w:rPr>
        <w:t>II. CONSIDERACIONES</w:t>
      </w:r>
      <w:bookmarkEnd w:id="11"/>
    </w:p>
    <w:p w:rsidR="00F678AB" w:rsidRPr="00D93140" w:rsidRDefault="00D93140" w:rsidP="00E04174">
      <w:pPr>
        <w:pStyle w:val="Prrafodelista"/>
        <w:ind w:left="0"/>
        <w:jc w:val="both"/>
        <w:rPr>
          <w:rStyle w:val="Nmerodepgina"/>
          <w:rFonts w:ascii="Times New Roman" w:hAnsi="Times New Roman"/>
          <w:sz w:val="28"/>
          <w:szCs w:val="28"/>
          <w:u w:color="000000"/>
          <w:bdr w:val="nil"/>
        </w:rPr>
      </w:pPr>
    </w:p>
    <w:p w:rsidR="00232827" w:rsidRPr="00D93140" w:rsidRDefault="00D93140" w:rsidP="003C3E37">
      <w:pPr>
        <w:pStyle w:val="Ttulo2"/>
        <w:rPr>
          <w:rFonts w:ascii="Times New Roman" w:hAnsi="Times New Roman"/>
          <w:b/>
          <w:sz w:val="28"/>
          <w:u w:color="000000"/>
          <w:bdr w:val="nil"/>
        </w:rPr>
      </w:pPr>
      <w:bookmarkStart w:id="12" w:name="_Toc215735430"/>
      <w:r w:rsidRPr="00D93140">
        <w:rPr>
          <w:rFonts w:ascii="Times New Roman" w:hAnsi="Times New Roman"/>
          <w:b/>
          <w:sz w:val="28"/>
          <w:u w:color="000000"/>
          <w:bdr w:val="nil"/>
        </w:rPr>
        <w:t xml:space="preserve">A. </w:t>
      </w:r>
      <w:r w:rsidRPr="00D93140">
        <w:rPr>
          <w:rFonts w:ascii="Times New Roman" w:hAnsi="Times New Roman"/>
          <w:b/>
          <w:sz w:val="28"/>
          <w:u w:color="000000"/>
          <w:bdr w:val="nil"/>
        </w:rPr>
        <w:t>Competencia</w:t>
      </w:r>
      <w:bookmarkEnd w:id="12"/>
      <w:r w:rsidRPr="00D93140">
        <w:rPr>
          <w:rFonts w:ascii="Times New Roman" w:hAnsi="Times New Roman"/>
          <w:b/>
          <w:sz w:val="28"/>
          <w:u w:color="000000"/>
          <w:bdr w:val="nil"/>
        </w:rPr>
        <w:t xml:space="preserve"> </w:t>
      </w:r>
    </w:p>
    <w:p w:rsidR="00232827" w:rsidRPr="00D93140" w:rsidRDefault="00D93140" w:rsidP="00E04174">
      <w:pPr>
        <w:jc w:val="both"/>
        <w:rPr>
          <w:rFonts w:ascii="Times New Roman" w:hAnsi="Times New Roman"/>
          <w:sz w:val="28"/>
          <w:szCs w:val="28"/>
          <w:u w:color="000000"/>
          <w:bdr w:val="nil"/>
        </w:rPr>
      </w:pPr>
    </w:p>
    <w:p w:rsidR="00B269D0"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La Corte Constitucional </w:t>
      </w:r>
      <w:r w:rsidRPr="00D93140">
        <w:rPr>
          <w:rFonts w:ascii="Times New Roman" w:hAnsi="Times New Roman"/>
          <w:sz w:val="28"/>
          <w:szCs w:val="28"/>
          <w:shd w:val="clear" w:color="auto" w:fill="FFFFFF"/>
        </w:rPr>
        <w:t>es competente para conocer de las demandas contra el Decreto Ley 1275 de 2024 por tratarse de un decreto que desarrolla una norma constitucional transitoria. De acuerdo con la jurisprudencia de este Tribunal</w:t>
      </w:r>
      <w:r w:rsidRPr="00D93140">
        <w:rPr>
          <w:rStyle w:val="Refdenotaalpie"/>
          <w:rFonts w:ascii="Times New Roman" w:hAnsi="Times New Roman"/>
          <w:sz w:val="28"/>
          <w:szCs w:val="28"/>
          <w:shd w:val="clear" w:color="auto" w:fill="FFFFFF"/>
        </w:rPr>
        <w:footnoteReference w:id="20"/>
      </w:r>
      <w:r w:rsidRPr="00D93140">
        <w:rPr>
          <w:rFonts w:ascii="Times New Roman" w:hAnsi="Times New Roman"/>
          <w:sz w:val="28"/>
          <w:szCs w:val="28"/>
          <w:shd w:val="clear" w:color="auto" w:fill="FFFFFF"/>
        </w:rPr>
        <w:t xml:space="preserve">, el conocimiento de este tipo de normas hace parte de las </w:t>
      </w:r>
      <w:r w:rsidRPr="00D93140">
        <w:rPr>
          <w:rFonts w:ascii="Times New Roman" w:hAnsi="Times New Roman"/>
          <w:i/>
          <w:iCs/>
          <w:sz w:val="28"/>
          <w:szCs w:val="28"/>
          <w:shd w:val="clear" w:color="auto" w:fill="FFFFFF"/>
        </w:rPr>
        <w:t xml:space="preserve">competencias atípicas </w:t>
      </w:r>
      <w:r w:rsidRPr="00D93140">
        <w:rPr>
          <w:rFonts w:ascii="Times New Roman" w:hAnsi="Times New Roman"/>
          <w:sz w:val="28"/>
          <w:szCs w:val="28"/>
          <w:shd w:val="clear" w:color="auto" w:fill="FFFFFF"/>
        </w:rPr>
        <w:t>ya que,</w:t>
      </w:r>
      <w:r w:rsidRPr="00D93140">
        <w:rPr>
          <w:rFonts w:ascii="Times New Roman" w:hAnsi="Times New Roman"/>
          <w:sz w:val="28"/>
          <w:szCs w:val="28"/>
          <w:shd w:val="clear" w:color="auto" w:fill="FFFFFF"/>
        </w:rPr>
        <w:t xml:space="preserve"> si bien no está definida en el artículo 241 de la Carta Política, se trata de instrumentos dictados por el Presidente de la República con el fin de materializar princi</w:t>
      </w:r>
      <w:r w:rsidRPr="00D93140">
        <w:rPr>
          <w:rFonts w:ascii="Times New Roman" w:hAnsi="Times New Roman"/>
          <w:sz w:val="28"/>
          <w:szCs w:val="28"/>
          <w:shd w:val="clear" w:color="auto" w:fill="FFFFFF"/>
        </w:rPr>
        <w:t>pios constitucionales, sin que se haya dado previamente un desarrollo legislativo</w:t>
      </w:r>
      <w:r w:rsidRPr="00D93140">
        <w:rPr>
          <w:rFonts w:ascii="Times New Roman" w:hAnsi="Times New Roman"/>
          <w:sz w:val="28"/>
          <w:szCs w:val="28"/>
          <w:shd w:val="clear" w:color="auto" w:fill="FFFFFF"/>
        </w:rPr>
        <w:t>.</w:t>
      </w:r>
    </w:p>
    <w:p w:rsidR="00B269D0" w:rsidRPr="00D93140" w:rsidRDefault="00D93140" w:rsidP="00E04174">
      <w:pPr>
        <w:pStyle w:val="Prrafodelista"/>
        <w:ind w:left="0"/>
        <w:jc w:val="both"/>
        <w:rPr>
          <w:rFonts w:ascii="Times New Roman" w:hAnsi="Times New Roman"/>
          <w:sz w:val="28"/>
          <w:szCs w:val="28"/>
          <w:u w:color="000000"/>
          <w:bdr w:val="nil"/>
        </w:rPr>
      </w:pPr>
    </w:p>
    <w:p w:rsidR="00B269D0"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E</w:t>
      </w:r>
      <w:r w:rsidRPr="00D93140">
        <w:rPr>
          <w:rFonts w:ascii="Times New Roman" w:hAnsi="Times New Roman"/>
          <w:sz w:val="28"/>
          <w:szCs w:val="28"/>
          <w:u w:color="000000"/>
          <w:bdr w:val="nil"/>
        </w:rPr>
        <w:t>n estos términos, e</w:t>
      </w:r>
      <w:r w:rsidRPr="00D93140">
        <w:rPr>
          <w:rFonts w:ascii="Times New Roman" w:hAnsi="Times New Roman"/>
          <w:sz w:val="28"/>
          <w:szCs w:val="28"/>
          <w:u w:color="000000"/>
          <w:bdr w:val="nil"/>
        </w:rPr>
        <w:t>l Decreto 1</w:t>
      </w:r>
      <w:r w:rsidRPr="00D93140">
        <w:rPr>
          <w:rFonts w:ascii="Times New Roman" w:hAnsi="Times New Roman"/>
          <w:sz w:val="28"/>
          <w:szCs w:val="28"/>
          <w:u w:color="000000"/>
          <w:bdr w:val="nil"/>
        </w:rPr>
        <w:t>275</w:t>
      </w:r>
      <w:r w:rsidRPr="00D93140">
        <w:rPr>
          <w:rFonts w:ascii="Times New Roman" w:hAnsi="Times New Roman"/>
          <w:sz w:val="28"/>
          <w:szCs w:val="28"/>
          <w:u w:color="000000"/>
          <w:bdr w:val="nil"/>
        </w:rPr>
        <w:t xml:space="preserve"> de 20</w:t>
      </w:r>
      <w:r w:rsidRPr="00D93140">
        <w:rPr>
          <w:rFonts w:ascii="Times New Roman" w:hAnsi="Times New Roman"/>
          <w:sz w:val="28"/>
          <w:szCs w:val="28"/>
          <w:u w:color="000000"/>
          <w:bdr w:val="nil"/>
        </w:rPr>
        <w:t>2</w:t>
      </w:r>
      <w:r w:rsidRPr="00D93140">
        <w:rPr>
          <w:rFonts w:ascii="Times New Roman" w:hAnsi="Times New Roman"/>
          <w:sz w:val="28"/>
          <w:szCs w:val="28"/>
          <w:u w:color="000000"/>
          <w:bdr w:val="nil"/>
        </w:rPr>
        <w:t>4 fue expedido</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con fundamento en las atribuciones conferidas por el artículo 56 transitorio de la Constitución y tiene por objeto </w:t>
      </w:r>
      <w:r w:rsidRPr="00D93140">
        <w:rPr>
          <w:rFonts w:ascii="Times New Roman" w:hAnsi="Times New Roman"/>
          <w:sz w:val="28"/>
          <w:szCs w:val="28"/>
          <w:u w:color="000000"/>
          <w:bdr w:val="nil"/>
        </w:rPr>
        <w:t>establecer las normas requeridas para el funcionamiento de los territorios indígenas en materia ambiental y el desarrollo de las competencias ambientales de las autoridades indígenas y su coordinación efectiva con las demás autoridades y/o entidades</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Por l</w:t>
      </w:r>
      <w:r w:rsidRPr="00D93140">
        <w:rPr>
          <w:rFonts w:ascii="Times New Roman" w:hAnsi="Times New Roman"/>
          <w:sz w:val="28"/>
          <w:szCs w:val="28"/>
          <w:u w:color="000000"/>
          <w:bdr w:val="nil"/>
        </w:rPr>
        <w:t xml:space="preserve">o tanto, </w:t>
      </w:r>
      <w:r w:rsidRPr="00D93140">
        <w:rPr>
          <w:rFonts w:ascii="Times New Roman" w:hAnsi="Times New Roman"/>
          <w:sz w:val="28"/>
          <w:szCs w:val="28"/>
          <w:u w:color="000000"/>
          <w:bdr w:val="nil"/>
        </w:rPr>
        <w:t>la Corte es competente para pronunciarse sobre la constitucionalidad del Decreto 1275 de 2024.</w:t>
      </w:r>
    </w:p>
    <w:p w:rsidR="00C01F71" w:rsidRPr="00D93140" w:rsidRDefault="00D93140" w:rsidP="00E04174">
      <w:pPr>
        <w:pStyle w:val="Prrafodelista"/>
        <w:ind w:left="0"/>
        <w:jc w:val="both"/>
        <w:rPr>
          <w:rFonts w:ascii="Times New Roman" w:hAnsi="Times New Roman"/>
          <w:sz w:val="28"/>
          <w:szCs w:val="28"/>
          <w:u w:color="000000"/>
          <w:bdr w:val="nil"/>
        </w:rPr>
      </w:pPr>
    </w:p>
    <w:p w:rsidR="00C01F71" w:rsidRPr="00D93140" w:rsidRDefault="00D93140" w:rsidP="001C7D85">
      <w:pPr>
        <w:pStyle w:val="Ttulo2"/>
        <w:rPr>
          <w:rFonts w:ascii="Times New Roman" w:hAnsi="Times New Roman"/>
          <w:b/>
          <w:sz w:val="28"/>
        </w:rPr>
      </w:pPr>
      <w:bookmarkStart w:id="13" w:name="_Toc215735431"/>
      <w:r w:rsidRPr="00D93140">
        <w:rPr>
          <w:rFonts w:ascii="Times New Roman" w:hAnsi="Times New Roman"/>
          <w:b/>
          <w:sz w:val="28"/>
        </w:rPr>
        <w:t>B</w:t>
      </w:r>
      <w:r w:rsidRPr="00D93140">
        <w:rPr>
          <w:rFonts w:ascii="Times New Roman" w:hAnsi="Times New Roman"/>
          <w:b/>
          <w:sz w:val="28"/>
        </w:rPr>
        <w:t>. Solicitud de la audiencia pública</w:t>
      </w:r>
      <w:bookmarkEnd w:id="13"/>
    </w:p>
    <w:p w:rsidR="00C01F71" w:rsidRPr="00D93140" w:rsidRDefault="00D93140" w:rsidP="00E04174">
      <w:pPr>
        <w:shd w:val="clear" w:color="auto" w:fill="FFFFFF"/>
        <w:ind w:right="-232"/>
        <w:jc w:val="both"/>
        <w:textAlignment w:val="baseline"/>
        <w:rPr>
          <w:rFonts w:ascii="Times New Roman" w:hAnsi="Times New Roman"/>
          <w:sz w:val="28"/>
          <w:szCs w:val="28"/>
        </w:rPr>
      </w:pPr>
      <w:r w:rsidRPr="00D93140">
        <w:rPr>
          <w:rFonts w:ascii="Times New Roman" w:hAnsi="Times New Roman"/>
          <w:b/>
          <w:bCs/>
          <w:sz w:val="28"/>
          <w:szCs w:val="28"/>
        </w:rPr>
        <w:t> </w:t>
      </w:r>
    </w:p>
    <w:p w:rsidR="00D30041"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La </w:t>
      </w:r>
      <w:r w:rsidRPr="00D93140">
        <w:rPr>
          <w:rFonts w:ascii="Times New Roman" w:hAnsi="Times New Roman"/>
          <w:sz w:val="28"/>
          <w:szCs w:val="28"/>
          <w:u w:color="000000"/>
          <w:bdr w:val="nil"/>
        </w:rPr>
        <w:t>Asociación</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lang w:val="es-ES"/>
        </w:rPr>
        <w:t xml:space="preserve">Nacional de Empresarios de Colombia – ANDI, solicitó la realización de una audiencia pública por </w:t>
      </w:r>
      <w:r w:rsidRPr="00D93140">
        <w:rPr>
          <w:rFonts w:ascii="Times New Roman" w:hAnsi="Times New Roman"/>
          <w:sz w:val="28"/>
          <w:szCs w:val="28"/>
          <w:u w:color="000000"/>
          <w:bdr w:val="nil"/>
          <w:lang w:val="es-ES"/>
        </w:rPr>
        <w:t>considerar que el asunto “</w:t>
      </w:r>
      <w:r w:rsidRPr="00D93140">
        <w:rPr>
          <w:rFonts w:ascii="Times New Roman" w:hAnsi="Times New Roman"/>
          <w:sz w:val="28"/>
          <w:szCs w:val="28"/>
          <w:u w:color="000000"/>
          <w:bdr w:val="nil"/>
        </w:rPr>
        <w:t>reviste especial trascendencia para el interés general, en tanto la norma demandada incide directamente en la gobernanza de las autoridades ambientales y actores que se relacionan con el desarrollo y la gestión del medio ambiente”</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Además, consideró que el Decreto “no permite evidenciar procesos y elementos procesales claros para la toma de decisiones sobre cuestiones ambientales que requieran coordinación, concurrencia y subsidiariedad de otras autoridades del SINAB. En ese sentid</w:t>
      </w:r>
      <w:r w:rsidRPr="00D93140">
        <w:rPr>
          <w:rFonts w:ascii="Times New Roman" w:hAnsi="Times New Roman"/>
          <w:sz w:val="28"/>
          <w:szCs w:val="28"/>
          <w:u w:color="000000"/>
          <w:bdr w:val="nil"/>
        </w:rPr>
        <w:t>o, la audiencia pública evidenciará elementos que permitan la mejor comprensión de las consecuencias normativas y fácticas producidas o derivadas del Decreto 1275 de 2024”.</w:t>
      </w:r>
    </w:p>
    <w:p w:rsidR="00D30041" w:rsidRPr="00D93140" w:rsidRDefault="00D93140" w:rsidP="00E04174">
      <w:pPr>
        <w:pStyle w:val="Prrafodelista"/>
        <w:ind w:left="0"/>
        <w:jc w:val="both"/>
        <w:rPr>
          <w:rFonts w:ascii="Times New Roman" w:hAnsi="Times New Roman"/>
          <w:sz w:val="28"/>
          <w:szCs w:val="28"/>
          <w:u w:color="000000"/>
          <w:bdr w:val="nil"/>
        </w:rPr>
      </w:pPr>
    </w:p>
    <w:p w:rsidR="00C01F71"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De acuerdo con lo establecido en el artículo 12 del Decreto 2067 de 1991 y luego d</w:t>
      </w:r>
      <w:r w:rsidRPr="00D93140">
        <w:rPr>
          <w:rFonts w:ascii="Times New Roman" w:hAnsi="Times New Roman"/>
          <w:sz w:val="28"/>
          <w:szCs w:val="28"/>
          <w:u w:color="000000"/>
          <w:bdr w:val="nil"/>
        </w:rPr>
        <w:t xml:space="preserve">e analizada dicha solicitud, </w:t>
      </w:r>
      <w:r w:rsidRPr="00D93140">
        <w:rPr>
          <w:rFonts w:ascii="Times New Roman" w:hAnsi="Times New Roman"/>
          <w:sz w:val="28"/>
          <w:szCs w:val="28"/>
          <w:u w:color="000000"/>
          <w:bdr w:val="nil"/>
        </w:rPr>
        <w:t xml:space="preserve">el magistrado </w:t>
      </w:r>
      <w:r w:rsidRPr="00D93140">
        <w:rPr>
          <w:rFonts w:ascii="Times New Roman" w:hAnsi="Times New Roman"/>
          <w:sz w:val="28"/>
          <w:szCs w:val="28"/>
          <w:u w:color="000000"/>
          <w:bdr w:val="nil"/>
        </w:rPr>
        <w:t>mediante auto de fecha 15 de octubre 2025 consideró que las intervenciones y conceptos otorgaban razones suficientes a la Corte tanto a favor como en contra de la exequibilidad del decreto. Por este motivo, estimó</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que no era necesaria su realización</w:t>
      </w:r>
      <w:r w:rsidRPr="00D93140">
        <w:rPr>
          <w:rFonts w:ascii="Times New Roman" w:hAnsi="Times New Roman"/>
          <w:sz w:val="28"/>
          <w:szCs w:val="28"/>
          <w:u w:color="000000"/>
          <w:bdr w:val="nil"/>
        </w:rPr>
        <w:t>.</w:t>
      </w:r>
    </w:p>
    <w:p w:rsidR="00C01F71" w:rsidRPr="00D93140" w:rsidRDefault="00D93140" w:rsidP="00E04174">
      <w:pPr>
        <w:pStyle w:val="Prrafodelista"/>
        <w:ind w:left="0"/>
        <w:jc w:val="both"/>
        <w:rPr>
          <w:rFonts w:ascii="Times New Roman" w:hAnsi="Times New Roman"/>
          <w:sz w:val="28"/>
          <w:szCs w:val="28"/>
          <w:u w:color="000000"/>
          <w:bdr w:val="nil"/>
        </w:rPr>
      </w:pPr>
    </w:p>
    <w:p w:rsidR="00AB3E27" w:rsidRPr="00D93140" w:rsidRDefault="00D93140" w:rsidP="001C7D85">
      <w:pPr>
        <w:pStyle w:val="Ttulo2"/>
        <w:rPr>
          <w:rFonts w:ascii="Times New Roman" w:hAnsi="Times New Roman"/>
          <w:b/>
          <w:sz w:val="28"/>
          <w:u w:color="000000"/>
          <w:bdr w:val="nil"/>
        </w:rPr>
      </w:pPr>
      <w:bookmarkStart w:id="14" w:name="_Toc215735432"/>
      <w:r w:rsidRPr="00D93140">
        <w:rPr>
          <w:rFonts w:ascii="Times New Roman" w:hAnsi="Times New Roman"/>
          <w:b/>
          <w:sz w:val="28"/>
          <w:u w:color="000000"/>
          <w:bdr w:val="nil"/>
        </w:rPr>
        <w:t>C. C</w:t>
      </w:r>
      <w:r w:rsidRPr="00D93140">
        <w:rPr>
          <w:rFonts w:ascii="Times New Roman" w:hAnsi="Times New Roman"/>
          <w:b/>
          <w:sz w:val="28"/>
          <w:u w:color="000000"/>
          <w:bdr w:val="nil"/>
        </w:rPr>
        <w:t>uestión previa: aptitud de la demanda</w:t>
      </w:r>
      <w:bookmarkEnd w:id="14"/>
    </w:p>
    <w:p w:rsidR="00AB3E27" w:rsidRPr="00D93140" w:rsidRDefault="00D93140" w:rsidP="00E04174">
      <w:pPr>
        <w:jc w:val="both"/>
        <w:rPr>
          <w:rFonts w:ascii="Times New Roman" w:hAnsi="Times New Roman"/>
          <w:sz w:val="28"/>
          <w:szCs w:val="28"/>
          <w:u w:color="000000"/>
          <w:bdr w:val="nil"/>
        </w:rPr>
      </w:pPr>
    </w:p>
    <w:p w:rsidR="00EA15F8"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lang w:val="es-ES_tradnl"/>
        </w:rPr>
        <w:t>La jurisprudencia constitucional</w:t>
      </w:r>
      <w:r w:rsidRPr="00D93140">
        <w:rPr>
          <w:rFonts w:ascii="Times New Roman" w:hAnsi="Times New Roman"/>
          <w:sz w:val="28"/>
          <w:szCs w:val="28"/>
          <w:u w:color="000000"/>
          <w:bdr w:val="nil"/>
          <w:vertAlign w:val="superscript"/>
          <w:lang w:val="es-ES_tradnl"/>
        </w:rPr>
        <w:footnoteReference w:id="21"/>
      </w:r>
      <w:r w:rsidRPr="00D93140">
        <w:rPr>
          <w:rFonts w:ascii="Times New Roman" w:hAnsi="Times New Roman"/>
          <w:sz w:val="28"/>
          <w:szCs w:val="28"/>
          <w:u w:color="000000"/>
          <w:bdr w:val="nil"/>
          <w:lang w:val="es-ES_tradnl"/>
        </w:rPr>
        <w:t xml:space="preserve"> ha sido pacífica al establecer que la Sala Plena puede realizar un nuevo examen de aptitud de los cargos, sin perjuicio de la evaluación adelantada prima facie por el magistrado sustanciador en el auto admisorio de la demanda, antes de analizar el fondo d</w:t>
      </w:r>
      <w:r w:rsidRPr="00D93140">
        <w:rPr>
          <w:rFonts w:ascii="Times New Roman" w:hAnsi="Times New Roman"/>
          <w:sz w:val="28"/>
          <w:szCs w:val="28"/>
          <w:u w:color="000000"/>
          <w:bdr w:val="nil"/>
          <w:lang w:val="es-ES_tradnl"/>
        </w:rPr>
        <w:t>el asun</w:t>
      </w:r>
      <w:r w:rsidRPr="00D93140">
        <w:rPr>
          <w:rFonts w:ascii="Times New Roman" w:hAnsi="Times New Roman"/>
          <w:sz w:val="28"/>
          <w:szCs w:val="28"/>
          <w:u w:color="000000"/>
          <w:bdr w:val="nil"/>
          <w:lang w:val="es-ES_tradnl"/>
        </w:rPr>
        <w:t xml:space="preserve">to propuesto.  Esto, porque durante el trámite seguido ante la Corte </w:t>
      </w:r>
      <w:r w:rsidRPr="00D93140">
        <w:rPr>
          <w:rFonts w:ascii="Times New Roman" w:hAnsi="Times New Roman"/>
          <w:sz w:val="28"/>
          <w:szCs w:val="28"/>
          <w:u w:color="000000"/>
          <w:bdr w:val="nil"/>
          <w:lang w:val="es-ES_tradnl"/>
        </w:rPr>
        <w:t>es posible tener una apreciación más comple</w:t>
      </w:r>
      <w:r w:rsidRPr="00D93140">
        <w:rPr>
          <w:rFonts w:ascii="Times New Roman" w:hAnsi="Times New Roman"/>
          <w:sz w:val="28"/>
          <w:szCs w:val="28"/>
          <w:u w:color="000000"/>
          <w:bdr w:val="nil"/>
          <w:lang w:val="es-ES_tradnl"/>
        </w:rPr>
        <w:t>ta</w:t>
      </w:r>
      <w:r w:rsidRPr="00D93140">
        <w:rPr>
          <w:rFonts w:ascii="Times New Roman" w:hAnsi="Times New Roman"/>
          <w:sz w:val="28"/>
          <w:szCs w:val="28"/>
          <w:u w:color="000000"/>
          <w:bdr w:val="nil"/>
          <w:lang w:val="es-ES_tradnl"/>
        </w:rPr>
        <w:t xml:space="preserve"> de la controversia planteada por el accionante, c</w:t>
      </w:r>
      <w:r w:rsidRPr="00D93140">
        <w:rPr>
          <w:rFonts w:ascii="Times New Roman" w:hAnsi="Times New Roman"/>
          <w:sz w:val="28"/>
          <w:szCs w:val="28"/>
          <w:u w:color="000000"/>
          <w:bdr w:val="nil"/>
          <w:lang w:val="es-ES_tradnl"/>
        </w:rPr>
        <w:t xml:space="preserve">omo consecuencia de las pruebas recaudadas o de las intervenciones y </w:t>
      </w:r>
      <w:r w:rsidRPr="00D93140">
        <w:rPr>
          <w:rFonts w:ascii="Times New Roman" w:hAnsi="Times New Roman"/>
          <w:sz w:val="28"/>
          <w:szCs w:val="28"/>
          <w:u w:color="000000"/>
          <w:bdr w:val="nil"/>
          <w:lang w:val="es-ES_tradnl"/>
        </w:rPr>
        <w:t xml:space="preserve">del </w:t>
      </w:r>
      <w:r w:rsidRPr="00D93140">
        <w:rPr>
          <w:rFonts w:ascii="Times New Roman" w:hAnsi="Times New Roman"/>
          <w:sz w:val="28"/>
          <w:szCs w:val="28"/>
          <w:u w:color="000000"/>
          <w:bdr w:val="nil"/>
          <w:lang w:val="es-ES_tradnl"/>
        </w:rPr>
        <w:t xml:space="preserve">concepto del Ministerio Público. Por lo tanto, </w:t>
      </w:r>
      <w:r w:rsidRPr="00D93140">
        <w:rPr>
          <w:rFonts w:ascii="Times New Roman" w:hAnsi="Times New Roman"/>
          <w:sz w:val="28"/>
          <w:szCs w:val="28"/>
          <w:u w:color="000000"/>
          <w:bdr w:val="nil"/>
        </w:rPr>
        <w:t>la decisión adoptada en el auto admisorio o incluso, en el de súplica, no ata a la Sala Plena al momento de pronunciarse concluyentemente sobre un asunto, siempre y cuando se presente una suficiente argumentac</w:t>
      </w:r>
      <w:r w:rsidRPr="00D93140">
        <w:rPr>
          <w:rFonts w:ascii="Times New Roman" w:hAnsi="Times New Roman"/>
          <w:sz w:val="28"/>
          <w:szCs w:val="28"/>
          <w:u w:color="000000"/>
          <w:bdr w:val="nil"/>
        </w:rPr>
        <w:t>ión al respecto.</w:t>
      </w:r>
    </w:p>
    <w:p w:rsidR="00AB0F5E" w:rsidRPr="00D93140" w:rsidRDefault="00D93140" w:rsidP="00E04174">
      <w:pPr>
        <w:pStyle w:val="Prrafodelista"/>
        <w:ind w:left="0"/>
        <w:jc w:val="both"/>
        <w:rPr>
          <w:rFonts w:ascii="Times New Roman" w:hAnsi="Times New Roman"/>
          <w:sz w:val="28"/>
          <w:szCs w:val="28"/>
          <w:u w:color="000000"/>
          <w:bdr w:val="nil"/>
        </w:rPr>
      </w:pPr>
    </w:p>
    <w:p w:rsidR="001A097A"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rPr>
        <w:t>En este caso, teniendo en cuenta los reparos presentados por algunos de los intervinientes</w:t>
      </w:r>
      <w:r w:rsidRPr="00D93140">
        <w:rPr>
          <w:rStyle w:val="Refdenotaalpie"/>
          <w:rFonts w:ascii="Times New Roman" w:hAnsi="Times New Roman"/>
          <w:sz w:val="28"/>
          <w:szCs w:val="28"/>
        </w:rPr>
        <w:footnoteReference w:id="22"/>
      </w:r>
      <w:r w:rsidRPr="00D93140">
        <w:rPr>
          <w:rFonts w:ascii="Times New Roman" w:hAnsi="Times New Roman"/>
          <w:sz w:val="28"/>
          <w:szCs w:val="28"/>
        </w:rPr>
        <w:t xml:space="preserve"> respecto de la falta de aptitud de las demandas, la Sala Plena estima necesario evaluar de nuevo la aptitud sustantiva de cada uno de los cargos p</w:t>
      </w:r>
      <w:r w:rsidRPr="00D93140">
        <w:rPr>
          <w:rFonts w:ascii="Times New Roman" w:hAnsi="Times New Roman"/>
          <w:sz w:val="28"/>
          <w:szCs w:val="28"/>
        </w:rPr>
        <w:t>lanteados</w:t>
      </w:r>
      <w:r w:rsidRPr="00D93140">
        <w:rPr>
          <w:rStyle w:val="Refdenotaalpie"/>
          <w:rFonts w:ascii="Times New Roman" w:hAnsi="Times New Roman"/>
          <w:sz w:val="28"/>
          <w:szCs w:val="28"/>
        </w:rPr>
        <w:footnoteReference w:id="23"/>
      </w:r>
      <w:r w:rsidRPr="00D93140">
        <w:rPr>
          <w:rFonts w:ascii="Times New Roman" w:hAnsi="Times New Roman"/>
          <w:sz w:val="28"/>
          <w:szCs w:val="28"/>
        </w:rPr>
        <w:t xml:space="preserve"> </w:t>
      </w:r>
      <w:r w:rsidRPr="00D93140">
        <w:rPr>
          <w:rFonts w:ascii="Times New Roman" w:hAnsi="Times New Roman"/>
          <w:sz w:val="28"/>
          <w:szCs w:val="28"/>
        </w:rPr>
        <w:t xml:space="preserve">y establecer si es pertinente emitir </w:t>
      </w:r>
      <w:r w:rsidRPr="00D93140">
        <w:rPr>
          <w:rFonts w:ascii="Times New Roman" w:hAnsi="Times New Roman"/>
          <w:sz w:val="28"/>
          <w:szCs w:val="28"/>
        </w:rPr>
        <w:t xml:space="preserve">un fallo inhibitorio </w:t>
      </w:r>
      <w:r w:rsidRPr="00D93140">
        <w:rPr>
          <w:rFonts w:ascii="Times New Roman" w:hAnsi="Times New Roman"/>
          <w:sz w:val="28"/>
          <w:szCs w:val="28"/>
        </w:rPr>
        <w:t>o un pronunciamiento de fondo</w:t>
      </w:r>
      <w:r w:rsidRPr="00D93140">
        <w:rPr>
          <w:rFonts w:ascii="Times New Roman" w:hAnsi="Times New Roman"/>
          <w:sz w:val="28"/>
          <w:szCs w:val="28"/>
        </w:rPr>
        <w:t>, de conformidad con lo</w:t>
      </w:r>
      <w:r w:rsidRPr="00D93140">
        <w:rPr>
          <w:rFonts w:ascii="Times New Roman" w:hAnsi="Times New Roman"/>
          <w:sz w:val="28"/>
          <w:szCs w:val="28"/>
        </w:rPr>
        <w:t>s requisitos exigidos por esta c</w:t>
      </w:r>
      <w:r w:rsidRPr="00D93140">
        <w:rPr>
          <w:rFonts w:ascii="Times New Roman" w:hAnsi="Times New Roman"/>
          <w:sz w:val="28"/>
          <w:szCs w:val="28"/>
        </w:rPr>
        <w:t>orporación para tal fin</w:t>
      </w:r>
      <w:r w:rsidRPr="00D93140">
        <w:rPr>
          <w:rFonts w:ascii="Times New Roman" w:hAnsi="Times New Roman"/>
          <w:sz w:val="28"/>
          <w:szCs w:val="28"/>
        </w:rPr>
        <w:t xml:space="preserve">. </w:t>
      </w:r>
    </w:p>
    <w:p w:rsidR="001A097A" w:rsidRPr="00D93140" w:rsidRDefault="00D93140" w:rsidP="00E04174">
      <w:pPr>
        <w:pStyle w:val="Prrafodelista"/>
        <w:ind w:left="0"/>
        <w:jc w:val="both"/>
        <w:rPr>
          <w:rFonts w:ascii="Times New Roman" w:hAnsi="Times New Roman"/>
          <w:sz w:val="28"/>
          <w:szCs w:val="28"/>
          <w:u w:color="000000"/>
          <w:bdr w:val="nil"/>
        </w:rPr>
      </w:pPr>
    </w:p>
    <w:p w:rsidR="00AB0F5E"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i/>
          <w:iCs/>
          <w:sz w:val="28"/>
          <w:szCs w:val="28"/>
          <w:lang w:val="es-ES"/>
        </w:rPr>
        <w:t xml:space="preserve">Aptitud parcial de la demanda. </w:t>
      </w:r>
      <w:r w:rsidRPr="00D93140">
        <w:rPr>
          <w:rFonts w:ascii="Times New Roman" w:hAnsi="Times New Roman"/>
          <w:sz w:val="28"/>
          <w:szCs w:val="28"/>
          <w:lang w:val="es-ES"/>
        </w:rPr>
        <w:t xml:space="preserve">En </w:t>
      </w:r>
      <w:r w:rsidRPr="00D93140">
        <w:rPr>
          <w:rFonts w:ascii="Times New Roman" w:hAnsi="Times New Roman"/>
          <w:sz w:val="28"/>
          <w:szCs w:val="28"/>
          <w:lang w:val="es-ES"/>
        </w:rPr>
        <w:t xml:space="preserve">términos </w:t>
      </w:r>
      <w:r w:rsidRPr="00D93140">
        <w:rPr>
          <w:rFonts w:ascii="Times New Roman" w:hAnsi="Times New Roman"/>
          <w:sz w:val="28"/>
          <w:szCs w:val="28"/>
          <w:lang w:val="es-ES"/>
        </w:rPr>
        <w:t>general</w:t>
      </w:r>
      <w:r w:rsidRPr="00D93140">
        <w:rPr>
          <w:rFonts w:ascii="Times New Roman" w:hAnsi="Times New Roman"/>
          <w:sz w:val="28"/>
          <w:szCs w:val="28"/>
          <w:lang w:val="es-ES"/>
        </w:rPr>
        <w:t>es</w:t>
      </w:r>
      <w:r w:rsidRPr="00D93140">
        <w:rPr>
          <w:rFonts w:ascii="Times New Roman" w:hAnsi="Times New Roman"/>
          <w:sz w:val="28"/>
          <w:szCs w:val="28"/>
          <w:lang w:val="es-ES"/>
        </w:rPr>
        <w:t xml:space="preserve">, </w:t>
      </w:r>
      <w:r w:rsidRPr="00D93140">
        <w:rPr>
          <w:rFonts w:ascii="Times New Roman" w:hAnsi="Times New Roman"/>
          <w:sz w:val="28"/>
          <w:szCs w:val="28"/>
        </w:rPr>
        <w:t>la Corte encuentra que</w:t>
      </w:r>
      <w:r w:rsidRPr="00D93140">
        <w:rPr>
          <w:rFonts w:ascii="Times New Roman" w:hAnsi="Times New Roman"/>
          <w:sz w:val="28"/>
          <w:szCs w:val="28"/>
        </w:rPr>
        <w:t xml:space="preserve"> la</w:t>
      </w:r>
      <w:r w:rsidRPr="00D93140">
        <w:rPr>
          <w:rFonts w:ascii="Times New Roman" w:hAnsi="Times New Roman"/>
          <w:sz w:val="28"/>
          <w:szCs w:val="28"/>
        </w:rPr>
        <w:t>s</w:t>
      </w:r>
      <w:r w:rsidRPr="00D93140">
        <w:rPr>
          <w:rFonts w:ascii="Times New Roman" w:hAnsi="Times New Roman"/>
          <w:sz w:val="28"/>
          <w:szCs w:val="28"/>
        </w:rPr>
        <w:t xml:space="preserve"> demanda</w:t>
      </w:r>
      <w:r w:rsidRPr="00D93140">
        <w:rPr>
          <w:rFonts w:ascii="Times New Roman" w:hAnsi="Times New Roman"/>
          <w:sz w:val="28"/>
          <w:szCs w:val="28"/>
        </w:rPr>
        <w:t>s</w:t>
      </w:r>
      <w:r w:rsidRPr="00D93140">
        <w:rPr>
          <w:rFonts w:ascii="Times New Roman" w:hAnsi="Times New Roman"/>
          <w:sz w:val="28"/>
          <w:szCs w:val="28"/>
        </w:rPr>
        <w:t xml:space="preserve"> cumple</w:t>
      </w:r>
      <w:r w:rsidRPr="00D93140">
        <w:rPr>
          <w:rFonts w:ascii="Times New Roman" w:hAnsi="Times New Roman"/>
          <w:sz w:val="28"/>
          <w:szCs w:val="28"/>
        </w:rPr>
        <w:t>n</w:t>
      </w:r>
      <w:r w:rsidRPr="00D93140">
        <w:rPr>
          <w:rFonts w:ascii="Times New Roman" w:hAnsi="Times New Roman"/>
          <w:sz w:val="28"/>
          <w:szCs w:val="28"/>
        </w:rPr>
        <w:t xml:space="preserve"> las cargas formales y los requisitos exigidos para un pronunciamiento de fondo —como se indicó desde </w:t>
      </w:r>
      <w:r w:rsidRPr="00D93140">
        <w:rPr>
          <w:rFonts w:ascii="Times New Roman" w:hAnsi="Times New Roman"/>
          <w:sz w:val="28"/>
          <w:szCs w:val="28"/>
        </w:rPr>
        <w:t xml:space="preserve">los </w:t>
      </w:r>
      <w:r w:rsidRPr="00D93140">
        <w:rPr>
          <w:rFonts w:ascii="Times New Roman" w:hAnsi="Times New Roman"/>
          <w:sz w:val="28"/>
          <w:szCs w:val="28"/>
        </w:rPr>
        <w:t>auto</w:t>
      </w:r>
      <w:r w:rsidRPr="00D93140">
        <w:rPr>
          <w:rFonts w:ascii="Times New Roman" w:hAnsi="Times New Roman"/>
          <w:sz w:val="28"/>
          <w:szCs w:val="28"/>
        </w:rPr>
        <w:t>s</w:t>
      </w:r>
      <w:r w:rsidRPr="00D93140">
        <w:rPr>
          <w:rFonts w:ascii="Times New Roman" w:hAnsi="Times New Roman"/>
          <w:sz w:val="28"/>
          <w:szCs w:val="28"/>
        </w:rPr>
        <w:t xml:space="preserve"> admisorio</w:t>
      </w:r>
      <w:r w:rsidRPr="00D93140">
        <w:rPr>
          <w:rFonts w:ascii="Times New Roman" w:hAnsi="Times New Roman"/>
          <w:sz w:val="28"/>
          <w:szCs w:val="28"/>
        </w:rPr>
        <w:t>s</w:t>
      </w:r>
      <w:r w:rsidRPr="00D93140">
        <w:rPr>
          <w:rFonts w:ascii="Times New Roman" w:hAnsi="Times New Roman"/>
          <w:sz w:val="28"/>
          <w:szCs w:val="28"/>
        </w:rPr>
        <w:t xml:space="preserve">—, pues </w:t>
      </w:r>
      <w:r w:rsidRPr="00D93140">
        <w:rPr>
          <w:rFonts w:ascii="Times New Roman" w:hAnsi="Times New Roman"/>
          <w:sz w:val="28"/>
          <w:szCs w:val="28"/>
        </w:rPr>
        <w:t>los demandantes presentan argumentos</w:t>
      </w:r>
      <w:r w:rsidRPr="00D93140">
        <w:rPr>
          <w:rFonts w:ascii="Times New Roman" w:hAnsi="Times New Roman"/>
          <w:sz w:val="28"/>
          <w:szCs w:val="28"/>
        </w:rPr>
        <w:t xml:space="preserve"> que cumple</w:t>
      </w:r>
      <w:r w:rsidRPr="00D93140">
        <w:rPr>
          <w:rFonts w:ascii="Times New Roman" w:hAnsi="Times New Roman"/>
          <w:sz w:val="28"/>
          <w:szCs w:val="28"/>
        </w:rPr>
        <w:t>n</w:t>
      </w:r>
      <w:r w:rsidRPr="00D93140">
        <w:rPr>
          <w:rFonts w:ascii="Times New Roman" w:hAnsi="Times New Roman"/>
          <w:sz w:val="28"/>
          <w:szCs w:val="28"/>
        </w:rPr>
        <w:t xml:space="preserve"> los requisitos exigidos en el Decreto 2067 de 1991 y la </w:t>
      </w:r>
      <w:r w:rsidRPr="00D93140">
        <w:rPr>
          <w:rFonts w:ascii="Times New Roman" w:hAnsi="Times New Roman"/>
          <w:sz w:val="28"/>
          <w:szCs w:val="28"/>
        </w:rPr>
        <w:t xml:space="preserve">jurisprudencia constitucional. Sin embargo, eso no sucede respecto </w:t>
      </w:r>
      <w:r w:rsidRPr="00D93140">
        <w:rPr>
          <w:rFonts w:ascii="Times New Roman" w:hAnsi="Times New Roman"/>
          <w:sz w:val="28"/>
          <w:szCs w:val="28"/>
        </w:rPr>
        <w:t>algunos</w:t>
      </w:r>
      <w:r w:rsidRPr="00D93140">
        <w:rPr>
          <w:rFonts w:ascii="Times New Roman" w:hAnsi="Times New Roman"/>
          <w:sz w:val="28"/>
          <w:szCs w:val="28"/>
        </w:rPr>
        <w:t xml:space="preserve"> cargos </w:t>
      </w:r>
      <w:r w:rsidRPr="00D93140">
        <w:rPr>
          <w:rFonts w:ascii="Times New Roman" w:hAnsi="Times New Roman"/>
          <w:sz w:val="28"/>
          <w:szCs w:val="28"/>
        </w:rPr>
        <w:t>como el primero, segundo</w:t>
      </w:r>
      <w:r w:rsidRPr="00D93140">
        <w:rPr>
          <w:rFonts w:ascii="Times New Roman" w:hAnsi="Times New Roman"/>
          <w:sz w:val="28"/>
          <w:szCs w:val="28"/>
        </w:rPr>
        <w:t>,</w:t>
      </w:r>
      <w:r w:rsidRPr="00D93140">
        <w:rPr>
          <w:rFonts w:ascii="Times New Roman" w:hAnsi="Times New Roman"/>
          <w:sz w:val="28"/>
          <w:szCs w:val="28"/>
        </w:rPr>
        <w:t xml:space="preserve"> </w:t>
      </w:r>
      <w:r w:rsidRPr="00D93140">
        <w:rPr>
          <w:rFonts w:ascii="Times New Roman" w:hAnsi="Times New Roman"/>
          <w:sz w:val="28"/>
          <w:szCs w:val="28"/>
        </w:rPr>
        <w:t xml:space="preserve">tercero </w:t>
      </w:r>
      <w:r w:rsidRPr="00D93140">
        <w:rPr>
          <w:rFonts w:ascii="Times New Roman" w:hAnsi="Times New Roman"/>
          <w:sz w:val="28"/>
          <w:szCs w:val="28"/>
        </w:rPr>
        <w:t xml:space="preserve">y octavo del expediente D-16345 y </w:t>
      </w:r>
      <w:r w:rsidRPr="00D93140">
        <w:rPr>
          <w:rFonts w:ascii="Times New Roman" w:hAnsi="Times New Roman"/>
          <w:sz w:val="28"/>
          <w:szCs w:val="28"/>
        </w:rPr>
        <w:t xml:space="preserve">primero, </w:t>
      </w:r>
      <w:r w:rsidRPr="00D93140">
        <w:rPr>
          <w:rFonts w:ascii="Times New Roman" w:hAnsi="Times New Roman"/>
          <w:sz w:val="28"/>
          <w:szCs w:val="28"/>
        </w:rPr>
        <w:t xml:space="preserve">tercero </w:t>
      </w:r>
      <w:r w:rsidRPr="00D93140">
        <w:rPr>
          <w:rFonts w:ascii="Times New Roman" w:hAnsi="Times New Roman"/>
          <w:sz w:val="28"/>
          <w:szCs w:val="28"/>
        </w:rPr>
        <w:t xml:space="preserve">y cuarto </w:t>
      </w:r>
      <w:r w:rsidRPr="00D93140">
        <w:rPr>
          <w:rFonts w:ascii="Times New Roman" w:hAnsi="Times New Roman"/>
          <w:sz w:val="28"/>
          <w:szCs w:val="28"/>
        </w:rPr>
        <w:t>del expediente D-16396</w:t>
      </w:r>
      <w:r w:rsidRPr="00D93140">
        <w:rPr>
          <w:rFonts w:ascii="Times New Roman" w:hAnsi="Times New Roman"/>
          <w:sz w:val="28"/>
          <w:szCs w:val="28"/>
        </w:rPr>
        <w:t>, ya que estos no acreditan las condiciones mínimas para s</w:t>
      </w:r>
      <w:r w:rsidRPr="00D93140">
        <w:rPr>
          <w:rFonts w:ascii="Times New Roman" w:hAnsi="Times New Roman"/>
          <w:sz w:val="28"/>
          <w:szCs w:val="28"/>
        </w:rPr>
        <w:t>u estudio de fondo</w:t>
      </w:r>
      <w:r w:rsidRPr="00D93140">
        <w:rPr>
          <w:rFonts w:ascii="Times New Roman" w:hAnsi="Times New Roman"/>
          <w:sz w:val="28"/>
          <w:szCs w:val="28"/>
        </w:rPr>
        <w:t>, como se explicará a continuación</w:t>
      </w:r>
      <w:r w:rsidRPr="00D93140">
        <w:rPr>
          <w:rFonts w:ascii="Times New Roman" w:hAnsi="Times New Roman"/>
          <w:sz w:val="28"/>
          <w:szCs w:val="28"/>
        </w:rPr>
        <w:t>.</w:t>
      </w:r>
    </w:p>
    <w:p w:rsidR="00AB0F5E" w:rsidRPr="00D93140" w:rsidRDefault="00D93140" w:rsidP="00E04174">
      <w:pPr>
        <w:pStyle w:val="Prrafodelista"/>
        <w:ind w:left="0"/>
        <w:jc w:val="both"/>
        <w:rPr>
          <w:rFonts w:ascii="Times New Roman" w:hAnsi="Times New Roman"/>
          <w:sz w:val="28"/>
          <w:szCs w:val="28"/>
          <w:u w:color="000000"/>
          <w:bdr w:val="nil"/>
        </w:rPr>
      </w:pPr>
    </w:p>
    <w:p w:rsidR="00203FFF"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ptitud del cargo relacionado con la vulneración de</w:t>
      </w:r>
      <w:r w:rsidRPr="00D93140">
        <w:rPr>
          <w:rFonts w:ascii="Times New Roman" w:hAnsi="Times New Roman"/>
          <w:i/>
          <w:iCs/>
          <w:sz w:val="28"/>
          <w:szCs w:val="28"/>
          <w:u w:color="000000"/>
          <w:bdr w:val="nil"/>
        </w:rPr>
        <w:t>l artículo 56 transitorio de la Constitución (cargo primero expediente D-16345 y cargo tercero expediente D-16396).</w:t>
      </w:r>
      <w:r w:rsidRPr="00D93140">
        <w:rPr>
          <w:rFonts w:ascii="Times New Roman" w:hAnsi="Times New Roman"/>
          <w:sz w:val="28"/>
          <w:szCs w:val="28"/>
          <w:u w:color="000000"/>
          <w:bdr w:val="nil"/>
        </w:rPr>
        <w:t xml:space="preserve"> Los demandantes consideran</w:t>
      </w:r>
      <w:r w:rsidRPr="00D93140">
        <w:rPr>
          <w:rFonts w:ascii="Times New Roman" w:hAnsi="Times New Roman"/>
          <w:sz w:val="28"/>
          <w:szCs w:val="28"/>
          <w:u w:color="000000"/>
          <w:bdr w:val="nil"/>
        </w:rPr>
        <w:t xml:space="preserve"> que con este decreto el gobierno excedió las facultades que otorga el artículo 56 transitorio por las siguientes razones (i) ya se había agotado la competencia contemplada en dicha disposición y (ii) no corresponde a las materia</w:t>
      </w:r>
      <w:r w:rsidRPr="00D93140">
        <w:rPr>
          <w:rFonts w:ascii="Times New Roman" w:hAnsi="Times New Roman"/>
          <w:sz w:val="28"/>
          <w:szCs w:val="28"/>
          <w:u w:color="000000"/>
          <w:bdr w:val="nil"/>
        </w:rPr>
        <w:t>s habilitadas en la norma</w:t>
      </w:r>
      <w:r w:rsidRPr="00D93140">
        <w:rPr>
          <w:rFonts w:ascii="Times New Roman" w:hAnsi="Times New Roman"/>
          <w:sz w:val="28"/>
          <w:szCs w:val="28"/>
          <w:u w:color="000000"/>
          <w:bdr w:val="nil"/>
        </w:rPr>
        <w:t>.</w:t>
      </w:r>
    </w:p>
    <w:p w:rsidR="00335FFE" w:rsidRPr="00D93140" w:rsidRDefault="00D93140" w:rsidP="00E04174">
      <w:pPr>
        <w:pStyle w:val="Prrafodelista"/>
        <w:ind w:left="0"/>
        <w:jc w:val="both"/>
        <w:rPr>
          <w:rFonts w:ascii="Times New Roman" w:hAnsi="Times New Roman"/>
          <w:sz w:val="28"/>
          <w:szCs w:val="28"/>
          <w:u w:color="000000"/>
          <w:bdr w:val="nil"/>
        </w:rPr>
      </w:pPr>
    </w:p>
    <w:p w:rsidR="002525B0"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En el expediente D-16345, el demandante </w:t>
      </w:r>
      <w:r w:rsidRPr="00D93140">
        <w:rPr>
          <w:rFonts w:ascii="Times New Roman" w:hAnsi="Times New Roman"/>
          <w:sz w:val="28"/>
          <w:szCs w:val="28"/>
          <w:u w:color="000000"/>
          <w:bdr w:val="nil"/>
        </w:rPr>
        <w:t>basa su argumentación en que d</w:t>
      </w:r>
      <w:r w:rsidRPr="00D93140">
        <w:rPr>
          <w:rFonts w:ascii="Times New Roman" w:hAnsi="Times New Roman"/>
          <w:sz w:val="28"/>
          <w:szCs w:val="28"/>
          <w:u w:color="000000"/>
          <w:bdr w:val="nil"/>
        </w:rPr>
        <w:t>e la lectura literal del artículo 56 transitorio no es claro que pueda derivarse una habilitación por más de una vez para ejercer la competencia allí establec</w:t>
      </w:r>
      <w:r w:rsidRPr="00D93140">
        <w:rPr>
          <w:rFonts w:ascii="Times New Roman" w:hAnsi="Times New Roman"/>
          <w:sz w:val="28"/>
          <w:szCs w:val="28"/>
          <w:u w:color="000000"/>
          <w:bdr w:val="nil"/>
        </w:rPr>
        <w:t>ida</w:t>
      </w:r>
      <w:r w:rsidRPr="00D93140">
        <w:rPr>
          <w:rFonts w:ascii="Times New Roman" w:hAnsi="Times New Roman"/>
          <w:sz w:val="28"/>
          <w:szCs w:val="28"/>
          <w:u w:color="000000"/>
          <w:bdr w:val="nil"/>
        </w:rPr>
        <w:t xml:space="preserve"> y</w:t>
      </w:r>
      <w:r w:rsidRPr="00D93140">
        <w:rPr>
          <w:rFonts w:ascii="Times New Roman" w:hAnsi="Times New Roman"/>
          <w:sz w:val="28"/>
          <w:szCs w:val="28"/>
          <w:u w:color="000000"/>
          <w:bdr w:val="nil"/>
        </w:rPr>
        <w:t xml:space="preserve"> la Corte Constitucional </w:t>
      </w:r>
      <w:r w:rsidRPr="00D93140">
        <w:rPr>
          <w:rFonts w:ascii="Times New Roman" w:hAnsi="Times New Roman"/>
          <w:sz w:val="28"/>
          <w:szCs w:val="28"/>
          <w:u w:color="000000"/>
          <w:bdr w:val="nil"/>
        </w:rPr>
        <w:t xml:space="preserve">señaló en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C-617 de 2015 que esta competencia no era absoluta ni ilimitada. </w:t>
      </w:r>
      <w:r w:rsidRPr="00D93140">
        <w:rPr>
          <w:rFonts w:ascii="Times New Roman" w:hAnsi="Times New Roman"/>
          <w:sz w:val="28"/>
          <w:szCs w:val="28"/>
          <w:u w:color="000000"/>
          <w:bdr w:val="nil"/>
        </w:rPr>
        <w:t xml:space="preserve">Por lo tanto, </w:t>
      </w:r>
      <w:r w:rsidRPr="00D93140">
        <w:rPr>
          <w:rFonts w:ascii="Times New Roman" w:hAnsi="Times New Roman"/>
          <w:sz w:val="28"/>
          <w:szCs w:val="28"/>
          <w:u w:color="000000"/>
          <w:bdr w:val="nil"/>
        </w:rPr>
        <w:t xml:space="preserve">ante la falta de expedición de la ley a la que se refiere el artículo 329 superior, el ejecutivo </w:t>
      </w:r>
      <w:r w:rsidRPr="00D93140">
        <w:rPr>
          <w:rFonts w:ascii="Times New Roman" w:hAnsi="Times New Roman"/>
          <w:sz w:val="28"/>
          <w:szCs w:val="28"/>
          <w:u w:color="000000"/>
          <w:bdr w:val="nil"/>
        </w:rPr>
        <w:t xml:space="preserve">sigue expidiendo normas en </w:t>
      </w:r>
      <w:r w:rsidRPr="00D93140">
        <w:rPr>
          <w:rFonts w:ascii="Times New Roman" w:hAnsi="Times New Roman"/>
          <w:sz w:val="28"/>
          <w:szCs w:val="28"/>
          <w:u w:color="000000"/>
          <w:bdr w:val="nil"/>
        </w:rPr>
        <w:t>virtud del artícu</w:t>
      </w:r>
      <w:r w:rsidRPr="00D93140">
        <w:rPr>
          <w:rFonts w:ascii="Times New Roman" w:hAnsi="Times New Roman"/>
          <w:sz w:val="28"/>
          <w:szCs w:val="28"/>
          <w:u w:color="000000"/>
          <w:bdr w:val="nil"/>
        </w:rPr>
        <w:t>l</w:t>
      </w:r>
      <w:r w:rsidRPr="00D93140">
        <w:rPr>
          <w:rFonts w:ascii="Times New Roman" w:hAnsi="Times New Roman"/>
          <w:sz w:val="28"/>
          <w:szCs w:val="28"/>
          <w:u w:color="000000"/>
          <w:bdr w:val="nil"/>
        </w:rPr>
        <w:t>o 56 transitorio</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y no hay claridad en la jurisprudencia frente a los </w:t>
      </w:r>
      <w:r w:rsidRPr="00D93140">
        <w:rPr>
          <w:rFonts w:ascii="Times New Roman" w:hAnsi="Times New Roman"/>
          <w:sz w:val="28"/>
          <w:szCs w:val="28"/>
          <w:u w:color="000000"/>
          <w:bdr w:val="nil"/>
        </w:rPr>
        <w:t>límites</w:t>
      </w:r>
      <w:r w:rsidRPr="00D93140">
        <w:rPr>
          <w:rFonts w:ascii="Times New Roman" w:hAnsi="Times New Roman"/>
          <w:sz w:val="28"/>
          <w:szCs w:val="28"/>
          <w:u w:color="000000"/>
          <w:bdr w:val="nil"/>
        </w:rPr>
        <w:t xml:space="preserve"> para el ejercicio de esta competencia.</w:t>
      </w:r>
    </w:p>
    <w:p w:rsidR="002525B0" w:rsidRPr="00D93140" w:rsidRDefault="00D93140" w:rsidP="00E04174">
      <w:pPr>
        <w:pStyle w:val="Prrafodelista"/>
        <w:rPr>
          <w:rFonts w:ascii="Times New Roman" w:hAnsi="Times New Roman"/>
          <w:sz w:val="28"/>
          <w:szCs w:val="28"/>
          <w:u w:color="000000"/>
          <w:bdr w:val="nil"/>
        </w:rPr>
      </w:pPr>
    </w:p>
    <w:p w:rsidR="0089461A"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E</w:t>
      </w:r>
      <w:r w:rsidRPr="00D93140">
        <w:rPr>
          <w:rFonts w:ascii="Times New Roman" w:hAnsi="Times New Roman"/>
          <w:sz w:val="28"/>
          <w:szCs w:val="28"/>
          <w:u w:color="000000"/>
          <w:bdr w:val="nil"/>
        </w:rPr>
        <w:t xml:space="preserve">n ese escenario, sostuvo que </w:t>
      </w:r>
      <w:r w:rsidRPr="00D93140">
        <w:rPr>
          <w:rFonts w:ascii="Times New Roman" w:hAnsi="Times New Roman"/>
          <w:sz w:val="28"/>
          <w:szCs w:val="28"/>
          <w:u w:color="000000"/>
          <w:bdr w:val="nil"/>
        </w:rPr>
        <w:t xml:space="preserve">si bien para la fecha de expedición de </w:t>
      </w:r>
      <w:r w:rsidRPr="00D93140">
        <w:rPr>
          <w:rFonts w:ascii="Times New Roman" w:hAnsi="Times New Roman"/>
          <w:sz w:val="28"/>
          <w:szCs w:val="28"/>
          <w:u w:color="000000"/>
          <w:bdr w:val="nil"/>
        </w:rPr>
        <w:t xml:space="preserve">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C-617 de 2015 no se había agotado la competencia prevista por el artículo 56 transitorio de la Constitución, </w:t>
      </w:r>
      <w:r w:rsidRPr="00D93140">
        <w:rPr>
          <w:rFonts w:ascii="Times New Roman" w:hAnsi="Times New Roman"/>
          <w:sz w:val="28"/>
          <w:szCs w:val="28"/>
          <w:u w:color="000000"/>
          <w:bdr w:val="nil"/>
        </w:rPr>
        <w:t>con e</w:t>
      </w:r>
      <w:r w:rsidRPr="00D93140">
        <w:rPr>
          <w:rFonts w:ascii="Times New Roman" w:hAnsi="Times New Roman"/>
          <w:sz w:val="28"/>
          <w:szCs w:val="28"/>
          <w:u w:color="000000"/>
          <w:bdr w:val="nil"/>
        </w:rPr>
        <w:t xml:space="preserve">l Decreto 1953 de 2014, sí </w:t>
      </w:r>
      <w:r w:rsidRPr="00D93140">
        <w:rPr>
          <w:rFonts w:ascii="Times New Roman" w:hAnsi="Times New Roman"/>
          <w:sz w:val="28"/>
          <w:szCs w:val="28"/>
          <w:u w:color="000000"/>
          <w:bdr w:val="nil"/>
        </w:rPr>
        <w:t xml:space="preserve">se agotó tal facultad, ya que se ofrecía </w:t>
      </w:r>
      <w:r w:rsidRPr="00D93140">
        <w:rPr>
          <w:rFonts w:ascii="Times New Roman" w:hAnsi="Times New Roman"/>
          <w:sz w:val="28"/>
          <w:szCs w:val="28"/>
          <w:u w:color="000000"/>
          <w:bdr w:val="nil"/>
        </w:rPr>
        <w:t>un marco normativo que abarca diferentes dimensiones de dichos territorio</w:t>
      </w:r>
      <w:r w:rsidRPr="00D93140">
        <w:rPr>
          <w:rFonts w:ascii="Times New Roman" w:hAnsi="Times New Roman"/>
          <w:sz w:val="28"/>
          <w:szCs w:val="28"/>
          <w:u w:color="000000"/>
          <w:bdr w:val="nil"/>
        </w:rPr>
        <w:t>s</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Por lo tanto, alegó que con los Decretos 1088 de 1993 y 1953 de 2014 ya se han regulado las materias relativas al funcionamiento de los territorios indígenas y su coordinación con las demás entidades territoriales, toda vez que, en su criterio, las comp</w:t>
      </w:r>
      <w:r w:rsidRPr="00D93140">
        <w:rPr>
          <w:rFonts w:ascii="Times New Roman" w:hAnsi="Times New Roman"/>
          <w:sz w:val="28"/>
          <w:szCs w:val="28"/>
          <w:u w:color="000000"/>
          <w:bdr w:val="nil"/>
        </w:rPr>
        <w:t xml:space="preserve">etencias ambientales son accesorias y no esenciales para el funcionamiento de los territorios indígenas. De modo que lo que se cuestiona en su cargo es </w:t>
      </w:r>
      <w:r w:rsidRPr="00D93140">
        <w:rPr>
          <w:rFonts w:ascii="Times New Roman" w:hAnsi="Times New Roman"/>
          <w:sz w:val="28"/>
          <w:szCs w:val="28"/>
          <w:u w:color="000000"/>
          <w:bdr w:val="nil"/>
        </w:rPr>
        <w:t xml:space="preserve">si una vez regulada la materia correspondiente al funcionamiento de los territorios indígenas por vía de legislación ordinaria, dicha competencia se entiende agotada o no. </w:t>
      </w:r>
    </w:p>
    <w:p w:rsidR="0089461A" w:rsidRPr="00D93140" w:rsidRDefault="00D93140" w:rsidP="00E04174">
      <w:pPr>
        <w:pStyle w:val="Prrafodelista"/>
        <w:rPr>
          <w:rFonts w:ascii="Times New Roman" w:hAnsi="Times New Roman"/>
          <w:sz w:val="28"/>
          <w:szCs w:val="28"/>
          <w:u w:color="000000"/>
          <w:bdr w:val="nil"/>
        </w:rPr>
      </w:pPr>
    </w:p>
    <w:p w:rsidR="00235627"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Así, estima la Sala que en este caso </w:t>
      </w:r>
      <w:r w:rsidRPr="00D93140">
        <w:rPr>
          <w:rFonts w:ascii="Times New Roman" w:hAnsi="Times New Roman"/>
          <w:sz w:val="28"/>
          <w:szCs w:val="28"/>
          <w:u w:color="000000"/>
          <w:bdr w:val="nil"/>
        </w:rPr>
        <w:t xml:space="preserve">si bien </w:t>
      </w:r>
      <w:r w:rsidRPr="00D93140">
        <w:rPr>
          <w:rFonts w:ascii="Times New Roman" w:hAnsi="Times New Roman"/>
          <w:sz w:val="28"/>
          <w:szCs w:val="28"/>
          <w:u w:color="000000"/>
          <w:bdr w:val="nil"/>
        </w:rPr>
        <w:t>el cargo presentado</w:t>
      </w:r>
      <w:r w:rsidRPr="00D93140">
        <w:rPr>
          <w:rFonts w:ascii="Times New Roman" w:hAnsi="Times New Roman"/>
          <w:sz w:val="28"/>
          <w:szCs w:val="28"/>
          <w:u w:color="000000"/>
          <w:bdr w:val="nil"/>
        </w:rPr>
        <w:t xml:space="preserve"> es cierto, pues s</w:t>
      </w:r>
      <w:r w:rsidRPr="00D93140">
        <w:rPr>
          <w:rFonts w:ascii="Times New Roman" w:hAnsi="Times New Roman"/>
          <w:sz w:val="28"/>
          <w:szCs w:val="28"/>
          <w:u w:color="000000"/>
          <w:bdr w:val="nil"/>
        </w:rPr>
        <w:t xml:space="preserve">e desarrolla </w:t>
      </w:r>
      <w:r w:rsidRPr="00D93140">
        <w:rPr>
          <w:rFonts w:ascii="Times New Roman" w:hAnsi="Times New Roman"/>
          <w:sz w:val="28"/>
          <w:szCs w:val="28"/>
          <w:lang w:val="es-ES"/>
        </w:rPr>
        <w:t>contra una proposición jurídica real, existente que, además guarda relación con el texto de la norma acusada,</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no supera el requisito de </w:t>
      </w:r>
      <w:r w:rsidRPr="00D93140">
        <w:rPr>
          <w:rFonts w:ascii="Times New Roman" w:hAnsi="Times New Roman"/>
          <w:i/>
          <w:sz w:val="28"/>
          <w:szCs w:val="28"/>
          <w:u w:color="000000"/>
          <w:bdr w:val="nil"/>
        </w:rPr>
        <w:t>pertinencia</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L</w:t>
      </w:r>
      <w:r w:rsidRPr="00D93140">
        <w:rPr>
          <w:rFonts w:ascii="Times New Roman" w:hAnsi="Times New Roman"/>
          <w:sz w:val="28"/>
          <w:szCs w:val="28"/>
          <w:u w:color="000000"/>
          <w:bdr w:val="nil"/>
        </w:rPr>
        <w:t xml:space="preserve">os alegatos del accionante no se derivan de </w:t>
      </w:r>
      <w:r w:rsidRPr="00D93140">
        <w:rPr>
          <w:rFonts w:ascii="Times New Roman" w:hAnsi="Times New Roman"/>
          <w:sz w:val="28"/>
          <w:szCs w:val="28"/>
          <w:u w:color="000000"/>
          <w:bdr w:val="nil"/>
        </w:rPr>
        <w:t xml:space="preserve">una </w:t>
      </w:r>
      <w:r w:rsidRPr="00D93140">
        <w:rPr>
          <w:rFonts w:ascii="Times New Roman" w:hAnsi="Times New Roman"/>
          <w:sz w:val="28"/>
          <w:szCs w:val="28"/>
          <w:u w:color="000000"/>
          <w:bdr w:val="nil"/>
        </w:rPr>
        <w:t>confrontación</w:t>
      </w:r>
      <w:r w:rsidRPr="00D93140">
        <w:rPr>
          <w:rFonts w:ascii="Times New Roman" w:hAnsi="Times New Roman"/>
          <w:sz w:val="28"/>
          <w:szCs w:val="28"/>
          <w:u w:color="000000"/>
          <w:bdr w:val="nil"/>
        </w:rPr>
        <w:t xml:space="preserve"> objetiva </w:t>
      </w:r>
      <w:r w:rsidRPr="00D93140">
        <w:rPr>
          <w:rFonts w:ascii="Times New Roman" w:hAnsi="Times New Roman"/>
          <w:sz w:val="28"/>
          <w:szCs w:val="28"/>
          <w:u w:color="000000"/>
          <w:bdr w:val="nil"/>
        </w:rPr>
        <w:t xml:space="preserve">del </w:t>
      </w:r>
      <w:r w:rsidRPr="00D93140">
        <w:rPr>
          <w:rFonts w:ascii="Times New Roman" w:hAnsi="Times New Roman"/>
          <w:sz w:val="28"/>
          <w:szCs w:val="28"/>
          <w:u w:color="000000"/>
          <w:bdr w:val="nil"/>
        </w:rPr>
        <w:t xml:space="preserve">decreto con el </w:t>
      </w:r>
      <w:r w:rsidRPr="00D93140">
        <w:rPr>
          <w:rFonts w:ascii="Times New Roman" w:hAnsi="Times New Roman"/>
          <w:sz w:val="28"/>
          <w:szCs w:val="28"/>
          <w:u w:color="000000"/>
          <w:bdr w:val="nil"/>
        </w:rPr>
        <w:t>art</w:t>
      </w:r>
      <w:r w:rsidRPr="00D93140">
        <w:rPr>
          <w:rFonts w:ascii="Times New Roman" w:hAnsi="Times New Roman"/>
          <w:sz w:val="28"/>
          <w:szCs w:val="28"/>
          <w:u w:color="000000"/>
          <w:bdr w:val="nil"/>
        </w:rPr>
        <w:t>ículo 56 transitorio</w:t>
      </w:r>
      <w:r w:rsidRPr="00D93140">
        <w:rPr>
          <w:rFonts w:ascii="Times New Roman" w:hAnsi="Times New Roman"/>
          <w:sz w:val="28"/>
          <w:szCs w:val="28"/>
          <w:u w:color="000000"/>
          <w:bdr w:val="nil"/>
        </w:rPr>
        <w:t xml:space="preserve"> superior</w:t>
      </w:r>
      <w:r w:rsidRPr="00D93140">
        <w:rPr>
          <w:rFonts w:ascii="Times New Roman" w:hAnsi="Times New Roman"/>
          <w:sz w:val="28"/>
          <w:szCs w:val="28"/>
          <w:u w:color="000000"/>
          <w:bdr w:val="nil"/>
        </w:rPr>
        <w:t xml:space="preserve"> ni mucho menos con el alcance que en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C-617 de 2015 se le dio al mismo. Aunque el actor reconoce que el artículo no prohíbe que esta facultad se ejerza más de una vez, tampoco es posible, en su criterio, continuar ejerciéndola una vez se haya agotado la competencia. Ello, </w:t>
      </w:r>
      <w:r w:rsidRPr="00D93140">
        <w:rPr>
          <w:rFonts w:ascii="Times New Roman" w:hAnsi="Times New Roman"/>
          <w:sz w:val="28"/>
          <w:szCs w:val="28"/>
          <w:u w:color="000000"/>
          <w:bdr w:val="nil"/>
        </w:rPr>
        <w:t>por cuanto esta corp</w:t>
      </w:r>
      <w:r w:rsidRPr="00D93140">
        <w:rPr>
          <w:rFonts w:ascii="Times New Roman" w:hAnsi="Times New Roman"/>
          <w:sz w:val="28"/>
          <w:szCs w:val="28"/>
          <w:u w:color="000000"/>
          <w:bdr w:val="nil"/>
        </w:rPr>
        <w:t xml:space="preserve">oración estableció que la competencia era excepcional y por tanto no se podía interpretar de forma extensiva. </w:t>
      </w:r>
    </w:p>
    <w:p w:rsidR="00235627" w:rsidRPr="00D93140" w:rsidRDefault="00D93140" w:rsidP="00E04174">
      <w:pPr>
        <w:pStyle w:val="Prrafodelista"/>
        <w:ind w:left="0"/>
        <w:jc w:val="both"/>
        <w:rPr>
          <w:rFonts w:ascii="Times New Roman" w:hAnsi="Times New Roman"/>
          <w:sz w:val="28"/>
          <w:szCs w:val="28"/>
          <w:u w:color="000000"/>
          <w:bdr w:val="nil"/>
        </w:rPr>
      </w:pPr>
    </w:p>
    <w:p w:rsidR="00AB33B2"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E</w:t>
      </w:r>
      <w:r w:rsidRPr="00D93140">
        <w:rPr>
          <w:rFonts w:ascii="Times New Roman" w:hAnsi="Times New Roman"/>
          <w:sz w:val="28"/>
          <w:szCs w:val="28"/>
          <w:u w:color="000000"/>
          <w:bdr w:val="nil"/>
        </w:rPr>
        <w:t>sta apreciación no coincide con lo establecido e</w:t>
      </w:r>
      <w:r w:rsidRPr="00D93140">
        <w:rPr>
          <w:rFonts w:ascii="Times New Roman" w:hAnsi="Times New Roman"/>
          <w:sz w:val="28"/>
          <w:szCs w:val="28"/>
          <w:u w:color="000000"/>
          <w:bdr w:val="nil"/>
        </w:rPr>
        <w:t xml:space="preserve">n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C-617 de 2015, </w:t>
      </w:r>
      <w:r w:rsidRPr="00D93140">
        <w:rPr>
          <w:rFonts w:ascii="Times New Roman" w:hAnsi="Times New Roman"/>
          <w:sz w:val="28"/>
          <w:szCs w:val="28"/>
          <w:u w:color="000000"/>
          <w:bdr w:val="nil"/>
        </w:rPr>
        <w:t xml:space="preserve">ya que </w:t>
      </w:r>
      <w:r w:rsidRPr="00D93140">
        <w:rPr>
          <w:rFonts w:ascii="Times New Roman" w:hAnsi="Times New Roman"/>
          <w:sz w:val="28"/>
          <w:szCs w:val="28"/>
          <w:u w:color="000000"/>
          <w:bdr w:val="nil"/>
        </w:rPr>
        <w:t>la Corte no limitó la utilización de esta competencia al a</w:t>
      </w:r>
      <w:r w:rsidRPr="00D93140">
        <w:rPr>
          <w:rFonts w:ascii="Times New Roman" w:hAnsi="Times New Roman"/>
          <w:sz w:val="28"/>
          <w:szCs w:val="28"/>
          <w:u w:color="000000"/>
          <w:bdr w:val="nil"/>
        </w:rPr>
        <w:t xml:space="preserve">gotamiento de las materias necesarias para poner en funcionamiento los territorios indígenas. Cuando señaló que esta facultad era excepcional, fue clara al indicar que como consecuencia de </w:t>
      </w:r>
      <w:r w:rsidRPr="00D93140">
        <w:rPr>
          <w:rFonts w:ascii="Times New Roman" w:hAnsi="Times New Roman"/>
          <w:sz w:val="28"/>
          <w:szCs w:val="28"/>
          <w:u w:color="000000"/>
          <w:bdr w:val="nil"/>
        </w:rPr>
        <w:t>ese carácter</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la norma </w:t>
      </w:r>
      <w:r w:rsidRPr="00D93140">
        <w:rPr>
          <w:rFonts w:ascii="Times New Roman" w:hAnsi="Times New Roman"/>
          <w:sz w:val="28"/>
          <w:szCs w:val="28"/>
          <w:u w:color="000000"/>
          <w:bdr w:val="nil"/>
        </w:rPr>
        <w:t>no p</w:t>
      </w:r>
      <w:r w:rsidRPr="00D93140">
        <w:rPr>
          <w:rFonts w:ascii="Times New Roman" w:hAnsi="Times New Roman"/>
          <w:sz w:val="28"/>
          <w:szCs w:val="28"/>
          <w:u w:color="000000"/>
          <w:bdr w:val="nil"/>
        </w:rPr>
        <w:t>odía</w:t>
      </w:r>
      <w:r w:rsidRPr="00D93140">
        <w:rPr>
          <w:rFonts w:ascii="Times New Roman" w:hAnsi="Times New Roman"/>
          <w:sz w:val="28"/>
          <w:szCs w:val="28"/>
          <w:u w:color="000000"/>
          <w:bdr w:val="nil"/>
        </w:rPr>
        <w:t xml:space="preserve"> interpretarse de forma extensiva, de</w:t>
      </w:r>
      <w:r w:rsidRPr="00D93140">
        <w:rPr>
          <w:rFonts w:ascii="Times New Roman" w:hAnsi="Times New Roman"/>
          <w:sz w:val="28"/>
          <w:szCs w:val="28"/>
          <w:u w:color="000000"/>
          <w:bdr w:val="nil"/>
        </w:rPr>
        <w:t xml:space="preserve"> modo que “las vicisitudes a las que puede enfrentarse la ley que llegare a ser expedida para regular la materia a la que se refieren los artículos 329 y 56 transitorio de la Carta, no reactivan la competencia del Gobierno Nacional. En efecto, dado que el </w:t>
      </w:r>
      <w:r w:rsidRPr="00D93140">
        <w:rPr>
          <w:rFonts w:ascii="Times New Roman" w:hAnsi="Times New Roman"/>
          <w:sz w:val="28"/>
          <w:szCs w:val="28"/>
          <w:u w:color="000000"/>
          <w:bdr w:val="nil"/>
        </w:rPr>
        <w:t>artículo 56 transitorio establece que la facultad normativa se extiende hasta tanto “</w:t>
      </w:r>
      <w:r w:rsidRPr="00D93140">
        <w:rPr>
          <w:rFonts w:ascii="Times New Roman" w:hAnsi="Times New Roman"/>
          <w:iCs/>
          <w:sz w:val="28"/>
          <w:szCs w:val="28"/>
          <w:u w:color="000000"/>
          <w:bdr w:val="nil"/>
        </w:rPr>
        <w:t>se expide la ley a la que se refiere el artículo</w:t>
      </w:r>
      <w:r w:rsidRPr="00D93140">
        <w:rPr>
          <w:rFonts w:ascii="Times New Roman" w:hAnsi="Times New Roman"/>
          <w:sz w:val="28"/>
          <w:szCs w:val="28"/>
          <w:u w:color="000000"/>
          <w:bdr w:val="nil"/>
        </w:rPr>
        <w:t>”, ocurrida esa circunstancia la atribución se extingue definitivamente”. Es decir</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en palabras de la Corte </w:t>
      </w:r>
      <w:r w:rsidRPr="00D93140">
        <w:rPr>
          <w:rFonts w:ascii="Times New Roman" w:hAnsi="Times New Roman"/>
          <w:sz w:val="28"/>
          <w:szCs w:val="28"/>
          <w:u w:color="000000"/>
          <w:bdr w:val="nil"/>
        </w:rPr>
        <w:t>la condición qu</w:t>
      </w:r>
      <w:r w:rsidRPr="00D93140">
        <w:rPr>
          <w:rFonts w:ascii="Times New Roman" w:hAnsi="Times New Roman"/>
          <w:sz w:val="28"/>
          <w:szCs w:val="28"/>
          <w:u w:color="000000"/>
          <w:bdr w:val="nil"/>
        </w:rPr>
        <w:t>e contempla la norma transitoria se cumple con la expedición de la ley a la que se refiere el artículo 329 superior</w:t>
      </w:r>
      <w:r w:rsidRPr="00D93140">
        <w:rPr>
          <w:rFonts w:ascii="Times New Roman" w:hAnsi="Times New Roman"/>
          <w:sz w:val="28"/>
          <w:szCs w:val="28"/>
          <w:u w:color="000000"/>
          <w:bdr w:val="nil"/>
        </w:rPr>
        <w:t xml:space="preserve"> y no, como lo estima el actor, con la expedición de decretos que regulen varios temas relacionados con el funcionamiento de los territorios </w:t>
      </w:r>
      <w:r w:rsidRPr="00D93140">
        <w:rPr>
          <w:rFonts w:ascii="Times New Roman" w:hAnsi="Times New Roman"/>
          <w:sz w:val="28"/>
          <w:szCs w:val="28"/>
          <w:u w:color="000000"/>
          <w:bdr w:val="nil"/>
        </w:rPr>
        <w:t>indígenas</w:t>
      </w:r>
      <w:r w:rsidRPr="00D93140">
        <w:rPr>
          <w:rFonts w:ascii="Times New Roman" w:hAnsi="Times New Roman"/>
          <w:sz w:val="28"/>
          <w:szCs w:val="28"/>
          <w:u w:color="000000"/>
          <w:bdr w:val="nil"/>
        </w:rPr>
        <w:t>.</w:t>
      </w:r>
    </w:p>
    <w:p w:rsidR="00AB33B2" w:rsidRPr="00D93140" w:rsidRDefault="00D93140" w:rsidP="00E04174">
      <w:pPr>
        <w:pStyle w:val="Prrafodelista"/>
        <w:ind w:left="0"/>
        <w:jc w:val="both"/>
        <w:rPr>
          <w:rFonts w:ascii="Times New Roman" w:hAnsi="Times New Roman"/>
          <w:sz w:val="28"/>
          <w:szCs w:val="28"/>
          <w:u w:color="000000"/>
          <w:bdr w:val="nil"/>
        </w:rPr>
      </w:pPr>
    </w:p>
    <w:p w:rsidR="00E8713C"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Respecto de las características de esta competencia excepcional, esta corporación señaló que </w:t>
      </w:r>
    </w:p>
    <w:p w:rsidR="00E8713C" w:rsidRPr="00D93140" w:rsidRDefault="00D93140" w:rsidP="00E8713C">
      <w:pPr>
        <w:pStyle w:val="Prrafodelista"/>
        <w:ind w:left="0"/>
        <w:jc w:val="both"/>
        <w:rPr>
          <w:rFonts w:ascii="Times New Roman" w:hAnsi="Times New Roman"/>
          <w:sz w:val="28"/>
          <w:szCs w:val="28"/>
          <w:u w:color="000000"/>
          <w:bdr w:val="nil"/>
        </w:rPr>
      </w:pPr>
    </w:p>
    <w:p w:rsidR="00E8713C" w:rsidRPr="00D93140" w:rsidRDefault="00D93140" w:rsidP="00E8713C">
      <w:pPr>
        <w:pStyle w:val="Prrafodelista"/>
        <w:ind w:left="708"/>
        <w:jc w:val="both"/>
        <w:rPr>
          <w:rFonts w:ascii="Times New Roman" w:hAnsi="Times New Roman"/>
          <w:sz w:val="28"/>
          <w:szCs w:val="28"/>
          <w:u w:color="000000"/>
          <w:bdr w:val="nil"/>
        </w:rPr>
      </w:pPr>
      <w:r w:rsidRPr="00D93140">
        <w:rPr>
          <w:rFonts w:ascii="Times New Roman" w:hAnsi="Times New Roman"/>
          <w:sz w:val="28"/>
          <w:szCs w:val="28"/>
          <w:u w:color="000000"/>
          <w:bdr w:val="nil"/>
        </w:rPr>
        <w:t>5.3.1. Es una </w:t>
      </w:r>
      <w:r w:rsidRPr="00D93140">
        <w:rPr>
          <w:rFonts w:ascii="Times New Roman" w:hAnsi="Times New Roman"/>
          <w:i/>
          <w:iCs/>
          <w:sz w:val="28"/>
          <w:szCs w:val="28"/>
          <w:u w:color="000000"/>
          <w:bdr w:val="nil"/>
        </w:rPr>
        <w:t>competencia amplia</w:t>
      </w:r>
      <w:r w:rsidRPr="00D93140">
        <w:rPr>
          <w:rFonts w:ascii="Times New Roman" w:hAnsi="Times New Roman"/>
          <w:sz w:val="28"/>
          <w:szCs w:val="28"/>
          <w:u w:color="000000"/>
          <w:bdr w:val="nil"/>
        </w:rPr>
        <w:t xml:space="preserve"> que confiere una atribución para adoptar normas relativas (i) al funcionamiento de los territorios indígenas, </w:t>
      </w:r>
      <w:r w:rsidRPr="00D93140">
        <w:rPr>
          <w:rFonts w:ascii="Times New Roman" w:hAnsi="Times New Roman"/>
          <w:sz w:val="28"/>
          <w:szCs w:val="28"/>
          <w:u w:color="000000"/>
          <w:bdr w:val="nil"/>
        </w:rPr>
        <w:t xml:space="preserve">incluyendo las de naturaleza fiscal y (ii) a su coordinación con las demás entidades territoriales. </w:t>
      </w:r>
      <w:r w:rsidRPr="00D93140">
        <w:rPr>
          <w:rFonts w:ascii="Times New Roman" w:hAnsi="Times New Roman"/>
          <w:sz w:val="28"/>
          <w:szCs w:val="28"/>
          <w:u w:val="single" w:color="000000"/>
          <w:bdr w:val="nil"/>
        </w:rPr>
        <w:t>Comprende diferentes dimensiones o facetas del régimen territorial indígena</w:t>
      </w:r>
      <w:r w:rsidRPr="00D93140">
        <w:rPr>
          <w:rFonts w:ascii="Times New Roman" w:hAnsi="Times New Roman"/>
          <w:sz w:val="28"/>
          <w:szCs w:val="28"/>
          <w:u w:color="000000"/>
          <w:bdr w:val="nil"/>
        </w:rPr>
        <w:t>.</w:t>
      </w:r>
    </w:p>
    <w:p w:rsidR="00E8713C" w:rsidRPr="00D93140" w:rsidRDefault="00D93140" w:rsidP="00E8713C">
      <w:pPr>
        <w:ind w:left="708"/>
        <w:jc w:val="both"/>
        <w:rPr>
          <w:rFonts w:ascii="Times New Roman" w:hAnsi="Times New Roman"/>
          <w:sz w:val="28"/>
          <w:szCs w:val="28"/>
          <w:u w:color="000000"/>
          <w:bdr w:val="nil"/>
        </w:rPr>
      </w:pPr>
    </w:p>
    <w:p w:rsidR="00E8713C" w:rsidRPr="00D93140" w:rsidRDefault="00D93140" w:rsidP="00E8713C">
      <w:pPr>
        <w:ind w:left="708"/>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5.3.2. Es una </w:t>
      </w:r>
      <w:r w:rsidRPr="00D93140">
        <w:rPr>
          <w:rFonts w:ascii="Times New Roman" w:hAnsi="Times New Roman"/>
          <w:i/>
          <w:sz w:val="28"/>
          <w:szCs w:val="28"/>
          <w:u w:color="000000"/>
          <w:bdr w:val="nil"/>
        </w:rPr>
        <w:t>competencia cualificada</w:t>
      </w:r>
      <w:r w:rsidRPr="00D93140">
        <w:rPr>
          <w:rFonts w:ascii="Times New Roman" w:hAnsi="Times New Roman"/>
          <w:sz w:val="28"/>
          <w:szCs w:val="28"/>
          <w:u w:color="000000"/>
          <w:bdr w:val="nil"/>
        </w:rPr>
        <w:t xml:space="preserve"> dado que las normas que se expiden en ej</w:t>
      </w:r>
      <w:r w:rsidRPr="00D93140">
        <w:rPr>
          <w:rFonts w:ascii="Times New Roman" w:hAnsi="Times New Roman"/>
          <w:sz w:val="28"/>
          <w:szCs w:val="28"/>
          <w:u w:color="000000"/>
          <w:bdr w:val="nil"/>
        </w:rPr>
        <w:t>ercicio de lo allí dispuesto tienen naturaleza legislativa y, por regla general, solo perderán su vigencia, cuando sea expedida la ley a la que se refiere el artículo 329 de la Constitución. Algunas de las materias a las que alude el artículo 56 de la Cart</w:t>
      </w:r>
      <w:r w:rsidRPr="00D93140">
        <w:rPr>
          <w:rFonts w:ascii="Times New Roman" w:hAnsi="Times New Roman"/>
          <w:sz w:val="28"/>
          <w:szCs w:val="28"/>
          <w:u w:color="000000"/>
          <w:bdr w:val="nil"/>
        </w:rPr>
        <w:t>a deberán ser expedidas por el Congreso siguiendo el trámite propio de la regulación orgánica</w:t>
      </w:r>
      <w:r w:rsidRPr="00D93140">
        <w:rPr>
          <w:rStyle w:val="Refdenotaalpie"/>
          <w:rFonts w:ascii="Times New Roman" w:hAnsi="Times New Roman"/>
          <w:sz w:val="28"/>
          <w:szCs w:val="28"/>
          <w:u w:color="000000"/>
          <w:bdr w:val="nil"/>
        </w:rPr>
        <w:footnoteReference w:id="24"/>
      </w:r>
      <w:r w:rsidRPr="00D93140">
        <w:rPr>
          <w:rFonts w:ascii="Times New Roman" w:hAnsi="Times New Roman"/>
          <w:sz w:val="28"/>
          <w:szCs w:val="28"/>
          <w:u w:color="000000"/>
          <w:bdr w:val="nil"/>
        </w:rPr>
        <w:t xml:space="preserve"> al paso que otras podrían ser reguladas en leyes ordinarias</w:t>
      </w:r>
      <w:r w:rsidRPr="00D93140">
        <w:rPr>
          <w:rStyle w:val="Refdenotaalpie"/>
          <w:rFonts w:ascii="Times New Roman" w:hAnsi="Times New Roman"/>
          <w:sz w:val="28"/>
          <w:szCs w:val="28"/>
          <w:u w:color="000000"/>
          <w:bdr w:val="nil"/>
        </w:rPr>
        <w:footnoteReference w:id="25"/>
      </w:r>
      <w:r w:rsidRPr="00D93140">
        <w:rPr>
          <w:rFonts w:ascii="Times New Roman" w:hAnsi="Times New Roman"/>
          <w:sz w:val="28"/>
          <w:szCs w:val="28"/>
          <w:u w:color="000000"/>
          <w:bdr w:val="nil"/>
        </w:rPr>
        <w:t>.</w:t>
      </w:r>
    </w:p>
    <w:p w:rsidR="00E8713C" w:rsidRPr="00D93140" w:rsidRDefault="00D93140" w:rsidP="00E8713C">
      <w:pPr>
        <w:pStyle w:val="Prrafodelista"/>
        <w:ind w:left="1428"/>
        <w:jc w:val="both"/>
        <w:rPr>
          <w:rFonts w:ascii="Times New Roman" w:hAnsi="Times New Roman"/>
          <w:sz w:val="28"/>
          <w:szCs w:val="28"/>
          <w:u w:color="000000"/>
          <w:bdr w:val="nil"/>
        </w:rPr>
      </w:pPr>
    </w:p>
    <w:p w:rsidR="00E8713C" w:rsidRPr="00D93140" w:rsidRDefault="00D93140" w:rsidP="00E8713C">
      <w:pPr>
        <w:pStyle w:val="Prrafodelista"/>
        <w:ind w:left="708"/>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5.3.3. Es una </w:t>
      </w:r>
      <w:r w:rsidRPr="00D93140">
        <w:rPr>
          <w:rFonts w:ascii="Times New Roman" w:hAnsi="Times New Roman"/>
          <w:i/>
          <w:sz w:val="28"/>
          <w:szCs w:val="28"/>
          <w:u w:color="000000"/>
          <w:bdr w:val="nil"/>
        </w:rPr>
        <w:t>competencia condicionada</w:t>
      </w:r>
      <w:r w:rsidRPr="00D93140">
        <w:rPr>
          <w:rFonts w:ascii="Times New Roman" w:hAnsi="Times New Roman"/>
          <w:sz w:val="28"/>
          <w:szCs w:val="28"/>
          <w:u w:color="000000"/>
          <w:bdr w:val="nil"/>
        </w:rPr>
        <w:t xml:space="preserve"> dado que su ejercicio depende de la inacción legislativa de</w:t>
      </w:r>
      <w:r w:rsidRPr="00D93140">
        <w:rPr>
          <w:rFonts w:ascii="Times New Roman" w:hAnsi="Times New Roman"/>
          <w:sz w:val="28"/>
          <w:szCs w:val="28"/>
          <w:u w:color="000000"/>
          <w:bdr w:val="nil"/>
        </w:rPr>
        <w:t>l Congreso de la República. A diferencia de otras de las disposiciones transitorias, en el caso del artículo 56 no se encuentra previsto ni un término para la adopción de la ley por parte del Congreso, ni un plazo para el ejercicio de la facultad por parte</w:t>
      </w:r>
      <w:r w:rsidRPr="00D93140">
        <w:rPr>
          <w:rFonts w:ascii="Times New Roman" w:hAnsi="Times New Roman"/>
          <w:sz w:val="28"/>
          <w:szCs w:val="28"/>
          <w:u w:color="000000"/>
          <w:bdr w:val="nil"/>
        </w:rPr>
        <w:t xml:space="preserve"> del Gobierno. Únicamente cuando el Congreso de la República expida la ley a la que se refiere el artículo 329, se extinguirá o agotará la atribución.</w:t>
      </w:r>
      <w:r w:rsidRPr="00D93140">
        <w:rPr>
          <w:rFonts w:ascii="Times New Roman" w:hAnsi="Times New Roman"/>
          <w:sz w:val="28"/>
          <w:szCs w:val="28"/>
          <w:u w:color="000000"/>
          <w:bdr w:val="nil"/>
        </w:rPr>
        <w:t xml:space="preserve"> (Subraya fuera de texto original).</w:t>
      </w:r>
    </w:p>
    <w:p w:rsidR="00E8713C" w:rsidRPr="00D93140" w:rsidRDefault="00D93140" w:rsidP="00E8713C">
      <w:pPr>
        <w:pStyle w:val="Prrafodelista"/>
        <w:ind w:left="0"/>
        <w:jc w:val="both"/>
        <w:rPr>
          <w:rFonts w:ascii="Times New Roman" w:hAnsi="Times New Roman"/>
          <w:sz w:val="28"/>
          <w:szCs w:val="28"/>
          <w:u w:color="000000"/>
          <w:bdr w:val="nil"/>
        </w:rPr>
      </w:pPr>
    </w:p>
    <w:p w:rsidR="004F055E"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Ahora, </w:t>
      </w:r>
      <w:r w:rsidRPr="00D93140">
        <w:rPr>
          <w:rFonts w:ascii="Times New Roman" w:hAnsi="Times New Roman"/>
          <w:sz w:val="28"/>
          <w:szCs w:val="28"/>
          <w:u w:color="000000"/>
          <w:bdr w:val="nil"/>
        </w:rPr>
        <w:t xml:space="preserve">teniendo en cuenta que se trata de una facultad amplia, </w:t>
      </w:r>
      <w:r w:rsidRPr="00D93140">
        <w:rPr>
          <w:rFonts w:ascii="Times New Roman" w:hAnsi="Times New Roman"/>
          <w:sz w:val="28"/>
          <w:szCs w:val="28"/>
          <w:u w:color="000000"/>
          <w:bdr w:val="nil"/>
        </w:rPr>
        <w:t xml:space="preserve">entender de dicha decisión que las materias abarcadas en el </w:t>
      </w:r>
      <w:r w:rsidRPr="00D93140">
        <w:rPr>
          <w:rFonts w:ascii="Times New Roman" w:hAnsi="Times New Roman"/>
          <w:sz w:val="28"/>
          <w:szCs w:val="28"/>
          <w:u w:color="000000"/>
          <w:bdr w:val="nil"/>
        </w:rPr>
        <w:t>D</w:t>
      </w:r>
      <w:r w:rsidRPr="00D93140">
        <w:rPr>
          <w:rFonts w:ascii="Times New Roman" w:hAnsi="Times New Roman"/>
          <w:sz w:val="28"/>
          <w:szCs w:val="28"/>
          <w:u w:color="000000"/>
          <w:bdr w:val="nil"/>
        </w:rPr>
        <w:t>ecreto 1953 de 2014 extinguían la competencia contemplada en el artículo 56, tampoco puede desprenderse de lo expuesto por la Corte. Al respecto, la Corte concluyó</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frente a los cargos analizados</w:t>
      </w:r>
      <w:r w:rsidRPr="00D93140">
        <w:rPr>
          <w:rFonts w:ascii="Times New Roman" w:hAnsi="Times New Roman"/>
          <w:sz w:val="28"/>
          <w:szCs w:val="28"/>
          <w:u w:color="000000"/>
          <w:bdr w:val="nil"/>
        </w:rPr>
        <w:t xml:space="preserve"> y a las circunstancias de ese entonces frente a la expedición de la ley a la que se refiere el artículo 329, lo siguiente: </w:t>
      </w:r>
    </w:p>
    <w:p w:rsidR="004F055E" w:rsidRPr="00D93140" w:rsidRDefault="00D93140" w:rsidP="00E04174">
      <w:pPr>
        <w:jc w:val="both"/>
        <w:rPr>
          <w:rFonts w:ascii="Times New Roman" w:hAnsi="Times New Roman"/>
          <w:sz w:val="28"/>
          <w:szCs w:val="28"/>
          <w:u w:color="000000"/>
          <w:bdr w:val="nil"/>
        </w:rPr>
      </w:pPr>
    </w:p>
    <w:p w:rsidR="004F055E" w:rsidRPr="00D93140" w:rsidRDefault="00D93140" w:rsidP="00C42BF4">
      <w:pPr>
        <w:ind w:left="567"/>
        <w:jc w:val="both"/>
        <w:rPr>
          <w:rFonts w:ascii="Times New Roman" w:hAnsi="Times New Roman"/>
          <w:sz w:val="28"/>
          <w:szCs w:val="24"/>
          <w:u w:color="000000"/>
          <w:bdr w:val="nil"/>
        </w:rPr>
      </w:pPr>
      <w:r w:rsidRPr="00D93140">
        <w:rPr>
          <w:rFonts w:ascii="Times New Roman" w:hAnsi="Times New Roman"/>
          <w:sz w:val="28"/>
          <w:szCs w:val="24"/>
          <w:u w:color="000000"/>
          <w:bdr w:val="nil"/>
        </w:rPr>
        <w:t>“</w:t>
      </w:r>
      <w:r w:rsidRPr="00D93140">
        <w:rPr>
          <w:rFonts w:ascii="Times New Roman" w:hAnsi="Times New Roman"/>
          <w:sz w:val="28"/>
          <w:szCs w:val="24"/>
          <w:shd w:val="clear" w:color="auto" w:fill="FFFFFF"/>
        </w:rPr>
        <w:t>(i) el Decreto se ocupa de regular las materias a las que alude el artículo 56 transitorio a fin de hacer posible el funcionamien</w:t>
      </w:r>
      <w:r w:rsidRPr="00D93140">
        <w:rPr>
          <w:rFonts w:ascii="Times New Roman" w:hAnsi="Times New Roman"/>
          <w:sz w:val="28"/>
          <w:szCs w:val="24"/>
          <w:shd w:val="clear" w:color="auto" w:fill="FFFFFF"/>
        </w:rPr>
        <w:t>to de los territorios indígenas, ofreciendo un marco normativo que abarca diferentes dimensiones de dichos territorios y (ii) su expedición se produjo en vigencia de la competencia establecida en el referido artículo 56 transitorio dado que no ha sido expe</w:t>
      </w:r>
      <w:r w:rsidRPr="00D93140">
        <w:rPr>
          <w:rFonts w:ascii="Times New Roman" w:hAnsi="Times New Roman"/>
          <w:sz w:val="28"/>
          <w:szCs w:val="24"/>
          <w:shd w:val="clear" w:color="auto" w:fill="FFFFFF"/>
        </w:rPr>
        <w:t>dida, según se demostró, la Ley a la que se refiere el artículo 329 de la Carta. En consecuencia</w:t>
      </w:r>
      <w:r w:rsidRPr="00D93140">
        <w:rPr>
          <w:rFonts w:ascii="Times New Roman" w:hAnsi="Times New Roman"/>
          <w:sz w:val="28"/>
          <w:szCs w:val="24"/>
          <w:u w:color="000000"/>
          <w:bdr w:val="nil"/>
        </w:rPr>
        <w:t xml:space="preserve"> </w:t>
      </w:r>
      <w:r w:rsidRPr="00D93140">
        <w:rPr>
          <w:rFonts w:ascii="Times New Roman" w:hAnsi="Times New Roman"/>
          <w:sz w:val="28"/>
          <w:szCs w:val="24"/>
          <w:shd w:val="clear" w:color="auto" w:fill="FFFFFF"/>
        </w:rPr>
        <w:t>(iii) el Gobierno Nacional no invadió o interfirió en las atribuciones que en esta materia los artículos 150 y 329 le confieren al Gobierno Nacional</w:t>
      </w:r>
      <w:r w:rsidRPr="00D93140">
        <w:rPr>
          <w:rFonts w:ascii="Times New Roman" w:hAnsi="Times New Roman"/>
          <w:sz w:val="28"/>
          <w:szCs w:val="24"/>
          <w:shd w:val="clear" w:color="auto" w:fill="FFFFFF"/>
        </w:rPr>
        <w:t>”</w:t>
      </w:r>
      <w:r w:rsidRPr="00D93140">
        <w:rPr>
          <w:rFonts w:ascii="Times New Roman" w:hAnsi="Times New Roman"/>
          <w:sz w:val="28"/>
          <w:szCs w:val="24"/>
          <w:shd w:val="clear" w:color="auto" w:fill="FFFFFF"/>
        </w:rPr>
        <w:t>.</w:t>
      </w:r>
    </w:p>
    <w:p w:rsidR="004F055E" w:rsidRPr="00D93140" w:rsidRDefault="00D93140" w:rsidP="00E04174">
      <w:pPr>
        <w:jc w:val="both"/>
        <w:rPr>
          <w:rFonts w:ascii="Times New Roman" w:hAnsi="Times New Roman"/>
          <w:sz w:val="28"/>
          <w:szCs w:val="28"/>
          <w:u w:color="000000"/>
          <w:bdr w:val="nil"/>
        </w:rPr>
      </w:pPr>
    </w:p>
    <w:p w:rsidR="00F4604D"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Lo </w:t>
      </w:r>
      <w:r w:rsidRPr="00D93140">
        <w:rPr>
          <w:rFonts w:ascii="Times New Roman" w:hAnsi="Times New Roman"/>
          <w:sz w:val="28"/>
          <w:szCs w:val="28"/>
          <w:u w:color="000000"/>
          <w:bdr w:val="nil"/>
        </w:rPr>
        <w:t>anterior</w:t>
      </w:r>
      <w:r w:rsidRPr="00D93140">
        <w:rPr>
          <w:rFonts w:ascii="Times New Roman" w:hAnsi="Times New Roman"/>
          <w:sz w:val="28"/>
          <w:szCs w:val="28"/>
          <w:u w:color="000000"/>
          <w:bdr w:val="nil"/>
        </w:rPr>
        <w:t xml:space="preserve">, contrario a lo señalado de forma superficial por el demandante, </w:t>
      </w:r>
      <w:r w:rsidRPr="00D93140">
        <w:rPr>
          <w:rFonts w:ascii="Times New Roman" w:hAnsi="Times New Roman"/>
          <w:sz w:val="28"/>
          <w:szCs w:val="28"/>
          <w:u w:color="000000"/>
          <w:bdr w:val="nil"/>
        </w:rPr>
        <w:t xml:space="preserve">no permite concluir que las materias reguladas en el citado </w:t>
      </w:r>
      <w:r w:rsidRPr="00D93140">
        <w:rPr>
          <w:rFonts w:ascii="Times New Roman" w:hAnsi="Times New Roman"/>
          <w:sz w:val="28"/>
          <w:szCs w:val="28"/>
          <w:u w:color="000000"/>
          <w:bdr w:val="nil"/>
        </w:rPr>
        <w:t>De</w:t>
      </w:r>
      <w:r w:rsidRPr="00D93140">
        <w:rPr>
          <w:rFonts w:ascii="Times New Roman" w:hAnsi="Times New Roman"/>
          <w:sz w:val="28"/>
          <w:szCs w:val="28"/>
          <w:u w:color="000000"/>
          <w:bdr w:val="nil"/>
        </w:rPr>
        <w:t>creto 1953 de 2014</w:t>
      </w:r>
      <w:r w:rsidRPr="00D93140">
        <w:rPr>
          <w:rFonts w:ascii="Times New Roman" w:hAnsi="Times New Roman"/>
          <w:sz w:val="28"/>
          <w:szCs w:val="28"/>
          <w:u w:color="000000"/>
          <w:bdr w:val="nil"/>
        </w:rPr>
        <w:t xml:space="preserve"> o </w:t>
      </w:r>
      <w:r w:rsidRPr="00D93140">
        <w:rPr>
          <w:rFonts w:ascii="Times New Roman" w:hAnsi="Times New Roman"/>
          <w:sz w:val="28"/>
          <w:szCs w:val="28"/>
          <w:u w:color="000000"/>
          <w:bdr w:val="nil"/>
        </w:rPr>
        <w:t xml:space="preserve">incluso </w:t>
      </w:r>
      <w:r w:rsidRPr="00D93140">
        <w:rPr>
          <w:rFonts w:ascii="Times New Roman" w:hAnsi="Times New Roman"/>
          <w:sz w:val="28"/>
          <w:szCs w:val="28"/>
          <w:u w:color="000000"/>
          <w:bdr w:val="nil"/>
        </w:rPr>
        <w:t>las que se contemplan en el D</w:t>
      </w:r>
      <w:r w:rsidRPr="00D93140">
        <w:rPr>
          <w:rFonts w:ascii="Times New Roman" w:hAnsi="Times New Roman"/>
          <w:sz w:val="28"/>
          <w:szCs w:val="28"/>
          <w:u w:color="000000"/>
          <w:bdr w:val="nil"/>
        </w:rPr>
        <w:t xml:space="preserve">ecreto 1088 de 1993, hayan agotado todas las áreas que se relacionan con el funcionamiento de los territorios indígenas o con su coordinación con las entidades territoriales, como lo afirma el actor. </w:t>
      </w:r>
      <w:r w:rsidRPr="00D93140">
        <w:rPr>
          <w:rFonts w:ascii="Times New Roman" w:hAnsi="Times New Roman"/>
          <w:sz w:val="28"/>
          <w:szCs w:val="28"/>
          <w:u w:color="000000"/>
          <w:bdr w:val="nil"/>
        </w:rPr>
        <w:t>D</w:t>
      </w:r>
      <w:r w:rsidRPr="00D93140">
        <w:rPr>
          <w:rFonts w:ascii="Times New Roman" w:hAnsi="Times New Roman"/>
          <w:sz w:val="28"/>
          <w:szCs w:val="28"/>
          <w:u w:color="000000"/>
          <w:bdr w:val="nil"/>
        </w:rPr>
        <w:t xml:space="preserve">e la regla de decisión fijada en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C-617 de </w:t>
      </w:r>
      <w:r w:rsidRPr="00D93140">
        <w:rPr>
          <w:rFonts w:ascii="Times New Roman" w:hAnsi="Times New Roman"/>
          <w:sz w:val="28"/>
          <w:szCs w:val="28"/>
          <w:u w:color="000000"/>
          <w:bdr w:val="nil"/>
        </w:rPr>
        <w:t xml:space="preserve">2015 no se deriva tal conclusión, pues en ella se indica que “[e]s constitucionalmente válido el ejercicio por parte del Gobierno Nacional de una competencia conferida por una disposición transitoria de la Constitución </w:t>
      </w:r>
      <w:r w:rsidRPr="00D93140">
        <w:rPr>
          <w:rFonts w:ascii="Times New Roman" w:hAnsi="Times New Roman"/>
          <w:sz w:val="28"/>
          <w:szCs w:val="28"/>
          <w:u w:val="single" w:color="000000"/>
          <w:bdr w:val="nil"/>
        </w:rPr>
        <w:t>cuando su vigencia depende de una con</w:t>
      </w:r>
      <w:r w:rsidRPr="00D93140">
        <w:rPr>
          <w:rFonts w:ascii="Times New Roman" w:hAnsi="Times New Roman"/>
          <w:sz w:val="28"/>
          <w:szCs w:val="28"/>
          <w:u w:val="single" w:color="000000"/>
          <w:bdr w:val="nil"/>
        </w:rPr>
        <w:t>dición resolutoria que no se ha cumplido</w:t>
      </w:r>
      <w:r w:rsidRPr="00D93140">
        <w:rPr>
          <w:rFonts w:ascii="Times New Roman" w:hAnsi="Times New Roman"/>
          <w:sz w:val="28"/>
          <w:szCs w:val="28"/>
          <w:u w:color="000000"/>
          <w:bdr w:val="nil"/>
        </w:rPr>
        <w:t xml:space="preserve">. </w:t>
      </w:r>
      <w:r w:rsidRPr="00D93140">
        <w:rPr>
          <w:rFonts w:ascii="Times New Roman" w:hAnsi="Times New Roman"/>
          <w:sz w:val="28"/>
          <w:szCs w:val="28"/>
          <w:u w:val="single" w:color="000000"/>
          <w:bdr w:val="nil"/>
        </w:rPr>
        <w:t>Si la condición consiste en la expedición de una regulación por parte del Congreso, el Gobierno está habilitado para expedir el decreto correspondiente</w:t>
      </w:r>
      <w:r w:rsidRPr="00D93140">
        <w:rPr>
          <w:rFonts w:ascii="Times New Roman" w:hAnsi="Times New Roman"/>
          <w:sz w:val="28"/>
          <w:szCs w:val="28"/>
          <w:u w:color="000000"/>
          <w:bdr w:val="nil"/>
        </w:rPr>
        <w:t>. En caso de ejercer una competencia ya extinguida se presentar</w:t>
      </w:r>
      <w:r w:rsidRPr="00D93140">
        <w:rPr>
          <w:rFonts w:ascii="Times New Roman" w:hAnsi="Times New Roman"/>
          <w:sz w:val="28"/>
          <w:szCs w:val="28"/>
          <w:u w:color="000000"/>
          <w:bdr w:val="nil"/>
        </w:rPr>
        <w:t>á un vicio competencial”</w:t>
      </w:r>
      <w:r w:rsidRPr="00D93140">
        <w:rPr>
          <w:rFonts w:ascii="Times New Roman" w:hAnsi="Times New Roman"/>
          <w:sz w:val="28"/>
          <w:szCs w:val="28"/>
          <w:u w:color="000000"/>
          <w:bdr w:val="nil"/>
        </w:rPr>
        <w:t>. (S</w:t>
      </w:r>
      <w:r w:rsidRPr="00D93140">
        <w:rPr>
          <w:rFonts w:ascii="Times New Roman" w:hAnsi="Times New Roman"/>
          <w:sz w:val="28"/>
          <w:szCs w:val="28"/>
          <w:u w:color="000000"/>
          <w:bdr w:val="nil"/>
        </w:rPr>
        <w:t>ubraya fuera del original).</w:t>
      </w:r>
    </w:p>
    <w:p w:rsidR="00F4604D" w:rsidRPr="00D93140" w:rsidRDefault="00D93140" w:rsidP="00E04174">
      <w:pPr>
        <w:pStyle w:val="Prrafodelista"/>
        <w:ind w:left="0"/>
        <w:jc w:val="both"/>
        <w:rPr>
          <w:rFonts w:ascii="Times New Roman" w:hAnsi="Times New Roman"/>
          <w:sz w:val="28"/>
          <w:szCs w:val="28"/>
          <w:u w:color="000000"/>
          <w:bdr w:val="nil"/>
        </w:rPr>
      </w:pPr>
    </w:p>
    <w:p w:rsidR="007662DD"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Bajo este entendido, el cargo presentado no solo carece de </w:t>
      </w:r>
      <w:r w:rsidRPr="00D93140">
        <w:rPr>
          <w:rFonts w:ascii="Times New Roman" w:hAnsi="Times New Roman"/>
          <w:i/>
          <w:sz w:val="28"/>
          <w:szCs w:val="28"/>
          <w:u w:color="000000"/>
          <w:bdr w:val="nil"/>
        </w:rPr>
        <w:t>pertinencia</w:t>
      </w:r>
      <w:r w:rsidRPr="00D93140">
        <w:rPr>
          <w:rFonts w:ascii="Times New Roman" w:hAnsi="Times New Roman"/>
          <w:sz w:val="28"/>
          <w:szCs w:val="28"/>
          <w:u w:color="000000"/>
          <w:bdr w:val="nil"/>
        </w:rPr>
        <w:t xml:space="preserve"> sino de </w:t>
      </w:r>
      <w:r w:rsidRPr="00D93140">
        <w:rPr>
          <w:rFonts w:ascii="Times New Roman" w:hAnsi="Times New Roman"/>
          <w:i/>
          <w:sz w:val="28"/>
          <w:szCs w:val="28"/>
          <w:u w:color="000000"/>
          <w:bdr w:val="nil"/>
        </w:rPr>
        <w:t>especificidad</w:t>
      </w:r>
      <w:r w:rsidRPr="00D93140">
        <w:rPr>
          <w:rFonts w:ascii="Times New Roman" w:hAnsi="Times New Roman"/>
          <w:sz w:val="28"/>
          <w:szCs w:val="28"/>
          <w:u w:color="000000"/>
          <w:bdr w:val="nil"/>
        </w:rPr>
        <w:t>, en la medida en que</w:t>
      </w:r>
      <w:r w:rsidRPr="00D93140">
        <w:rPr>
          <w:rFonts w:ascii="Times New Roman" w:hAnsi="Times New Roman"/>
          <w:sz w:val="28"/>
          <w:szCs w:val="28"/>
          <w:u w:color="000000"/>
          <w:bdr w:val="nil"/>
        </w:rPr>
        <w:t xml:space="preserve"> no se desarrollan argumentos que permitan realizar una confrontación </w:t>
      </w:r>
      <w:r w:rsidRPr="00D93140">
        <w:rPr>
          <w:rFonts w:ascii="Times New Roman" w:hAnsi="Times New Roman"/>
          <w:sz w:val="28"/>
          <w:szCs w:val="28"/>
          <w:u w:color="000000"/>
          <w:bdr w:val="nil"/>
        </w:rPr>
        <w:t xml:space="preserve">objetiva </w:t>
      </w:r>
      <w:r w:rsidRPr="00D93140">
        <w:rPr>
          <w:rFonts w:ascii="Times New Roman" w:hAnsi="Times New Roman"/>
          <w:sz w:val="28"/>
          <w:szCs w:val="28"/>
          <w:u w:color="000000"/>
          <w:bdr w:val="nil"/>
        </w:rPr>
        <w:t xml:space="preserve">entre la norma constitucional y el decreto </w:t>
      </w:r>
      <w:r w:rsidRPr="00D93140">
        <w:rPr>
          <w:rFonts w:ascii="Times New Roman" w:hAnsi="Times New Roman"/>
          <w:sz w:val="28"/>
          <w:szCs w:val="28"/>
          <w:u w:color="000000"/>
          <w:bdr w:val="nil"/>
        </w:rPr>
        <w:t>cuestionado,</w:t>
      </w:r>
      <w:r w:rsidRPr="00D93140">
        <w:rPr>
          <w:rFonts w:ascii="Times New Roman" w:hAnsi="Times New Roman"/>
          <w:sz w:val="28"/>
          <w:szCs w:val="28"/>
          <w:u w:color="000000"/>
          <w:bdr w:val="nil"/>
        </w:rPr>
        <w:t xml:space="preserve"> sino que los argumentos se construyen con fundamento en interpretaciones subjetivas del actor. Como se indicó, las deducciones del demandante no se </w:t>
      </w:r>
      <w:r w:rsidRPr="00D93140">
        <w:rPr>
          <w:rFonts w:ascii="Times New Roman" w:hAnsi="Times New Roman"/>
          <w:sz w:val="28"/>
          <w:szCs w:val="28"/>
          <w:u w:color="000000"/>
          <w:bdr w:val="nil"/>
        </w:rPr>
        <w:t>derivan</w:t>
      </w:r>
      <w:r w:rsidRPr="00D93140">
        <w:rPr>
          <w:rFonts w:ascii="Times New Roman" w:hAnsi="Times New Roman"/>
          <w:sz w:val="28"/>
          <w:szCs w:val="28"/>
          <w:u w:color="000000"/>
          <w:bdr w:val="nil"/>
        </w:rPr>
        <w:t xml:space="preserve"> objetivamente de la Constitución ni mucho me</w:t>
      </w:r>
      <w:r w:rsidRPr="00D93140">
        <w:rPr>
          <w:rFonts w:ascii="Times New Roman" w:hAnsi="Times New Roman"/>
          <w:sz w:val="28"/>
          <w:szCs w:val="28"/>
          <w:u w:color="000000"/>
          <w:bdr w:val="nil"/>
        </w:rPr>
        <w:t xml:space="preserve">nos de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que cita como referencia para sustentar sus argumentos</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E</w:t>
      </w:r>
      <w:r w:rsidRPr="00D93140">
        <w:rPr>
          <w:rFonts w:ascii="Times New Roman" w:hAnsi="Times New Roman"/>
          <w:sz w:val="28"/>
          <w:szCs w:val="28"/>
          <w:u w:color="000000"/>
          <w:bdr w:val="nil"/>
        </w:rPr>
        <w:t xml:space="preserve">n cuanto al supuesto agotamiento de las competencias otorgadas en el artículo 56 transitorio, el actor se limita a citar extractos de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C-617 de 2015 en el que se refie</w:t>
      </w:r>
      <w:r w:rsidRPr="00D93140">
        <w:rPr>
          <w:rFonts w:ascii="Times New Roman" w:hAnsi="Times New Roman"/>
          <w:sz w:val="28"/>
          <w:szCs w:val="28"/>
          <w:u w:color="000000"/>
          <w:bdr w:val="nil"/>
        </w:rPr>
        <w:t xml:space="preserve">ren los temas que abordaron los Decretos 1088 de 1993 y 1953 de 2014 para señalar que son suficientes para poner en funcionamiento los territorios indígenas, sin desarrollar tal alegato. Lo mismo puede decirse de su afirmación </w:t>
      </w:r>
      <w:r w:rsidRPr="00D93140">
        <w:rPr>
          <w:rFonts w:ascii="Times New Roman" w:hAnsi="Times New Roman"/>
          <w:sz w:val="28"/>
          <w:szCs w:val="28"/>
          <w:u w:color="000000"/>
          <w:bdr w:val="nil"/>
        </w:rPr>
        <w:t>respecto de que las competenc</w:t>
      </w:r>
      <w:r w:rsidRPr="00D93140">
        <w:rPr>
          <w:rFonts w:ascii="Times New Roman" w:hAnsi="Times New Roman"/>
          <w:sz w:val="28"/>
          <w:szCs w:val="28"/>
          <w:u w:color="000000"/>
          <w:bdr w:val="nil"/>
        </w:rPr>
        <w:t xml:space="preserve">ias ambientales que se otorgan en el Decreto 1275 de 2024 cuestionado no son esenciales. En el cargo no se advierten argumentos para explicar tal afirmación. </w:t>
      </w:r>
    </w:p>
    <w:p w:rsidR="007662DD" w:rsidRPr="00D93140" w:rsidRDefault="00D93140" w:rsidP="00E04174">
      <w:pPr>
        <w:jc w:val="both"/>
        <w:rPr>
          <w:rFonts w:ascii="Times New Roman" w:hAnsi="Times New Roman"/>
          <w:sz w:val="28"/>
          <w:szCs w:val="28"/>
          <w:u w:color="000000"/>
          <w:bdr w:val="nil"/>
        </w:rPr>
      </w:pPr>
    </w:p>
    <w:p w:rsidR="00F9418B" w:rsidRPr="00D93140" w:rsidRDefault="00D93140" w:rsidP="00537BCE">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No se desprende entonces del análisis realizado por este Tribunal, que la competencia conferida </w:t>
      </w:r>
      <w:r w:rsidRPr="00D93140">
        <w:rPr>
          <w:rFonts w:ascii="Times New Roman" w:hAnsi="Times New Roman"/>
          <w:sz w:val="28"/>
          <w:szCs w:val="28"/>
        </w:rPr>
        <w:t>en el artículo 56 tra</w:t>
      </w:r>
      <w:r w:rsidRPr="00D93140">
        <w:rPr>
          <w:rFonts w:ascii="Times New Roman" w:hAnsi="Times New Roman"/>
          <w:sz w:val="28"/>
          <w:szCs w:val="28"/>
        </w:rPr>
        <w:t>nsitorio se agotó</w:t>
      </w:r>
      <w:r w:rsidRPr="00D93140">
        <w:rPr>
          <w:rFonts w:ascii="Times New Roman" w:hAnsi="Times New Roman"/>
          <w:sz w:val="28"/>
          <w:szCs w:val="28"/>
        </w:rPr>
        <w:t xml:space="preserve"> con la expedición de una ley distinta a la prevista en el artículo 329</w:t>
      </w:r>
      <w:r w:rsidRPr="00D93140">
        <w:rPr>
          <w:rStyle w:val="Refdenotaalpie"/>
          <w:rFonts w:ascii="Times New Roman" w:hAnsi="Times New Roman"/>
          <w:sz w:val="28"/>
          <w:szCs w:val="28"/>
        </w:rPr>
        <w:footnoteReference w:id="26"/>
      </w:r>
      <w:r w:rsidRPr="00D93140">
        <w:rPr>
          <w:rFonts w:ascii="Times New Roman" w:hAnsi="Times New Roman"/>
          <w:sz w:val="28"/>
          <w:szCs w:val="28"/>
        </w:rPr>
        <w:t xml:space="preserve"> o, como lo afirma el accionante, </w:t>
      </w:r>
      <w:r w:rsidRPr="00D93140">
        <w:rPr>
          <w:rFonts w:ascii="Times New Roman" w:hAnsi="Times New Roman"/>
          <w:sz w:val="28"/>
          <w:szCs w:val="28"/>
        </w:rPr>
        <w:t xml:space="preserve">con lo regulado </w:t>
      </w:r>
      <w:r w:rsidRPr="00D93140">
        <w:rPr>
          <w:rFonts w:ascii="Times New Roman" w:hAnsi="Times New Roman"/>
          <w:sz w:val="28"/>
          <w:szCs w:val="28"/>
        </w:rPr>
        <w:t>en los Decretos 1088 de 1993 y 1953 de 2014.</w:t>
      </w:r>
      <w:r w:rsidRPr="00D93140">
        <w:rPr>
          <w:rFonts w:ascii="Times New Roman" w:hAnsi="Times New Roman"/>
          <w:sz w:val="28"/>
          <w:szCs w:val="28"/>
        </w:rPr>
        <w:t xml:space="preserve"> En </w:t>
      </w:r>
      <w:r w:rsidRPr="00D93140">
        <w:rPr>
          <w:rFonts w:ascii="Times New Roman" w:hAnsi="Times New Roman"/>
          <w:sz w:val="28"/>
          <w:szCs w:val="28"/>
        </w:rPr>
        <w:t xml:space="preserve">efecto, como lo reconoció esta Corte en la </w:t>
      </w:r>
      <w:r w:rsidRPr="00D93140">
        <w:rPr>
          <w:rFonts w:ascii="Times New Roman" w:hAnsi="Times New Roman"/>
          <w:sz w:val="28"/>
          <w:szCs w:val="28"/>
        </w:rPr>
        <w:t>Sentencia</w:t>
      </w:r>
      <w:r w:rsidRPr="00D93140">
        <w:rPr>
          <w:rFonts w:ascii="Times New Roman" w:hAnsi="Times New Roman"/>
          <w:sz w:val="28"/>
          <w:szCs w:val="28"/>
        </w:rPr>
        <w:t xml:space="preserve"> C-617 de 2015 “[d]e la Ley 1454 de 2011 no se desprende un régimen que establezca las condiciones mínimas para hacer posible el funcionamiento de los territorios indígenas. Se trata de una ley que se limita a establecer principios y reglas genera</w:t>
      </w:r>
      <w:r w:rsidRPr="00D93140">
        <w:rPr>
          <w:rFonts w:ascii="Times New Roman" w:hAnsi="Times New Roman"/>
          <w:sz w:val="28"/>
          <w:szCs w:val="28"/>
        </w:rPr>
        <w:t>les que gobernarán la expedición posterior de otras leyes, a prever algunas posibilidades de asociación entre entidades territoriales y a precisar el alcance de algunas de las competencias que pueden ser ejercidas por la nación y las otras entidades territ</w:t>
      </w:r>
      <w:r w:rsidRPr="00D93140">
        <w:rPr>
          <w:rFonts w:ascii="Times New Roman" w:hAnsi="Times New Roman"/>
          <w:sz w:val="28"/>
          <w:szCs w:val="28"/>
        </w:rPr>
        <w:t xml:space="preserve">oriales, en particular los departamentos, los distritos y los municipios”. </w:t>
      </w:r>
      <w:r w:rsidRPr="00D93140">
        <w:rPr>
          <w:rFonts w:ascii="Times New Roman" w:hAnsi="Times New Roman"/>
          <w:sz w:val="28"/>
          <w:szCs w:val="28"/>
        </w:rPr>
        <w:t>Por lo tanto, ante el silencio del legislador en este punto, el Gobierno Nacional puede, con base en el artículo 56 transitorio de la Constitución, seguir regulando aspectos relacio</w:t>
      </w:r>
      <w:r w:rsidRPr="00D93140">
        <w:rPr>
          <w:rFonts w:ascii="Times New Roman" w:hAnsi="Times New Roman"/>
          <w:sz w:val="28"/>
          <w:szCs w:val="28"/>
        </w:rPr>
        <w:t>nados con el funcionamiento de los territorios indígenas, y con la coordinación entre estos y otras entidades territoriales.</w:t>
      </w:r>
    </w:p>
    <w:p w:rsidR="0082435B" w:rsidRPr="00D93140" w:rsidRDefault="00D93140" w:rsidP="0082435B">
      <w:pPr>
        <w:pStyle w:val="Prrafodelista"/>
        <w:ind w:left="0"/>
        <w:jc w:val="both"/>
        <w:rPr>
          <w:rFonts w:ascii="Times New Roman" w:hAnsi="Times New Roman"/>
          <w:sz w:val="28"/>
          <w:szCs w:val="28"/>
        </w:rPr>
      </w:pPr>
    </w:p>
    <w:p w:rsidR="00F9418B" w:rsidRPr="00D93140" w:rsidRDefault="00D93140" w:rsidP="00E04174">
      <w:pPr>
        <w:pStyle w:val="Prrafodelista"/>
        <w:numPr>
          <w:ilvl w:val="0"/>
          <w:numId w:val="1"/>
        </w:numPr>
        <w:ind w:left="0" w:firstLine="0"/>
        <w:jc w:val="both"/>
        <w:rPr>
          <w:rFonts w:ascii="Times New Roman" w:hAnsi="Times New Roman"/>
          <w:b/>
          <w:sz w:val="28"/>
          <w:szCs w:val="28"/>
        </w:rPr>
      </w:pPr>
      <w:r w:rsidRPr="00D93140">
        <w:rPr>
          <w:rFonts w:ascii="Times New Roman" w:hAnsi="Times New Roman"/>
          <w:sz w:val="28"/>
          <w:szCs w:val="28"/>
        </w:rPr>
        <w:t>Lo mismo podría decirse del Decreto 1088 de 1993 el cual, si bien contempla normas relacionadas con el funcionamiento de los terri</w:t>
      </w:r>
      <w:r w:rsidRPr="00D93140">
        <w:rPr>
          <w:rFonts w:ascii="Times New Roman" w:hAnsi="Times New Roman"/>
          <w:sz w:val="28"/>
          <w:szCs w:val="28"/>
        </w:rPr>
        <w:t>torios indígenas no</w:t>
      </w:r>
      <w:r w:rsidRPr="00D93140">
        <w:rPr>
          <w:rFonts w:ascii="Times New Roman" w:hAnsi="Times New Roman"/>
          <w:sz w:val="28"/>
          <w:szCs w:val="28"/>
        </w:rPr>
        <w:t xml:space="preserve"> hace referencia a las</w:t>
      </w:r>
      <w:r w:rsidRPr="00D93140">
        <w:rPr>
          <w:rFonts w:ascii="Times New Roman" w:hAnsi="Times New Roman"/>
          <w:sz w:val="28"/>
          <w:szCs w:val="28"/>
        </w:rPr>
        <w:t xml:space="preserve"> competencias ambientales de los mismos. Por su parte, el Decreto 1953 de 2004 </w:t>
      </w:r>
      <w:r w:rsidRPr="00D93140">
        <w:rPr>
          <w:rFonts w:ascii="Times New Roman" w:hAnsi="Times New Roman"/>
          <w:sz w:val="28"/>
          <w:szCs w:val="28"/>
        </w:rPr>
        <w:t>si bien hace una mención general en su artículo 13 a las competencias de los territorios indígenas y sus autoridades, para definir, ejec</w:t>
      </w:r>
      <w:r w:rsidRPr="00D93140">
        <w:rPr>
          <w:rFonts w:ascii="Times New Roman" w:hAnsi="Times New Roman"/>
          <w:sz w:val="28"/>
          <w:szCs w:val="28"/>
        </w:rPr>
        <w:t>utar y evaluar las políticas ambientales, no se advierte</w:t>
      </w:r>
      <w:r w:rsidRPr="00D93140">
        <w:rPr>
          <w:rFonts w:ascii="Times New Roman" w:hAnsi="Times New Roman"/>
          <w:sz w:val="28"/>
          <w:szCs w:val="28"/>
        </w:rPr>
        <w:t>n</w:t>
      </w:r>
      <w:r w:rsidRPr="00D93140">
        <w:rPr>
          <w:rFonts w:ascii="Times New Roman" w:hAnsi="Times New Roman"/>
          <w:sz w:val="28"/>
          <w:szCs w:val="28"/>
        </w:rPr>
        <w:t xml:space="preserve"> en él normas que se encarguen de regular de forma particular dichas competencias ni la manera en que se ejercerán de conformidad con</w:t>
      </w:r>
      <w:r w:rsidRPr="00D93140">
        <w:rPr>
          <w:rFonts w:ascii="Times New Roman" w:hAnsi="Times New Roman"/>
          <w:bCs/>
          <w:sz w:val="28"/>
          <w:szCs w:val="28"/>
        </w:rPr>
        <w:t xml:space="preserve"> los principios de coordinación, concurrencia y subsidiariedad</w:t>
      </w:r>
      <w:r w:rsidRPr="00D93140">
        <w:rPr>
          <w:rFonts w:ascii="Times New Roman" w:hAnsi="Times New Roman"/>
          <w:sz w:val="28"/>
          <w:szCs w:val="28"/>
        </w:rPr>
        <w:t xml:space="preserve"> con</w:t>
      </w:r>
      <w:r w:rsidRPr="00D93140">
        <w:rPr>
          <w:rFonts w:ascii="Times New Roman" w:hAnsi="Times New Roman"/>
          <w:sz w:val="28"/>
          <w:szCs w:val="28"/>
        </w:rPr>
        <w:t xml:space="preserve"> las demás autoridades ambientales del SINA.  </w:t>
      </w:r>
    </w:p>
    <w:p w:rsidR="00F9418B" w:rsidRPr="00D93140" w:rsidRDefault="00D93140" w:rsidP="00F9418B">
      <w:pPr>
        <w:pStyle w:val="Prrafodelista"/>
        <w:ind w:left="0"/>
        <w:jc w:val="both"/>
        <w:rPr>
          <w:rFonts w:ascii="Times New Roman" w:hAnsi="Times New Roman"/>
          <w:b/>
          <w:sz w:val="28"/>
          <w:szCs w:val="28"/>
        </w:rPr>
      </w:pPr>
    </w:p>
    <w:p w:rsidR="00320502" w:rsidRPr="00D93140" w:rsidRDefault="00D93140" w:rsidP="00E04174">
      <w:pPr>
        <w:pStyle w:val="Prrafodelista"/>
        <w:numPr>
          <w:ilvl w:val="0"/>
          <w:numId w:val="1"/>
        </w:numPr>
        <w:ind w:left="0" w:firstLine="0"/>
        <w:jc w:val="both"/>
        <w:rPr>
          <w:rFonts w:ascii="Times New Roman" w:hAnsi="Times New Roman"/>
          <w:b/>
          <w:sz w:val="28"/>
          <w:szCs w:val="28"/>
        </w:rPr>
      </w:pPr>
      <w:r w:rsidRPr="00D93140">
        <w:rPr>
          <w:rFonts w:ascii="Times New Roman" w:hAnsi="Times New Roman"/>
          <w:sz w:val="28"/>
          <w:szCs w:val="28"/>
        </w:rPr>
        <w:t xml:space="preserve">En </w:t>
      </w:r>
      <w:r w:rsidRPr="00D93140">
        <w:rPr>
          <w:rFonts w:ascii="Times New Roman" w:hAnsi="Times New Roman"/>
          <w:sz w:val="28"/>
          <w:szCs w:val="28"/>
        </w:rPr>
        <w:t xml:space="preserve">este escenario, también advierte esta sala que los argumentos presentados carecen de </w:t>
      </w:r>
      <w:r w:rsidRPr="00D93140">
        <w:rPr>
          <w:rFonts w:ascii="Times New Roman" w:hAnsi="Times New Roman"/>
          <w:i/>
          <w:sz w:val="28"/>
          <w:szCs w:val="28"/>
        </w:rPr>
        <w:t>suficiencia</w:t>
      </w:r>
      <w:r w:rsidRPr="00D93140">
        <w:rPr>
          <w:rFonts w:ascii="Times New Roman" w:hAnsi="Times New Roman"/>
          <w:sz w:val="28"/>
          <w:szCs w:val="28"/>
        </w:rPr>
        <w:t xml:space="preserve"> en la medida en que los alegatos no contienen </w:t>
      </w:r>
      <w:r w:rsidRPr="00D93140">
        <w:rPr>
          <w:rFonts w:ascii="Times New Roman" w:hAnsi="Times New Roman"/>
          <w:sz w:val="28"/>
          <w:szCs w:val="28"/>
          <w:lang w:val="es-ES"/>
        </w:rPr>
        <w:t>los elementos de juicio necesarios para llevar a cabo un juici</w:t>
      </w:r>
      <w:r w:rsidRPr="00D93140">
        <w:rPr>
          <w:rFonts w:ascii="Times New Roman" w:hAnsi="Times New Roman"/>
          <w:sz w:val="28"/>
          <w:szCs w:val="28"/>
          <w:lang w:val="es-ES"/>
        </w:rPr>
        <w:t xml:space="preserve">o de constitucionalidad o despertar una </w:t>
      </w:r>
      <w:r w:rsidRPr="00D93140">
        <w:rPr>
          <w:rFonts w:ascii="Times New Roman" w:hAnsi="Times New Roman"/>
          <w:i/>
          <w:sz w:val="28"/>
          <w:szCs w:val="28"/>
          <w:lang w:val="es-ES"/>
        </w:rPr>
        <w:t xml:space="preserve">duda mínima </w:t>
      </w:r>
      <w:r w:rsidRPr="00D93140">
        <w:rPr>
          <w:rFonts w:ascii="Times New Roman" w:hAnsi="Times New Roman"/>
          <w:sz w:val="28"/>
          <w:szCs w:val="28"/>
          <w:lang w:val="es-ES"/>
        </w:rPr>
        <w:t>sobre la constitucionalidad del Decreto 1275 de 2024.</w:t>
      </w:r>
    </w:p>
    <w:p w:rsidR="00320502" w:rsidRPr="00D93140" w:rsidRDefault="00D93140" w:rsidP="00E04174">
      <w:pPr>
        <w:pStyle w:val="Prrafodelista"/>
        <w:ind w:left="0"/>
        <w:jc w:val="both"/>
        <w:rPr>
          <w:rFonts w:ascii="Times New Roman" w:hAnsi="Times New Roman"/>
          <w:b/>
          <w:sz w:val="28"/>
          <w:szCs w:val="28"/>
        </w:rPr>
      </w:pPr>
    </w:p>
    <w:p w:rsidR="00884BD4" w:rsidRPr="00D93140" w:rsidRDefault="00D93140" w:rsidP="00E04174">
      <w:pPr>
        <w:pStyle w:val="Prrafodelista"/>
        <w:numPr>
          <w:ilvl w:val="0"/>
          <w:numId w:val="1"/>
        </w:numPr>
        <w:ind w:left="0" w:firstLine="0"/>
        <w:jc w:val="both"/>
        <w:rPr>
          <w:rFonts w:ascii="Times New Roman" w:hAnsi="Times New Roman"/>
          <w:b/>
          <w:sz w:val="28"/>
          <w:szCs w:val="28"/>
        </w:rPr>
      </w:pPr>
      <w:r w:rsidRPr="00D93140">
        <w:rPr>
          <w:rFonts w:ascii="Times New Roman" w:hAnsi="Times New Roman"/>
          <w:sz w:val="28"/>
          <w:szCs w:val="28"/>
          <w:u w:color="000000"/>
          <w:bdr w:val="nil"/>
        </w:rPr>
        <w:t xml:space="preserve">De otra parte, en el </w:t>
      </w:r>
      <w:r w:rsidRPr="00D93140">
        <w:rPr>
          <w:rFonts w:ascii="Times New Roman" w:hAnsi="Times New Roman"/>
          <w:sz w:val="28"/>
          <w:szCs w:val="28"/>
          <w:u w:color="000000"/>
          <w:bdr w:val="nil"/>
        </w:rPr>
        <w:t xml:space="preserve">tercer cargo del </w:t>
      </w:r>
      <w:r w:rsidRPr="00D93140">
        <w:rPr>
          <w:rFonts w:ascii="Times New Roman" w:hAnsi="Times New Roman"/>
          <w:sz w:val="28"/>
          <w:szCs w:val="28"/>
          <w:u w:color="000000"/>
          <w:bdr w:val="nil"/>
        </w:rPr>
        <w:t xml:space="preserve">expediente D-16396, el actor indicó que </w:t>
      </w:r>
      <w:r w:rsidRPr="00D93140">
        <w:rPr>
          <w:rFonts w:ascii="Times New Roman" w:hAnsi="Times New Roman"/>
          <w:sz w:val="28"/>
          <w:szCs w:val="28"/>
          <w:u w:color="000000"/>
          <w:bdr w:val="nil"/>
        </w:rPr>
        <w:t>el Gobierno Nacional, en su calidad de legislador extraordinario, incur</w:t>
      </w:r>
      <w:r w:rsidRPr="00D93140">
        <w:rPr>
          <w:rFonts w:ascii="Times New Roman" w:hAnsi="Times New Roman"/>
          <w:sz w:val="28"/>
          <w:szCs w:val="28"/>
          <w:u w:color="000000"/>
          <w:bdr w:val="nil"/>
        </w:rPr>
        <w:t>rió en una extralimitación material o un exceso de potestad legislativa, al legislar más allá de lo previsto en el artículo 56 transitorio</w:t>
      </w:r>
      <w:r w:rsidRPr="00D93140">
        <w:rPr>
          <w:rFonts w:ascii="Times New Roman" w:hAnsi="Times New Roman"/>
          <w:sz w:val="28"/>
          <w:szCs w:val="28"/>
          <w:u w:color="000000"/>
          <w:bdr w:val="nil"/>
        </w:rPr>
        <w:t xml:space="preserve"> porque (i) otorga facultades ambientales a entidades distintas y adicionales a las entidades territoriales indígenas y (ii) regula su coordinación, no con las demás entidades territoriales, sino con toda suerte de entidades públicas</w:t>
      </w:r>
      <w:r w:rsidRPr="00D93140">
        <w:rPr>
          <w:rFonts w:ascii="Times New Roman" w:hAnsi="Times New Roman"/>
          <w:sz w:val="28"/>
          <w:szCs w:val="28"/>
          <w:u w:color="000000"/>
          <w:bdr w:val="nil"/>
        </w:rPr>
        <w:t>. En ese contexto, el d</w:t>
      </w:r>
      <w:r w:rsidRPr="00D93140">
        <w:rPr>
          <w:rFonts w:ascii="Times New Roman" w:hAnsi="Times New Roman"/>
          <w:sz w:val="28"/>
          <w:szCs w:val="28"/>
          <w:u w:color="000000"/>
          <w:bdr w:val="nil"/>
        </w:rPr>
        <w:t>emandante considera que lo</w:t>
      </w:r>
      <w:r w:rsidRPr="00D93140">
        <w:rPr>
          <w:rFonts w:ascii="Times New Roman" w:hAnsi="Times New Roman"/>
          <w:sz w:val="28"/>
          <w:szCs w:val="28"/>
          <w:u w:color="000000"/>
          <w:bdr w:val="nil"/>
        </w:rPr>
        <w:t>s artículos</w:t>
      </w:r>
      <w:r w:rsidRPr="00D93140">
        <w:rPr>
          <w:rFonts w:ascii="Times New Roman" w:hAnsi="Times New Roman"/>
          <w:sz w:val="28"/>
          <w:szCs w:val="28"/>
          <w:u w:color="000000"/>
          <w:bdr w:val="nil"/>
        </w:rPr>
        <w:t xml:space="preserve"> relacionado</w:t>
      </w:r>
      <w:r w:rsidRPr="00D93140">
        <w:rPr>
          <w:rFonts w:ascii="Times New Roman" w:hAnsi="Times New Roman"/>
          <w:sz w:val="28"/>
          <w:szCs w:val="28"/>
          <w:u w:color="000000"/>
          <w:bdr w:val="nil"/>
        </w:rPr>
        <w:t>s</w:t>
      </w:r>
      <w:r w:rsidRPr="00D93140">
        <w:rPr>
          <w:rFonts w:ascii="Times New Roman" w:hAnsi="Times New Roman"/>
          <w:sz w:val="28"/>
          <w:szCs w:val="28"/>
          <w:u w:color="000000"/>
          <w:bdr w:val="nil"/>
        </w:rPr>
        <w:t xml:space="preserve"> con el desarrollo de competencias ambientales de las autoridades indígenas y coordinación de las autoridades indígenas con las demás autoridades y/o entidades, no tiene</w:t>
      </w:r>
      <w:r w:rsidRPr="00D93140">
        <w:rPr>
          <w:rFonts w:ascii="Times New Roman" w:hAnsi="Times New Roman"/>
          <w:sz w:val="28"/>
          <w:szCs w:val="28"/>
          <w:u w:color="000000"/>
          <w:bdr w:val="nil"/>
        </w:rPr>
        <w:t>n</w:t>
      </w:r>
      <w:r w:rsidRPr="00D93140">
        <w:rPr>
          <w:rFonts w:ascii="Times New Roman" w:hAnsi="Times New Roman"/>
          <w:sz w:val="28"/>
          <w:szCs w:val="28"/>
          <w:u w:color="000000"/>
          <w:bdr w:val="nil"/>
        </w:rPr>
        <w:t xml:space="preserve"> ninguna relación con el artículo 56</w:t>
      </w:r>
      <w:r w:rsidRPr="00D93140">
        <w:rPr>
          <w:rFonts w:ascii="Times New Roman" w:hAnsi="Times New Roman"/>
          <w:sz w:val="28"/>
          <w:szCs w:val="28"/>
          <w:u w:color="000000"/>
          <w:bdr w:val="nil"/>
        </w:rPr>
        <w:t xml:space="preserve"> transitorio.</w:t>
      </w:r>
    </w:p>
    <w:p w:rsidR="00884BD4" w:rsidRPr="00D93140" w:rsidRDefault="00D93140" w:rsidP="00E04174">
      <w:pPr>
        <w:pStyle w:val="Prrafodelista"/>
        <w:ind w:left="0"/>
        <w:jc w:val="both"/>
        <w:rPr>
          <w:rFonts w:ascii="Times New Roman" w:hAnsi="Times New Roman"/>
          <w:b/>
          <w:sz w:val="28"/>
          <w:szCs w:val="28"/>
        </w:rPr>
      </w:pPr>
    </w:p>
    <w:p w:rsidR="00884BD4" w:rsidRPr="00D93140" w:rsidRDefault="00D93140" w:rsidP="00E04174">
      <w:pPr>
        <w:pStyle w:val="Prrafodelista"/>
        <w:numPr>
          <w:ilvl w:val="0"/>
          <w:numId w:val="1"/>
        </w:numPr>
        <w:ind w:left="0" w:firstLine="0"/>
        <w:jc w:val="both"/>
        <w:rPr>
          <w:rFonts w:ascii="Times New Roman" w:hAnsi="Times New Roman"/>
          <w:b/>
          <w:sz w:val="28"/>
          <w:szCs w:val="28"/>
        </w:rPr>
      </w:pPr>
      <w:r w:rsidRPr="00D93140">
        <w:rPr>
          <w:rFonts w:ascii="Times New Roman" w:hAnsi="Times New Roman"/>
          <w:sz w:val="28"/>
          <w:szCs w:val="28"/>
        </w:rPr>
        <w:t xml:space="preserve">Al respecto y como lo destacó la Universidad de Antioquia en su intervención no es </w:t>
      </w:r>
      <w:r w:rsidRPr="00D93140">
        <w:rPr>
          <w:rFonts w:ascii="Times New Roman" w:hAnsi="Times New Roman"/>
          <w:i/>
          <w:sz w:val="28"/>
          <w:szCs w:val="28"/>
        </w:rPr>
        <w:t>claro</w:t>
      </w:r>
      <w:r w:rsidRPr="00D93140">
        <w:rPr>
          <w:rFonts w:ascii="Times New Roman" w:hAnsi="Times New Roman"/>
          <w:sz w:val="28"/>
          <w:szCs w:val="28"/>
        </w:rPr>
        <w:t xml:space="preserve"> si en este caso el cargo es general contra la totalidad del decreto o, si por el </w:t>
      </w:r>
      <w:r w:rsidRPr="00D93140">
        <w:rPr>
          <w:rFonts w:ascii="Times New Roman" w:hAnsi="Times New Roman"/>
          <w:sz w:val="28"/>
          <w:szCs w:val="28"/>
        </w:rPr>
        <w:t>contrario</w:t>
      </w:r>
      <w:r w:rsidRPr="00D93140">
        <w:rPr>
          <w:rFonts w:ascii="Times New Roman" w:hAnsi="Times New Roman"/>
          <w:sz w:val="28"/>
          <w:szCs w:val="28"/>
        </w:rPr>
        <w:t>, la acusación se dirige exclusivamente contra los artículos c</w:t>
      </w:r>
      <w:r w:rsidRPr="00D93140">
        <w:rPr>
          <w:rFonts w:ascii="Times New Roman" w:hAnsi="Times New Roman"/>
          <w:sz w:val="28"/>
          <w:szCs w:val="28"/>
        </w:rPr>
        <w:t xml:space="preserve">itados en los que, a juicio del actor, se advierte un desarrollo de competencias ambientales a distintas autoridades indígenas y no se adecúa a lo dispuesto en el artículo 56 transitorio, en relación con los territorios indígenas. </w:t>
      </w:r>
      <w:r w:rsidRPr="00D93140">
        <w:rPr>
          <w:rFonts w:ascii="Times New Roman" w:hAnsi="Times New Roman"/>
          <w:sz w:val="28"/>
          <w:szCs w:val="28"/>
        </w:rPr>
        <w:t>La redacción del cargo, n</w:t>
      </w:r>
      <w:r w:rsidRPr="00D93140">
        <w:rPr>
          <w:rFonts w:ascii="Times New Roman" w:hAnsi="Times New Roman"/>
          <w:sz w:val="28"/>
          <w:szCs w:val="28"/>
        </w:rPr>
        <w:t xml:space="preserve">o permite </w:t>
      </w:r>
      <w:r w:rsidRPr="00D93140">
        <w:rPr>
          <w:rFonts w:ascii="Times New Roman" w:hAnsi="Times New Roman"/>
          <w:sz w:val="28"/>
          <w:szCs w:val="28"/>
        </w:rPr>
        <w:t xml:space="preserve">afirmar con exactitud cuál es el contenido normativo contra el cual dirige su reproche. </w:t>
      </w:r>
    </w:p>
    <w:p w:rsidR="00884BD4" w:rsidRPr="00D93140" w:rsidRDefault="00D93140" w:rsidP="00E04174">
      <w:pPr>
        <w:pStyle w:val="Prrafodelista"/>
        <w:ind w:left="0"/>
        <w:jc w:val="both"/>
        <w:rPr>
          <w:rFonts w:ascii="Times New Roman" w:hAnsi="Times New Roman"/>
          <w:b/>
          <w:sz w:val="28"/>
          <w:szCs w:val="28"/>
        </w:rPr>
      </w:pPr>
    </w:p>
    <w:p w:rsidR="005B291C" w:rsidRPr="00D93140" w:rsidRDefault="00D93140" w:rsidP="00E04174">
      <w:pPr>
        <w:pStyle w:val="Prrafodelista"/>
        <w:numPr>
          <w:ilvl w:val="0"/>
          <w:numId w:val="1"/>
        </w:numPr>
        <w:ind w:left="0" w:firstLine="0"/>
        <w:jc w:val="both"/>
        <w:rPr>
          <w:rFonts w:ascii="Times New Roman" w:hAnsi="Times New Roman"/>
          <w:b/>
          <w:sz w:val="28"/>
          <w:szCs w:val="28"/>
        </w:rPr>
      </w:pPr>
      <w:r w:rsidRPr="00D93140">
        <w:rPr>
          <w:rFonts w:ascii="Times New Roman" w:hAnsi="Times New Roman"/>
          <w:sz w:val="28"/>
          <w:szCs w:val="28"/>
        </w:rPr>
        <w:t xml:space="preserve">Adicionalmente, </w:t>
      </w:r>
      <w:r w:rsidRPr="00D93140">
        <w:rPr>
          <w:rFonts w:ascii="Times New Roman" w:hAnsi="Times New Roman"/>
          <w:sz w:val="28"/>
          <w:szCs w:val="28"/>
        </w:rPr>
        <w:t xml:space="preserve">para la </w:t>
      </w:r>
      <w:r w:rsidRPr="00D93140">
        <w:rPr>
          <w:rFonts w:ascii="Times New Roman" w:hAnsi="Times New Roman"/>
          <w:sz w:val="28"/>
          <w:szCs w:val="28"/>
        </w:rPr>
        <w:t xml:space="preserve">Sala Plena </w:t>
      </w:r>
      <w:r w:rsidRPr="00D93140">
        <w:rPr>
          <w:rFonts w:ascii="Times New Roman" w:hAnsi="Times New Roman"/>
          <w:sz w:val="28"/>
          <w:szCs w:val="28"/>
        </w:rPr>
        <w:t xml:space="preserve">el cargo no es </w:t>
      </w:r>
      <w:r w:rsidRPr="00D93140">
        <w:rPr>
          <w:rFonts w:ascii="Times New Roman" w:hAnsi="Times New Roman"/>
          <w:i/>
          <w:sz w:val="28"/>
          <w:szCs w:val="28"/>
        </w:rPr>
        <w:t>pertinente</w:t>
      </w:r>
      <w:r w:rsidRPr="00D93140">
        <w:rPr>
          <w:rFonts w:ascii="Times New Roman" w:hAnsi="Times New Roman"/>
          <w:sz w:val="28"/>
          <w:szCs w:val="28"/>
        </w:rPr>
        <w:t xml:space="preserve">. Como se advierte de los escritos de demanda y de corrección </w:t>
      </w:r>
      <w:r w:rsidRPr="00D93140">
        <w:rPr>
          <w:rFonts w:ascii="Times New Roman" w:hAnsi="Times New Roman"/>
          <w:sz w:val="28"/>
          <w:szCs w:val="28"/>
        </w:rPr>
        <w:t xml:space="preserve">el demandante </w:t>
      </w:r>
      <w:r w:rsidRPr="00D93140">
        <w:rPr>
          <w:rFonts w:ascii="Times New Roman" w:hAnsi="Times New Roman"/>
          <w:sz w:val="28"/>
          <w:szCs w:val="28"/>
        </w:rPr>
        <w:t>concentra</w:t>
      </w:r>
      <w:r w:rsidRPr="00D93140">
        <w:rPr>
          <w:rFonts w:ascii="Times New Roman" w:hAnsi="Times New Roman"/>
          <w:sz w:val="28"/>
          <w:szCs w:val="28"/>
        </w:rPr>
        <w:t xml:space="preserve"> su </w:t>
      </w:r>
      <w:r w:rsidRPr="00D93140">
        <w:rPr>
          <w:rFonts w:ascii="Times New Roman" w:hAnsi="Times New Roman"/>
          <w:sz w:val="28"/>
          <w:szCs w:val="28"/>
        </w:rPr>
        <w:t xml:space="preserve">argumentación </w:t>
      </w:r>
      <w:r w:rsidRPr="00D93140">
        <w:rPr>
          <w:rFonts w:ascii="Times New Roman" w:hAnsi="Times New Roman"/>
          <w:sz w:val="28"/>
          <w:szCs w:val="28"/>
        </w:rPr>
        <w:t>en</w:t>
      </w:r>
      <w:r w:rsidRPr="00D93140">
        <w:rPr>
          <w:rFonts w:ascii="Times New Roman" w:hAnsi="Times New Roman"/>
          <w:sz w:val="28"/>
          <w:szCs w:val="28"/>
        </w:rPr>
        <w:t xml:space="preserve"> demostrar que las competencias ambientales </w:t>
      </w:r>
      <w:r w:rsidRPr="00D93140">
        <w:rPr>
          <w:rFonts w:ascii="Times New Roman" w:hAnsi="Times New Roman"/>
          <w:sz w:val="28"/>
          <w:szCs w:val="28"/>
        </w:rPr>
        <w:t>no se otorgan a entidades territoriales indígenas sino a</w:t>
      </w:r>
      <w:r w:rsidRPr="00D93140">
        <w:rPr>
          <w:rFonts w:ascii="Times New Roman" w:hAnsi="Times New Roman"/>
          <w:sz w:val="28"/>
          <w:szCs w:val="28"/>
        </w:rPr>
        <w:t xml:space="preserve"> autoridades indígenas </w:t>
      </w:r>
      <w:r w:rsidRPr="00D93140">
        <w:rPr>
          <w:rFonts w:ascii="Times New Roman" w:hAnsi="Times New Roman"/>
          <w:sz w:val="28"/>
          <w:szCs w:val="28"/>
        </w:rPr>
        <w:t xml:space="preserve">de cualquier territorio </w:t>
      </w:r>
      <w:r w:rsidRPr="00D93140">
        <w:rPr>
          <w:rFonts w:ascii="Times New Roman" w:hAnsi="Times New Roman"/>
          <w:sz w:val="28"/>
          <w:szCs w:val="28"/>
        </w:rPr>
        <w:t xml:space="preserve">no comprendidas dentro del concepto </w:t>
      </w:r>
      <w:r w:rsidRPr="00D93140">
        <w:rPr>
          <w:rFonts w:ascii="Times New Roman" w:hAnsi="Times New Roman"/>
          <w:sz w:val="28"/>
          <w:szCs w:val="28"/>
        </w:rPr>
        <w:t xml:space="preserve">que considera </w:t>
      </w:r>
      <w:r w:rsidRPr="00D93140">
        <w:rPr>
          <w:rFonts w:ascii="Times New Roman" w:hAnsi="Times New Roman"/>
          <w:sz w:val="28"/>
          <w:szCs w:val="28"/>
        </w:rPr>
        <w:t>como tal</w:t>
      </w:r>
      <w:r w:rsidRPr="00D93140">
        <w:rPr>
          <w:rFonts w:ascii="Times New Roman" w:hAnsi="Times New Roman"/>
          <w:sz w:val="28"/>
          <w:szCs w:val="28"/>
        </w:rPr>
        <w:t xml:space="preserve"> a la luz del artículo 329 superior</w:t>
      </w:r>
      <w:r w:rsidRPr="00D93140">
        <w:rPr>
          <w:rFonts w:ascii="Times New Roman" w:hAnsi="Times New Roman"/>
          <w:sz w:val="28"/>
          <w:szCs w:val="28"/>
        </w:rPr>
        <w:t xml:space="preserve">. Es decir, </w:t>
      </w:r>
      <w:r w:rsidRPr="00D93140">
        <w:rPr>
          <w:rFonts w:ascii="Times New Roman" w:hAnsi="Times New Roman"/>
          <w:sz w:val="28"/>
          <w:szCs w:val="28"/>
        </w:rPr>
        <w:t xml:space="preserve">que no tienen la calidad de </w:t>
      </w:r>
      <w:r w:rsidRPr="00D93140">
        <w:rPr>
          <w:rFonts w:ascii="Times New Roman" w:hAnsi="Times New Roman"/>
          <w:sz w:val="28"/>
          <w:szCs w:val="28"/>
        </w:rPr>
        <w:t xml:space="preserve">entidad territorial indígena. </w:t>
      </w:r>
      <w:r w:rsidRPr="00D93140">
        <w:rPr>
          <w:rFonts w:ascii="Times New Roman" w:hAnsi="Times New Roman"/>
          <w:sz w:val="28"/>
          <w:szCs w:val="28"/>
        </w:rPr>
        <w:t xml:space="preserve">Al respecto, encuentra esta Sala que los argumentos del actor no se derivan ni de la lectura </w:t>
      </w:r>
      <w:r w:rsidRPr="00D93140">
        <w:rPr>
          <w:rFonts w:ascii="Times New Roman" w:hAnsi="Times New Roman"/>
          <w:sz w:val="28"/>
          <w:szCs w:val="28"/>
        </w:rPr>
        <w:t xml:space="preserve">objetiva </w:t>
      </w:r>
      <w:r w:rsidRPr="00D93140">
        <w:rPr>
          <w:rFonts w:ascii="Times New Roman" w:hAnsi="Times New Roman"/>
          <w:sz w:val="28"/>
          <w:szCs w:val="28"/>
        </w:rPr>
        <w:t>de las normas ni del ordenamiento jurídico en general. No es cierto que la Constituc</w:t>
      </w:r>
      <w:r w:rsidRPr="00D93140">
        <w:rPr>
          <w:rFonts w:ascii="Times New Roman" w:hAnsi="Times New Roman"/>
          <w:sz w:val="28"/>
          <w:szCs w:val="28"/>
        </w:rPr>
        <w:t>ión circunscriba la facultad conferida al gobierno a las entidades territoriales indígenas previamente constituidas. La norma superior es clara al señalar que mientras se expida la ley a la que se refiere el artículo 329, se podrán decretar normas con el f</w:t>
      </w:r>
      <w:r w:rsidRPr="00D93140">
        <w:rPr>
          <w:rFonts w:ascii="Times New Roman" w:hAnsi="Times New Roman"/>
          <w:sz w:val="28"/>
          <w:szCs w:val="28"/>
        </w:rPr>
        <w:t xml:space="preserve">in de poner en funcionamiento los territorios indígenas y su coordinación con las demás entidades territoriales.  </w:t>
      </w:r>
      <w:r w:rsidRPr="00D93140">
        <w:rPr>
          <w:rFonts w:ascii="Times New Roman" w:hAnsi="Times New Roman"/>
          <w:sz w:val="28"/>
          <w:szCs w:val="28"/>
        </w:rPr>
        <w:t xml:space="preserve">En la </w:t>
      </w:r>
      <w:r w:rsidRPr="00D93140">
        <w:rPr>
          <w:rFonts w:ascii="Times New Roman" w:hAnsi="Times New Roman"/>
          <w:sz w:val="28"/>
          <w:szCs w:val="28"/>
        </w:rPr>
        <w:t>Sentencia</w:t>
      </w:r>
      <w:r w:rsidRPr="00D93140">
        <w:rPr>
          <w:rFonts w:ascii="Times New Roman" w:hAnsi="Times New Roman"/>
          <w:sz w:val="28"/>
          <w:szCs w:val="28"/>
        </w:rPr>
        <w:t xml:space="preserve"> C-054 de 2023, esta corporación manifestó al respecto:</w:t>
      </w:r>
    </w:p>
    <w:p w:rsidR="005B291C" w:rsidRPr="00D93140" w:rsidRDefault="00D93140" w:rsidP="00E04174">
      <w:pPr>
        <w:jc w:val="both"/>
        <w:rPr>
          <w:rFonts w:ascii="Times New Roman" w:hAnsi="Times New Roman"/>
          <w:sz w:val="28"/>
          <w:szCs w:val="28"/>
        </w:rPr>
      </w:pPr>
    </w:p>
    <w:p w:rsidR="00B2330B" w:rsidRPr="00D93140" w:rsidRDefault="00D93140" w:rsidP="00E04174">
      <w:pPr>
        <w:ind w:left="567"/>
        <w:jc w:val="both"/>
        <w:rPr>
          <w:rFonts w:ascii="Times New Roman" w:hAnsi="Times New Roman"/>
          <w:sz w:val="28"/>
          <w:szCs w:val="24"/>
        </w:rPr>
      </w:pPr>
      <w:r w:rsidRPr="00D93140">
        <w:rPr>
          <w:rFonts w:ascii="Times New Roman" w:hAnsi="Times New Roman"/>
          <w:iCs/>
          <w:sz w:val="28"/>
          <w:szCs w:val="24"/>
          <w:shd w:val="clear" w:color="auto" w:fill="FFFFFF"/>
        </w:rPr>
        <w:t xml:space="preserve">La Constitución establece que los “territorios indígenas” constituyen </w:t>
      </w:r>
      <w:r w:rsidRPr="00D93140">
        <w:rPr>
          <w:rFonts w:ascii="Times New Roman" w:hAnsi="Times New Roman"/>
          <w:iCs/>
          <w:sz w:val="28"/>
          <w:szCs w:val="24"/>
          <w:shd w:val="clear" w:color="auto" w:fill="FFFFFF"/>
        </w:rPr>
        <w:t xml:space="preserve">también entidades territoriales (art. 286) y, por tanto, gozan de autonomía para la gestión de sus intereses dentro de los límites de la Constitución y de la ley (art. 287). El artículo 2.14.7.1.2. del Decreto 1071 de 2015 define los territorios indígenas </w:t>
      </w:r>
      <w:r w:rsidRPr="00D93140">
        <w:rPr>
          <w:rFonts w:ascii="Times New Roman" w:hAnsi="Times New Roman"/>
          <w:iCs/>
          <w:sz w:val="28"/>
          <w:szCs w:val="24"/>
          <w:shd w:val="clear" w:color="auto" w:fill="FFFFFF"/>
        </w:rPr>
        <w:t>como “las áreas poseídas en forma regular y permanente por una comunidad, parcialidad o grupo indígenas y aquellas que, aunque no se encuentren poseídas en esa forma, constituyen el ámbito tradicional de sus actividades sociales, económicas y culturales”.</w:t>
      </w:r>
      <w:r w:rsidRPr="00D93140">
        <w:rPr>
          <w:rStyle w:val="Refdenotaalpie"/>
          <w:rFonts w:ascii="Times New Roman" w:hAnsi="Times New Roman"/>
          <w:iCs/>
          <w:sz w:val="28"/>
          <w:szCs w:val="24"/>
          <w:shd w:val="clear" w:color="auto" w:fill="FFFFFF"/>
        </w:rPr>
        <w:footnoteReference w:id="27"/>
      </w:r>
      <w:r w:rsidRPr="00D93140">
        <w:rPr>
          <w:rFonts w:ascii="Times New Roman" w:hAnsi="Times New Roman"/>
          <w:sz w:val="28"/>
          <w:szCs w:val="24"/>
        </w:rPr>
        <w:t xml:space="preserve"> </w:t>
      </w:r>
    </w:p>
    <w:p w:rsidR="00B032AC" w:rsidRPr="00D93140" w:rsidRDefault="00D93140" w:rsidP="00E04174">
      <w:pPr>
        <w:jc w:val="both"/>
        <w:rPr>
          <w:rFonts w:ascii="Times New Roman" w:hAnsi="Times New Roman"/>
          <w:sz w:val="28"/>
          <w:szCs w:val="28"/>
        </w:rPr>
      </w:pPr>
    </w:p>
    <w:p w:rsidR="00E5551A"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Además, resulta necesario recordar que el Decreto 1953 de 2004 en el título segundo, reguló las “</w:t>
      </w:r>
      <w:r w:rsidRPr="00D93140">
        <w:rPr>
          <w:rFonts w:ascii="Times New Roman" w:hAnsi="Times New Roman"/>
          <w:bCs/>
          <w:sz w:val="28"/>
          <w:szCs w:val="28"/>
        </w:rPr>
        <w:t xml:space="preserve">Competencias Generales de los Territorios Indígenas y de sus Autoridades Propias” </w:t>
      </w:r>
      <w:r w:rsidRPr="00D93140">
        <w:rPr>
          <w:rFonts w:ascii="Times New Roman" w:hAnsi="Times New Roman"/>
          <w:bCs/>
          <w:sz w:val="28"/>
          <w:szCs w:val="28"/>
        </w:rPr>
        <w:t xml:space="preserve">sobre las cuales, la Corte señaló en la citada </w:t>
      </w:r>
      <w:r w:rsidRPr="00D93140">
        <w:rPr>
          <w:rFonts w:ascii="Times New Roman" w:hAnsi="Times New Roman"/>
          <w:bCs/>
          <w:sz w:val="28"/>
          <w:szCs w:val="28"/>
        </w:rPr>
        <w:t>Sentencia</w:t>
      </w:r>
      <w:r w:rsidRPr="00D93140">
        <w:rPr>
          <w:rFonts w:ascii="Times New Roman" w:hAnsi="Times New Roman"/>
          <w:bCs/>
          <w:sz w:val="28"/>
          <w:szCs w:val="28"/>
        </w:rPr>
        <w:t xml:space="preserve"> C-617</w:t>
      </w:r>
      <w:r w:rsidRPr="00D93140">
        <w:rPr>
          <w:rFonts w:ascii="Times New Roman" w:hAnsi="Times New Roman"/>
          <w:bCs/>
          <w:sz w:val="28"/>
          <w:szCs w:val="28"/>
        </w:rPr>
        <w:t xml:space="preserve"> </w:t>
      </w:r>
      <w:r w:rsidRPr="00D93140">
        <w:rPr>
          <w:rFonts w:ascii="Times New Roman" w:hAnsi="Times New Roman"/>
          <w:bCs/>
          <w:sz w:val="28"/>
          <w:szCs w:val="28"/>
        </w:rPr>
        <w:t>de 2015 que</w:t>
      </w:r>
      <w:r w:rsidRPr="00D93140">
        <w:rPr>
          <w:rFonts w:ascii="Times New Roman" w:hAnsi="Times New Roman"/>
          <w:bCs/>
          <w:sz w:val="28"/>
          <w:szCs w:val="28"/>
        </w:rPr>
        <w:t xml:space="preserve"> el decreto regulaba materias “</w:t>
      </w:r>
      <w:r w:rsidRPr="00D93140">
        <w:rPr>
          <w:rFonts w:ascii="Times New Roman" w:hAnsi="Times New Roman"/>
          <w:sz w:val="28"/>
          <w:szCs w:val="27"/>
          <w:shd w:val="clear" w:color="auto" w:fill="FFFFFF"/>
        </w:rPr>
        <w:t>a las que alude el artículo 56 transitorio a fin de hacer posible el funcionamiento de los territorios indígenas, ofreciendo un marco normativo que abarca diferentes dimensiones de dichos territorios</w:t>
      </w:r>
      <w:r w:rsidRPr="00D93140">
        <w:rPr>
          <w:rFonts w:ascii="Times New Roman" w:hAnsi="Times New Roman"/>
          <w:sz w:val="28"/>
          <w:szCs w:val="27"/>
          <w:shd w:val="clear" w:color="auto" w:fill="FFFFFF"/>
        </w:rPr>
        <w:t>”.</w:t>
      </w:r>
      <w:r w:rsidRPr="00D93140">
        <w:rPr>
          <w:rFonts w:ascii="Times New Roman" w:hAnsi="Times New Roman"/>
          <w:bCs/>
          <w:sz w:val="28"/>
          <w:szCs w:val="28"/>
        </w:rPr>
        <w:t xml:space="preserve"> </w:t>
      </w:r>
      <w:r w:rsidRPr="00D93140">
        <w:rPr>
          <w:rFonts w:ascii="Times New Roman" w:hAnsi="Times New Roman"/>
          <w:sz w:val="28"/>
          <w:szCs w:val="28"/>
        </w:rPr>
        <w:t>En ese contexto, la int</w:t>
      </w:r>
      <w:r w:rsidRPr="00D93140">
        <w:rPr>
          <w:rFonts w:ascii="Times New Roman" w:hAnsi="Times New Roman"/>
          <w:sz w:val="28"/>
          <w:szCs w:val="28"/>
        </w:rPr>
        <w:t>erpretación que hace el accionante no se ajusta al entendimiento literal del artículo 56 transitorio de la Constitución ni a lo que por territorio ha</w:t>
      </w:r>
      <w:r w:rsidRPr="00D93140">
        <w:rPr>
          <w:rFonts w:ascii="Times New Roman" w:hAnsi="Times New Roman"/>
          <w:sz w:val="28"/>
          <w:szCs w:val="28"/>
        </w:rPr>
        <w:t>n</w:t>
      </w:r>
      <w:r w:rsidRPr="00D93140">
        <w:rPr>
          <w:rFonts w:ascii="Times New Roman" w:hAnsi="Times New Roman"/>
          <w:sz w:val="28"/>
          <w:szCs w:val="28"/>
        </w:rPr>
        <w:t xml:space="preserve"> entendido el ordenamiento jurídico y la jurisprudencia.</w:t>
      </w:r>
      <w:r w:rsidRPr="00D93140">
        <w:rPr>
          <w:rFonts w:ascii="Times New Roman" w:hAnsi="Times New Roman"/>
          <w:sz w:val="28"/>
          <w:szCs w:val="28"/>
        </w:rPr>
        <w:t xml:space="preserve"> En efecto, aunque los territorios indígenas puede</w:t>
      </w:r>
      <w:r w:rsidRPr="00D93140">
        <w:rPr>
          <w:rFonts w:ascii="Times New Roman" w:hAnsi="Times New Roman"/>
          <w:sz w:val="28"/>
          <w:szCs w:val="28"/>
        </w:rPr>
        <w:t>n constituirse en entidades territoriales, no todos lo son, sin que ello impida que los mismos puedan beneficiarse de las distintas medidas adoptadas por el gobierno para garantizar su organización y funcionamiento</w:t>
      </w:r>
      <w:r w:rsidRPr="00D93140">
        <w:rPr>
          <w:rFonts w:ascii="Times New Roman" w:hAnsi="Times New Roman"/>
          <w:sz w:val="28"/>
          <w:szCs w:val="28"/>
        </w:rPr>
        <w:t xml:space="preserve"> en coordinación con las entidades territo</w:t>
      </w:r>
      <w:r w:rsidRPr="00D93140">
        <w:rPr>
          <w:rFonts w:ascii="Times New Roman" w:hAnsi="Times New Roman"/>
          <w:sz w:val="28"/>
          <w:szCs w:val="28"/>
        </w:rPr>
        <w:t>riales.</w:t>
      </w:r>
    </w:p>
    <w:p w:rsidR="00E5551A" w:rsidRPr="00D93140" w:rsidRDefault="00D93140" w:rsidP="00E04174">
      <w:pPr>
        <w:pStyle w:val="Prrafodelista"/>
        <w:ind w:left="0"/>
        <w:jc w:val="both"/>
        <w:rPr>
          <w:rFonts w:ascii="Times New Roman" w:hAnsi="Times New Roman"/>
          <w:sz w:val="28"/>
          <w:szCs w:val="28"/>
        </w:rPr>
      </w:pPr>
    </w:p>
    <w:p w:rsidR="007C127B"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Aun en gracia de discusión, no advierte el accionante </w:t>
      </w:r>
      <w:r w:rsidRPr="00D93140">
        <w:rPr>
          <w:rFonts w:ascii="Times New Roman" w:hAnsi="Times New Roman"/>
          <w:sz w:val="28"/>
          <w:szCs w:val="28"/>
        </w:rPr>
        <w:t xml:space="preserve">en su reclamo </w:t>
      </w:r>
      <w:r w:rsidRPr="00D93140">
        <w:rPr>
          <w:rFonts w:ascii="Times New Roman" w:hAnsi="Times New Roman"/>
          <w:sz w:val="28"/>
          <w:szCs w:val="28"/>
        </w:rPr>
        <w:t>que el artículo 4 al establecer el ámbito de aplicación, lo circunscribe expresamente a que las figuras que para el actor no caben en el concepto de territorio como las reservas o</w:t>
      </w:r>
      <w:r w:rsidRPr="00D93140">
        <w:rPr>
          <w:rFonts w:ascii="Times New Roman" w:hAnsi="Times New Roman"/>
          <w:sz w:val="28"/>
          <w:szCs w:val="28"/>
        </w:rPr>
        <w:t xml:space="preserve"> áreas poseídas indígenas, “</w:t>
      </w:r>
      <w:r w:rsidRPr="00D93140">
        <w:rPr>
          <w:rFonts w:ascii="Times New Roman" w:hAnsi="Times New Roman"/>
          <w:sz w:val="28"/>
          <w:szCs w:val="28"/>
          <w:u w:color="000000"/>
          <w:bdr w:val="nil"/>
        </w:rPr>
        <w:t>hayan solicitado por las respectivas autoridades la puesta en funcionamiento de la entidad territorial indígena o la formalización y/o seguridad jurídica del territorio indígena de acuerdo con las normas pertinentes”. De modo qu</w:t>
      </w:r>
      <w:r w:rsidRPr="00D93140">
        <w:rPr>
          <w:rFonts w:ascii="Times New Roman" w:hAnsi="Times New Roman"/>
          <w:sz w:val="28"/>
          <w:szCs w:val="28"/>
          <w:u w:color="000000"/>
          <w:bdr w:val="nil"/>
        </w:rPr>
        <w:t xml:space="preserve">e no es cierto que en esta oportunidad el gobierno otorgue atribuciones ambientales a autoridades propias de cualquier </w:t>
      </w:r>
      <w:r w:rsidRPr="00D93140">
        <w:rPr>
          <w:rFonts w:ascii="Times New Roman" w:hAnsi="Times New Roman"/>
          <w:sz w:val="28"/>
          <w:szCs w:val="28"/>
          <w:u w:color="000000"/>
          <w:bdr w:val="nil"/>
        </w:rPr>
        <w:t>espacio territorial en el que se encuentren asentadas las comunidades indígenas</w:t>
      </w:r>
      <w:r w:rsidRPr="00D93140">
        <w:rPr>
          <w:rFonts w:ascii="Times New Roman" w:hAnsi="Times New Roman"/>
          <w:sz w:val="28"/>
          <w:szCs w:val="28"/>
          <w:u w:color="000000"/>
          <w:bdr w:val="nil"/>
        </w:rPr>
        <w:t xml:space="preserve">, pues es menester que </w:t>
      </w:r>
      <w:r w:rsidRPr="00D93140">
        <w:rPr>
          <w:rFonts w:ascii="Times New Roman" w:hAnsi="Times New Roman"/>
          <w:sz w:val="28"/>
          <w:szCs w:val="28"/>
          <w:u w:color="000000"/>
          <w:bdr w:val="nil"/>
        </w:rPr>
        <w:t>se cumpla la condición allí impuest</w:t>
      </w:r>
      <w:r w:rsidRPr="00D93140">
        <w:rPr>
          <w:rFonts w:ascii="Times New Roman" w:hAnsi="Times New Roman"/>
          <w:sz w:val="28"/>
          <w:szCs w:val="28"/>
          <w:u w:color="000000"/>
          <w:bdr w:val="nil"/>
        </w:rPr>
        <w:t xml:space="preserve">a de haber </w:t>
      </w:r>
      <w:r w:rsidRPr="00D93140">
        <w:rPr>
          <w:rFonts w:ascii="Times New Roman" w:hAnsi="Times New Roman"/>
          <w:sz w:val="28"/>
          <w:szCs w:val="28"/>
          <w:u w:color="000000"/>
          <w:bdr w:val="nil"/>
        </w:rPr>
        <w:t>solicitado la puesta en funcionamiento del territorio</w:t>
      </w:r>
      <w:r w:rsidRPr="00D93140">
        <w:rPr>
          <w:rFonts w:ascii="Times New Roman" w:hAnsi="Times New Roman"/>
          <w:sz w:val="28"/>
          <w:szCs w:val="28"/>
          <w:u w:color="000000"/>
          <w:bdr w:val="nil"/>
        </w:rPr>
        <w:t>.</w:t>
      </w:r>
      <w:r w:rsidRPr="00D93140">
        <w:rPr>
          <w:rFonts w:ascii="Times New Roman" w:hAnsi="Times New Roman"/>
          <w:sz w:val="28"/>
          <w:szCs w:val="28"/>
          <w:u w:val="single" w:color="000000"/>
          <w:bdr w:val="nil"/>
        </w:rPr>
        <w:t xml:space="preserve"> </w:t>
      </w:r>
    </w:p>
    <w:p w:rsidR="00ED46CF" w:rsidRPr="00D93140" w:rsidRDefault="00D93140" w:rsidP="00E04174">
      <w:pPr>
        <w:pStyle w:val="Prrafodelista"/>
        <w:ind w:left="0"/>
        <w:jc w:val="both"/>
        <w:rPr>
          <w:rFonts w:ascii="Times New Roman" w:hAnsi="Times New Roman"/>
          <w:sz w:val="28"/>
          <w:szCs w:val="28"/>
        </w:rPr>
      </w:pPr>
    </w:p>
    <w:p w:rsidR="004C54F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Sumado a lo anterior, el accionante no logra establecer el por qué no existe una relación entre los territorios indígenas y sus autoridades en el marco de las competencias ambientales otorgadas, de modo que no se advierta una conexión con la puesta en func</w:t>
      </w:r>
      <w:r w:rsidRPr="00D93140">
        <w:rPr>
          <w:rFonts w:ascii="Times New Roman" w:hAnsi="Times New Roman"/>
          <w:sz w:val="28"/>
          <w:szCs w:val="28"/>
        </w:rPr>
        <w:t xml:space="preserve">ionamiento de los mismos. </w:t>
      </w:r>
      <w:r w:rsidRPr="00D93140">
        <w:rPr>
          <w:rFonts w:ascii="Times New Roman" w:hAnsi="Times New Roman"/>
          <w:sz w:val="28"/>
          <w:szCs w:val="28"/>
          <w:u w:color="000000"/>
          <w:bdr w:val="nil"/>
        </w:rPr>
        <w:t xml:space="preserve">En este escenario, </w:t>
      </w:r>
      <w:r w:rsidRPr="00D93140">
        <w:rPr>
          <w:rFonts w:ascii="Times New Roman" w:hAnsi="Times New Roman"/>
          <w:sz w:val="28"/>
          <w:szCs w:val="28"/>
          <w:u w:color="000000"/>
          <w:bdr w:val="nil"/>
        </w:rPr>
        <w:t xml:space="preserve">cuestiona que las competencias </w:t>
      </w:r>
      <w:r w:rsidRPr="00D93140">
        <w:rPr>
          <w:rFonts w:ascii="Times New Roman" w:hAnsi="Times New Roman"/>
          <w:sz w:val="28"/>
          <w:szCs w:val="28"/>
          <w:u w:color="000000"/>
          <w:bdr w:val="nil"/>
        </w:rPr>
        <w:t xml:space="preserve">ambientales no se estarían otorgando a los territorios </w:t>
      </w:r>
      <w:r w:rsidRPr="00D93140">
        <w:rPr>
          <w:rFonts w:ascii="Times New Roman" w:hAnsi="Times New Roman"/>
          <w:sz w:val="28"/>
          <w:szCs w:val="28"/>
          <w:u w:color="000000"/>
          <w:bdr w:val="nil"/>
        </w:rPr>
        <w:t>sino a las autoridades indígenas, sin llegar a explicar de qué manera esta situación cont</w:t>
      </w:r>
      <w:r w:rsidRPr="00D93140">
        <w:rPr>
          <w:rFonts w:ascii="Times New Roman" w:hAnsi="Times New Roman"/>
          <w:sz w:val="28"/>
          <w:szCs w:val="28"/>
          <w:u w:color="000000"/>
          <w:bdr w:val="nil"/>
        </w:rPr>
        <w:t>r</w:t>
      </w:r>
      <w:r w:rsidRPr="00D93140">
        <w:rPr>
          <w:rFonts w:ascii="Times New Roman" w:hAnsi="Times New Roman"/>
          <w:sz w:val="28"/>
          <w:szCs w:val="28"/>
          <w:u w:color="000000"/>
          <w:bdr w:val="nil"/>
        </w:rPr>
        <w:t>aría lo dispuesto en el artículo 56</w:t>
      </w:r>
      <w:r w:rsidRPr="00D93140">
        <w:rPr>
          <w:rFonts w:ascii="Times New Roman" w:hAnsi="Times New Roman"/>
          <w:sz w:val="28"/>
          <w:szCs w:val="28"/>
          <w:u w:color="000000"/>
          <w:bdr w:val="nil"/>
        </w:rPr>
        <w:t xml:space="preserve"> transitorio. En su alegato se limita a transcribir apartes de los artículos del decreto que estarían confiriendo facultades a autoridades indígenas y no a territorios</w:t>
      </w:r>
      <w:r w:rsidRPr="00D93140">
        <w:rPr>
          <w:rFonts w:ascii="Times New Roman" w:hAnsi="Times New Roman"/>
          <w:sz w:val="28"/>
          <w:szCs w:val="28"/>
          <w:u w:color="000000"/>
          <w:bdr w:val="nil"/>
        </w:rPr>
        <w:t xml:space="preserve">, lo que sin duda estaría reforzando su afirmación pero sin que ello contribuya a </w:t>
      </w:r>
      <w:r w:rsidRPr="00D93140">
        <w:rPr>
          <w:rFonts w:ascii="Times New Roman" w:hAnsi="Times New Roman"/>
          <w:sz w:val="28"/>
          <w:szCs w:val="28"/>
          <w:u w:color="000000"/>
          <w:bdr w:val="nil"/>
        </w:rPr>
        <w:t>demostr</w:t>
      </w:r>
      <w:r w:rsidRPr="00D93140">
        <w:rPr>
          <w:rFonts w:ascii="Times New Roman" w:hAnsi="Times New Roman"/>
          <w:sz w:val="28"/>
          <w:szCs w:val="28"/>
          <w:u w:color="000000"/>
          <w:bdr w:val="nil"/>
        </w:rPr>
        <w:t>ar que estas autoridades no estarían actuando como representantes del respectivo territorio con el fin de materializar tales competen</w:t>
      </w:r>
      <w:r w:rsidRPr="00D93140">
        <w:rPr>
          <w:rFonts w:ascii="Times New Roman" w:hAnsi="Times New Roman"/>
          <w:sz w:val="28"/>
          <w:szCs w:val="28"/>
          <w:u w:color="000000"/>
          <w:bdr w:val="nil"/>
        </w:rPr>
        <w:t>cias</w:t>
      </w:r>
      <w:r w:rsidRPr="00D93140">
        <w:rPr>
          <w:rFonts w:ascii="Times New Roman" w:hAnsi="Times New Roman"/>
          <w:sz w:val="28"/>
          <w:szCs w:val="28"/>
          <w:u w:color="000000"/>
          <w:bdr w:val="nil"/>
        </w:rPr>
        <w:t xml:space="preserve"> en beneficio del mismo y en coordinación con las entidades territoriales</w:t>
      </w:r>
      <w:r w:rsidRPr="00D93140">
        <w:rPr>
          <w:rFonts w:ascii="Times New Roman" w:hAnsi="Times New Roman"/>
          <w:sz w:val="28"/>
          <w:szCs w:val="28"/>
          <w:u w:color="000000"/>
          <w:bdr w:val="nil"/>
        </w:rPr>
        <w:t xml:space="preserve"> y que las mismas no estarían cumpliendo el ob</w:t>
      </w:r>
      <w:r w:rsidRPr="00D93140">
        <w:rPr>
          <w:rFonts w:ascii="Times New Roman" w:hAnsi="Times New Roman"/>
          <w:sz w:val="28"/>
          <w:szCs w:val="28"/>
          <w:u w:color="000000"/>
          <w:bdr w:val="nil"/>
        </w:rPr>
        <w:t>jetivo de poner en funcionamiento a los territorios</w:t>
      </w:r>
      <w:r w:rsidRPr="00D93140">
        <w:rPr>
          <w:rFonts w:ascii="Times New Roman" w:hAnsi="Times New Roman"/>
          <w:sz w:val="28"/>
          <w:szCs w:val="28"/>
          <w:u w:color="000000"/>
          <w:bdr w:val="nil"/>
        </w:rPr>
        <w:t xml:space="preserve">.  </w:t>
      </w:r>
    </w:p>
    <w:p w:rsidR="004C54FE" w:rsidRPr="00D93140" w:rsidRDefault="00D93140" w:rsidP="00E04174">
      <w:pPr>
        <w:pStyle w:val="Prrafodelista"/>
        <w:ind w:left="0"/>
        <w:jc w:val="both"/>
        <w:rPr>
          <w:rFonts w:ascii="Times New Roman" w:hAnsi="Times New Roman"/>
          <w:sz w:val="28"/>
          <w:szCs w:val="28"/>
        </w:rPr>
      </w:pPr>
    </w:p>
    <w:p w:rsidR="00D526F1"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color="000000"/>
          <w:bdr w:val="nil"/>
        </w:rPr>
        <w:t>Así, las co</w:t>
      </w:r>
      <w:r w:rsidRPr="00D93140">
        <w:rPr>
          <w:rFonts w:ascii="Times New Roman" w:hAnsi="Times New Roman"/>
          <w:sz w:val="28"/>
          <w:szCs w:val="28"/>
          <w:u w:color="000000"/>
          <w:bdr w:val="nil"/>
        </w:rPr>
        <w:t xml:space="preserve">sas, su argumento no </w:t>
      </w:r>
      <w:r w:rsidRPr="00D93140">
        <w:rPr>
          <w:rFonts w:ascii="Times New Roman" w:hAnsi="Times New Roman"/>
          <w:sz w:val="28"/>
          <w:szCs w:val="28"/>
          <w:u w:color="000000"/>
          <w:bdr w:val="nil"/>
        </w:rPr>
        <w:t xml:space="preserve">resulta </w:t>
      </w:r>
      <w:r w:rsidRPr="00D93140">
        <w:rPr>
          <w:rFonts w:ascii="Times New Roman" w:hAnsi="Times New Roman"/>
          <w:i/>
          <w:sz w:val="28"/>
          <w:szCs w:val="28"/>
          <w:u w:color="000000"/>
          <w:bdr w:val="nil"/>
        </w:rPr>
        <w:t>específico</w:t>
      </w:r>
      <w:r w:rsidRPr="00D93140">
        <w:rPr>
          <w:rFonts w:ascii="Times New Roman" w:hAnsi="Times New Roman"/>
          <w:sz w:val="28"/>
          <w:szCs w:val="28"/>
          <w:u w:color="000000"/>
          <w:bdr w:val="nil"/>
        </w:rPr>
        <w:t xml:space="preserve"> y </w:t>
      </w:r>
      <w:r w:rsidRPr="00D93140">
        <w:rPr>
          <w:rFonts w:ascii="Times New Roman" w:hAnsi="Times New Roman"/>
          <w:i/>
          <w:sz w:val="28"/>
          <w:szCs w:val="28"/>
          <w:u w:color="000000"/>
          <w:bdr w:val="nil"/>
        </w:rPr>
        <w:t>pertinente</w:t>
      </w:r>
      <w:r w:rsidRPr="00D93140">
        <w:rPr>
          <w:rFonts w:ascii="Times New Roman" w:hAnsi="Times New Roman"/>
          <w:sz w:val="28"/>
          <w:szCs w:val="28"/>
          <w:u w:color="000000"/>
          <w:bdr w:val="nil"/>
        </w:rPr>
        <w:t xml:space="preserve"> al </w:t>
      </w:r>
      <w:r w:rsidRPr="00D93140">
        <w:rPr>
          <w:rFonts w:ascii="Times New Roman" w:hAnsi="Times New Roman"/>
          <w:sz w:val="28"/>
          <w:szCs w:val="28"/>
          <w:u w:color="000000"/>
          <w:bdr w:val="nil"/>
        </w:rPr>
        <w:t xml:space="preserve">estar basado el </w:t>
      </w:r>
      <w:r w:rsidRPr="00D93140">
        <w:rPr>
          <w:rFonts w:ascii="Times New Roman" w:hAnsi="Times New Roman"/>
          <w:sz w:val="28"/>
          <w:szCs w:val="28"/>
          <w:u w:color="000000"/>
          <w:bdr w:val="nil"/>
        </w:rPr>
        <w:t xml:space="preserve">análisis sobre </w:t>
      </w:r>
      <w:r w:rsidRPr="00D93140">
        <w:rPr>
          <w:rFonts w:ascii="Times New Roman" w:hAnsi="Times New Roman"/>
          <w:sz w:val="28"/>
          <w:szCs w:val="28"/>
          <w:u w:color="000000"/>
          <w:bdr w:val="nil"/>
        </w:rPr>
        <w:t xml:space="preserve">razones subjetivas y derivadas de su interpretación personal sobre lo que se entiende por territorio en el marco del artículo transitorio </w:t>
      </w:r>
      <w:r w:rsidRPr="00D93140">
        <w:rPr>
          <w:rFonts w:ascii="Times New Roman" w:hAnsi="Times New Roman"/>
          <w:sz w:val="28"/>
          <w:szCs w:val="28"/>
          <w:u w:color="000000"/>
          <w:bdr w:val="nil"/>
        </w:rPr>
        <w:t>constitucional</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y no en alegatos objetivo</w:t>
      </w:r>
      <w:r w:rsidRPr="00D93140">
        <w:rPr>
          <w:rFonts w:ascii="Times New Roman" w:hAnsi="Times New Roman"/>
          <w:sz w:val="28"/>
          <w:szCs w:val="28"/>
          <w:u w:color="000000"/>
          <w:bdr w:val="nil"/>
        </w:rPr>
        <w:t>s, tendientes a establecer una verdadera confrontación</w:t>
      </w:r>
      <w:r w:rsidRPr="00D93140">
        <w:rPr>
          <w:rFonts w:ascii="Times New Roman" w:hAnsi="Times New Roman"/>
          <w:sz w:val="28"/>
          <w:szCs w:val="28"/>
          <w:u w:color="000000"/>
          <w:bdr w:val="nil"/>
        </w:rPr>
        <w:t xml:space="preserve"> entre el decreto y la n</w:t>
      </w:r>
      <w:r w:rsidRPr="00D93140">
        <w:rPr>
          <w:rFonts w:ascii="Times New Roman" w:hAnsi="Times New Roman"/>
          <w:sz w:val="28"/>
          <w:szCs w:val="28"/>
          <w:u w:color="000000"/>
          <w:bdr w:val="nil"/>
        </w:rPr>
        <w:t>orma superior</w:t>
      </w:r>
      <w:r w:rsidRPr="00D93140">
        <w:rPr>
          <w:rFonts w:ascii="Times New Roman" w:hAnsi="Times New Roman"/>
          <w:sz w:val="28"/>
          <w:szCs w:val="28"/>
          <w:u w:color="000000"/>
          <w:bdr w:val="nil"/>
        </w:rPr>
        <w:t xml:space="preserve">. </w:t>
      </w:r>
    </w:p>
    <w:p w:rsidR="00D526F1" w:rsidRPr="00D93140" w:rsidRDefault="00D93140" w:rsidP="00E04174">
      <w:pPr>
        <w:pStyle w:val="Prrafodelista"/>
        <w:ind w:left="0"/>
        <w:jc w:val="both"/>
        <w:rPr>
          <w:rFonts w:ascii="Times New Roman" w:hAnsi="Times New Roman"/>
          <w:sz w:val="28"/>
          <w:szCs w:val="28"/>
        </w:rPr>
      </w:pPr>
    </w:p>
    <w:p w:rsidR="00C71791"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ptitud del cargo relacionado con la vulneración de</w:t>
      </w:r>
      <w:r w:rsidRPr="00D93140">
        <w:rPr>
          <w:rFonts w:ascii="Times New Roman" w:hAnsi="Times New Roman"/>
          <w:i/>
          <w:iCs/>
          <w:sz w:val="28"/>
          <w:szCs w:val="28"/>
          <w:u w:color="000000"/>
          <w:bdr w:val="nil"/>
        </w:rPr>
        <w:t xml:space="preserve"> los</w:t>
      </w:r>
      <w:r w:rsidRPr="00D93140">
        <w:rPr>
          <w:rFonts w:ascii="Times New Roman" w:hAnsi="Times New Roman"/>
          <w:i/>
          <w:iCs/>
          <w:sz w:val="28"/>
          <w:szCs w:val="28"/>
          <w:u w:color="000000"/>
          <w:bdr w:val="nil"/>
        </w:rPr>
        <w:t xml:space="preserve"> artículo</w:t>
      </w:r>
      <w:r w:rsidRPr="00D93140">
        <w:rPr>
          <w:rFonts w:ascii="Times New Roman" w:hAnsi="Times New Roman"/>
          <w:i/>
          <w:iCs/>
          <w:sz w:val="28"/>
          <w:szCs w:val="28"/>
          <w:u w:color="000000"/>
          <w:bdr w:val="nil"/>
        </w:rPr>
        <w:t>s</w:t>
      </w:r>
      <w:r w:rsidRPr="00D93140">
        <w:rPr>
          <w:rFonts w:ascii="Times New Roman" w:hAnsi="Times New Roman"/>
          <w:i/>
          <w:iCs/>
          <w:sz w:val="28"/>
          <w:szCs w:val="28"/>
          <w:u w:color="000000"/>
          <w:bdr w:val="nil"/>
        </w:rPr>
        <w:t xml:space="preserve"> </w:t>
      </w:r>
      <w:r w:rsidRPr="00D93140">
        <w:rPr>
          <w:rFonts w:ascii="Times New Roman" w:hAnsi="Times New Roman"/>
          <w:i/>
          <w:iCs/>
          <w:sz w:val="28"/>
          <w:szCs w:val="28"/>
          <w:u w:color="000000"/>
          <w:bdr w:val="nil"/>
        </w:rPr>
        <w:t xml:space="preserve">151, 288 y </w:t>
      </w:r>
      <w:r w:rsidRPr="00D93140">
        <w:rPr>
          <w:rFonts w:ascii="Times New Roman" w:hAnsi="Times New Roman"/>
          <w:i/>
          <w:iCs/>
          <w:sz w:val="28"/>
          <w:szCs w:val="28"/>
          <w:u w:color="000000"/>
          <w:bdr w:val="nil"/>
        </w:rPr>
        <w:t xml:space="preserve">56 transitorio de la Constitución (cargo </w:t>
      </w:r>
      <w:r w:rsidRPr="00D93140">
        <w:rPr>
          <w:rFonts w:ascii="Times New Roman" w:hAnsi="Times New Roman"/>
          <w:i/>
          <w:iCs/>
          <w:sz w:val="28"/>
          <w:szCs w:val="28"/>
          <w:u w:color="000000"/>
          <w:bdr w:val="nil"/>
        </w:rPr>
        <w:t>segundo</w:t>
      </w:r>
      <w:r w:rsidRPr="00D93140">
        <w:rPr>
          <w:rFonts w:ascii="Times New Roman" w:hAnsi="Times New Roman"/>
          <w:i/>
          <w:iCs/>
          <w:sz w:val="28"/>
          <w:szCs w:val="28"/>
          <w:u w:color="000000"/>
          <w:bdr w:val="nil"/>
        </w:rPr>
        <w:t xml:space="preserve"> expediente D-16345).</w:t>
      </w:r>
      <w:r w:rsidRPr="00D93140">
        <w:rPr>
          <w:rFonts w:ascii="Times New Roman" w:hAnsi="Times New Roman"/>
          <w:i/>
          <w:iCs/>
          <w:sz w:val="28"/>
          <w:szCs w:val="28"/>
          <w:u w:color="000000"/>
          <w:bdr w:val="nil"/>
        </w:rPr>
        <w:t xml:space="preserve"> </w:t>
      </w:r>
      <w:r w:rsidRPr="00D93140">
        <w:rPr>
          <w:rFonts w:ascii="Times New Roman" w:hAnsi="Times New Roman"/>
          <w:iCs/>
          <w:sz w:val="28"/>
          <w:szCs w:val="28"/>
          <w:u w:color="000000"/>
          <w:bdr w:val="nil"/>
        </w:rPr>
        <w:t xml:space="preserve">Para el actor, </w:t>
      </w:r>
      <w:r w:rsidRPr="00D93140">
        <w:rPr>
          <w:rFonts w:ascii="Times New Roman" w:hAnsi="Times New Roman"/>
          <w:sz w:val="28"/>
          <w:szCs w:val="28"/>
          <w:u w:color="000000"/>
          <w:bdr w:val="nil"/>
        </w:rPr>
        <w:t>los artículos 1º (parcial), 3º [literales (f) y (h)], 5º y 6º del</w:t>
      </w:r>
      <w:r w:rsidRPr="00D93140">
        <w:rPr>
          <w:rFonts w:ascii="Times New Roman" w:hAnsi="Times New Roman"/>
          <w:sz w:val="28"/>
          <w:szCs w:val="28"/>
          <w:u w:color="000000"/>
          <w:bdr w:val="nil"/>
        </w:rPr>
        <w:t xml:space="preserve"> Decreto 1275 de 2024 regulan aspectos que se sitúan por fuera del ámbito normativo de las dos materias a las que se refiere el artículo 56 transitorio de la Constitución Política</w:t>
      </w:r>
      <w:r w:rsidRPr="00D93140">
        <w:rPr>
          <w:rFonts w:ascii="Times New Roman" w:hAnsi="Times New Roman"/>
          <w:sz w:val="28"/>
          <w:szCs w:val="28"/>
          <w:u w:color="000000"/>
          <w:bdr w:val="nil"/>
        </w:rPr>
        <w:t xml:space="preserve">: expedir normas fiscales y aquellas necesarias para poner en funcionamiento </w:t>
      </w:r>
      <w:r w:rsidRPr="00D93140">
        <w:rPr>
          <w:rFonts w:ascii="Times New Roman" w:hAnsi="Times New Roman"/>
          <w:sz w:val="28"/>
          <w:szCs w:val="28"/>
          <w:u w:color="000000"/>
          <w:bdr w:val="nil"/>
        </w:rPr>
        <w:t>los territorios indígenas.</w:t>
      </w:r>
    </w:p>
    <w:p w:rsidR="00C71791" w:rsidRPr="00D93140" w:rsidRDefault="00D93140" w:rsidP="00E04174">
      <w:pPr>
        <w:pStyle w:val="Prrafodelista"/>
        <w:ind w:left="0"/>
        <w:jc w:val="both"/>
        <w:rPr>
          <w:rFonts w:ascii="Times New Roman" w:hAnsi="Times New Roman"/>
          <w:sz w:val="28"/>
          <w:szCs w:val="28"/>
        </w:rPr>
      </w:pPr>
    </w:p>
    <w:p w:rsidR="00FC5080"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Cs/>
          <w:sz w:val="28"/>
          <w:szCs w:val="28"/>
        </w:rPr>
        <w:t>A su juicio, la</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competencia prevista por el artículo 56 transitorio no es exclusiva y excluyente de cualquier posibilidad de ejercicio de función legislativa diferente a la consistente en la conformación de las entidades territo</w:t>
      </w:r>
      <w:r w:rsidRPr="00D93140">
        <w:rPr>
          <w:rFonts w:ascii="Times New Roman" w:hAnsi="Times New Roman"/>
          <w:sz w:val="28"/>
          <w:szCs w:val="28"/>
          <w:u w:color="000000"/>
          <w:bdr w:val="nil"/>
        </w:rPr>
        <w:t xml:space="preserve">riales indígenas, mediante la ley orgánica de ordenamiento territorial. </w:t>
      </w:r>
      <w:r w:rsidRPr="00D93140">
        <w:rPr>
          <w:rFonts w:ascii="Times New Roman" w:hAnsi="Times New Roman"/>
          <w:sz w:val="28"/>
          <w:szCs w:val="28"/>
          <w:u w:color="000000"/>
          <w:bdr w:val="nil"/>
        </w:rPr>
        <w:t xml:space="preserve">Motivo por el cual </w:t>
      </w:r>
      <w:r w:rsidRPr="00D93140">
        <w:rPr>
          <w:rFonts w:ascii="Times New Roman" w:hAnsi="Times New Roman"/>
          <w:sz w:val="28"/>
          <w:szCs w:val="28"/>
          <w:u w:color="000000"/>
          <w:bdr w:val="nil"/>
        </w:rPr>
        <w:t>la conformación de las entidades indígenas</w:t>
      </w:r>
      <w:r w:rsidRPr="00D93140">
        <w:rPr>
          <w:rFonts w:ascii="Times New Roman" w:hAnsi="Times New Roman"/>
          <w:sz w:val="28"/>
          <w:szCs w:val="28"/>
          <w:u w:color="000000"/>
          <w:bdr w:val="nil"/>
        </w:rPr>
        <w:t xml:space="preserve"> corresponde al legislador orgánico </w:t>
      </w:r>
      <w:r w:rsidRPr="00D93140">
        <w:rPr>
          <w:rFonts w:ascii="Times New Roman" w:hAnsi="Times New Roman"/>
          <w:sz w:val="28"/>
          <w:szCs w:val="28"/>
          <w:u w:color="000000"/>
          <w:bdr w:val="nil"/>
        </w:rPr>
        <w:t xml:space="preserve">de conformidad con lo señalado en los artículos 151 y 288 de la Constitución </w:t>
      </w:r>
      <w:r w:rsidRPr="00D93140">
        <w:rPr>
          <w:rFonts w:ascii="Times New Roman" w:hAnsi="Times New Roman"/>
          <w:sz w:val="28"/>
          <w:szCs w:val="28"/>
          <w:u w:color="000000"/>
          <w:bdr w:val="nil"/>
        </w:rPr>
        <w:t>y solo</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de manera transitoria y restringida, al Gobierno</w:t>
      </w:r>
      <w:r w:rsidRPr="00D93140">
        <w:rPr>
          <w:rFonts w:ascii="Times New Roman" w:hAnsi="Times New Roman"/>
          <w:sz w:val="28"/>
          <w:szCs w:val="28"/>
          <w:u w:color="000000"/>
          <w:bdr w:val="nil"/>
        </w:rPr>
        <w:t xml:space="preserve">. </w:t>
      </w:r>
    </w:p>
    <w:p w:rsidR="00FC5080" w:rsidRPr="00D93140" w:rsidRDefault="00D93140" w:rsidP="00E04174">
      <w:pPr>
        <w:pStyle w:val="Prrafodelista"/>
        <w:ind w:left="0"/>
        <w:jc w:val="both"/>
        <w:rPr>
          <w:rFonts w:ascii="Times New Roman" w:hAnsi="Times New Roman"/>
          <w:sz w:val="28"/>
          <w:szCs w:val="28"/>
        </w:rPr>
      </w:pPr>
    </w:p>
    <w:p w:rsidR="007C0EEA"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color="000000"/>
          <w:bdr w:val="nil"/>
        </w:rPr>
        <w:t xml:space="preserve">En este caso, </w:t>
      </w:r>
      <w:r w:rsidRPr="00D93140">
        <w:rPr>
          <w:rFonts w:ascii="Times New Roman" w:hAnsi="Times New Roman"/>
          <w:sz w:val="28"/>
          <w:szCs w:val="28"/>
          <w:u w:color="000000"/>
          <w:bdr w:val="nil"/>
        </w:rPr>
        <w:t>el contenido de las competencias enlistadas en los artículos antes señalados no está</w:t>
      </w:r>
      <w:r w:rsidRPr="00D93140">
        <w:rPr>
          <w:rFonts w:ascii="Times New Roman" w:hAnsi="Times New Roman"/>
          <w:sz w:val="28"/>
          <w:szCs w:val="28"/>
          <w:u w:color="000000"/>
          <w:bdr w:val="nil"/>
        </w:rPr>
        <w:t xml:space="preserve"> encaminadas a poner en funcionamiento los territorios </w:t>
      </w:r>
      <w:r w:rsidRPr="00D93140">
        <w:rPr>
          <w:rFonts w:ascii="Times New Roman" w:hAnsi="Times New Roman"/>
          <w:sz w:val="28"/>
          <w:szCs w:val="28"/>
          <w:u w:color="000000"/>
          <w:bdr w:val="nil"/>
        </w:rPr>
        <w:t>indígenas,</w:t>
      </w:r>
      <w:r w:rsidRPr="00D93140">
        <w:rPr>
          <w:rFonts w:ascii="Times New Roman" w:hAnsi="Times New Roman"/>
          <w:sz w:val="28"/>
          <w:szCs w:val="28"/>
          <w:u w:color="000000"/>
          <w:bdr w:val="nil"/>
        </w:rPr>
        <w:t xml:space="preserve"> sino que desarrollan competencias en ma</w:t>
      </w:r>
      <w:r w:rsidRPr="00D93140">
        <w:rPr>
          <w:rFonts w:ascii="Times New Roman" w:hAnsi="Times New Roman"/>
          <w:sz w:val="28"/>
          <w:szCs w:val="28"/>
          <w:u w:color="000000"/>
          <w:bdr w:val="nil"/>
        </w:rPr>
        <w:t xml:space="preserve">teria ambiental, </w:t>
      </w:r>
      <w:r w:rsidRPr="00D93140">
        <w:rPr>
          <w:rFonts w:ascii="Times New Roman" w:hAnsi="Times New Roman"/>
          <w:sz w:val="28"/>
          <w:szCs w:val="28"/>
          <w:u w:color="000000"/>
          <w:bdr w:val="nil"/>
        </w:rPr>
        <w:t xml:space="preserve">de las comunidades indígenas lo </w:t>
      </w:r>
      <w:r w:rsidRPr="00D93140">
        <w:rPr>
          <w:rFonts w:ascii="Times New Roman" w:hAnsi="Times New Roman"/>
          <w:sz w:val="28"/>
          <w:szCs w:val="28"/>
          <w:u w:color="000000"/>
          <w:bdr w:val="nil"/>
        </w:rPr>
        <w:t>que,</w:t>
      </w:r>
      <w:r w:rsidRPr="00D93140">
        <w:rPr>
          <w:rFonts w:ascii="Times New Roman" w:hAnsi="Times New Roman"/>
          <w:sz w:val="28"/>
          <w:szCs w:val="28"/>
          <w:u w:color="000000"/>
          <w:bdr w:val="nil"/>
        </w:rPr>
        <w:t xml:space="preserve"> a su juicio, es un tema de ley orgánica y no de los aspectos abarcados por el artículo 56 transitorio de la Constitución Política</w:t>
      </w:r>
      <w:r w:rsidRPr="00D93140">
        <w:rPr>
          <w:rFonts w:ascii="Times New Roman" w:hAnsi="Times New Roman"/>
          <w:sz w:val="28"/>
          <w:szCs w:val="28"/>
          <w:u w:color="000000"/>
          <w:bdr w:val="nil"/>
        </w:rPr>
        <w:t>.</w:t>
      </w:r>
    </w:p>
    <w:p w:rsidR="00552AC8" w:rsidRPr="00D93140" w:rsidRDefault="00D93140" w:rsidP="00E04174">
      <w:pPr>
        <w:pStyle w:val="Prrafodelista"/>
        <w:ind w:left="0"/>
        <w:jc w:val="both"/>
        <w:rPr>
          <w:rFonts w:ascii="Times New Roman" w:hAnsi="Times New Roman"/>
          <w:sz w:val="28"/>
          <w:szCs w:val="28"/>
        </w:rPr>
      </w:pPr>
    </w:p>
    <w:p w:rsidR="00FC5080"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color="000000"/>
          <w:bdr w:val="nil"/>
        </w:rPr>
        <w:t xml:space="preserve">Al respecto, considera la Sala Plena que el cargo carece de </w:t>
      </w:r>
      <w:r w:rsidRPr="00D93140">
        <w:rPr>
          <w:rFonts w:ascii="Times New Roman" w:hAnsi="Times New Roman"/>
          <w:i/>
          <w:sz w:val="28"/>
          <w:szCs w:val="28"/>
          <w:u w:color="000000"/>
          <w:bdr w:val="nil"/>
        </w:rPr>
        <w:t>especifici</w:t>
      </w:r>
      <w:r w:rsidRPr="00D93140">
        <w:rPr>
          <w:rFonts w:ascii="Times New Roman" w:hAnsi="Times New Roman"/>
          <w:i/>
          <w:sz w:val="28"/>
          <w:szCs w:val="28"/>
          <w:u w:color="000000"/>
          <w:bdr w:val="nil"/>
        </w:rPr>
        <w:t>dad</w:t>
      </w:r>
      <w:r w:rsidRPr="00D93140">
        <w:rPr>
          <w:rFonts w:ascii="Times New Roman" w:hAnsi="Times New Roman"/>
          <w:sz w:val="28"/>
          <w:szCs w:val="28"/>
          <w:u w:color="000000"/>
          <w:bdr w:val="nil"/>
        </w:rPr>
        <w:t xml:space="preserve"> en la medida que, contrario a lo interpretado por el actor, esta corporación ha reconocido que las competencias del gobierno para poner en funcionamiento los territorios indígenas no solo abarcan varias materias sino que se agotará una vez se expida </w:t>
      </w:r>
      <w:r w:rsidRPr="00D93140">
        <w:rPr>
          <w:rFonts w:ascii="Times New Roman" w:hAnsi="Times New Roman"/>
          <w:sz w:val="28"/>
          <w:szCs w:val="28"/>
          <w:u w:color="000000"/>
          <w:bdr w:val="nil"/>
        </w:rPr>
        <w:t>po</w:t>
      </w:r>
      <w:r w:rsidRPr="00D93140">
        <w:rPr>
          <w:rFonts w:ascii="Times New Roman" w:hAnsi="Times New Roman"/>
          <w:sz w:val="28"/>
          <w:szCs w:val="28"/>
          <w:u w:color="000000"/>
          <w:bdr w:val="nil"/>
        </w:rPr>
        <w:t xml:space="preserve">r el Congreso de la República </w:t>
      </w:r>
      <w:r w:rsidRPr="00D93140">
        <w:rPr>
          <w:rFonts w:ascii="Times New Roman" w:hAnsi="Times New Roman"/>
          <w:sz w:val="28"/>
          <w:szCs w:val="28"/>
          <w:u w:color="000000"/>
          <w:bdr w:val="nil"/>
        </w:rPr>
        <w:t>la ley contemplada en el artículo 329</w:t>
      </w:r>
      <w:r w:rsidRPr="00D93140">
        <w:rPr>
          <w:rFonts w:ascii="Times New Roman" w:hAnsi="Times New Roman"/>
          <w:sz w:val="28"/>
          <w:szCs w:val="28"/>
          <w:u w:color="000000"/>
          <w:bdr w:val="nil"/>
        </w:rPr>
        <w:t>.</w:t>
      </w:r>
      <w:r w:rsidRPr="00D93140">
        <w:rPr>
          <w:rStyle w:val="Refdenotaalpie"/>
          <w:rFonts w:ascii="Times New Roman" w:hAnsi="Times New Roman"/>
          <w:sz w:val="28"/>
          <w:szCs w:val="28"/>
          <w:u w:color="000000"/>
          <w:bdr w:val="nil"/>
        </w:rPr>
        <w:footnoteReference w:id="28"/>
      </w:r>
      <w:r w:rsidRPr="00D93140">
        <w:rPr>
          <w:rFonts w:ascii="Times New Roman" w:hAnsi="Times New Roman"/>
          <w:sz w:val="28"/>
          <w:szCs w:val="28"/>
          <w:u w:color="000000"/>
          <w:bdr w:val="nil"/>
        </w:rPr>
        <w:t xml:space="preserve"> Bajo ese contexto, no se desprende de la lectura </w:t>
      </w:r>
      <w:r w:rsidRPr="00D93140">
        <w:rPr>
          <w:rFonts w:ascii="Times New Roman" w:hAnsi="Times New Roman"/>
          <w:sz w:val="28"/>
          <w:szCs w:val="28"/>
          <w:u w:color="000000"/>
          <w:bdr w:val="nil"/>
        </w:rPr>
        <w:t xml:space="preserve">objetiva y </w:t>
      </w:r>
      <w:r w:rsidRPr="00D93140">
        <w:rPr>
          <w:rFonts w:ascii="Times New Roman" w:hAnsi="Times New Roman"/>
          <w:sz w:val="28"/>
          <w:szCs w:val="28"/>
          <w:u w:color="000000"/>
          <w:bdr w:val="nil"/>
        </w:rPr>
        <w:t>armónica</w:t>
      </w:r>
      <w:r w:rsidRPr="00D93140">
        <w:rPr>
          <w:rFonts w:ascii="Times New Roman" w:hAnsi="Times New Roman"/>
          <w:sz w:val="28"/>
          <w:szCs w:val="28"/>
          <w:u w:color="000000"/>
          <w:bdr w:val="nil"/>
        </w:rPr>
        <w:t xml:space="preserve"> de los artículos de la Constitución que estima vulnerados, que el gobierno en ejercicio de sus facultades</w:t>
      </w:r>
      <w:r w:rsidRPr="00D93140">
        <w:rPr>
          <w:rFonts w:ascii="Times New Roman" w:hAnsi="Times New Roman"/>
          <w:sz w:val="28"/>
          <w:szCs w:val="28"/>
          <w:u w:color="000000"/>
          <w:bdr w:val="nil"/>
        </w:rPr>
        <w:t xml:space="preserve"> extraordinarias, está vetado para dictar las normas necesarias para que los territorios </w:t>
      </w:r>
      <w:r w:rsidRPr="00D93140">
        <w:rPr>
          <w:rFonts w:ascii="Times New Roman" w:hAnsi="Times New Roman"/>
          <w:sz w:val="28"/>
          <w:szCs w:val="28"/>
          <w:u w:color="000000"/>
          <w:bdr w:val="nil"/>
        </w:rPr>
        <w:t>indígenas</w:t>
      </w:r>
      <w:r w:rsidRPr="00D93140">
        <w:rPr>
          <w:rFonts w:ascii="Times New Roman" w:hAnsi="Times New Roman"/>
          <w:sz w:val="28"/>
          <w:szCs w:val="28"/>
          <w:u w:color="000000"/>
          <w:bdr w:val="nil"/>
        </w:rPr>
        <w:t xml:space="preserve"> (conformados como entidades territoriales o no) puedan funcionar en coordinación con las demás entidades territoriales.</w:t>
      </w:r>
    </w:p>
    <w:p w:rsidR="00874DA5" w:rsidRPr="00D93140" w:rsidRDefault="00D93140" w:rsidP="00E04174">
      <w:pPr>
        <w:pStyle w:val="Prrafodelista"/>
        <w:ind w:left="0"/>
        <w:jc w:val="both"/>
        <w:rPr>
          <w:rFonts w:ascii="Times New Roman" w:hAnsi="Times New Roman"/>
          <w:sz w:val="28"/>
          <w:szCs w:val="28"/>
        </w:rPr>
      </w:pPr>
    </w:p>
    <w:p w:rsidR="000F1DD0"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Como se indicó previamente,</w:t>
      </w:r>
      <w:r w:rsidRPr="00D93140">
        <w:rPr>
          <w:rStyle w:val="Refdenotaalpie"/>
          <w:rFonts w:ascii="Times New Roman" w:hAnsi="Times New Roman"/>
          <w:sz w:val="28"/>
          <w:szCs w:val="28"/>
          <w:u w:color="000000"/>
          <w:bdr w:val="nil"/>
        </w:rPr>
        <w:footnoteReference w:id="29"/>
      </w:r>
      <w:r w:rsidRPr="00D93140">
        <w:rPr>
          <w:rFonts w:ascii="Times New Roman" w:hAnsi="Times New Roman"/>
          <w:sz w:val="28"/>
          <w:szCs w:val="28"/>
          <w:u w:color="000000"/>
          <w:bdr w:val="nil"/>
        </w:rPr>
        <w:t xml:space="preserve"> </w:t>
      </w:r>
      <w:r w:rsidRPr="00D93140">
        <w:rPr>
          <w:rFonts w:ascii="Times New Roman" w:hAnsi="Times New Roman"/>
          <w:sz w:val="28"/>
        </w:rPr>
        <w:t>las com</w:t>
      </w:r>
      <w:r w:rsidRPr="00D93140">
        <w:rPr>
          <w:rFonts w:ascii="Times New Roman" w:hAnsi="Times New Roman"/>
          <w:sz w:val="28"/>
        </w:rPr>
        <w:t>petencias otorgadas al Gobierno Nacional en el artículo 56 transitorio de la Constitución son amplias, cualificadas, condicionadas, no están limitadas temporalmente, se pueden concretar a partir de diversos instrumentos normativos y son excepcionales. En v</w:t>
      </w:r>
      <w:r w:rsidRPr="00D93140">
        <w:rPr>
          <w:rFonts w:ascii="Times New Roman" w:hAnsi="Times New Roman"/>
          <w:sz w:val="28"/>
        </w:rPr>
        <w:t>irtud de esa amplitud el Gobierno Nacional puede expedir normas que se relacionen tanto con el funcionamiento de los territorios indígenas como con la forma en que estos se coordinarán con otras entidades territoriales, tal como se advierte con el presente</w:t>
      </w:r>
      <w:r w:rsidRPr="00D93140">
        <w:rPr>
          <w:rFonts w:ascii="Times New Roman" w:hAnsi="Times New Roman"/>
          <w:sz w:val="28"/>
        </w:rPr>
        <w:t xml:space="preserve"> decreto demandado.</w:t>
      </w:r>
    </w:p>
    <w:p w:rsidR="000F1DD0" w:rsidRPr="00D93140" w:rsidRDefault="00D93140" w:rsidP="000F1DD0">
      <w:pPr>
        <w:pStyle w:val="Prrafodelista"/>
        <w:ind w:left="0"/>
        <w:jc w:val="both"/>
        <w:rPr>
          <w:rFonts w:ascii="Times New Roman" w:hAnsi="Times New Roman"/>
          <w:sz w:val="28"/>
          <w:szCs w:val="28"/>
          <w:u w:color="000000"/>
          <w:bdr w:val="nil"/>
        </w:rPr>
      </w:pPr>
    </w:p>
    <w:p w:rsidR="00C47E84"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Adicionalmente, los argumentos del actor</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a pesar </w:t>
      </w:r>
      <w:r w:rsidRPr="00D93140">
        <w:rPr>
          <w:rFonts w:ascii="Times New Roman" w:hAnsi="Times New Roman"/>
          <w:sz w:val="28"/>
          <w:szCs w:val="28"/>
          <w:u w:color="000000"/>
          <w:bdr w:val="nil"/>
        </w:rPr>
        <w:t>de que enuncia y transcribe los artículos de</w:t>
      </w:r>
      <w:r w:rsidRPr="00D93140">
        <w:rPr>
          <w:rFonts w:ascii="Times New Roman" w:hAnsi="Times New Roman"/>
          <w:sz w:val="28"/>
          <w:szCs w:val="28"/>
          <w:u w:color="000000"/>
          <w:bdr w:val="nil"/>
        </w:rPr>
        <w:t>l</w:t>
      </w:r>
      <w:r w:rsidRPr="00D93140">
        <w:rPr>
          <w:rFonts w:ascii="Times New Roman" w:hAnsi="Times New Roman"/>
          <w:sz w:val="28"/>
          <w:szCs w:val="28"/>
          <w:u w:color="000000"/>
          <w:bdr w:val="nil"/>
        </w:rPr>
        <w:t xml:space="preserve"> decreto que considera desconocen las normas constitucionales, más allá de esa relación y sus afirmaciones, no demuestra ni explica cómo el contenido </w:t>
      </w:r>
      <w:r w:rsidRPr="00D93140">
        <w:rPr>
          <w:rFonts w:ascii="Times New Roman" w:hAnsi="Times New Roman"/>
          <w:sz w:val="28"/>
          <w:szCs w:val="28"/>
        </w:rPr>
        <w:t>de</w:t>
      </w:r>
      <w:r w:rsidRPr="00D93140">
        <w:rPr>
          <w:rFonts w:ascii="Times New Roman" w:hAnsi="Times New Roman"/>
          <w:sz w:val="28"/>
          <w:szCs w:val="28"/>
        </w:rPr>
        <w:t xml:space="preserve"> aquellos </w:t>
      </w:r>
      <w:r w:rsidRPr="00D93140">
        <w:rPr>
          <w:rFonts w:ascii="Times New Roman" w:hAnsi="Times New Roman"/>
          <w:sz w:val="28"/>
          <w:szCs w:val="28"/>
        </w:rPr>
        <w:t>no coincide con las materias respecto de las cuales el artículo 56 transitorio de la Constituc</w:t>
      </w:r>
      <w:r w:rsidRPr="00D93140">
        <w:rPr>
          <w:rFonts w:ascii="Times New Roman" w:hAnsi="Times New Roman"/>
          <w:sz w:val="28"/>
          <w:szCs w:val="28"/>
        </w:rPr>
        <w:t xml:space="preserve">ión otorgó competencia, </w:t>
      </w:r>
      <w:r w:rsidRPr="00D93140">
        <w:rPr>
          <w:rFonts w:ascii="Times New Roman" w:hAnsi="Times New Roman"/>
          <w:sz w:val="28"/>
          <w:szCs w:val="28"/>
        </w:rPr>
        <w:t>ni mucho menos se desarrolla un alegato que establezca por</w:t>
      </w:r>
      <w:r w:rsidRPr="00D93140">
        <w:rPr>
          <w:rFonts w:ascii="Times New Roman" w:hAnsi="Times New Roman"/>
          <w:sz w:val="28"/>
          <w:szCs w:val="28"/>
        </w:rPr>
        <w:t xml:space="preserve"> </w:t>
      </w:r>
      <w:r w:rsidRPr="00D93140">
        <w:rPr>
          <w:rFonts w:ascii="Times New Roman" w:hAnsi="Times New Roman"/>
          <w:sz w:val="28"/>
          <w:szCs w:val="28"/>
        </w:rPr>
        <w:t>qué la materia ambiental no es necesaria para el funcionamiento de los territorios indígenas</w:t>
      </w:r>
      <w:r w:rsidRPr="00D93140">
        <w:rPr>
          <w:rFonts w:ascii="Times New Roman" w:hAnsi="Times New Roman"/>
          <w:sz w:val="28"/>
          <w:szCs w:val="28"/>
          <w:u w:color="000000"/>
          <w:bdr w:val="nil"/>
        </w:rPr>
        <w:t xml:space="preserve"> y por tanto, </w:t>
      </w:r>
      <w:r w:rsidRPr="00D93140">
        <w:rPr>
          <w:rFonts w:ascii="Times New Roman" w:hAnsi="Times New Roman"/>
          <w:sz w:val="28"/>
          <w:szCs w:val="28"/>
          <w:u w:color="000000"/>
          <w:bdr w:val="nil"/>
        </w:rPr>
        <w:t xml:space="preserve">no </w:t>
      </w:r>
      <w:r w:rsidRPr="00D93140">
        <w:rPr>
          <w:rFonts w:ascii="Times New Roman" w:hAnsi="Times New Roman"/>
          <w:sz w:val="28"/>
          <w:szCs w:val="28"/>
          <w:u w:color="000000"/>
          <w:bdr w:val="nil"/>
        </w:rPr>
        <w:t>hace parte de los temas habilitantes del art. 56 transitorio.</w:t>
      </w:r>
      <w:r w:rsidRPr="00D93140">
        <w:rPr>
          <w:rFonts w:ascii="Times New Roman" w:hAnsi="Times New Roman"/>
          <w:sz w:val="28"/>
          <w:szCs w:val="28"/>
        </w:rPr>
        <w:t xml:space="preserve"> </w:t>
      </w:r>
      <w:r w:rsidRPr="00D93140">
        <w:rPr>
          <w:rFonts w:ascii="Times New Roman" w:hAnsi="Times New Roman"/>
          <w:sz w:val="28"/>
          <w:szCs w:val="28"/>
        </w:rPr>
        <w:t>Es</w:t>
      </w:r>
      <w:r w:rsidRPr="00D93140">
        <w:rPr>
          <w:rFonts w:ascii="Times New Roman" w:hAnsi="Times New Roman"/>
          <w:sz w:val="28"/>
          <w:szCs w:val="28"/>
        </w:rPr>
        <w:t xml:space="preserve"> decir, no se realiza una verdadera confrontación entre las normas superiores y el decreto cuestionado, además de que, como se indicó previamente, su reproche parte de una interpretación subjetiva de los artículos 151, 288 y 56 transitorio de la Constituci</w:t>
      </w:r>
      <w:r w:rsidRPr="00D93140">
        <w:rPr>
          <w:rFonts w:ascii="Times New Roman" w:hAnsi="Times New Roman"/>
          <w:sz w:val="28"/>
          <w:szCs w:val="28"/>
        </w:rPr>
        <w:t xml:space="preserve">ón. </w:t>
      </w:r>
      <w:r w:rsidRPr="00D93140">
        <w:rPr>
          <w:rFonts w:ascii="Times New Roman" w:hAnsi="Times New Roman"/>
          <w:sz w:val="28"/>
          <w:szCs w:val="28"/>
        </w:rPr>
        <w:t xml:space="preserve">Careciendo además de </w:t>
      </w:r>
      <w:r w:rsidRPr="00D93140">
        <w:rPr>
          <w:rFonts w:ascii="Times New Roman" w:hAnsi="Times New Roman"/>
          <w:i/>
          <w:sz w:val="28"/>
          <w:szCs w:val="28"/>
        </w:rPr>
        <w:t>pertinencia</w:t>
      </w:r>
      <w:r w:rsidRPr="00D93140">
        <w:rPr>
          <w:rFonts w:ascii="Times New Roman" w:hAnsi="Times New Roman"/>
          <w:sz w:val="28"/>
          <w:szCs w:val="28"/>
        </w:rPr>
        <w:t>. Por tal razón, la Sala se inhibirá en este cargo.</w:t>
      </w:r>
    </w:p>
    <w:p w:rsidR="00C47E84" w:rsidRPr="00D93140" w:rsidRDefault="00D93140" w:rsidP="00E04174">
      <w:pPr>
        <w:pStyle w:val="Prrafodelista"/>
        <w:ind w:left="0"/>
        <w:jc w:val="both"/>
        <w:rPr>
          <w:rFonts w:ascii="Times New Roman" w:hAnsi="Times New Roman"/>
          <w:sz w:val="28"/>
          <w:szCs w:val="28"/>
          <w:u w:color="000000"/>
          <w:bdr w:val="nil"/>
        </w:rPr>
      </w:pPr>
    </w:p>
    <w:p w:rsidR="00062196"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i/>
          <w:sz w:val="28"/>
          <w:szCs w:val="28"/>
          <w:u w:color="000000"/>
          <w:bdr w:val="nil"/>
        </w:rPr>
        <w:t xml:space="preserve">Análisis de aptitud del cargo relacionado con </w:t>
      </w:r>
      <w:r w:rsidRPr="00D93140">
        <w:rPr>
          <w:rFonts w:ascii="Times New Roman" w:hAnsi="Times New Roman"/>
          <w:i/>
          <w:sz w:val="28"/>
          <w:szCs w:val="28"/>
        </w:rPr>
        <w:t>la vulneración del artículo 330 superior por los artículos 1º (parcial), 3º [literales (f) y (h)], 5º y 6º del Decreto 12</w:t>
      </w:r>
      <w:r w:rsidRPr="00D93140">
        <w:rPr>
          <w:rFonts w:ascii="Times New Roman" w:hAnsi="Times New Roman"/>
          <w:i/>
          <w:sz w:val="28"/>
          <w:szCs w:val="28"/>
        </w:rPr>
        <w:t>75 de 2024 (cargo tercero expediente D-16345)</w:t>
      </w:r>
      <w:r w:rsidRPr="00D93140">
        <w:rPr>
          <w:rFonts w:ascii="Times New Roman" w:hAnsi="Times New Roman"/>
          <w:sz w:val="28"/>
          <w:szCs w:val="28"/>
        </w:rPr>
        <w:t xml:space="preserve">. </w:t>
      </w:r>
      <w:r w:rsidRPr="00D93140">
        <w:rPr>
          <w:rFonts w:ascii="Times New Roman" w:hAnsi="Times New Roman"/>
          <w:sz w:val="28"/>
          <w:szCs w:val="28"/>
        </w:rPr>
        <w:t>El actor considera que el artículo 330 señala expresamente las funciones de los territorios indígenas y no contempla en ella competencias normativas en materia ambiental. En ese contexto, entiende que es una c</w:t>
      </w:r>
      <w:r w:rsidRPr="00D93140">
        <w:rPr>
          <w:rFonts w:ascii="Times New Roman" w:hAnsi="Times New Roman"/>
          <w:sz w:val="28"/>
          <w:szCs w:val="28"/>
        </w:rPr>
        <w:t xml:space="preserve">ompetencia privativa del legislador y no del gobierno. </w:t>
      </w:r>
    </w:p>
    <w:p w:rsidR="00062196" w:rsidRPr="00D93140" w:rsidRDefault="00D93140" w:rsidP="00E04174">
      <w:pPr>
        <w:pStyle w:val="Prrafodelista"/>
        <w:ind w:left="0"/>
        <w:jc w:val="both"/>
        <w:rPr>
          <w:rFonts w:ascii="Times New Roman" w:hAnsi="Times New Roman"/>
          <w:sz w:val="28"/>
          <w:szCs w:val="28"/>
          <w:u w:color="000000"/>
          <w:bdr w:val="nil"/>
        </w:rPr>
      </w:pPr>
    </w:p>
    <w:p w:rsidR="00565D7E"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Para la Sala, los argumentos expuestos por el </w:t>
      </w:r>
      <w:r w:rsidRPr="00D93140">
        <w:rPr>
          <w:rFonts w:ascii="Times New Roman" w:hAnsi="Times New Roman"/>
          <w:sz w:val="28"/>
          <w:szCs w:val="28"/>
          <w:u w:color="000000"/>
          <w:bdr w:val="nil"/>
        </w:rPr>
        <w:t>demandante,</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aunque están </w:t>
      </w:r>
      <w:r w:rsidRPr="00D93140">
        <w:rPr>
          <w:rFonts w:ascii="Times New Roman" w:hAnsi="Times New Roman"/>
          <w:bCs/>
          <w:color w:val="000000"/>
          <w:sz w:val="28"/>
          <w:szCs w:val="29"/>
        </w:rPr>
        <w:t>asociados al contenido normativo demandado,</w:t>
      </w:r>
      <w:r w:rsidRPr="00D93140">
        <w:rPr>
          <w:rFonts w:ascii="Times New Roman" w:hAnsi="Times New Roman"/>
          <w:sz w:val="28"/>
          <w:szCs w:val="28"/>
          <w:u w:color="000000"/>
          <w:bdr w:val="nil"/>
        </w:rPr>
        <w:t xml:space="preserve"> son </w:t>
      </w:r>
      <w:r w:rsidRPr="00D93140">
        <w:rPr>
          <w:rFonts w:ascii="Times New Roman" w:hAnsi="Times New Roman"/>
          <w:sz w:val="28"/>
          <w:szCs w:val="28"/>
          <w:u w:color="000000"/>
          <w:bdr w:val="nil"/>
        </w:rPr>
        <w:t xml:space="preserve">comprensibles y permiten </w:t>
      </w:r>
      <w:r w:rsidRPr="00D93140">
        <w:rPr>
          <w:rFonts w:ascii="Times New Roman" w:hAnsi="Times New Roman"/>
          <w:sz w:val="28"/>
          <w:szCs w:val="28"/>
          <w:u w:color="000000"/>
          <w:bdr w:val="nil"/>
        </w:rPr>
        <w:t xml:space="preserve">entender </w:t>
      </w:r>
      <w:r w:rsidRPr="00D93140">
        <w:rPr>
          <w:rFonts w:ascii="Times New Roman" w:hAnsi="Times New Roman"/>
          <w:sz w:val="28"/>
          <w:szCs w:val="28"/>
          <w:u w:color="000000"/>
          <w:bdr w:val="nil"/>
        </w:rPr>
        <w:t>por qué</w:t>
      </w:r>
      <w:r w:rsidRPr="00D93140">
        <w:rPr>
          <w:rFonts w:ascii="Times New Roman" w:hAnsi="Times New Roman"/>
          <w:sz w:val="28"/>
          <w:szCs w:val="28"/>
          <w:u w:color="000000"/>
          <w:bdr w:val="nil"/>
        </w:rPr>
        <w:t xml:space="preserve"> en su criterio </w:t>
      </w:r>
      <w:r w:rsidRPr="00D93140">
        <w:rPr>
          <w:rFonts w:ascii="Times New Roman" w:hAnsi="Times New Roman"/>
          <w:sz w:val="28"/>
          <w:szCs w:val="28"/>
          <w:u w:color="000000"/>
          <w:bdr w:val="nil"/>
        </w:rPr>
        <w:t xml:space="preserve">se vulnera la </w:t>
      </w:r>
      <w:r w:rsidRPr="00D93140">
        <w:rPr>
          <w:rFonts w:ascii="Times New Roman" w:hAnsi="Times New Roman"/>
          <w:sz w:val="28"/>
          <w:szCs w:val="28"/>
          <w:u w:color="000000"/>
          <w:bdr w:val="nil"/>
        </w:rPr>
        <w:t>Constitución</w:t>
      </w:r>
      <w:r w:rsidRPr="00D93140">
        <w:rPr>
          <w:rFonts w:ascii="Times New Roman" w:hAnsi="Times New Roman"/>
          <w:sz w:val="28"/>
          <w:szCs w:val="28"/>
          <w:u w:color="000000"/>
          <w:bdr w:val="nil"/>
        </w:rPr>
        <w:t xml:space="preserve"> no son </w:t>
      </w:r>
      <w:r w:rsidRPr="00D93140">
        <w:rPr>
          <w:rFonts w:ascii="Times New Roman" w:hAnsi="Times New Roman"/>
          <w:i/>
          <w:sz w:val="28"/>
          <w:szCs w:val="28"/>
          <w:u w:color="000000"/>
          <w:bdr w:val="nil"/>
        </w:rPr>
        <w:t>específicos</w:t>
      </w:r>
      <w:r w:rsidRPr="00D93140">
        <w:rPr>
          <w:rFonts w:ascii="Times New Roman" w:hAnsi="Times New Roman"/>
          <w:sz w:val="28"/>
          <w:szCs w:val="28"/>
          <w:u w:color="000000"/>
          <w:bdr w:val="nil"/>
        </w:rPr>
        <w:t xml:space="preserve"> ni </w:t>
      </w:r>
      <w:r w:rsidRPr="00D93140">
        <w:rPr>
          <w:rFonts w:ascii="Times New Roman" w:hAnsi="Times New Roman"/>
          <w:i/>
          <w:sz w:val="28"/>
          <w:szCs w:val="28"/>
          <w:u w:color="000000"/>
          <w:bdr w:val="nil"/>
        </w:rPr>
        <w:t>pertinentes</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Es claro </w:t>
      </w:r>
      <w:r w:rsidRPr="00D93140">
        <w:rPr>
          <w:rFonts w:ascii="Times New Roman" w:hAnsi="Times New Roman"/>
          <w:sz w:val="28"/>
          <w:szCs w:val="28"/>
          <w:u w:color="000000"/>
          <w:bdr w:val="nil"/>
        </w:rPr>
        <w:t xml:space="preserve">que lo que el demandante discute, </w:t>
      </w:r>
      <w:r w:rsidRPr="00D93140">
        <w:rPr>
          <w:rFonts w:ascii="Times New Roman" w:hAnsi="Times New Roman"/>
          <w:sz w:val="28"/>
          <w:szCs w:val="28"/>
          <w:u w:color="000000"/>
          <w:bdr w:val="nil"/>
        </w:rPr>
        <w:t>es el hecho de que el artículo 330 no contemple competencias ambientales de modo que el competente para establecerlas sería el legislador ordinario y no el extraordi</w:t>
      </w:r>
      <w:r w:rsidRPr="00D93140">
        <w:rPr>
          <w:rFonts w:ascii="Times New Roman" w:hAnsi="Times New Roman"/>
          <w:sz w:val="28"/>
          <w:szCs w:val="28"/>
          <w:u w:color="000000"/>
          <w:bdr w:val="nil"/>
        </w:rPr>
        <w:t>nario.</w:t>
      </w:r>
      <w:r w:rsidRPr="00D93140">
        <w:rPr>
          <w:rFonts w:ascii="Times New Roman" w:hAnsi="Times New Roman"/>
          <w:sz w:val="28"/>
          <w:szCs w:val="28"/>
          <w:u w:color="000000"/>
          <w:bdr w:val="nil"/>
        </w:rPr>
        <w:t xml:space="preserve"> Lo anterior, a su juicio, porque </w:t>
      </w:r>
      <w:r w:rsidRPr="00D93140">
        <w:rPr>
          <w:rFonts w:ascii="Times New Roman" w:hAnsi="Times New Roman"/>
          <w:sz w:val="28"/>
          <w:szCs w:val="28"/>
          <w:u w:color="000000"/>
          <w:bdr w:val="nil"/>
        </w:rPr>
        <w:t xml:space="preserve">la función de velar por la preservación de los recursos naturales no es un asunto de derecho </w:t>
      </w:r>
      <w:r w:rsidRPr="00D93140">
        <w:rPr>
          <w:rFonts w:ascii="Times New Roman" w:hAnsi="Times New Roman"/>
          <w:sz w:val="28"/>
          <w:szCs w:val="28"/>
          <w:u w:color="000000"/>
          <w:bdr w:val="nil"/>
        </w:rPr>
        <w:t>sino,</w:t>
      </w:r>
      <w:r w:rsidRPr="00D93140">
        <w:rPr>
          <w:rFonts w:ascii="Times New Roman" w:hAnsi="Times New Roman"/>
          <w:sz w:val="28"/>
          <w:szCs w:val="28"/>
          <w:u w:color="000000"/>
          <w:bdr w:val="nil"/>
        </w:rPr>
        <w:t xml:space="preserve"> de hecho.</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Al respecto, la interpretación del actor no es acorde con la que ha </w:t>
      </w:r>
      <w:r w:rsidRPr="00D93140">
        <w:rPr>
          <w:rFonts w:ascii="Times New Roman" w:hAnsi="Times New Roman"/>
          <w:sz w:val="28"/>
          <w:szCs w:val="28"/>
          <w:u w:color="000000"/>
          <w:bdr w:val="nil"/>
        </w:rPr>
        <w:t>sostenido</w:t>
      </w:r>
      <w:r w:rsidRPr="00D93140">
        <w:rPr>
          <w:rFonts w:ascii="Times New Roman" w:hAnsi="Times New Roman"/>
          <w:sz w:val="28"/>
          <w:szCs w:val="28"/>
          <w:u w:color="000000"/>
          <w:bdr w:val="nil"/>
        </w:rPr>
        <w:t xml:space="preserve"> desde sus inicios esta corporación</w:t>
      </w:r>
      <w:r w:rsidRPr="00D93140">
        <w:rPr>
          <w:rStyle w:val="Refdenotaalpie"/>
          <w:rFonts w:ascii="Times New Roman" w:hAnsi="Times New Roman"/>
          <w:sz w:val="28"/>
          <w:szCs w:val="28"/>
          <w:u w:color="000000"/>
          <w:bdr w:val="nil"/>
        </w:rPr>
        <w:footnoteReference w:id="30"/>
      </w:r>
      <w:r w:rsidRPr="00D93140">
        <w:rPr>
          <w:rFonts w:ascii="Times New Roman" w:hAnsi="Times New Roman"/>
          <w:sz w:val="28"/>
          <w:szCs w:val="28"/>
          <w:u w:color="000000"/>
          <w:bdr w:val="nil"/>
        </w:rPr>
        <w:t xml:space="preserve">. </w:t>
      </w:r>
    </w:p>
    <w:p w:rsidR="00E14BDC" w:rsidRPr="00D93140" w:rsidRDefault="00D93140" w:rsidP="00E04174">
      <w:pPr>
        <w:pStyle w:val="Prrafodelista"/>
        <w:ind w:left="0"/>
        <w:jc w:val="both"/>
        <w:rPr>
          <w:rFonts w:ascii="Times New Roman" w:hAnsi="Times New Roman"/>
          <w:sz w:val="28"/>
          <w:szCs w:val="28"/>
          <w:u w:color="000000"/>
          <w:bdr w:val="nil"/>
        </w:rPr>
      </w:pPr>
    </w:p>
    <w:p w:rsidR="00565D7E" w:rsidRPr="00D93140" w:rsidRDefault="00D93140" w:rsidP="00E04174">
      <w:pPr>
        <w:pStyle w:val="Prrafodelista"/>
        <w:numPr>
          <w:ilvl w:val="0"/>
          <w:numId w:val="1"/>
        </w:numPr>
        <w:ind w:left="0" w:firstLine="0"/>
        <w:jc w:val="both"/>
        <w:rPr>
          <w:rFonts w:ascii="Times New Roman" w:hAnsi="Times New Roman"/>
          <w:sz w:val="28"/>
          <w:szCs w:val="28"/>
          <w:lang w:val="es-ES_tradnl" w:eastAsia="es-MX"/>
        </w:rPr>
      </w:pPr>
      <w:r w:rsidRPr="00D93140">
        <w:rPr>
          <w:rFonts w:ascii="Times New Roman" w:hAnsi="Times New Roman"/>
          <w:sz w:val="28"/>
          <w:szCs w:val="28"/>
          <w:u w:color="000000"/>
          <w:bdr w:val="nil"/>
        </w:rPr>
        <w:t xml:space="preserve">Recientemente, en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T-106 de 2025, esta Corte reconoció que </w:t>
      </w:r>
      <w:r w:rsidRPr="00D93140">
        <w:rPr>
          <w:rFonts w:ascii="Times New Roman" w:hAnsi="Times New Roman"/>
          <w:sz w:val="28"/>
          <w:szCs w:val="28"/>
          <w:lang w:val="es-ES_tradnl" w:eastAsia="es-MX"/>
        </w:rPr>
        <w:t>“l</w:t>
      </w:r>
      <w:r w:rsidRPr="00D93140">
        <w:rPr>
          <w:rFonts w:ascii="Times New Roman" w:hAnsi="Times New Roman"/>
          <w:sz w:val="28"/>
          <w:szCs w:val="28"/>
          <w:lang w:val="es-MX" w:eastAsia="es-MX"/>
        </w:rPr>
        <w:t>a protección ambiental es también una misión trascendental para los pueblos étnicos, por la conexión entr</w:t>
      </w:r>
      <w:r w:rsidRPr="00D93140">
        <w:rPr>
          <w:rFonts w:ascii="Times New Roman" w:hAnsi="Times New Roman"/>
          <w:sz w:val="28"/>
          <w:szCs w:val="28"/>
          <w:lang w:val="es-MX" w:eastAsia="es-MX"/>
        </w:rPr>
        <w:t>e su identidad y el territorio”</w:t>
      </w:r>
      <w:r w:rsidRPr="00D93140">
        <w:rPr>
          <w:rStyle w:val="Refdenotaalpie"/>
          <w:rFonts w:ascii="Times New Roman" w:hAnsi="Times New Roman"/>
          <w:sz w:val="28"/>
          <w:szCs w:val="28"/>
          <w:lang w:val="es-MX" w:eastAsia="es-MX"/>
        </w:rPr>
        <w:footnoteReference w:id="31"/>
      </w:r>
      <w:r w:rsidRPr="00D93140">
        <w:rPr>
          <w:rFonts w:ascii="Times New Roman" w:hAnsi="Times New Roman"/>
          <w:sz w:val="28"/>
          <w:szCs w:val="28"/>
          <w:lang w:val="es-MX" w:eastAsia="es-MX"/>
        </w:rPr>
        <w:t>.</w:t>
      </w:r>
      <w:r w:rsidRPr="00D93140">
        <w:rPr>
          <w:rFonts w:ascii="Times New Roman" w:hAnsi="Times New Roman"/>
          <w:sz w:val="28"/>
          <w:szCs w:val="28"/>
          <w:lang w:val="es-MX" w:eastAsia="es-MX"/>
        </w:rPr>
        <w:t xml:space="preserve"> </w:t>
      </w:r>
      <w:r w:rsidRPr="00D93140">
        <w:rPr>
          <w:rFonts w:ascii="Times New Roman" w:hAnsi="Times New Roman"/>
          <w:sz w:val="28"/>
          <w:szCs w:val="28"/>
          <w:lang w:val="es-MX" w:eastAsia="es-MX"/>
        </w:rPr>
        <w:t xml:space="preserve">Igualmente, destacó que </w:t>
      </w:r>
      <w:r w:rsidRPr="00D93140">
        <w:rPr>
          <w:rFonts w:ascii="Times New Roman" w:hAnsi="Times New Roman"/>
          <w:sz w:val="28"/>
          <w:szCs w:val="28"/>
          <w:lang w:val="es-MX" w:eastAsia="es-MX"/>
        </w:rPr>
        <w:t>la jurisprudencia constitucional</w:t>
      </w:r>
      <w:r w:rsidRPr="00D93140">
        <w:rPr>
          <w:rStyle w:val="Refdenotaalpie"/>
          <w:rFonts w:ascii="Times New Roman" w:hAnsi="Times New Roman"/>
          <w:sz w:val="28"/>
          <w:szCs w:val="28"/>
          <w:lang w:val="es-MX" w:eastAsia="es-MX"/>
        </w:rPr>
        <w:footnoteReference w:id="32"/>
      </w:r>
      <w:r w:rsidRPr="00D93140">
        <w:rPr>
          <w:rFonts w:ascii="Times New Roman" w:hAnsi="Times New Roman"/>
          <w:sz w:val="28"/>
          <w:szCs w:val="28"/>
          <w:lang w:val="es-MX" w:eastAsia="es-MX"/>
        </w:rPr>
        <w:t xml:space="preserve"> ha </w:t>
      </w:r>
      <w:r w:rsidRPr="00D93140">
        <w:rPr>
          <w:rFonts w:ascii="Times New Roman" w:hAnsi="Times New Roman"/>
          <w:sz w:val="28"/>
          <w:szCs w:val="28"/>
          <w:lang w:val="es-MX"/>
        </w:rPr>
        <w:t xml:space="preserve">reconocido la calidad de las comunidades indígenas como autoridades ambientales, de conformidad con lo dispuesto en el artículo 330 constitucional, </w:t>
      </w:r>
      <w:r w:rsidRPr="00D93140">
        <w:rPr>
          <w:rFonts w:ascii="Times New Roman" w:hAnsi="Times New Roman"/>
          <w:sz w:val="28"/>
          <w:szCs w:val="28"/>
          <w:lang w:val="es-MX"/>
        </w:rPr>
        <w:t xml:space="preserve">norma que </w:t>
      </w:r>
      <w:r w:rsidRPr="00D93140">
        <w:rPr>
          <w:rFonts w:ascii="Times New Roman" w:hAnsi="Times New Roman"/>
          <w:sz w:val="28"/>
          <w:szCs w:val="28"/>
          <w:lang w:val="es-MX"/>
        </w:rPr>
        <w:t>les confirió dicha potestad a los pue</w:t>
      </w:r>
      <w:r w:rsidRPr="00D93140">
        <w:rPr>
          <w:rFonts w:ascii="Times New Roman" w:hAnsi="Times New Roman"/>
          <w:sz w:val="28"/>
          <w:szCs w:val="28"/>
          <w:lang w:val="es-MX"/>
        </w:rPr>
        <w:t>blos indígenas dentro de sus territorios</w:t>
      </w:r>
      <w:r w:rsidRPr="00D93140">
        <w:rPr>
          <w:rFonts w:ascii="Times New Roman" w:hAnsi="Times New Roman"/>
          <w:sz w:val="28"/>
          <w:szCs w:val="28"/>
          <w:lang w:val="es-MX"/>
        </w:rPr>
        <w:t xml:space="preserve"> y “</w:t>
      </w:r>
      <w:r w:rsidRPr="00D93140">
        <w:rPr>
          <w:rFonts w:ascii="Times New Roman" w:hAnsi="Times New Roman"/>
          <w:sz w:val="28"/>
          <w:szCs w:val="28"/>
          <w:lang w:val="es-MX"/>
        </w:rPr>
        <w:t xml:space="preserve">del valor del conocimiento de estos pueblos sobre la diversidad biológica, el ambiente y las prácticas de gestión sostenible de sus recursos. Además, ya desde la </w:t>
      </w:r>
      <w:r w:rsidRPr="00D93140">
        <w:rPr>
          <w:rFonts w:ascii="Times New Roman" w:hAnsi="Times New Roman"/>
          <w:sz w:val="28"/>
          <w:szCs w:val="28"/>
          <w:lang w:val="es-MX"/>
        </w:rPr>
        <w:t>Sentencia</w:t>
      </w:r>
      <w:r w:rsidRPr="00D93140">
        <w:rPr>
          <w:rFonts w:ascii="Times New Roman" w:hAnsi="Times New Roman"/>
          <w:sz w:val="28"/>
          <w:szCs w:val="28"/>
          <w:lang w:val="es-MX"/>
        </w:rPr>
        <w:t xml:space="preserve"> T-955 de 2003, la Corte sostuvo que las </w:t>
      </w:r>
      <w:r w:rsidRPr="00D93140">
        <w:rPr>
          <w:rFonts w:ascii="Times New Roman" w:hAnsi="Times New Roman"/>
          <w:sz w:val="28"/>
          <w:szCs w:val="28"/>
          <w:lang w:val="es-MX"/>
        </w:rPr>
        <w:t xml:space="preserve">autoridades indígenas tienen funciones relacionadas con el desarrollo sostenible y </w:t>
      </w:r>
      <w:r w:rsidRPr="00D93140">
        <w:rPr>
          <w:rFonts w:ascii="Times New Roman" w:hAnsi="Times New Roman"/>
          <w:sz w:val="28"/>
          <w:szCs w:val="28"/>
        </w:rPr>
        <w:t>el uso responsable de sus recursos”</w:t>
      </w:r>
      <w:r w:rsidRPr="00D93140">
        <w:rPr>
          <w:rStyle w:val="Refdenotaalpie"/>
          <w:rFonts w:ascii="Times New Roman" w:hAnsi="Times New Roman"/>
          <w:sz w:val="28"/>
          <w:szCs w:val="28"/>
        </w:rPr>
        <w:footnoteReference w:id="33"/>
      </w:r>
      <w:r w:rsidRPr="00D93140">
        <w:rPr>
          <w:rFonts w:ascii="Times New Roman" w:hAnsi="Times New Roman"/>
          <w:sz w:val="28"/>
          <w:szCs w:val="28"/>
        </w:rPr>
        <w:t>.</w:t>
      </w:r>
      <w:r w:rsidRPr="00D93140">
        <w:rPr>
          <w:rFonts w:ascii="Times New Roman" w:hAnsi="Times New Roman"/>
          <w:sz w:val="28"/>
          <w:szCs w:val="28"/>
        </w:rPr>
        <w:t xml:space="preserve"> </w:t>
      </w:r>
    </w:p>
    <w:p w:rsidR="00565D7E" w:rsidRPr="00D93140" w:rsidRDefault="00D93140" w:rsidP="00E04174">
      <w:pPr>
        <w:pStyle w:val="Prrafodelista"/>
        <w:ind w:left="0"/>
        <w:jc w:val="both"/>
        <w:rPr>
          <w:rFonts w:ascii="Times New Roman" w:hAnsi="Times New Roman"/>
          <w:sz w:val="28"/>
          <w:szCs w:val="28"/>
          <w:u w:color="000000"/>
          <w:bdr w:val="nil"/>
        </w:rPr>
      </w:pPr>
    </w:p>
    <w:p w:rsidR="00696D8C" w:rsidRPr="00D93140" w:rsidRDefault="00D93140" w:rsidP="00EC0C0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dicho pronunciamiento, la Corte tambi</w:t>
      </w:r>
      <w:r w:rsidRPr="00D93140">
        <w:rPr>
          <w:rFonts w:ascii="Times New Roman" w:hAnsi="Times New Roman"/>
          <w:sz w:val="28"/>
          <w:szCs w:val="28"/>
        </w:rPr>
        <w:t>én resaltó</w:t>
      </w:r>
      <w:r w:rsidRPr="00D93140">
        <w:rPr>
          <w:rFonts w:ascii="Times New Roman" w:hAnsi="Times New Roman"/>
          <w:sz w:val="28"/>
          <w:szCs w:val="28"/>
        </w:rPr>
        <w:t xml:space="preserve"> que la condición de autoridades ambientales “se desprende directamente de las norm</w:t>
      </w:r>
      <w:r w:rsidRPr="00D93140">
        <w:rPr>
          <w:rFonts w:ascii="Times New Roman" w:hAnsi="Times New Roman"/>
          <w:sz w:val="28"/>
          <w:szCs w:val="28"/>
        </w:rPr>
        <w:t>as del bloque de constitucionalid</w:t>
      </w:r>
      <w:r w:rsidRPr="00D93140">
        <w:rPr>
          <w:rFonts w:ascii="Times New Roman" w:hAnsi="Times New Roman"/>
          <w:sz w:val="28"/>
          <w:szCs w:val="28"/>
        </w:rPr>
        <w:t>ad y la jurisprudencia de esta c</w:t>
      </w:r>
      <w:r w:rsidRPr="00D93140">
        <w:rPr>
          <w:rFonts w:ascii="Times New Roman" w:hAnsi="Times New Roman"/>
          <w:sz w:val="28"/>
          <w:szCs w:val="28"/>
        </w:rPr>
        <w:t>orporación, y se relaciona asimismo con los derechos fundamentales de los pueblos a la autonomía y la propiedad colectiva de sus tierras y territorios”</w:t>
      </w:r>
      <w:r w:rsidRPr="00D93140">
        <w:rPr>
          <w:rStyle w:val="Refdenotaalpie"/>
          <w:rFonts w:ascii="Times New Roman" w:hAnsi="Times New Roman"/>
          <w:sz w:val="28"/>
          <w:szCs w:val="28"/>
        </w:rPr>
        <w:footnoteReference w:id="34"/>
      </w:r>
      <w:r w:rsidRPr="00D93140">
        <w:rPr>
          <w:rFonts w:ascii="Times New Roman" w:hAnsi="Times New Roman"/>
          <w:sz w:val="28"/>
          <w:szCs w:val="28"/>
        </w:rPr>
        <w:t>.</w:t>
      </w:r>
      <w:r w:rsidRPr="00D93140">
        <w:rPr>
          <w:rFonts w:ascii="Times New Roman" w:hAnsi="Times New Roman"/>
          <w:sz w:val="28"/>
          <w:szCs w:val="28"/>
        </w:rPr>
        <w:t xml:space="preserve"> </w:t>
      </w:r>
      <w:r w:rsidRPr="00D93140">
        <w:rPr>
          <w:rFonts w:ascii="Times New Roman" w:hAnsi="Times New Roman"/>
          <w:sz w:val="28"/>
          <w:szCs w:val="28"/>
        </w:rPr>
        <w:t xml:space="preserve"> </w:t>
      </w:r>
    </w:p>
    <w:p w:rsidR="00696D8C" w:rsidRPr="00D93140" w:rsidRDefault="00D93140" w:rsidP="00696D8C">
      <w:pPr>
        <w:pStyle w:val="Prrafodelista"/>
        <w:ind w:left="0"/>
        <w:jc w:val="both"/>
        <w:rPr>
          <w:rFonts w:ascii="Times New Roman" w:hAnsi="Times New Roman"/>
          <w:sz w:val="28"/>
          <w:szCs w:val="28"/>
        </w:rPr>
      </w:pPr>
    </w:p>
    <w:p w:rsidR="00696D8C" w:rsidRPr="00D93140" w:rsidRDefault="00D93140" w:rsidP="00537BCE">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Ahora, es preciso recordar que a partir de la Ley 99 de 1993, </w:t>
      </w:r>
      <w:r w:rsidRPr="00D93140">
        <w:rPr>
          <w:rFonts w:ascii="Times New Roman" w:hAnsi="Times New Roman"/>
          <w:sz w:val="28"/>
        </w:rPr>
        <w:t xml:space="preserve">los territorios y las territorialidades indígenas hacen parte del SINA (artículo 4) y tienen las mismas </w:t>
      </w:r>
      <w:r w:rsidRPr="00D93140">
        <w:rPr>
          <w:rFonts w:ascii="Times New Roman" w:hAnsi="Times New Roman"/>
          <w:sz w:val="28"/>
          <w:szCs w:val="28"/>
        </w:rPr>
        <w:t xml:space="preserve">funciones y deberes definidos para los municipios en materia ambiental (artículo 67). </w:t>
      </w:r>
      <w:r w:rsidRPr="00D93140">
        <w:rPr>
          <w:rFonts w:ascii="Times New Roman" w:hAnsi="Times New Roman"/>
          <w:sz w:val="28"/>
          <w:szCs w:val="28"/>
        </w:rPr>
        <w:t xml:space="preserve">Por </w:t>
      </w:r>
      <w:r w:rsidRPr="00D93140">
        <w:rPr>
          <w:rFonts w:ascii="Times New Roman" w:hAnsi="Times New Roman"/>
          <w:sz w:val="28"/>
          <w:szCs w:val="28"/>
        </w:rPr>
        <w:t>lo que, no es acertado afirmar que estas competencias ambientales se están otorgando con la expedición del decreto demandado</w:t>
      </w:r>
    </w:p>
    <w:p w:rsidR="00696D8C" w:rsidRPr="00D93140" w:rsidRDefault="00D93140" w:rsidP="00696D8C">
      <w:pPr>
        <w:pStyle w:val="Prrafodelista"/>
        <w:ind w:left="0"/>
        <w:jc w:val="both"/>
        <w:rPr>
          <w:rFonts w:ascii="Times New Roman" w:hAnsi="Times New Roman"/>
          <w:sz w:val="28"/>
          <w:szCs w:val="28"/>
        </w:rPr>
      </w:pPr>
    </w:p>
    <w:p w:rsidR="00EC0C0F" w:rsidRPr="00D93140" w:rsidRDefault="00D93140" w:rsidP="00537BCE">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Lo anterior permite concluir a la Sala Plena que el actor no </w:t>
      </w:r>
      <w:r w:rsidRPr="00D93140">
        <w:rPr>
          <w:rFonts w:ascii="Times New Roman" w:hAnsi="Times New Roman"/>
          <w:sz w:val="28"/>
          <w:szCs w:val="28"/>
        </w:rPr>
        <w:t>propone una confrontación real y objetiva de los artículos del d</w:t>
      </w:r>
      <w:r w:rsidRPr="00D93140">
        <w:rPr>
          <w:rFonts w:ascii="Times New Roman" w:hAnsi="Times New Roman"/>
          <w:sz w:val="28"/>
          <w:szCs w:val="28"/>
        </w:rPr>
        <w:t>ecret</w:t>
      </w:r>
      <w:r w:rsidRPr="00D93140">
        <w:rPr>
          <w:rFonts w:ascii="Times New Roman" w:hAnsi="Times New Roman"/>
          <w:sz w:val="28"/>
          <w:szCs w:val="28"/>
        </w:rPr>
        <w:t xml:space="preserve">o con </w:t>
      </w:r>
      <w:r w:rsidRPr="00D93140">
        <w:rPr>
          <w:rFonts w:ascii="Times New Roman" w:hAnsi="Times New Roman"/>
          <w:sz w:val="28"/>
        </w:rPr>
        <w:t>el artículo 330 Superior, máxime cuando este establece –con toda claridad– que una de las funciones de los territorios indígenas es la de “[v]elar por la preservación de los recursos naturales”</w:t>
      </w:r>
      <w:r w:rsidRPr="00D93140">
        <w:rPr>
          <w:rStyle w:val="Refdenotaalpie"/>
          <w:rFonts w:ascii="Times New Roman" w:hAnsi="Times New Roman"/>
          <w:sz w:val="28"/>
        </w:rPr>
        <w:footnoteReference w:id="35"/>
      </w:r>
      <w:r w:rsidRPr="00D93140">
        <w:rPr>
          <w:rFonts w:ascii="Times New Roman" w:hAnsi="Times New Roman"/>
          <w:sz w:val="28"/>
        </w:rPr>
        <w:t>.</w:t>
      </w:r>
    </w:p>
    <w:p w:rsidR="00EC0C0F" w:rsidRPr="00D93140" w:rsidRDefault="00D93140" w:rsidP="00EC0C0F">
      <w:pPr>
        <w:pStyle w:val="Prrafodelista"/>
        <w:ind w:left="0"/>
        <w:jc w:val="both"/>
        <w:rPr>
          <w:rFonts w:ascii="Times New Roman" w:hAnsi="Times New Roman"/>
          <w:sz w:val="28"/>
          <w:szCs w:val="28"/>
        </w:rPr>
      </w:pPr>
    </w:p>
    <w:p w:rsidR="00306056"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De otra parte,</w:t>
      </w:r>
      <w:r w:rsidRPr="00D93140">
        <w:rPr>
          <w:rFonts w:ascii="Times New Roman" w:hAnsi="Times New Roman"/>
          <w:sz w:val="28"/>
          <w:szCs w:val="28"/>
        </w:rPr>
        <w:t xml:space="preserve"> </w:t>
      </w:r>
      <w:r w:rsidRPr="00D93140">
        <w:rPr>
          <w:rFonts w:ascii="Times New Roman" w:hAnsi="Times New Roman"/>
          <w:sz w:val="28"/>
          <w:szCs w:val="28"/>
        </w:rPr>
        <w:t xml:space="preserve">el cargo tampoco </w:t>
      </w:r>
      <w:r w:rsidRPr="00D93140">
        <w:rPr>
          <w:rFonts w:ascii="Times New Roman" w:hAnsi="Times New Roman"/>
          <w:i/>
          <w:sz w:val="28"/>
          <w:szCs w:val="28"/>
        </w:rPr>
        <w:t>pertinente</w:t>
      </w:r>
      <w:r w:rsidRPr="00D93140">
        <w:rPr>
          <w:rFonts w:ascii="Times New Roman" w:hAnsi="Times New Roman"/>
          <w:sz w:val="28"/>
          <w:szCs w:val="28"/>
        </w:rPr>
        <w:t xml:space="preserve"> ya </w:t>
      </w:r>
      <w:r w:rsidRPr="00D93140">
        <w:rPr>
          <w:rFonts w:ascii="Times New Roman" w:hAnsi="Times New Roman"/>
          <w:sz w:val="28"/>
          <w:szCs w:val="28"/>
        </w:rPr>
        <w:t>que par</w:t>
      </w:r>
      <w:r w:rsidRPr="00D93140">
        <w:rPr>
          <w:rFonts w:ascii="Times New Roman" w:hAnsi="Times New Roman"/>
          <w:sz w:val="28"/>
          <w:szCs w:val="28"/>
        </w:rPr>
        <w:t>te de una interpretación subjetiva del artículo 330 superior, la cual como se indicó líneas arriba, desconoce la jurisprudencia constitucional</w:t>
      </w:r>
      <w:r w:rsidRPr="00D93140">
        <w:rPr>
          <w:rFonts w:ascii="Times New Roman" w:hAnsi="Times New Roman"/>
          <w:sz w:val="28"/>
          <w:szCs w:val="28"/>
        </w:rPr>
        <w:t>, el bloque de constitucionalidad y el ordenamiento jurídico interno</w:t>
      </w:r>
      <w:r w:rsidRPr="00D93140">
        <w:rPr>
          <w:rFonts w:ascii="Times New Roman" w:hAnsi="Times New Roman"/>
          <w:sz w:val="28"/>
          <w:szCs w:val="28"/>
        </w:rPr>
        <w:t xml:space="preserve">. </w:t>
      </w:r>
      <w:r w:rsidRPr="00D93140">
        <w:rPr>
          <w:rFonts w:ascii="Times New Roman" w:hAnsi="Times New Roman"/>
          <w:sz w:val="28"/>
          <w:szCs w:val="28"/>
        </w:rPr>
        <w:t xml:space="preserve">Igualmente, sin desconocer que </w:t>
      </w:r>
      <w:r w:rsidRPr="00D93140">
        <w:rPr>
          <w:rFonts w:ascii="Times New Roman" w:hAnsi="Times New Roman"/>
          <w:sz w:val="28"/>
          <w:szCs w:val="28"/>
        </w:rPr>
        <w:t>la demanda</w:t>
      </w:r>
      <w:r w:rsidRPr="00D93140">
        <w:rPr>
          <w:rFonts w:ascii="Times New Roman" w:hAnsi="Times New Roman"/>
          <w:sz w:val="28"/>
          <w:szCs w:val="28"/>
        </w:rPr>
        <w:t xml:space="preserve"> re</w:t>
      </w:r>
      <w:r w:rsidRPr="00D93140">
        <w:rPr>
          <w:rFonts w:ascii="Times New Roman" w:hAnsi="Times New Roman"/>
          <w:sz w:val="28"/>
          <w:szCs w:val="28"/>
        </w:rPr>
        <w:t>quiere la comprobación de argumentos constitucionales y no legales</w:t>
      </w:r>
      <w:r w:rsidRPr="00D93140">
        <w:rPr>
          <w:rFonts w:ascii="Times New Roman" w:hAnsi="Times New Roman"/>
          <w:sz w:val="28"/>
          <w:szCs w:val="28"/>
        </w:rPr>
        <w:t>,</w:t>
      </w:r>
      <w:r w:rsidRPr="00D93140">
        <w:rPr>
          <w:rFonts w:ascii="Times New Roman" w:hAnsi="Times New Roman"/>
          <w:sz w:val="28"/>
          <w:szCs w:val="28"/>
        </w:rPr>
        <w:t xml:space="preserve"> no puede dejarse de resaltar</w:t>
      </w:r>
      <w:r w:rsidRPr="00D93140">
        <w:rPr>
          <w:rFonts w:ascii="Times New Roman" w:hAnsi="Times New Roman"/>
          <w:sz w:val="28"/>
          <w:szCs w:val="28"/>
        </w:rPr>
        <w:t xml:space="preserve"> - como lo indica la Universidad de Antioquia en su intervención –</w:t>
      </w:r>
      <w:r w:rsidRPr="00D93140">
        <w:rPr>
          <w:rFonts w:ascii="Times New Roman" w:hAnsi="Times New Roman"/>
          <w:sz w:val="28"/>
          <w:szCs w:val="28"/>
        </w:rPr>
        <w:t xml:space="preserve"> que las Leyes 21 de 1991</w:t>
      </w:r>
      <w:r w:rsidRPr="00D93140">
        <w:rPr>
          <w:rStyle w:val="Refdenotaalpie"/>
          <w:rFonts w:ascii="Times New Roman" w:hAnsi="Times New Roman"/>
          <w:sz w:val="28"/>
          <w:szCs w:val="28"/>
        </w:rPr>
        <w:footnoteReference w:id="36"/>
      </w:r>
      <w:r w:rsidRPr="00D93140">
        <w:rPr>
          <w:rFonts w:ascii="Times New Roman" w:hAnsi="Times New Roman"/>
          <w:sz w:val="28"/>
          <w:szCs w:val="28"/>
        </w:rPr>
        <w:t>, 99 de 1993</w:t>
      </w:r>
      <w:r w:rsidRPr="00D93140">
        <w:rPr>
          <w:rStyle w:val="Refdenotaalpie"/>
          <w:rFonts w:ascii="Times New Roman" w:hAnsi="Times New Roman"/>
          <w:sz w:val="28"/>
          <w:szCs w:val="28"/>
        </w:rPr>
        <w:footnoteReference w:id="37"/>
      </w:r>
      <w:r w:rsidRPr="00D93140">
        <w:rPr>
          <w:rFonts w:ascii="Times New Roman" w:hAnsi="Times New Roman"/>
          <w:sz w:val="28"/>
          <w:szCs w:val="28"/>
        </w:rPr>
        <w:t>, el Decreto Reglamentario 1320 de 1998</w:t>
      </w:r>
      <w:r w:rsidRPr="00D93140">
        <w:rPr>
          <w:rStyle w:val="Refdenotaalpie"/>
          <w:rFonts w:ascii="Times New Roman" w:hAnsi="Times New Roman"/>
          <w:sz w:val="28"/>
          <w:szCs w:val="28"/>
        </w:rPr>
        <w:footnoteReference w:id="38"/>
      </w:r>
      <w:r w:rsidRPr="00D93140">
        <w:rPr>
          <w:rFonts w:ascii="Times New Roman" w:hAnsi="Times New Roman"/>
          <w:sz w:val="28"/>
          <w:szCs w:val="28"/>
        </w:rPr>
        <w:t xml:space="preserve"> </w:t>
      </w:r>
      <w:r w:rsidRPr="00D93140">
        <w:rPr>
          <w:rFonts w:ascii="Times New Roman" w:hAnsi="Times New Roman"/>
          <w:sz w:val="28"/>
          <w:szCs w:val="28"/>
        </w:rPr>
        <w:t xml:space="preserve">y el Decreto </w:t>
      </w:r>
      <w:r w:rsidRPr="00D93140">
        <w:rPr>
          <w:rFonts w:ascii="Times New Roman" w:hAnsi="Times New Roman"/>
          <w:sz w:val="28"/>
          <w:szCs w:val="28"/>
        </w:rPr>
        <w:t>1953 de 2014</w:t>
      </w:r>
      <w:r w:rsidRPr="00D93140">
        <w:rPr>
          <w:rStyle w:val="Refdenotaalpie"/>
          <w:rFonts w:ascii="Times New Roman" w:hAnsi="Times New Roman"/>
          <w:sz w:val="28"/>
          <w:szCs w:val="28"/>
        </w:rPr>
        <w:footnoteReference w:id="39"/>
      </w:r>
      <w:r w:rsidRPr="00D93140">
        <w:rPr>
          <w:rFonts w:ascii="Times New Roman" w:hAnsi="Times New Roman"/>
          <w:sz w:val="28"/>
          <w:szCs w:val="28"/>
        </w:rPr>
        <w:t xml:space="preserve">, entre otros, </w:t>
      </w:r>
      <w:r w:rsidRPr="00D93140">
        <w:rPr>
          <w:rFonts w:ascii="Times New Roman" w:hAnsi="Times New Roman"/>
          <w:sz w:val="28"/>
          <w:szCs w:val="28"/>
        </w:rPr>
        <w:t xml:space="preserve">reconocen competencias en materia ambiental a los pueblos y comunidades indígenas, demostrando </w:t>
      </w:r>
      <w:r w:rsidRPr="00D93140">
        <w:rPr>
          <w:rFonts w:ascii="Times New Roman" w:hAnsi="Times New Roman"/>
          <w:sz w:val="28"/>
          <w:szCs w:val="28"/>
        </w:rPr>
        <w:t>así</w:t>
      </w:r>
      <w:r w:rsidRPr="00D93140">
        <w:rPr>
          <w:rFonts w:ascii="Times New Roman" w:hAnsi="Times New Roman"/>
          <w:sz w:val="28"/>
          <w:szCs w:val="28"/>
        </w:rPr>
        <w:t>, se insiste,</w:t>
      </w:r>
      <w:r w:rsidRPr="00D93140">
        <w:rPr>
          <w:rFonts w:ascii="Times New Roman" w:hAnsi="Times New Roman"/>
          <w:sz w:val="28"/>
          <w:szCs w:val="28"/>
        </w:rPr>
        <w:t xml:space="preserve"> </w:t>
      </w:r>
      <w:r w:rsidRPr="00D93140">
        <w:rPr>
          <w:rFonts w:ascii="Times New Roman" w:hAnsi="Times New Roman"/>
          <w:sz w:val="28"/>
          <w:szCs w:val="28"/>
        </w:rPr>
        <w:t xml:space="preserve">que las mismas se han ejercido desde hace años y no estarían siendo otorgadas con la expedición del Decreto 1275 de </w:t>
      </w:r>
      <w:r w:rsidRPr="00D93140">
        <w:rPr>
          <w:rFonts w:ascii="Times New Roman" w:hAnsi="Times New Roman"/>
          <w:sz w:val="28"/>
          <w:szCs w:val="28"/>
        </w:rPr>
        <w:t xml:space="preserve">2024. </w:t>
      </w:r>
    </w:p>
    <w:p w:rsidR="00306056" w:rsidRPr="00D93140" w:rsidRDefault="00D93140" w:rsidP="00E04174">
      <w:pPr>
        <w:pStyle w:val="Prrafodelista"/>
        <w:ind w:left="0"/>
        <w:jc w:val="both"/>
        <w:rPr>
          <w:rFonts w:ascii="Times New Roman" w:hAnsi="Times New Roman"/>
          <w:sz w:val="28"/>
          <w:szCs w:val="28"/>
        </w:rPr>
      </w:pPr>
    </w:p>
    <w:p w:rsidR="00207ED9" w:rsidRPr="00D93140" w:rsidRDefault="00D93140" w:rsidP="00207ED9">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sz w:val="28"/>
          <w:szCs w:val="28"/>
        </w:rPr>
        <w:t>Análisis de aptitud del cargo relacionado con la vulneración de los artículos 150.7, 325 y 331 de la Constitución Política, por cuanto se opone el régimen de autonomía de las Corporaciones Autónomas Regionales (cargo cuarto expediente D-16345)</w:t>
      </w:r>
      <w:r w:rsidRPr="00D93140">
        <w:rPr>
          <w:rFonts w:ascii="Times New Roman" w:hAnsi="Times New Roman"/>
          <w:sz w:val="28"/>
          <w:szCs w:val="28"/>
        </w:rPr>
        <w:t>.</w:t>
      </w:r>
      <w:r w:rsidRPr="00D93140">
        <w:rPr>
          <w:rFonts w:ascii="Times New Roman" w:hAnsi="Times New Roman"/>
          <w:sz w:val="28"/>
          <w:szCs w:val="28"/>
        </w:rPr>
        <w:t xml:space="preserve"> A j</w:t>
      </w:r>
      <w:r w:rsidRPr="00D93140">
        <w:rPr>
          <w:rFonts w:ascii="Times New Roman" w:hAnsi="Times New Roman"/>
          <w:sz w:val="28"/>
          <w:szCs w:val="28"/>
        </w:rPr>
        <w:t>uicio del accionante, el artículo 5 demandado confiere una competencia absoluta a las autoridades indígenas</w:t>
      </w:r>
      <w:r w:rsidRPr="00D93140">
        <w:rPr>
          <w:rFonts w:ascii="Times New Roman" w:hAnsi="Times New Roman"/>
          <w:sz w:val="28"/>
          <w:szCs w:val="28"/>
        </w:rPr>
        <w:t xml:space="preserve"> dentro de sus territorios ya que limita el deber de coordinación únicamente a los lugares situados por fuera del ámbito territorial del decreto. De </w:t>
      </w:r>
      <w:r w:rsidRPr="00D93140">
        <w:rPr>
          <w:rFonts w:ascii="Times New Roman" w:hAnsi="Times New Roman"/>
          <w:sz w:val="28"/>
          <w:szCs w:val="28"/>
        </w:rPr>
        <w:t xml:space="preserve">esta manera, se modifica </w:t>
      </w:r>
      <w:r w:rsidRPr="00D93140">
        <w:rPr>
          <w:rFonts w:ascii="Times New Roman" w:hAnsi="Times New Roman"/>
          <w:sz w:val="28"/>
          <w:szCs w:val="28"/>
        </w:rPr>
        <w:t>y restring</w:t>
      </w:r>
      <w:r w:rsidRPr="00D93140">
        <w:rPr>
          <w:rFonts w:ascii="Times New Roman" w:hAnsi="Times New Roman"/>
          <w:sz w:val="28"/>
          <w:szCs w:val="28"/>
        </w:rPr>
        <w:t>e</w:t>
      </w:r>
      <w:r w:rsidRPr="00D93140">
        <w:rPr>
          <w:rFonts w:ascii="Times New Roman" w:hAnsi="Times New Roman"/>
          <w:sz w:val="28"/>
          <w:szCs w:val="28"/>
        </w:rPr>
        <w:t xml:space="preserve"> el ámbito de competencia territorial de las CAR</w:t>
      </w:r>
      <w:r w:rsidRPr="00D93140">
        <w:rPr>
          <w:rFonts w:ascii="Times New Roman" w:hAnsi="Times New Roman"/>
          <w:sz w:val="28"/>
          <w:szCs w:val="28"/>
        </w:rPr>
        <w:t>.</w:t>
      </w:r>
    </w:p>
    <w:p w:rsidR="001F4B71" w:rsidRPr="00D93140" w:rsidRDefault="00D93140" w:rsidP="001F4B71">
      <w:pPr>
        <w:pStyle w:val="Prrafodelista"/>
        <w:ind w:left="0"/>
        <w:jc w:val="both"/>
        <w:rPr>
          <w:rFonts w:ascii="Times New Roman" w:hAnsi="Times New Roman"/>
          <w:sz w:val="28"/>
          <w:szCs w:val="28"/>
        </w:rPr>
      </w:pPr>
    </w:p>
    <w:p w:rsidR="00631206"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Al respecto, </w:t>
      </w:r>
      <w:r w:rsidRPr="00D93140">
        <w:rPr>
          <w:rFonts w:ascii="Times New Roman" w:hAnsi="Times New Roman"/>
          <w:sz w:val="28"/>
          <w:szCs w:val="28"/>
        </w:rPr>
        <w:t xml:space="preserve">la Sala considera que el cargo cumple con los presupuestos exigidos en la medida en que sus argumentos permiten comprender por qué la norma demandada, al </w:t>
      </w:r>
      <w:r w:rsidRPr="00D93140">
        <w:rPr>
          <w:rFonts w:ascii="Times New Roman" w:hAnsi="Times New Roman"/>
          <w:sz w:val="28"/>
          <w:szCs w:val="28"/>
        </w:rPr>
        <w:t>de</w:t>
      </w:r>
      <w:r w:rsidRPr="00D93140">
        <w:rPr>
          <w:rFonts w:ascii="Times New Roman" w:hAnsi="Times New Roman"/>
          <w:sz w:val="28"/>
          <w:szCs w:val="28"/>
        </w:rPr>
        <w:t xml:space="preserve">limitar territorialmente el deber de coordinación de </w:t>
      </w:r>
      <w:r w:rsidRPr="00D93140">
        <w:rPr>
          <w:rFonts w:ascii="Times New Roman" w:hAnsi="Times New Roman"/>
          <w:sz w:val="28"/>
          <w:szCs w:val="28"/>
        </w:rPr>
        <w:t xml:space="preserve">las autoridades indígenas a aquellos espacios que superen el ámbito de aplicación del Decreto y concurran competencias ambientales </w:t>
      </w:r>
      <w:r w:rsidRPr="00D93140">
        <w:rPr>
          <w:rFonts w:ascii="Times New Roman" w:hAnsi="Times New Roman"/>
          <w:sz w:val="28"/>
          <w:szCs w:val="28"/>
        </w:rPr>
        <w:t>transgrede las disposiciones constitucionales</w:t>
      </w:r>
      <w:r w:rsidRPr="00D93140">
        <w:rPr>
          <w:rFonts w:ascii="Times New Roman" w:hAnsi="Times New Roman"/>
          <w:sz w:val="28"/>
          <w:szCs w:val="28"/>
        </w:rPr>
        <w:t xml:space="preserve">. Se advierte que el actor </w:t>
      </w:r>
      <w:r w:rsidRPr="00D93140">
        <w:rPr>
          <w:rFonts w:ascii="Times New Roman" w:hAnsi="Times New Roman"/>
          <w:sz w:val="28"/>
          <w:szCs w:val="28"/>
        </w:rPr>
        <w:t>realiza una confrontación entre la norma demandada y los artículos constitucionales, de forma objetiva y verificable, logrando justificar la naturaleza constitucional de su reproche al punto que logra generar una duda mínima so</w:t>
      </w:r>
      <w:r w:rsidRPr="00D93140">
        <w:rPr>
          <w:rFonts w:ascii="Times New Roman" w:hAnsi="Times New Roman"/>
          <w:sz w:val="28"/>
          <w:szCs w:val="28"/>
        </w:rPr>
        <w:t>bre la constitucionalidad del</w:t>
      </w:r>
      <w:r w:rsidRPr="00D93140">
        <w:rPr>
          <w:rFonts w:ascii="Times New Roman" w:hAnsi="Times New Roman"/>
          <w:sz w:val="28"/>
          <w:szCs w:val="28"/>
        </w:rPr>
        <w:t xml:space="preserve"> artículo cuestionado.  </w:t>
      </w:r>
    </w:p>
    <w:p w:rsidR="00444F51" w:rsidRPr="00D93140" w:rsidRDefault="00D93140" w:rsidP="00E04174">
      <w:pPr>
        <w:pStyle w:val="Prrafodelista"/>
        <w:ind w:left="0"/>
        <w:jc w:val="both"/>
        <w:rPr>
          <w:rFonts w:ascii="Times New Roman" w:hAnsi="Times New Roman"/>
          <w:sz w:val="28"/>
          <w:szCs w:val="28"/>
          <w:u w:color="000000"/>
          <w:bdr w:val="nil"/>
        </w:rPr>
      </w:pPr>
    </w:p>
    <w:p w:rsidR="00566EF7"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 xml:space="preserve">ptitud del cargo relacionado con la vulneración del artículo 1 de la Constitución (cargo quinto expediente D-16345). </w:t>
      </w:r>
      <w:r w:rsidRPr="00D93140">
        <w:rPr>
          <w:rFonts w:ascii="Times New Roman" w:hAnsi="Times New Roman"/>
          <w:iCs/>
          <w:sz w:val="28"/>
          <w:szCs w:val="28"/>
          <w:u w:color="000000"/>
          <w:bdr w:val="nil"/>
        </w:rPr>
        <w:t xml:space="preserve">A juicio del actor, el </w:t>
      </w:r>
      <w:r w:rsidRPr="00D93140">
        <w:rPr>
          <w:rFonts w:ascii="Times New Roman" w:hAnsi="Times New Roman"/>
          <w:sz w:val="28"/>
          <w:szCs w:val="28"/>
        </w:rPr>
        <w:t xml:space="preserve">artículo 2 del Decreto 1275 de 2024 vulnera el artículo 1º de la Constitución Política, al introducir una definición alternativa, contraria y contradictoria a la definición existente del principio de prevalencia interés general. </w:t>
      </w:r>
      <w:r w:rsidRPr="00D93140">
        <w:rPr>
          <w:rFonts w:ascii="Times New Roman" w:hAnsi="Times New Roman"/>
          <w:sz w:val="28"/>
          <w:szCs w:val="28"/>
        </w:rPr>
        <w:t>Considera que esta</w:t>
      </w:r>
      <w:r w:rsidRPr="00D93140">
        <w:rPr>
          <w:rFonts w:ascii="Times New Roman" w:hAnsi="Times New Roman"/>
          <w:sz w:val="28"/>
          <w:szCs w:val="28"/>
        </w:rPr>
        <w:t xml:space="preserve"> disposic</w:t>
      </w:r>
      <w:r w:rsidRPr="00D93140">
        <w:rPr>
          <w:rFonts w:ascii="Times New Roman" w:hAnsi="Times New Roman"/>
          <w:sz w:val="28"/>
          <w:szCs w:val="28"/>
        </w:rPr>
        <w:t>ión permite concluir que el interés particular de las comunidades indígenas tendrá primacía en el ordenamiento jurídico colombiano. Resalta en su demanda el actor que la maximización de la autonomía de las comunidades indígenas es una pauta de interpretaci</w:t>
      </w:r>
      <w:r w:rsidRPr="00D93140">
        <w:rPr>
          <w:rFonts w:ascii="Times New Roman" w:hAnsi="Times New Roman"/>
          <w:sz w:val="28"/>
          <w:szCs w:val="28"/>
        </w:rPr>
        <w:t>ón</w:t>
      </w:r>
      <w:r w:rsidRPr="00D93140">
        <w:rPr>
          <w:rFonts w:ascii="Times New Roman" w:hAnsi="Times New Roman"/>
          <w:sz w:val="28"/>
          <w:szCs w:val="28"/>
        </w:rPr>
        <w:t xml:space="preserve"> y </w:t>
      </w:r>
      <w:r w:rsidRPr="00D93140">
        <w:rPr>
          <w:rFonts w:ascii="Times New Roman" w:hAnsi="Times New Roman"/>
          <w:sz w:val="28"/>
          <w:szCs w:val="28"/>
        </w:rPr>
        <w:t>no un principio de superioridad o prevalencia so</w:t>
      </w:r>
      <w:r w:rsidRPr="00D93140">
        <w:rPr>
          <w:rFonts w:ascii="Times New Roman" w:hAnsi="Times New Roman"/>
          <w:sz w:val="28"/>
          <w:szCs w:val="28"/>
        </w:rPr>
        <w:t xml:space="preserve">bre el marco jurídico nacional, de modo que </w:t>
      </w:r>
      <w:r w:rsidRPr="00D93140">
        <w:rPr>
          <w:rFonts w:ascii="Times New Roman" w:hAnsi="Times New Roman"/>
          <w:sz w:val="28"/>
          <w:szCs w:val="28"/>
        </w:rPr>
        <w:t xml:space="preserve">las normas de interpretación constitucional en favor de la autonomía indígena </w:t>
      </w:r>
      <w:r w:rsidRPr="00D93140">
        <w:rPr>
          <w:rFonts w:ascii="Times New Roman" w:hAnsi="Times New Roman"/>
          <w:sz w:val="28"/>
          <w:szCs w:val="28"/>
        </w:rPr>
        <w:t xml:space="preserve">no </w:t>
      </w:r>
      <w:r w:rsidRPr="00D93140">
        <w:rPr>
          <w:rFonts w:ascii="Times New Roman" w:hAnsi="Times New Roman"/>
          <w:sz w:val="28"/>
          <w:szCs w:val="28"/>
        </w:rPr>
        <w:t>establecen la primacía de las disposiciones indígenas sobre el ordenamiento ju</w:t>
      </w:r>
      <w:r w:rsidRPr="00D93140">
        <w:rPr>
          <w:rFonts w:ascii="Times New Roman" w:hAnsi="Times New Roman"/>
          <w:sz w:val="28"/>
          <w:szCs w:val="28"/>
        </w:rPr>
        <w:t>rídico nacional y sobre otros derechos e intereses que fundamentan nuestro Estado Social de Derecho.</w:t>
      </w:r>
    </w:p>
    <w:p w:rsidR="00566EF7" w:rsidRPr="00D93140" w:rsidRDefault="00D93140" w:rsidP="00E04174">
      <w:pPr>
        <w:pStyle w:val="Prrafodelista"/>
        <w:ind w:left="0"/>
        <w:jc w:val="both"/>
        <w:rPr>
          <w:rFonts w:ascii="Times New Roman" w:hAnsi="Times New Roman"/>
          <w:sz w:val="28"/>
          <w:szCs w:val="28"/>
        </w:rPr>
      </w:pPr>
    </w:p>
    <w:p w:rsidR="00566EF7"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Para </w:t>
      </w:r>
      <w:r w:rsidRPr="00D93140">
        <w:rPr>
          <w:rFonts w:ascii="Times New Roman" w:hAnsi="Times New Roman"/>
          <w:sz w:val="28"/>
          <w:szCs w:val="28"/>
        </w:rPr>
        <w:t xml:space="preserve">esta Sala Plena, </w:t>
      </w:r>
      <w:r w:rsidRPr="00D93140">
        <w:rPr>
          <w:rFonts w:ascii="Times New Roman" w:hAnsi="Times New Roman"/>
          <w:sz w:val="28"/>
          <w:szCs w:val="28"/>
        </w:rPr>
        <w:t xml:space="preserve">los argumentos </w:t>
      </w:r>
      <w:r w:rsidRPr="00D93140">
        <w:rPr>
          <w:rFonts w:ascii="Times New Roman" w:hAnsi="Times New Roman"/>
          <w:sz w:val="28"/>
          <w:szCs w:val="28"/>
        </w:rPr>
        <w:t xml:space="preserve">del accionante son expuestos </w:t>
      </w:r>
      <w:r w:rsidRPr="00D93140">
        <w:rPr>
          <w:rFonts w:ascii="Times New Roman" w:hAnsi="Times New Roman"/>
          <w:sz w:val="28"/>
          <w:szCs w:val="28"/>
        </w:rPr>
        <w:t>de forma coherente</w:t>
      </w:r>
      <w:r w:rsidRPr="00D93140">
        <w:rPr>
          <w:rFonts w:ascii="Times New Roman" w:hAnsi="Times New Roman"/>
          <w:sz w:val="28"/>
          <w:szCs w:val="28"/>
        </w:rPr>
        <w:t xml:space="preserve"> y</w:t>
      </w:r>
      <w:r w:rsidRPr="00D93140">
        <w:rPr>
          <w:rFonts w:ascii="Times New Roman" w:hAnsi="Times New Roman"/>
          <w:sz w:val="28"/>
          <w:szCs w:val="28"/>
        </w:rPr>
        <w:t xml:space="preserve"> comprensible</w:t>
      </w:r>
      <w:r w:rsidRPr="00D93140">
        <w:rPr>
          <w:rFonts w:ascii="Times New Roman" w:hAnsi="Times New Roman"/>
          <w:sz w:val="28"/>
          <w:szCs w:val="28"/>
        </w:rPr>
        <w:t xml:space="preserve">, logrando </w:t>
      </w:r>
      <w:r w:rsidRPr="00D93140">
        <w:rPr>
          <w:rFonts w:ascii="Times New Roman" w:hAnsi="Times New Roman"/>
          <w:sz w:val="28"/>
          <w:szCs w:val="28"/>
        </w:rPr>
        <w:t>explicar que el criterio al que acude la nor</w:t>
      </w:r>
      <w:r w:rsidRPr="00D93140">
        <w:rPr>
          <w:rFonts w:ascii="Times New Roman" w:hAnsi="Times New Roman"/>
          <w:sz w:val="28"/>
          <w:szCs w:val="28"/>
        </w:rPr>
        <w:t xml:space="preserve">ma cuestionada es restrictivo sobre el concepto de interés general. Igualmente, </w:t>
      </w:r>
      <w:r w:rsidRPr="00D93140">
        <w:rPr>
          <w:rFonts w:ascii="Times New Roman" w:hAnsi="Times New Roman"/>
          <w:sz w:val="28"/>
          <w:szCs w:val="28"/>
        </w:rPr>
        <w:t xml:space="preserve">se observa que </w:t>
      </w:r>
      <w:r w:rsidRPr="00D93140">
        <w:rPr>
          <w:rFonts w:ascii="Times New Roman" w:hAnsi="Times New Roman"/>
          <w:sz w:val="28"/>
          <w:szCs w:val="28"/>
        </w:rPr>
        <w:t xml:space="preserve">la interpretación realizada </w:t>
      </w:r>
      <w:r w:rsidRPr="00D93140">
        <w:rPr>
          <w:rFonts w:ascii="Times New Roman" w:hAnsi="Times New Roman"/>
          <w:sz w:val="28"/>
          <w:szCs w:val="28"/>
        </w:rPr>
        <w:t xml:space="preserve">por el actor </w:t>
      </w:r>
      <w:r w:rsidRPr="00D93140">
        <w:rPr>
          <w:rFonts w:ascii="Times New Roman" w:hAnsi="Times New Roman"/>
          <w:sz w:val="28"/>
          <w:szCs w:val="28"/>
        </w:rPr>
        <w:t>del contenido normativo acusado se desprende de su lectura literal y sistemática</w:t>
      </w:r>
      <w:r w:rsidRPr="00D93140">
        <w:rPr>
          <w:rFonts w:ascii="Times New Roman" w:hAnsi="Times New Roman"/>
          <w:sz w:val="28"/>
          <w:szCs w:val="28"/>
        </w:rPr>
        <w:t xml:space="preserve"> y </w:t>
      </w:r>
      <w:r w:rsidRPr="00D93140">
        <w:rPr>
          <w:rFonts w:ascii="Times New Roman" w:hAnsi="Times New Roman"/>
          <w:sz w:val="28"/>
          <w:szCs w:val="28"/>
        </w:rPr>
        <w:t xml:space="preserve">presenta una oposición del mismo con </w:t>
      </w:r>
      <w:r w:rsidRPr="00D93140">
        <w:rPr>
          <w:rFonts w:ascii="Times New Roman" w:hAnsi="Times New Roman"/>
          <w:sz w:val="28"/>
          <w:szCs w:val="28"/>
        </w:rPr>
        <w:t>el artículo 1 de la Constitución, planteando un problema constitucional que suscita una duda mínima sobre su compatibilidad con la Carta Política.</w:t>
      </w:r>
    </w:p>
    <w:p w:rsidR="00D17357" w:rsidRPr="00D93140" w:rsidRDefault="00D93140" w:rsidP="00E04174">
      <w:pPr>
        <w:pStyle w:val="Prrafodelista"/>
        <w:ind w:left="0"/>
        <w:jc w:val="both"/>
        <w:rPr>
          <w:rFonts w:ascii="Times New Roman" w:hAnsi="Times New Roman"/>
          <w:sz w:val="28"/>
          <w:szCs w:val="28"/>
        </w:rPr>
      </w:pPr>
    </w:p>
    <w:p w:rsidR="002623A3" w:rsidRPr="00D93140" w:rsidRDefault="00D93140" w:rsidP="002623A3">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ptitud del cargo relacionado con la vulneración del artículo 29 de la Constitución (cargo sépti</w:t>
      </w:r>
      <w:r w:rsidRPr="00D93140">
        <w:rPr>
          <w:rFonts w:ascii="Times New Roman" w:hAnsi="Times New Roman"/>
          <w:i/>
          <w:iCs/>
          <w:sz w:val="28"/>
          <w:szCs w:val="28"/>
          <w:u w:color="000000"/>
          <w:bdr w:val="nil"/>
        </w:rPr>
        <w:t>mo</w:t>
      </w:r>
      <w:r w:rsidRPr="00D93140">
        <w:rPr>
          <w:rFonts w:ascii="Times New Roman" w:hAnsi="Times New Roman"/>
          <w:i/>
          <w:iCs/>
          <w:sz w:val="28"/>
          <w:szCs w:val="28"/>
          <w:u w:color="000000"/>
          <w:bdr w:val="nil"/>
        </w:rPr>
        <w:t xml:space="preserve"> en los</w:t>
      </w:r>
      <w:r w:rsidRPr="00D93140">
        <w:rPr>
          <w:rFonts w:ascii="Times New Roman" w:hAnsi="Times New Roman"/>
          <w:i/>
          <w:iCs/>
          <w:sz w:val="28"/>
          <w:szCs w:val="28"/>
          <w:u w:color="000000"/>
          <w:bdr w:val="nil"/>
        </w:rPr>
        <w:t xml:space="preserve"> expedientes D-16345 y D-16396).</w:t>
      </w:r>
      <w:r w:rsidRPr="00D93140">
        <w:rPr>
          <w:rFonts w:ascii="Times New Roman" w:hAnsi="Times New Roman"/>
          <w:iCs/>
          <w:sz w:val="28"/>
          <w:szCs w:val="28"/>
          <w:u w:color="000000"/>
          <w:bdr w:val="nil"/>
        </w:rPr>
        <w:t xml:space="preserve"> Los accionantes coinciden en señalar que el artículo 6 del Decreto </w:t>
      </w:r>
      <w:r w:rsidRPr="00D93140">
        <w:rPr>
          <w:rFonts w:ascii="Times New Roman" w:hAnsi="Times New Roman"/>
          <w:sz w:val="28"/>
          <w:szCs w:val="28"/>
        </w:rPr>
        <w:t>vulnera el artículo 29 de la Constitución Política</w:t>
      </w:r>
      <w:r w:rsidRPr="00D93140">
        <w:rPr>
          <w:rFonts w:ascii="Times New Roman" w:hAnsi="Times New Roman"/>
          <w:sz w:val="28"/>
          <w:szCs w:val="28"/>
        </w:rPr>
        <w:t xml:space="preserve"> al otorgar potestad</w:t>
      </w:r>
      <w:r w:rsidRPr="00D93140">
        <w:rPr>
          <w:rFonts w:ascii="Times New Roman" w:hAnsi="Times New Roman"/>
          <w:sz w:val="28"/>
          <w:szCs w:val="28"/>
        </w:rPr>
        <w:t xml:space="preserve"> sancionatoria a las autoridades indígenas respecto de las personas que no est</w:t>
      </w:r>
      <w:r w:rsidRPr="00D93140">
        <w:rPr>
          <w:rFonts w:ascii="Times New Roman" w:hAnsi="Times New Roman"/>
          <w:sz w:val="28"/>
          <w:szCs w:val="28"/>
        </w:rPr>
        <w:t>án</w:t>
      </w:r>
      <w:r w:rsidRPr="00D93140">
        <w:rPr>
          <w:rFonts w:ascii="Times New Roman" w:hAnsi="Times New Roman"/>
          <w:sz w:val="28"/>
          <w:szCs w:val="28"/>
        </w:rPr>
        <w:t xml:space="preserve"> bajo su jurisdicción</w:t>
      </w:r>
      <w:r w:rsidRPr="00D93140">
        <w:rPr>
          <w:rFonts w:ascii="Times New Roman" w:hAnsi="Times New Roman"/>
          <w:sz w:val="28"/>
          <w:szCs w:val="28"/>
        </w:rPr>
        <w:t xml:space="preserve"> al no ser parte de su comunidad</w:t>
      </w:r>
      <w:r w:rsidRPr="00D93140">
        <w:rPr>
          <w:rFonts w:ascii="Times New Roman" w:hAnsi="Times New Roman"/>
          <w:sz w:val="28"/>
          <w:szCs w:val="28"/>
        </w:rPr>
        <w:t xml:space="preserve"> ya que debe</w:t>
      </w:r>
      <w:r w:rsidRPr="00D93140">
        <w:rPr>
          <w:rFonts w:ascii="Times New Roman" w:hAnsi="Times New Roman"/>
          <w:sz w:val="28"/>
          <w:szCs w:val="28"/>
        </w:rPr>
        <w:t xml:space="preserve"> coordinar con la respectiva entidad ambiental la imposición de la sanción, así como de las medidas compensator</w:t>
      </w:r>
      <w:r w:rsidRPr="00D93140">
        <w:rPr>
          <w:rFonts w:ascii="Times New Roman" w:hAnsi="Times New Roman"/>
          <w:sz w:val="28"/>
          <w:szCs w:val="28"/>
        </w:rPr>
        <w:t xml:space="preserve">ias a que haya lugar. </w:t>
      </w:r>
      <w:r w:rsidRPr="00D93140">
        <w:rPr>
          <w:rFonts w:ascii="Times New Roman" w:hAnsi="Times New Roman"/>
          <w:sz w:val="28"/>
          <w:szCs w:val="28"/>
        </w:rPr>
        <w:t xml:space="preserve">Lo anterior en tanto no hay una determinación de las conductas a sancionar ni un procedimiento a seguir ante el juez natural de aquellos que no pertenecen a las comunidades indígenas. </w:t>
      </w:r>
      <w:r w:rsidRPr="00D93140">
        <w:rPr>
          <w:rFonts w:ascii="Times New Roman" w:hAnsi="Times New Roman"/>
          <w:sz w:val="28"/>
          <w:szCs w:val="28"/>
        </w:rPr>
        <w:t>Igualmente, se destaca que en el expediente D-1634</w:t>
      </w:r>
      <w:r w:rsidRPr="00D93140">
        <w:rPr>
          <w:rFonts w:ascii="Times New Roman" w:hAnsi="Times New Roman"/>
          <w:sz w:val="28"/>
          <w:szCs w:val="28"/>
        </w:rPr>
        <w:t>5 el accionante también cuestiona que esta norma no prevé la forma en la que se protegerán estas garantías fundamentales en el marco de las sanciones impuestas por las autoridades indígenas respecto de los miembros de su comunidad. Lo anterior, en su crite</w:t>
      </w:r>
      <w:r w:rsidRPr="00D93140">
        <w:rPr>
          <w:rFonts w:ascii="Times New Roman" w:hAnsi="Times New Roman"/>
          <w:sz w:val="28"/>
          <w:szCs w:val="28"/>
        </w:rPr>
        <w:t xml:space="preserve">rio, constituye una violación al derecho de defensa y a tener un juicio justo en los términos dispuestos por el artículo 29 de la Constitución. </w:t>
      </w:r>
    </w:p>
    <w:p w:rsidR="00566EF7" w:rsidRPr="00D93140" w:rsidRDefault="00D93140" w:rsidP="00E04174">
      <w:pPr>
        <w:pStyle w:val="Prrafodelista"/>
        <w:ind w:left="0"/>
        <w:jc w:val="both"/>
        <w:rPr>
          <w:rFonts w:ascii="Times New Roman" w:hAnsi="Times New Roman"/>
          <w:sz w:val="28"/>
          <w:szCs w:val="28"/>
          <w:u w:color="000000"/>
          <w:bdr w:val="nil"/>
        </w:rPr>
      </w:pPr>
    </w:p>
    <w:p w:rsidR="004C4574"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La Sala considera que los argumentos de los accionantes cumplen con los presupuestos exigidos. Son </w:t>
      </w:r>
      <w:r w:rsidRPr="00D93140">
        <w:rPr>
          <w:rFonts w:ascii="Times New Roman" w:hAnsi="Times New Roman"/>
          <w:i/>
          <w:sz w:val="28"/>
          <w:szCs w:val="28"/>
        </w:rPr>
        <w:t>claros</w:t>
      </w:r>
      <w:r w:rsidRPr="00D93140">
        <w:rPr>
          <w:rFonts w:ascii="Times New Roman" w:hAnsi="Times New Roman"/>
          <w:sz w:val="28"/>
          <w:szCs w:val="28"/>
        </w:rPr>
        <w:t xml:space="preserve"> y pe</w:t>
      </w:r>
      <w:r w:rsidRPr="00D93140">
        <w:rPr>
          <w:rFonts w:ascii="Times New Roman" w:hAnsi="Times New Roman"/>
          <w:sz w:val="28"/>
          <w:szCs w:val="28"/>
        </w:rPr>
        <w:t xml:space="preserve">rmiten comprender la acusación. Son </w:t>
      </w:r>
      <w:r w:rsidRPr="00D93140">
        <w:rPr>
          <w:rFonts w:ascii="Times New Roman" w:hAnsi="Times New Roman"/>
          <w:i/>
          <w:sz w:val="28"/>
          <w:szCs w:val="28"/>
        </w:rPr>
        <w:t>ciertos</w:t>
      </w:r>
      <w:r w:rsidRPr="00D93140">
        <w:rPr>
          <w:rFonts w:ascii="Times New Roman" w:hAnsi="Times New Roman"/>
          <w:sz w:val="28"/>
          <w:szCs w:val="28"/>
        </w:rPr>
        <w:t xml:space="preserve">, en cuanto las potestades sancionatorias se desprenden de la lectura literal de la norma, sin que en ella o en otro aparte del decreto se fije el marco de las mismas. Las razones expuestas son </w:t>
      </w:r>
      <w:r w:rsidRPr="00D93140">
        <w:rPr>
          <w:rFonts w:ascii="Times New Roman" w:hAnsi="Times New Roman"/>
          <w:i/>
          <w:sz w:val="28"/>
          <w:szCs w:val="28"/>
        </w:rPr>
        <w:t>específicas</w:t>
      </w:r>
      <w:r w:rsidRPr="00D93140">
        <w:rPr>
          <w:rFonts w:ascii="Times New Roman" w:hAnsi="Times New Roman"/>
          <w:sz w:val="28"/>
          <w:szCs w:val="28"/>
        </w:rPr>
        <w:t xml:space="preserve">, </w:t>
      </w:r>
      <w:r w:rsidRPr="00D93140">
        <w:rPr>
          <w:rFonts w:ascii="Times New Roman" w:hAnsi="Times New Roman"/>
          <w:i/>
          <w:sz w:val="28"/>
          <w:szCs w:val="28"/>
        </w:rPr>
        <w:t>pertin</w:t>
      </w:r>
      <w:r w:rsidRPr="00D93140">
        <w:rPr>
          <w:rFonts w:ascii="Times New Roman" w:hAnsi="Times New Roman"/>
          <w:i/>
          <w:sz w:val="28"/>
          <w:szCs w:val="28"/>
        </w:rPr>
        <w:t>entes</w:t>
      </w:r>
      <w:r w:rsidRPr="00D93140">
        <w:rPr>
          <w:rFonts w:ascii="Times New Roman" w:hAnsi="Times New Roman"/>
          <w:sz w:val="28"/>
          <w:szCs w:val="28"/>
        </w:rPr>
        <w:t xml:space="preserve"> y </w:t>
      </w:r>
      <w:r w:rsidRPr="00D93140">
        <w:rPr>
          <w:rFonts w:ascii="Times New Roman" w:hAnsi="Times New Roman"/>
          <w:i/>
          <w:sz w:val="28"/>
          <w:szCs w:val="28"/>
        </w:rPr>
        <w:t>suficientes</w:t>
      </w:r>
      <w:r w:rsidRPr="00D93140">
        <w:rPr>
          <w:rFonts w:ascii="Times New Roman" w:hAnsi="Times New Roman"/>
          <w:sz w:val="28"/>
          <w:szCs w:val="28"/>
        </w:rPr>
        <w:t xml:space="preserve"> al plantear un problema constitucional que confronta de forma objetiva y concreta las normas involucradas en la acusación que generan una duda sobre la falta de determinación de elementos que, presuntamente se echan d</w:t>
      </w:r>
      <w:r w:rsidRPr="00D93140">
        <w:rPr>
          <w:rFonts w:ascii="Times New Roman" w:hAnsi="Times New Roman"/>
          <w:sz w:val="28"/>
          <w:szCs w:val="28"/>
        </w:rPr>
        <w:t xml:space="preserve">e menos al imponer </w:t>
      </w:r>
      <w:r w:rsidRPr="00D93140">
        <w:rPr>
          <w:rFonts w:ascii="Times New Roman" w:hAnsi="Times New Roman"/>
          <w:sz w:val="28"/>
          <w:szCs w:val="28"/>
        </w:rPr>
        <w:t>una sanción, tanto a miembros de las comunidades indígenas como a aquellos que no pertenecen a ellas.</w:t>
      </w:r>
    </w:p>
    <w:p w:rsidR="006D772D" w:rsidRPr="00D93140" w:rsidRDefault="00D93140" w:rsidP="006D772D">
      <w:pPr>
        <w:pStyle w:val="Prrafodelista"/>
        <w:ind w:left="0"/>
        <w:jc w:val="both"/>
        <w:rPr>
          <w:rFonts w:ascii="Times New Roman" w:hAnsi="Times New Roman"/>
          <w:sz w:val="28"/>
          <w:szCs w:val="28"/>
        </w:rPr>
      </w:pPr>
    </w:p>
    <w:p w:rsidR="005C1120" w:rsidRPr="00D93140" w:rsidRDefault="00D93140" w:rsidP="00537BCE">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 xml:space="preserve">ptitud del cargo relacionado </w:t>
      </w:r>
      <w:r w:rsidRPr="00D93140">
        <w:rPr>
          <w:rFonts w:ascii="Times New Roman" w:hAnsi="Times New Roman"/>
          <w:i/>
          <w:iCs/>
          <w:sz w:val="28"/>
          <w:szCs w:val="28"/>
          <w:u w:color="000000"/>
          <w:bdr w:val="nil"/>
        </w:rPr>
        <w:t>con la vulneración de los artículo</w:t>
      </w:r>
      <w:r w:rsidRPr="00D93140">
        <w:rPr>
          <w:rFonts w:ascii="Times New Roman" w:hAnsi="Times New Roman"/>
          <w:i/>
          <w:iCs/>
          <w:sz w:val="28"/>
          <w:szCs w:val="28"/>
          <w:u w:color="000000"/>
          <w:bdr w:val="nil"/>
        </w:rPr>
        <w:t>s</w:t>
      </w:r>
      <w:r w:rsidRPr="00D93140">
        <w:rPr>
          <w:rFonts w:ascii="Times New Roman" w:hAnsi="Times New Roman"/>
          <w:i/>
          <w:iCs/>
          <w:sz w:val="28"/>
          <w:szCs w:val="28"/>
          <w:u w:color="000000"/>
          <w:bdr w:val="nil"/>
        </w:rPr>
        <w:t xml:space="preserve"> 151 y 334 de la Constitución (cargo octavo </w:t>
      </w:r>
      <w:r w:rsidRPr="00D93140">
        <w:rPr>
          <w:rFonts w:ascii="Times New Roman" w:hAnsi="Times New Roman"/>
          <w:i/>
          <w:iCs/>
          <w:sz w:val="28"/>
          <w:szCs w:val="28"/>
          <w:u w:color="000000"/>
          <w:bdr w:val="nil"/>
        </w:rPr>
        <w:t xml:space="preserve">expediente </w:t>
      </w:r>
      <w:r w:rsidRPr="00D93140">
        <w:rPr>
          <w:rFonts w:ascii="Times New Roman" w:hAnsi="Times New Roman"/>
          <w:i/>
          <w:iCs/>
          <w:sz w:val="28"/>
          <w:szCs w:val="28"/>
          <w:u w:color="000000"/>
          <w:bdr w:val="nil"/>
        </w:rPr>
        <w:t>D-16345).</w:t>
      </w:r>
      <w:r w:rsidRPr="00D93140">
        <w:rPr>
          <w:rFonts w:ascii="Times New Roman" w:hAnsi="Times New Roman"/>
          <w:i/>
          <w:iCs/>
          <w:sz w:val="28"/>
          <w:szCs w:val="28"/>
          <w:u w:color="000000"/>
          <w:bdr w:val="nil"/>
        </w:rPr>
        <w:t xml:space="preserve"> </w:t>
      </w:r>
      <w:r w:rsidRPr="00D93140">
        <w:rPr>
          <w:rFonts w:ascii="Times New Roman" w:hAnsi="Times New Roman"/>
          <w:iCs/>
          <w:sz w:val="28"/>
          <w:szCs w:val="28"/>
          <w:u w:color="000000"/>
          <w:bdr w:val="nil"/>
        </w:rPr>
        <w:t xml:space="preserve">A juicio del actor, el artículo 10 del Decreto 1275 de 2024 prevé una orden directa de gasto al ordenar al Ministerio </w:t>
      </w:r>
      <w:r w:rsidRPr="00D93140">
        <w:rPr>
          <w:rFonts w:ascii="Times New Roman" w:hAnsi="Times New Roman"/>
          <w:sz w:val="28"/>
          <w:szCs w:val="28"/>
          <w:u w:color="000000"/>
          <w:bdr w:val="nil"/>
        </w:rPr>
        <w:t xml:space="preserve">de Ambiente y Desarrollo Sostenible </w:t>
      </w:r>
      <w:r w:rsidRPr="00D93140">
        <w:rPr>
          <w:rFonts w:ascii="Times New Roman" w:hAnsi="Times New Roman"/>
          <w:sz w:val="28"/>
          <w:szCs w:val="28"/>
          <w:u w:color="000000"/>
          <w:bdr w:val="nil"/>
        </w:rPr>
        <w:t xml:space="preserve">que </w:t>
      </w:r>
      <w:r w:rsidRPr="00D93140">
        <w:rPr>
          <w:rFonts w:ascii="Times New Roman" w:hAnsi="Times New Roman"/>
          <w:sz w:val="28"/>
          <w:szCs w:val="28"/>
          <w:u w:color="000000"/>
          <w:bdr w:val="nil"/>
        </w:rPr>
        <w:t>garanti</w:t>
      </w:r>
      <w:r w:rsidRPr="00D93140">
        <w:rPr>
          <w:rFonts w:ascii="Times New Roman" w:hAnsi="Times New Roman"/>
          <w:sz w:val="28"/>
          <w:szCs w:val="28"/>
          <w:u w:color="000000"/>
          <w:bdr w:val="nil"/>
        </w:rPr>
        <w:t>ce</w:t>
      </w:r>
      <w:r w:rsidRPr="00D93140">
        <w:rPr>
          <w:rFonts w:ascii="Times New Roman" w:hAnsi="Times New Roman"/>
          <w:sz w:val="28"/>
          <w:szCs w:val="28"/>
          <w:u w:color="000000"/>
          <w:bdr w:val="nil"/>
        </w:rPr>
        <w:t xml:space="preserve"> los recursos de funcionamiento de las competencias ambientales de las autoridades indíge</w:t>
      </w:r>
      <w:r w:rsidRPr="00D93140">
        <w:rPr>
          <w:rFonts w:ascii="Times New Roman" w:hAnsi="Times New Roman"/>
          <w:sz w:val="28"/>
          <w:szCs w:val="28"/>
          <w:u w:color="000000"/>
          <w:bdr w:val="nil"/>
        </w:rPr>
        <w:t xml:space="preserve">nas, en un plazo no mayor de seis meses. </w:t>
      </w:r>
      <w:r w:rsidRPr="00D93140">
        <w:rPr>
          <w:rFonts w:ascii="Times New Roman" w:hAnsi="Times New Roman"/>
          <w:sz w:val="28"/>
          <w:szCs w:val="28"/>
          <w:u w:color="000000"/>
          <w:bdr w:val="nil"/>
        </w:rPr>
        <w:t>Además, considera que l</w:t>
      </w:r>
      <w:r w:rsidRPr="00D93140">
        <w:rPr>
          <w:rFonts w:ascii="Times New Roman" w:hAnsi="Times New Roman"/>
          <w:sz w:val="28"/>
          <w:szCs w:val="28"/>
          <w:u w:color="000000"/>
          <w:bdr w:val="nil"/>
        </w:rPr>
        <w:t>os términos de la orden son imperativos</w:t>
      </w:r>
      <w:r w:rsidRPr="00D93140">
        <w:rPr>
          <w:rFonts w:ascii="Times New Roman" w:hAnsi="Times New Roman"/>
          <w:sz w:val="28"/>
          <w:szCs w:val="28"/>
          <w:u w:color="000000"/>
          <w:bdr w:val="nil"/>
        </w:rPr>
        <w:t xml:space="preserve"> y el enunciado permite su </w:t>
      </w:r>
      <w:r w:rsidRPr="00D93140">
        <w:rPr>
          <w:rFonts w:ascii="Times New Roman" w:hAnsi="Times New Roman"/>
          <w:sz w:val="28"/>
          <w:szCs w:val="28"/>
          <w:u w:color="000000"/>
          <w:bdr w:val="nil"/>
        </w:rPr>
        <w:t>desarrollo directo</w:t>
      </w:r>
      <w:r w:rsidRPr="00D93140">
        <w:rPr>
          <w:rFonts w:ascii="Times New Roman" w:hAnsi="Times New Roman"/>
          <w:sz w:val="28"/>
          <w:szCs w:val="28"/>
          <w:u w:color="000000"/>
          <w:bdr w:val="nil"/>
        </w:rPr>
        <w:t>. En este contexto, se desconoce lo dispuesto en el artículo 7 de la Ley 819 de</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2003</w:t>
      </w:r>
      <w:r w:rsidRPr="00D93140">
        <w:rPr>
          <w:rFonts w:ascii="Times New Roman" w:hAnsi="Times New Roman"/>
          <w:sz w:val="28"/>
          <w:szCs w:val="28"/>
          <w:u w:color="000000"/>
          <w:bdr w:val="nil"/>
        </w:rPr>
        <w:t>, ya que no se efectuó e</w:t>
      </w:r>
      <w:r w:rsidRPr="00D93140">
        <w:rPr>
          <w:rFonts w:ascii="Times New Roman" w:hAnsi="Times New Roman"/>
          <w:sz w:val="28"/>
          <w:szCs w:val="28"/>
          <w:u w:color="000000"/>
          <w:bdr w:val="nil"/>
        </w:rPr>
        <w:t xml:space="preserve">l </w:t>
      </w:r>
      <w:r w:rsidRPr="00D93140">
        <w:rPr>
          <w:rFonts w:ascii="Times New Roman" w:hAnsi="Times New Roman"/>
          <w:sz w:val="28"/>
          <w:szCs w:val="28"/>
          <w:u w:color="000000"/>
          <w:bdr w:val="nil"/>
        </w:rPr>
        <w:t>análisis del</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impacto fiscal</w:t>
      </w:r>
      <w:r w:rsidRPr="00D93140">
        <w:rPr>
          <w:rFonts w:ascii="Times New Roman" w:hAnsi="Times New Roman"/>
          <w:sz w:val="28"/>
          <w:szCs w:val="28"/>
          <w:u w:color="000000"/>
          <w:bdr w:val="nil"/>
        </w:rPr>
        <w:t>. En consecuencia, en criterio del actor, al desconocer el citado artículo se vulner</w:t>
      </w:r>
      <w:r w:rsidRPr="00D93140">
        <w:rPr>
          <w:rFonts w:ascii="Times New Roman" w:hAnsi="Times New Roman"/>
          <w:sz w:val="28"/>
          <w:szCs w:val="28"/>
        </w:rPr>
        <w:t>a, por un lado, el</w:t>
      </w:r>
      <w:r w:rsidRPr="00D93140">
        <w:rPr>
          <w:rFonts w:ascii="Times New Roman" w:hAnsi="Times New Roman"/>
          <w:sz w:val="28"/>
          <w:szCs w:val="28"/>
        </w:rPr>
        <w:t xml:space="preserve"> artículo 151 de la Constitución</w:t>
      </w:r>
      <w:r w:rsidRPr="00D93140">
        <w:rPr>
          <w:rFonts w:ascii="Times New Roman" w:hAnsi="Times New Roman"/>
          <w:sz w:val="28"/>
          <w:szCs w:val="28"/>
        </w:rPr>
        <w:t>, argumentando que la jurisprudencia de esta corporación “</w:t>
      </w:r>
      <w:r w:rsidRPr="00D93140">
        <w:rPr>
          <w:rFonts w:ascii="Times New Roman" w:hAnsi="Times New Roman"/>
          <w:sz w:val="28"/>
          <w:szCs w:val="28"/>
          <w:u w:color="000000"/>
          <w:bdr w:val="nil"/>
        </w:rPr>
        <w:t>ha reconocido que su vulneración im</w:t>
      </w:r>
      <w:r w:rsidRPr="00D93140">
        <w:rPr>
          <w:rFonts w:ascii="Times New Roman" w:hAnsi="Times New Roman"/>
          <w:sz w:val="28"/>
          <w:szCs w:val="28"/>
          <w:u w:color="000000"/>
          <w:bdr w:val="nil"/>
        </w:rPr>
        <w:t>plica una vulneración del artículo 151 de la Constitución</w:t>
      </w:r>
      <w:r w:rsidRPr="00D93140">
        <w:rPr>
          <w:rStyle w:val="Refdenotaalpie"/>
          <w:rFonts w:ascii="Times New Roman" w:hAnsi="Times New Roman"/>
          <w:sz w:val="28"/>
          <w:szCs w:val="28"/>
          <w:u w:color="000000"/>
          <w:bdr w:val="nil"/>
        </w:rPr>
        <w:footnoteReference w:id="40"/>
      </w:r>
      <w:r w:rsidRPr="00D93140">
        <w:rPr>
          <w:rFonts w:ascii="Times New Roman" w:hAnsi="Times New Roman"/>
          <w:sz w:val="28"/>
          <w:szCs w:val="28"/>
          <w:u w:color="000000"/>
          <w:bdr w:val="nil"/>
        </w:rPr>
        <w:t xml:space="preserve">” y por el otro, los mandatos del artículo 334 de la Constitución, que impone que la sostenibilidad fiscal debe orientar a las Ramas y Órganos del Poder Público, dentro de sus competencias, en un marco de colaboración armónica. </w:t>
      </w:r>
    </w:p>
    <w:p w:rsidR="0094660C" w:rsidRPr="00D93140" w:rsidRDefault="00D93140" w:rsidP="0094660C">
      <w:pPr>
        <w:pStyle w:val="Prrafodelista"/>
        <w:ind w:left="0"/>
        <w:jc w:val="both"/>
        <w:rPr>
          <w:rFonts w:ascii="Times New Roman" w:hAnsi="Times New Roman"/>
          <w:sz w:val="28"/>
          <w:szCs w:val="28"/>
          <w:u w:color="000000"/>
          <w:bdr w:val="nil"/>
        </w:rPr>
      </w:pPr>
    </w:p>
    <w:p w:rsidR="000E0AF1"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Al respecto, advierte esta</w:t>
      </w:r>
      <w:r w:rsidRPr="00D93140">
        <w:rPr>
          <w:rFonts w:ascii="Times New Roman" w:hAnsi="Times New Roman"/>
          <w:sz w:val="28"/>
          <w:szCs w:val="28"/>
        </w:rPr>
        <w:t xml:space="preserve"> Sala Plena que el cargo propuesto no cumple con el requisito de </w:t>
      </w:r>
      <w:r w:rsidRPr="00D93140">
        <w:rPr>
          <w:rFonts w:ascii="Times New Roman" w:hAnsi="Times New Roman"/>
          <w:i/>
          <w:sz w:val="28"/>
          <w:szCs w:val="28"/>
        </w:rPr>
        <w:t>certeza</w:t>
      </w:r>
      <w:r w:rsidRPr="00D93140">
        <w:rPr>
          <w:rFonts w:ascii="Times New Roman" w:hAnsi="Times New Roman"/>
          <w:sz w:val="28"/>
          <w:szCs w:val="28"/>
        </w:rPr>
        <w:t xml:space="preserve"> </w:t>
      </w:r>
      <w:r w:rsidRPr="00D93140">
        <w:rPr>
          <w:rFonts w:ascii="Times New Roman" w:hAnsi="Times New Roman"/>
          <w:sz w:val="28"/>
          <w:szCs w:val="28"/>
        </w:rPr>
        <w:t>por las siguientes razones: En primer lugar, una lectura detenida del artículo 10 cuestionado no permite concluir que la orden allí asignada al Ministerio de Ambiente sea una orden di</w:t>
      </w:r>
      <w:r w:rsidRPr="00D93140">
        <w:rPr>
          <w:rFonts w:ascii="Times New Roman" w:hAnsi="Times New Roman"/>
          <w:sz w:val="28"/>
          <w:szCs w:val="28"/>
        </w:rPr>
        <w:t>recta de gasto. Si bien se establece un plazo perentorio, la disposición ordena una labor de coordinación con las demás entidades nacionales pertinentes y con la MP</w:t>
      </w:r>
      <w:r w:rsidRPr="00D93140">
        <w:rPr>
          <w:rFonts w:ascii="Times New Roman" w:hAnsi="Times New Roman"/>
          <w:sz w:val="28"/>
          <w:szCs w:val="28"/>
        </w:rPr>
        <w:t>C</w:t>
      </w:r>
      <w:r w:rsidRPr="00D93140">
        <w:rPr>
          <w:rFonts w:ascii="Times New Roman" w:hAnsi="Times New Roman"/>
          <w:sz w:val="28"/>
          <w:szCs w:val="28"/>
        </w:rPr>
        <w:t xml:space="preserve"> para definir los mecanismos que garantizarán los recursos que permitan el funcionamiento d</w:t>
      </w:r>
      <w:r w:rsidRPr="00D93140">
        <w:rPr>
          <w:rFonts w:ascii="Times New Roman" w:hAnsi="Times New Roman"/>
          <w:sz w:val="28"/>
          <w:szCs w:val="28"/>
        </w:rPr>
        <w:t>e las competencias ambientales otorgadas en el decreto y una vez definidos, realizar las acciones necesarias para tal fin.  En ese escenario, los términos empleados respecto de la inclusión del gasto en el mencionado artículo 10, aunque puedan leerse en un</w:t>
      </w:r>
      <w:r w:rsidRPr="00D93140">
        <w:rPr>
          <w:rFonts w:ascii="Times New Roman" w:hAnsi="Times New Roman"/>
          <w:sz w:val="28"/>
          <w:szCs w:val="28"/>
        </w:rPr>
        <w:t xml:space="preserve"> tono imperativo, no permiten un desarrollo concreto y directo de la orden contemplada y cuestionada por el actor</w:t>
      </w:r>
      <w:r w:rsidRPr="00D93140">
        <w:rPr>
          <w:rFonts w:ascii="Times New Roman" w:hAnsi="Times New Roman"/>
          <w:sz w:val="28"/>
          <w:szCs w:val="28"/>
        </w:rPr>
        <w:t xml:space="preserve">, es decir, no hay una obligación exigible en términos </w:t>
      </w:r>
      <w:r w:rsidRPr="00D93140">
        <w:rPr>
          <w:rFonts w:ascii="Times New Roman" w:hAnsi="Times New Roman"/>
          <w:sz w:val="28"/>
          <w:szCs w:val="28"/>
        </w:rPr>
        <w:t>presupuestales</w:t>
      </w:r>
      <w:r w:rsidRPr="00D93140">
        <w:rPr>
          <w:rFonts w:ascii="Times New Roman" w:hAnsi="Times New Roman"/>
          <w:sz w:val="28"/>
          <w:szCs w:val="28"/>
        </w:rPr>
        <w:t xml:space="preserve">. </w:t>
      </w:r>
    </w:p>
    <w:p w:rsidR="000E0AF1" w:rsidRPr="00D93140" w:rsidRDefault="00D93140" w:rsidP="00E04174">
      <w:pPr>
        <w:pStyle w:val="Prrafodelista"/>
        <w:ind w:left="0"/>
        <w:jc w:val="both"/>
        <w:rPr>
          <w:rFonts w:ascii="Times New Roman" w:hAnsi="Times New Roman"/>
          <w:sz w:val="28"/>
          <w:szCs w:val="28"/>
        </w:rPr>
      </w:pPr>
    </w:p>
    <w:p w:rsidR="00365FFC"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segundo lugar</w:t>
      </w:r>
      <w:r w:rsidRPr="00D93140">
        <w:rPr>
          <w:rFonts w:ascii="Times New Roman" w:hAnsi="Times New Roman"/>
          <w:sz w:val="28"/>
          <w:szCs w:val="28"/>
        </w:rPr>
        <w:t xml:space="preserve"> y sin perjuicio de lo anterior</w:t>
      </w:r>
      <w:r w:rsidRPr="00D93140">
        <w:rPr>
          <w:rFonts w:ascii="Times New Roman" w:hAnsi="Times New Roman"/>
          <w:sz w:val="28"/>
          <w:szCs w:val="28"/>
        </w:rPr>
        <w:t xml:space="preserve">, </w:t>
      </w:r>
      <w:r w:rsidRPr="00D93140">
        <w:rPr>
          <w:rFonts w:ascii="Times New Roman" w:hAnsi="Times New Roman"/>
          <w:sz w:val="28"/>
          <w:szCs w:val="28"/>
        </w:rPr>
        <w:t>la norma demandada es</w:t>
      </w:r>
      <w:r w:rsidRPr="00D93140">
        <w:rPr>
          <w:rFonts w:ascii="Times New Roman" w:hAnsi="Times New Roman"/>
          <w:sz w:val="28"/>
          <w:szCs w:val="28"/>
        </w:rPr>
        <w:t xml:space="preserve"> un decreto que se emite en desarrollo de las facultades conferidas por el artículo 56 transitorio de la Constitución. En ese orden, no debía seguirse el trámite previsto en el artículo 7 de la Ley 819 de 2003, máxime cuando ese trámite es exigible siempre</w:t>
      </w:r>
      <w:r w:rsidRPr="00D93140">
        <w:rPr>
          <w:rFonts w:ascii="Times New Roman" w:hAnsi="Times New Roman"/>
          <w:sz w:val="28"/>
          <w:szCs w:val="28"/>
        </w:rPr>
        <w:t xml:space="preserve"> que se esté ante proyectos de ley, de ordenanza </w:t>
      </w:r>
      <w:r w:rsidRPr="00D93140">
        <w:rPr>
          <w:rFonts w:ascii="Times New Roman" w:hAnsi="Times New Roman"/>
          <w:sz w:val="28"/>
          <w:szCs w:val="28"/>
        </w:rPr>
        <w:t xml:space="preserve">o de acuerdo </w:t>
      </w:r>
      <w:r w:rsidRPr="00D93140">
        <w:rPr>
          <w:rFonts w:ascii="Times New Roman" w:hAnsi="Times New Roman"/>
          <w:sz w:val="28"/>
          <w:szCs w:val="28"/>
        </w:rPr>
        <w:t xml:space="preserve">y </w:t>
      </w:r>
      <w:r w:rsidRPr="00D93140">
        <w:rPr>
          <w:rFonts w:ascii="Times New Roman" w:hAnsi="Times New Roman"/>
          <w:sz w:val="28"/>
          <w:szCs w:val="28"/>
        </w:rPr>
        <w:t xml:space="preserve">no incluye expresamente </w:t>
      </w:r>
      <w:r w:rsidRPr="00D93140">
        <w:rPr>
          <w:rFonts w:ascii="Times New Roman" w:hAnsi="Times New Roman"/>
          <w:sz w:val="28"/>
          <w:szCs w:val="28"/>
        </w:rPr>
        <w:t xml:space="preserve">estos </w:t>
      </w:r>
      <w:r w:rsidRPr="00D93140">
        <w:rPr>
          <w:rFonts w:ascii="Times New Roman" w:hAnsi="Times New Roman"/>
          <w:sz w:val="28"/>
          <w:szCs w:val="28"/>
        </w:rPr>
        <w:t>decretos</w:t>
      </w:r>
      <w:r w:rsidRPr="00D93140">
        <w:rPr>
          <w:rFonts w:ascii="Times New Roman" w:hAnsi="Times New Roman"/>
          <w:sz w:val="28"/>
          <w:szCs w:val="28"/>
        </w:rPr>
        <w:t xml:space="preserve">. </w:t>
      </w:r>
      <w:r w:rsidRPr="00D93140">
        <w:rPr>
          <w:rFonts w:ascii="Times New Roman" w:hAnsi="Times New Roman"/>
          <w:sz w:val="28"/>
          <w:szCs w:val="28"/>
        </w:rPr>
        <w:t xml:space="preserve">En </w:t>
      </w:r>
      <w:r w:rsidRPr="00D93140">
        <w:rPr>
          <w:rFonts w:ascii="Times New Roman" w:hAnsi="Times New Roman"/>
          <w:sz w:val="28"/>
          <w:szCs w:val="28"/>
        </w:rPr>
        <w:t>tal virtud de ello</w:t>
      </w:r>
      <w:r w:rsidRPr="00D93140">
        <w:rPr>
          <w:rFonts w:ascii="Times New Roman" w:hAnsi="Times New Roman"/>
          <w:sz w:val="28"/>
          <w:szCs w:val="28"/>
        </w:rPr>
        <w:t xml:space="preserve">, el cargo </w:t>
      </w:r>
      <w:r w:rsidRPr="00D93140">
        <w:rPr>
          <w:rFonts w:ascii="Times New Roman" w:hAnsi="Times New Roman"/>
          <w:sz w:val="28"/>
          <w:szCs w:val="28"/>
        </w:rPr>
        <w:t>tampoco</w:t>
      </w:r>
      <w:r w:rsidRPr="00D93140">
        <w:rPr>
          <w:rFonts w:ascii="Times New Roman" w:hAnsi="Times New Roman"/>
          <w:sz w:val="28"/>
          <w:szCs w:val="28"/>
        </w:rPr>
        <w:t xml:space="preserve"> es apto por falta de </w:t>
      </w:r>
      <w:r w:rsidRPr="00D93140">
        <w:rPr>
          <w:rFonts w:ascii="Times New Roman" w:hAnsi="Times New Roman"/>
          <w:i/>
          <w:sz w:val="28"/>
          <w:szCs w:val="28"/>
        </w:rPr>
        <w:t>especificidad</w:t>
      </w:r>
      <w:r w:rsidRPr="00D93140">
        <w:rPr>
          <w:rFonts w:ascii="Times New Roman" w:hAnsi="Times New Roman"/>
          <w:sz w:val="28"/>
          <w:szCs w:val="28"/>
        </w:rPr>
        <w:t>, pues el demandante no logró demostrar una oposición entre el artículo demand</w:t>
      </w:r>
      <w:r w:rsidRPr="00D93140">
        <w:rPr>
          <w:rFonts w:ascii="Times New Roman" w:hAnsi="Times New Roman"/>
          <w:sz w:val="28"/>
          <w:szCs w:val="28"/>
        </w:rPr>
        <w:t>ado y el artículo 7 de la Ley 819 de 2003.</w:t>
      </w:r>
    </w:p>
    <w:p w:rsidR="00111B9E" w:rsidRPr="00D93140" w:rsidRDefault="00D93140" w:rsidP="00E04174">
      <w:pPr>
        <w:pStyle w:val="Prrafodelista"/>
        <w:ind w:left="0"/>
        <w:jc w:val="both"/>
        <w:rPr>
          <w:rFonts w:ascii="Times New Roman" w:hAnsi="Times New Roman"/>
          <w:sz w:val="28"/>
          <w:szCs w:val="28"/>
        </w:rPr>
      </w:pPr>
    </w:p>
    <w:p w:rsidR="00111B9E" w:rsidRPr="00D93140" w:rsidRDefault="00D93140" w:rsidP="00111B9E">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lang w:val="es-ES" w:eastAsia="es-MX"/>
        </w:rPr>
        <w:t>E</w:t>
      </w:r>
      <w:r w:rsidRPr="00D93140">
        <w:rPr>
          <w:rFonts w:ascii="Times New Roman" w:hAnsi="Times New Roman"/>
          <w:sz w:val="28"/>
          <w:szCs w:val="28"/>
          <w:lang w:val="es-ES" w:eastAsia="es-MX"/>
        </w:rPr>
        <w:t>n consecuencia,</w:t>
      </w:r>
      <w:r w:rsidRPr="00D93140">
        <w:rPr>
          <w:rFonts w:ascii="Times New Roman" w:hAnsi="Times New Roman"/>
          <w:sz w:val="28"/>
          <w:szCs w:val="28"/>
          <w:lang w:val="es-ES" w:eastAsia="es-MX"/>
        </w:rPr>
        <w:t xml:space="preserve"> n</w:t>
      </w:r>
      <w:r w:rsidRPr="00D93140">
        <w:rPr>
          <w:rFonts w:ascii="Times New Roman" w:hAnsi="Times New Roman"/>
          <w:sz w:val="28"/>
          <w:szCs w:val="28"/>
        </w:rPr>
        <w:t xml:space="preserve">o se advierten argumentos que expliquen, por qué a pesar </w:t>
      </w:r>
      <w:r w:rsidRPr="00D93140">
        <w:rPr>
          <w:rFonts w:ascii="Times New Roman" w:hAnsi="Times New Roman"/>
          <w:sz w:val="28"/>
          <w:szCs w:val="28"/>
        </w:rPr>
        <w:t xml:space="preserve">de ser un decreto </w:t>
      </w:r>
      <w:r w:rsidRPr="00D93140">
        <w:rPr>
          <w:rFonts w:ascii="Times New Roman" w:hAnsi="Times New Roman"/>
          <w:sz w:val="28"/>
          <w:szCs w:val="28"/>
        </w:rPr>
        <w:t>expedido en virtud del artículo 56 transitorio de la Constitución</w:t>
      </w:r>
      <w:r w:rsidRPr="00D93140">
        <w:rPr>
          <w:rFonts w:ascii="Times New Roman" w:hAnsi="Times New Roman"/>
          <w:sz w:val="28"/>
          <w:szCs w:val="28"/>
        </w:rPr>
        <w:t xml:space="preserve">, debe cumplir con el mandato señalado en el artículo 7 de la Ley 819 de 2003. </w:t>
      </w:r>
      <w:r w:rsidRPr="00D93140">
        <w:rPr>
          <w:rFonts w:ascii="Times New Roman" w:hAnsi="Times New Roman"/>
          <w:sz w:val="28"/>
          <w:szCs w:val="28"/>
        </w:rPr>
        <w:t xml:space="preserve">En razón de lo anterior, </w:t>
      </w:r>
      <w:r w:rsidRPr="00D93140">
        <w:rPr>
          <w:rFonts w:ascii="Times New Roman" w:hAnsi="Times New Roman"/>
          <w:sz w:val="28"/>
          <w:szCs w:val="28"/>
        </w:rPr>
        <w:t xml:space="preserve">el cargo </w:t>
      </w:r>
      <w:r w:rsidRPr="00D93140">
        <w:rPr>
          <w:rFonts w:ascii="Times New Roman" w:hAnsi="Times New Roman"/>
          <w:sz w:val="28"/>
          <w:szCs w:val="28"/>
        </w:rPr>
        <w:t xml:space="preserve">tampoco es </w:t>
      </w:r>
      <w:r w:rsidRPr="00D93140">
        <w:rPr>
          <w:rFonts w:ascii="Times New Roman" w:hAnsi="Times New Roman"/>
          <w:i/>
          <w:sz w:val="28"/>
          <w:szCs w:val="28"/>
        </w:rPr>
        <w:t>pertinente</w:t>
      </w:r>
      <w:r w:rsidRPr="00D93140">
        <w:rPr>
          <w:rFonts w:ascii="Times New Roman" w:hAnsi="Times New Roman"/>
          <w:sz w:val="28"/>
          <w:szCs w:val="28"/>
        </w:rPr>
        <w:t xml:space="preserve"> y </w:t>
      </w:r>
      <w:r w:rsidRPr="00D93140">
        <w:rPr>
          <w:rFonts w:ascii="Times New Roman" w:hAnsi="Times New Roman"/>
          <w:i/>
          <w:sz w:val="28"/>
          <w:szCs w:val="28"/>
        </w:rPr>
        <w:t>suficiente</w:t>
      </w:r>
      <w:r w:rsidRPr="00D93140">
        <w:rPr>
          <w:rFonts w:ascii="Times New Roman" w:hAnsi="Times New Roman"/>
          <w:sz w:val="28"/>
          <w:szCs w:val="28"/>
        </w:rPr>
        <w:t xml:space="preserve">, en tanto </w:t>
      </w:r>
      <w:r w:rsidRPr="00D93140">
        <w:rPr>
          <w:rFonts w:ascii="Times New Roman" w:hAnsi="Times New Roman"/>
          <w:sz w:val="28"/>
          <w:szCs w:val="28"/>
        </w:rPr>
        <w:t xml:space="preserve">la sustentación de mismo </w:t>
      </w:r>
      <w:r w:rsidRPr="00D93140">
        <w:rPr>
          <w:rFonts w:ascii="Times New Roman" w:hAnsi="Times New Roman"/>
          <w:sz w:val="28"/>
          <w:szCs w:val="28"/>
        </w:rPr>
        <w:t>parte de argumentos subjetivos</w:t>
      </w:r>
      <w:r w:rsidRPr="00D93140">
        <w:rPr>
          <w:rFonts w:ascii="Times New Roman" w:hAnsi="Times New Roman"/>
          <w:sz w:val="28"/>
          <w:szCs w:val="28"/>
        </w:rPr>
        <w:t xml:space="preserve"> </w:t>
      </w:r>
      <w:r w:rsidRPr="00D93140">
        <w:rPr>
          <w:rFonts w:ascii="Times New Roman" w:hAnsi="Times New Roman"/>
          <w:sz w:val="28"/>
          <w:szCs w:val="28"/>
        </w:rPr>
        <w:t>del actor</w:t>
      </w:r>
      <w:r w:rsidRPr="00D93140">
        <w:rPr>
          <w:rFonts w:ascii="Times New Roman" w:hAnsi="Times New Roman"/>
          <w:sz w:val="28"/>
          <w:szCs w:val="28"/>
        </w:rPr>
        <w:t>, de la interpretación personal d</w:t>
      </w:r>
      <w:r w:rsidRPr="00D93140">
        <w:rPr>
          <w:rFonts w:ascii="Times New Roman" w:hAnsi="Times New Roman"/>
          <w:sz w:val="28"/>
          <w:szCs w:val="28"/>
        </w:rPr>
        <w:t>e las normas superiores</w:t>
      </w:r>
      <w:r w:rsidRPr="00D93140">
        <w:rPr>
          <w:rFonts w:ascii="Times New Roman" w:hAnsi="Times New Roman"/>
          <w:sz w:val="28"/>
          <w:szCs w:val="28"/>
        </w:rPr>
        <w:t xml:space="preserve"> </w:t>
      </w:r>
      <w:r w:rsidRPr="00D93140">
        <w:rPr>
          <w:rFonts w:ascii="Times New Roman" w:hAnsi="Times New Roman"/>
          <w:sz w:val="28"/>
          <w:szCs w:val="28"/>
        </w:rPr>
        <w:t xml:space="preserve">invocadas </w:t>
      </w:r>
      <w:r w:rsidRPr="00D93140">
        <w:rPr>
          <w:rFonts w:ascii="Times New Roman" w:hAnsi="Times New Roman"/>
          <w:sz w:val="28"/>
          <w:szCs w:val="28"/>
        </w:rPr>
        <w:t>y</w:t>
      </w:r>
      <w:r w:rsidRPr="00D93140">
        <w:rPr>
          <w:rFonts w:ascii="Times New Roman" w:hAnsi="Times New Roman"/>
          <w:sz w:val="28"/>
          <w:szCs w:val="28"/>
        </w:rPr>
        <w:t>, por lo tanto,</w:t>
      </w:r>
      <w:r w:rsidRPr="00D93140">
        <w:rPr>
          <w:rFonts w:ascii="Times New Roman" w:hAnsi="Times New Roman"/>
          <w:sz w:val="28"/>
          <w:szCs w:val="28"/>
        </w:rPr>
        <w:t xml:space="preserve"> no </w:t>
      </w:r>
      <w:r w:rsidRPr="00D93140">
        <w:rPr>
          <w:rFonts w:ascii="Times New Roman" w:hAnsi="Times New Roman"/>
          <w:sz w:val="28"/>
          <w:szCs w:val="28"/>
        </w:rPr>
        <w:t>genera</w:t>
      </w:r>
      <w:r w:rsidRPr="00D93140">
        <w:rPr>
          <w:rFonts w:ascii="Times New Roman" w:hAnsi="Times New Roman"/>
          <w:sz w:val="28"/>
          <w:szCs w:val="28"/>
        </w:rPr>
        <w:t>n</w:t>
      </w:r>
      <w:r w:rsidRPr="00D93140">
        <w:rPr>
          <w:rFonts w:ascii="Times New Roman" w:hAnsi="Times New Roman"/>
          <w:sz w:val="28"/>
          <w:szCs w:val="28"/>
        </w:rPr>
        <w:t xml:space="preserve"> una duda mínima</w:t>
      </w:r>
      <w:r w:rsidRPr="00D93140">
        <w:rPr>
          <w:rFonts w:ascii="Times New Roman" w:hAnsi="Times New Roman"/>
          <w:sz w:val="28"/>
          <w:szCs w:val="28"/>
        </w:rPr>
        <w:t xml:space="preserve"> sobre la inconstitucionalidad</w:t>
      </w:r>
      <w:r w:rsidRPr="00D93140">
        <w:rPr>
          <w:rFonts w:ascii="Times New Roman" w:hAnsi="Times New Roman"/>
          <w:sz w:val="28"/>
          <w:szCs w:val="28"/>
        </w:rPr>
        <w:t>.</w:t>
      </w:r>
    </w:p>
    <w:p w:rsidR="00111B9E" w:rsidRPr="00D93140" w:rsidRDefault="00D93140" w:rsidP="00111B9E">
      <w:pPr>
        <w:pStyle w:val="Prrafodelista"/>
        <w:ind w:left="0"/>
        <w:jc w:val="both"/>
        <w:rPr>
          <w:rFonts w:ascii="Times New Roman" w:hAnsi="Times New Roman"/>
          <w:sz w:val="28"/>
          <w:szCs w:val="28"/>
        </w:rPr>
      </w:pPr>
    </w:p>
    <w:p w:rsidR="006D4CD7" w:rsidRPr="00D93140" w:rsidRDefault="00D93140" w:rsidP="00537BCE">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De otra parte y teniendo en cuenta lo anterior, los reproches relacionados con el desconocimiento de</w:t>
      </w:r>
      <w:r w:rsidRPr="00D93140">
        <w:rPr>
          <w:rFonts w:ascii="Times New Roman" w:hAnsi="Times New Roman"/>
          <w:sz w:val="28"/>
          <w:szCs w:val="28"/>
        </w:rPr>
        <w:t>l</w:t>
      </w:r>
      <w:r w:rsidRPr="00D93140">
        <w:rPr>
          <w:rFonts w:ascii="Times New Roman" w:hAnsi="Times New Roman"/>
          <w:sz w:val="28"/>
          <w:szCs w:val="28"/>
        </w:rPr>
        <w:t xml:space="preserve"> artículo 151 de la Constitución </w:t>
      </w:r>
      <w:r w:rsidRPr="00D93140">
        <w:rPr>
          <w:rFonts w:ascii="Times New Roman" w:hAnsi="Times New Roman"/>
          <w:sz w:val="28"/>
          <w:szCs w:val="28"/>
        </w:rPr>
        <w:t>carece</w:t>
      </w:r>
      <w:r w:rsidRPr="00D93140">
        <w:rPr>
          <w:rFonts w:ascii="Times New Roman" w:hAnsi="Times New Roman"/>
          <w:sz w:val="28"/>
          <w:szCs w:val="28"/>
        </w:rPr>
        <w:t>n</w:t>
      </w:r>
      <w:r w:rsidRPr="00D93140">
        <w:rPr>
          <w:rFonts w:ascii="Times New Roman" w:hAnsi="Times New Roman"/>
          <w:sz w:val="28"/>
          <w:szCs w:val="28"/>
        </w:rPr>
        <w:t xml:space="preserve"> de </w:t>
      </w:r>
      <w:r w:rsidRPr="00D93140">
        <w:rPr>
          <w:rFonts w:ascii="Times New Roman" w:hAnsi="Times New Roman"/>
          <w:i/>
          <w:sz w:val="28"/>
          <w:szCs w:val="28"/>
        </w:rPr>
        <w:t>especificidad</w:t>
      </w:r>
      <w:r w:rsidRPr="00D93140">
        <w:rPr>
          <w:rFonts w:ascii="Times New Roman" w:hAnsi="Times New Roman"/>
          <w:sz w:val="28"/>
          <w:szCs w:val="28"/>
        </w:rPr>
        <w:t xml:space="preserve">, en tanto no logró demostrar cuál es la oposición entre el artículo demandado y </w:t>
      </w:r>
      <w:r w:rsidRPr="00D93140">
        <w:rPr>
          <w:rFonts w:ascii="Times New Roman" w:hAnsi="Times New Roman"/>
          <w:sz w:val="28"/>
          <w:szCs w:val="28"/>
        </w:rPr>
        <w:t xml:space="preserve">el </w:t>
      </w:r>
      <w:r w:rsidRPr="00D93140">
        <w:rPr>
          <w:rFonts w:ascii="Times New Roman" w:hAnsi="Times New Roman"/>
          <w:sz w:val="28"/>
          <w:szCs w:val="28"/>
        </w:rPr>
        <w:t>151 superior</w:t>
      </w:r>
      <w:r w:rsidRPr="00D93140">
        <w:rPr>
          <w:rFonts w:ascii="Times New Roman" w:hAnsi="Times New Roman"/>
          <w:sz w:val="28"/>
          <w:szCs w:val="28"/>
        </w:rPr>
        <w:t xml:space="preserve">. </w:t>
      </w:r>
      <w:r w:rsidRPr="00D93140">
        <w:rPr>
          <w:rFonts w:ascii="Times New Roman" w:hAnsi="Times New Roman"/>
          <w:sz w:val="28"/>
          <w:szCs w:val="28"/>
        </w:rPr>
        <w:t xml:space="preserve"> </w:t>
      </w:r>
      <w:r w:rsidRPr="00D93140">
        <w:rPr>
          <w:rFonts w:ascii="Times New Roman" w:hAnsi="Times New Roman"/>
          <w:sz w:val="28"/>
          <w:szCs w:val="28"/>
        </w:rPr>
        <w:t>Respecto de la vulneración del criterio de la sostenibilidad fiscal, la Corte podría recordar que el artículo demandado simplemente faculta a al</w:t>
      </w:r>
      <w:r w:rsidRPr="00D93140">
        <w:rPr>
          <w:rFonts w:ascii="Times New Roman" w:hAnsi="Times New Roman"/>
          <w:sz w:val="28"/>
          <w:szCs w:val="28"/>
        </w:rPr>
        <w:t>gunas entidades del Estado, para que de manera coordinada y en el plazo de seis meses, definan cómo se financiarán las medidas incluidas en el decreto y será en cumplimiento de esas facultades, que las entidades del Estado deberán tener en consideración el</w:t>
      </w:r>
      <w:r w:rsidRPr="00D93140">
        <w:rPr>
          <w:rFonts w:ascii="Times New Roman" w:hAnsi="Times New Roman"/>
          <w:sz w:val="28"/>
          <w:szCs w:val="28"/>
        </w:rPr>
        <w:t xml:space="preserve"> criterio fiscal, orientador de la </w:t>
      </w:r>
      <w:r w:rsidRPr="00D93140">
        <w:rPr>
          <w:rFonts w:ascii="Times New Roman" w:hAnsi="Times New Roman"/>
          <w:sz w:val="28"/>
          <w:szCs w:val="28"/>
        </w:rPr>
        <w:t>sostenibilidad,</w:t>
      </w:r>
      <w:r w:rsidRPr="00D93140">
        <w:rPr>
          <w:rFonts w:ascii="Times New Roman" w:hAnsi="Times New Roman"/>
          <w:sz w:val="28"/>
          <w:szCs w:val="28"/>
        </w:rPr>
        <w:t xml:space="preserve"> así como el Marco Fiscal de Mediano Plazo. En ese orden, si la norma demandada únicamente está habilitando a otras entidades del Estado </w:t>
      </w:r>
      <w:r w:rsidRPr="00D93140">
        <w:rPr>
          <w:rFonts w:ascii="Times New Roman" w:hAnsi="Times New Roman"/>
          <w:sz w:val="28"/>
          <w:szCs w:val="28"/>
        </w:rPr>
        <w:t xml:space="preserve">para que revisen estos mecanismos de financiación, no se presentan argumentos que expliquen por qué el artículo 10 censurado estaría vulnerando el artículo 334 de la Constitución. En consecuencia, el cargo también carece de </w:t>
      </w:r>
      <w:r w:rsidRPr="00D93140">
        <w:rPr>
          <w:rFonts w:ascii="Times New Roman" w:hAnsi="Times New Roman"/>
          <w:i/>
          <w:sz w:val="28"/>
          <w:szCs w:val="28"/>
        </w:rPr>
        <w:t>especificidad.</w:t>
      </w:r>
    </w:p>
    <w:p w:rsidR="00111B9E" w:rsidRPr="00D93140" w:rsidRDefault="00D93140" w:rsidP="00E04174">
      <w:pPr>
        <w:pStyle w:val="Prrafodelista"/>
        <w:ind w:left="0"/>
        <w:jc w:val="both"/>
        <w:rPr>
          <w:rFonts w:ascii="Times New Roman" w:hAnsi="Times New Roman"/>
          <w:sz w:val="28"/>
          <w:szCs w:val="28"/>
        </w:rPr>
      </w:pPr>
    </w:p>
    <w:p w:rsidR="00CB1828"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pti</w:t>
      </w:r>
      <w:r w:rsidRPr="00D93140">
        <w:rPr>
          <w:rFonts w:ascii="Times New Roman" w:hAnsi="Times New Roman"/>
          <w:i/>
          <w:iCs/>
          <w:sz w:val="28"/>
          <w:szCs w:val="28"/>
          <w:u w:color="000000"/>
          <w:bdr w:val="nil"/>
        </w:rPr>
        <w:t>tud del cargo relacionado con la vulneración del artículo 6 del Convenio 169 de la OIT (cargo primer</w:t>
      </w:r>
      <w:r w:rsidRPr="00D93140">
        <w:rPr>
          <w:rFonts w:ascii="Times New Roman" w:hAnsi="Times New Roman"/>
          <w:i/>
          <w:iCs/>
          <w:sz w:val="28"/>
          <w:szCs w:val="28"/>
          <w:u w:color="000000"/>
          <w:bdr w:val="nil"/>
        </w:rPr>
        <w:t>o</w:t>
      </w:r>
      <w:r w:rsidRPr="00D93140">
        <w:rPr>
          <w:rFonts w:ascii="Times New Roman" w:hAnsi="Times New Roman"/>
          <w:i/>
          <w:iCs/>
          <w:sz w:val="28"/>
          <w:szCs w:val="28"/>
          <w:u w:color="000000"/>
          <w:bdr w:val="nil"/>
        </w:rPr>
        <w:t xml:space="preserve"> expediente D-16396).</w:t>
      </w:r>
      <w:r w:rsidRPr="00D93140">
        <w:rPr>
          <w:rFonts w:ascii="Times New Roman" w:hAnsi="Times New Roman"/>
          <w:i/>
          <w:iCs/>
          <w:sz w:val="28"/>
          <w:szCs w:val="28"/>
          <w:u w:color="000000"/>
          <w:bdr w:val="nil"/>
        </w:rPr>
        <w:t xml:space="preserve"> </w:t>
      </w:r>
      <w:r w:rsidRPr="00D93140">
        <w:rPr>
          <w:rFonts w:ascii="Times New Roman" w:hAnsi="Times New Roman"/>
          <w:iCs/>
          <w:sz w:val="28"/>
          <w:szCs w:val="28"/>
          <w:u w:color="000000"/>
          <w:bdr w:val="nil"/>
        </w:rPr>
        <w:t xml:space="preserve">El accionante considera que el Decreto 1275 de 2024 fue expedido </w:t>
      </w:r>
      <w:r w:rsidRPr="00D93140">
        <w:rPr>
          <w:rFonts w:ascii="Times New Roman" w:hAnsi="Times New Roman"/>
          <w:sz w:val="28"/>
          <w:szCs w:val="28"/>
        </w:rPr>
        <w:t>sin consultar a los pueblos afectados. Por un lado, indica que no se</w:t>
      </w:r>
      <w:r w:rsidRPr="00D93140">
        <w:rPr>
          <w:rFonts w:ascii="Times New Roman" w:hAnsi="Times New Roman"/>
          <w:sz w:val="28"/>
          <w:szCs w:val="28"/>
        </w:rPr>
        <w:t xml:space="preserve"> consultó a las comunidades indígenas, teniendo en cuenta que no solo confiere </w:t>
      </w:r>
      <w:r w:rsidRPr="00D93140">
        <w:rPr>
          <w:rFonts w:ascii="Times New Roman" w:hAnsi="Times New Roman"/>
          <w:sz w:val="28"/>
          <w:szCs w:val="28"/>
        </w:rPr>
        <w:t>beneficios,</w:t>
      </w:r>
      <w:r w:rsidRPr="00D93140">
        <w:rPr>
          <w:rFonts w:ascii="Times New Roman" w:hAnsi="Times New Roman"/>
          <w:sz w:val="28"/>
          <w:szCs w:val="28"/>
        </w:rPr>
        <w:t xml:space="preserve"> sino que también les impone cargas y responsabilidades. Por otro, estima que no se consultó previamente a las comunidades negras, afrodescendientes, raizales y palen</w:t>
      </w:r>
      <w:r w:rsidRPr="00D93140">
        <w:rPr>
          <w:rFonts w:ascii="Times New Roman" w:hAnsi="Times New Roman"/>
          <w:sz w:val="28"/>
          <w:szCs w:val="28"/>
        </w:rPr>
        <w:t xml:space="preserve">queras, a las que no se les confieren competencias pero que se ven afectadas al estar en territorios colectivos que colindan o se superponen con áreas tituladas, reclamadas o poseídas por comunidades indígenas. </w:t>
      </w:r>
    </w:p>
    <w:p w:rsidR="00CB1828" w:rsidRPr="00D93140" w:rsidRDefault="00D93140" w:rsidP="00E04174">
      <w:pPr>
        <w:pStyle w:val="Prrafodelista"/>
        <w:ind w:left="0"/>
        <w:jc w:val="both"/>
        <w:rPr>
          <w:rFonts w:ascii="Times New Roman" w:hAnsi="Times New Roman"/>
          <w:sz w:val="28"/>
          <w:szCs w:val="28"/>
        </w:rPr>
      </w:pPr>
    </w:p>
    <w:p w:rsidR="00E23077" w:rsidRPr="00D93140" w:rsidRDefault="00D93140" w:rsidP="00E2307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w:t>
      </w:r>
      <w:r w:rsidRPr="00D93140">
        <w:rPr>
          <w:rFonts w:ascii="Times New Roman" w:hAnsi="Times New Roman"/>
          <w:sz w:val="28"/>
          <w:szCs w:val="28"/>
        </w:rPr>
        <w:t xml:space="preserve">ste cargo para la Sala </w:t>
      </w:r>
      <w:r w:rsidRPr="00D93140">
        <w:rPr>
          <w:rFonts w:ascii="Times New Roman" w:hAnsi="Times New Roman"/>
          <w:sz w:val="28"/>
          <w:szCs w:val="28"/>
        </w:rPr>
        <w:t xml:space="preserve">no </w:t>
      </w:r>
      <w:r w:rsidRPr="00D93140">
        <w:rPr>
          <w:rFonts w:ascii="Times New Roman" w:hAnsi="Times New Roman"/>
          <w:sz w:val="28"/>
          <w:szCs w:val="28"/>
        </w:rPr>
        <w:t>cumple con los p</w:t>
      </w:r>
      <w:r w:rsidRPr="00D93140">
        <w:rPr>
          <w:rFonts w:ascii="Times New Roman" w:hAnsi="Times New Roman"/>
          <w:sz w:val="28"/>
          <w:szCs w:val="28"/>
        </w:rPr>
        <w:t xml:space="preserve">resupuestos exigidos </w:t>
      </w:r>
      <w:r w:rsidRPr="00D93140">
        <w:rPr>
          <w:rFonts w:ascii="Times New Roman" w:hAnsi="Times New Roman"/>
          <w:sz w:val="28"/>
          <w:szCs w:val="28"/>
        </w:rPr>
        <w:t xml:space="preserve">para un análisis de </w:t>
      </w:r>
      <w:r w:rsidRPr="00D93140">
        <w:rPr>
          <w:rFonts w:ascii="Times New Roman" w:hAnsi="Times New Roman"/>
          <w:sz w:val="28"/>
          <w:szCs w:val="28"/>
        </w:rPr>
        <w:t>fondo. En primer lugar, respecto de la falta de consulta previa a las comunidades indígenas</w:t>
      </w:r>
      <w:r w:rsidRPr="00D93140">
        <w:rPr>
          <w:rFonts w:ascii="Times New Roman" w:hAnsi="Times New Roman"/>
          <w:sz w:val="28"/>
          <w:szCs w:val="28"/>
        </w:rPr>
        <w:t xml:space="preserve">, a pesar de que </w:t>
      </w:r>
      <w:r w:rsidRPr="00D93140">
        <w:rPr>
          <w:rFonts w:ascii="Times New Roman" w:hAnsi="Times New Roman"/>
          <w:sz w:val="28"/>
          <w:szCs w:val="28"/>
        </w:rPr>
        <w:t>l</w:t>
      </w:r>
      <w:r w:rsidRPr="00D93140">
        <w:rPr>
          <w:rFonts w:ascii="Times New Roman" w:hAnsi="Times New Roman"/>
          <w:sz w:val="28"/>
          <w:szCs w:val="28"/>
        </w:rPr>
        <w:t xml:space="preserve">os argumentos expuestos son </w:t>
      </w:r>
      <w:r w:rsidRPr="00D93140">
        <w:rPr>
          <w:rFonts w:ascii="Times New Roman" w:hAnsi="Times New Roman"/>
          <w:i/>
          <w:sz w:val="28"/>
          <w:szCs w:val="28"/>
        </w:rPr>
        <w:t>claros</w:t>
      </w:r>
      <w:r w:rsidRPr="00D93140">
        <w:rPr>
          <w:rFonts w:ascii="Times New Roman" w:hAnsi="Times New Roman"/>
          <w:sz w:val="28"/>
          <w:szCs w:val="28"/>
        </w:rPr>
        <w:t xml:space="preserve">, al seguir un hilo conductor que permite comprenderlos; </w:t>
      </w:r>
      <w:r w:rsidRPr="00D93140">
        <w:rPr>
          <w:rFonts w:ascii="Times New Roman" w:hAnsi="Times New Roman"/>
          <w:sz w:val="28"/>
          <w:szCs w:val="28"/>
        </w:rPr>
        <w:t xml:space="preserve">no </w:t>
      </w:r>
      <w:r w:rsidRPr="00D93140">
        <w:rPr>
          <w:rFonts w:ascii="Times New Roman" w:hAnsi="Times New Roman"/>
          <w:sz w:val="28"/>
          <w:szCs w:val="28"/>
        </w:rPr>
        <w:t xml:space="preserve">son </w:t>
      </w:r>
      <w:r w:rsidRPr="00D93140">
        <w:rPr>
          <w:rFonts w:ascii="Times New Roman" w:hAnsi="Times New Roman"/>
          <w:i/>
          <w:sz w:val="28"/>
          <w:szCs w:val="28"/>
        </w:rPr>
        <w:t>ciertos</w:t>
      </w:r>
      <w:r w:rsidRPr="00D93140">
        <w:rPr>
          <w:rFonts w:ascii="Times New Roman" w:hAnsi="Times New Roman"/>
          <w:sz w:val="28"/>
          <w:szCs w:val="28"/>
        </w:rPr>
        <w:t xml:space="preserve"> </w:t>
      </w:r>
      <w:r w:rsidRPr="00D93140">
        <w:rPr>
          <w:rFonts w:ascii="Times New Roman" w:hAnsi="Times New Roman"/>
          <w:sz w:val="28"/>
          <w:szCs w:val="28"/>
        </w:rPr>
        <w:t xml:space="preserve">ya que </w:t>
      </w:r>
      <w:r w:rsidRPr="00D93140">
        <w:rPr>
          <w:rFonts w:ascii="Times New Roman" w:hAnsi="Times New Roman"/>
          <w:sz w:val="28"/>
          <w:szCs w:val="28"/>
        </w:rPr>
        <w:t>el supuesto de hecho que estructura la acusación no se deriva del contenido normativo del decreto ni de una disposición verificable del ordenamiento jurídico, sino de una interpretación parcial de un documento administrativo</w:t>
      </w:r>
      <w:r w:rsidRPr="00D93140">
        <w:rPr>
          <w:rFonts w:ascii="Times New Roman" w:hAnsi="Times New Roman"/>
          <w:sz w:val="28"/>
          <w:szCs w:val="28"/>
        </w:rPr>
        <w:t>: l</w:t>
      </w:r>
      <w:r w:rsidRPr="00D93140">
        <w:rPr>
          <w:rFonts w:ascii="Times New Roman" w:hAnsi="Times New Roman"/>
          <w:sz w:val="28"/>
          <w:szCs w:val="28"/>
        </w:rPr>
        <w:t>a respuesta de la Subd</w:t>
      </w:r>
      <w:r w:rsidRPr="00D93140">
        <w:rPr>
          <w:rFonts w:ascii="Times New Roman" w:hAnsi="Times New Roman"/>
          <w:sz w:val="28"/>
          <w:szCs w:val="28"/>
        </w:rPr>
        <w:t>irección Técnica de la Autoridad Nacional de Consulta Previa del Mininterior, invocada por el actor</w:t>
      </w:r>
      <w:r w:rsidRPr="00D93140">
        <w:rPr>
          <w:rFonts w:ascii="Times New Roman" w:hAnsi="Times New Roman"/>
          <w:sz w:val="28"/>
          <w:szCs w:val="28"/>
        </w:rPr>
        <w:t>. En este documento se</w:t>
      </w:r>
      <w:r w:rsidRPr="00D93140">
        <w:rPr>
          <w:rFonts w:ascii="Times New Roman" w:hAnsi="Times New Roman"/>
          <w:sz w:val="28"/>
          <w:szCs w:val="28"/>
        </w:rPr>
        <w:t xml:space="preserve"> señala que en el sistema “Control Doc” no se hallaba registrada una solicitud formal de consulta sobre el Decreto 1275, pero no </w:t>
      </w:r>
      <w:r w:rsidRPr="00D93140">
        <w:rPr>
          <w:rFonts w:ascii="Times New Roman" w:hAnsi="Times New Roman"/>
          <w:sz w:val="28"/>
          <w:szCs w:val="28"/>
        </w:rPr>
        <w:t xml:space="preserve">se </w:t>
      </w:r>
      <w:r w:rsidRPr="00D93140">
        <w:rPr>
          <w:rFonts w:ascii="Times New Roman" w:hAnsi="Times New Roman"/>
          <w:sz w:val="28"/>
          <w:szCs w:val="28"/>
        </w:rPr>
        <w:t>nie</w:t>
      </w:r>
      <w:r w:rsidRPr="00D93140">
        <w:rPr>
          <w:rFonts w:ascii="Times New Roman" w:hAnsi="Times New Roman"/>
          <w:sz w:val="28"/>
          <w:szCs w:val="28"/>
        </w:rPr>
        <w:t>ga la existencia de un proceso de concertación o de participación sustantiva</w:t>
      </w:r>
      <w:r w:rsidRPr="00D93140">
        <w:rPr>
          <w:rFonts w:ascii="Times New Roman" w:hAnsi="Times New Roman"/>
          <w:sz w:val="28"/>
          <w:szCs w:val="28"/>
        </w:rPr>
        <w:t>.</w:t>
      </w:r>
    </w:p>
    <w:p w:rsidR="00E23077" w:rsidRPr="00D93140" w:rsidRDefault="00D93140" w:rsidP="00E23077">
      <w:pPr>
        <w:pStyle w:val="Prrafodelista"/>
        <w:ind w:left="0"/>
        <w:jc w:val="both"/>
        <w:rPr>
          <w:rFonts w:ascii="Times New Roman" w:hAnsi="Times New Roman"/>
          <w:sz w:val="28"/>
          <w:szCs w:val="28"/>
        </w:rPr>
      </w:pPr>
    </w:p>
    <w:p w:rsidR="004D509B" w:rsidRPr="00D93140" w:rsidRDefault="00D93140" w:rsidP="004D509B">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Al respecto, algunos intervinientes como la Universidad </w:t>
      </w:r>
      <w:r w:rsidRPr="00D93140">
        <w:rPr>
          <w:rFonts w:ascii="Times New Roman" w:hAnsi="Times New Roman"/>
          <w:sz w:val="28"/>
          <w:szCs w:val="28"/>
        </w:rPr>
        <w:t>de Antioquia</w:t>
      </w:r>
      <w:r w:rsidRPr="00D93140">
        <w:rPr>
          <w:rFonts w:ascii="Times New Roman" w:hAnsi="Times New Roman"/>
          <w:sz w:val="28"/>
          <w:szCs w:val="28"/>
        </w:rPr>
        <w:t xml:space="preserve"> precisan que el actor confunde la inexistencia de un registro con la ausencia de un proceso de diálogo, sin </w:t>
      </w:r>
      <w:r w:rsidRPr="00D93140">
        <w:rPr>
          <w:rFonts w:ascii="Times New Roman" w:hAnsi="Times New Roman"/>
          <w:sz w:val="28"/>
          <w:szCs w:val="28"/>
        </w:rPr>
        <w:t>tener en cuenta que el decreto tuvo origen en un proceso prolongado de concertación (en un periodo comprendido entre los años 2017 y 2024) con la Mesa Permanente de Concertación con los Pueblos y Organizaciones Indígenas (MPC), instancia formalmente recono</w:t>
      </w:r>
      <w:r w:rsidRPr="00D93140">
        <w:rPr>
          <w:rFonts w:ascii="Times New Roman" w:hAnsi="Times New Roman"/>
          <w:sz w:val="28"/>
          <w:szCs w:val="28"/>
        </w:rPr>
        <w:t>cida por el Decreto 1397 de 1996 y por la jurisprudencia constitucional como un mecanismo válido de cumplimiento del deber de consulta. En consecuencia, el cargo no solo parte de una valoración empírica sin respaldo, sino que desatiende el alcance constitu</w:t>
      </w:r>
      <w:r w:rsidRPr="00D93140">
        <w:rPr>
          <w:rFonts w:ascii="Times New Roman" w:hAnsi="Times New Roman"/>
          <w:sz w:val="28"/>
          <w:szCs w:val="28"/>
        </w:rPr>
        <w:t>cional del derecho a la consulta previa, reduciéndolo a una certificación administrativa.</w:t>
      </w:r>
      <w:r w:rsidRPr="00D93140">
        <w:rPr>
          <w:rFonts w:ascii="Times New Roman" w:hAnsi="Times New Roman"/>
          <w:sz w:val="28"/>
          <w:szCs w:val="28"/>
        </w:rPr>
        <w:t xml:space="preserve"> </w:t>
      </w:r>
    </w:p>
    <w:p w:rsidR="004D509B" w:rsidRPr="00D93140" w:rsidRDefault="00D93140" w:rsidP="004D509B">
      <w:pPr>
        <w:pStyle w:val="Prrafodelista"/>
        <w:ind w:left="0"/>
        <w:jc w:val="both"/>
        <w:rPr>
          <w:rFonts w:ascii="Times New Roman" w:hAnsi="Times New Roman"/>
          <w:sz w:val="28"/>
          <w:szCs w:val="28"/>
        </w:rPr>
      </w:pPr>
    </w:p>
    <w:p w:rsidR="004D509B" w:rsidRPr="00D93140" w:rsidRDefault="00D93140" w:rsidP="003701AF">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En este contexto, el actor tampoco demostró una oposición concreta entre la norma demandada y la norma presuntamente vulnerada incumpliendo el requisito de </w:t>
      </w:r>
      <w:r w:rsidRPr="00D93140">
        <w:rPr>
          <w:rFonts w:ascii="Times New Roman" w:hAnsi="Times New Roman"/>
          <w:i/>
          <w:sz w:val="28"/>
          <w:szCs w:val="28"/>
        </w:rPr>
        <w:t>especifi</w:t>
      </w:r>
      <w:r w:rsidRPr="00D93140">
        <w:rPr>
          <w:rFonts w:ascii="Times New Roman" w:hAnsi="Times New Roman"/>
          <w:i/>
          <w:sz w:val="28"/>
          <w:szCs w:val="28"/>
        </w:rPr>
        <w:t>cidad</w:t>
      </w:r>
      <w:r w:rsidRPr="00D93140">
        <w:rPr>
          <w:rFonts w:ascii="Times New Roman" w:hAnsi="Times New Roman"/>
          <w:sz w:val="28"/>
          <w:szCs w:val="28"/>
        </w:rPr>
        <w:t>.</w:t>
      </w:r>
      <w:r w:rsidRPr="00D93140">
        <w:rPr>
          <w:rFonts w:ascii="Times New Roman" w:hAnsi="Times New Roman"/>
          <w:sz w:val="28"/>
          <w:szCs w:val="28"/>
        </w:rPr>
        <w:t xml:space="preserve"> Para la Sala, el demandante</w:t>
      </w:r>
      <w:r w:rsidRPr="00D93140">
        <w:rPr>
          <w:rFonts w:ascii="Times New Roman" w:hAnsi="Times New Roman"/>
          <w:sz w:val="28"/>
          <w:szCs w:val="28"/>
        </w:rPr>
        <w:t xml:space="preserve"> </w:t>
      </w:r>
      <w:r w:rsidRPr="00D93140">
        <w:rPr>
          <w:rFonts w:ascii="Times New Roman" w:hAnsi="Times New Roman"/>
          <w:sz w:val="28"/>
          <w:szCs w:val="28"/>
        </w:rPr>
        <w:t>ignoró los demás antecedentes relevantes del decreto como la iniciativa de los pueblos indígenas</w:t>
      </w:r>
      <w:r w:rsidRPr="00D93140">
        <w:rPr>
          <w:rFonts w:ascii="Times New Roman" w:hAnsi="Times New Roman"/>
          <w:sz w:val="28"/>
          <w:szCs w:val="28"/>
        </w:rPr>
        <w:t xml:space="preserve"> y</w:t>
      </w:r>
      <w:r w:rsidRPr="00D93140">
        <w:rPr>
          <w:rFonts w:ascii="Times New Roman" w:hAnsi="Times New Roman"/>
          <w:sz w:val="28"/>
          <w:szCs w:val="28"/>
        </w:rPr>
        <w:t xml:space="preserve"> el nuevo acuerdo impulsado en 2022 por el Ministerio de Ambiente. </w:t>
      </w:r>
      <w:r w:rsidRPr="00D93140">
        <w:rPr>
          <w:rFonts w:ascii="Times New Roman" w:hAnsi="Times New Roman"/>
          <w:sz w:val="28"/>
          <w:szCs w:val="28"/>
        </w:rPr>
        <w:t xml:space="preserve">También </w:t>
      </w:r>
      <w:r w:rsidRPr="00D93140">
        <w:rPr>
          <w:rFonts w:ascii="Times New Roman" w:hAnsi="Times New Roman"/>
          <w:sz w:val="28"/>
          <w:szCs w:val="28"/>
        </w:rPr>
        <w:t>incumplió</w:t>
      </w:r>
      <w:r w:rsidRPr="00D93140">
        <w:rPr>
          <w:rFonts w:ascii="Times New Roman" w:hAnsi="Times New Roman"/>
          <w:sz w:val="28"/>
          <w:szCs w:val="28"/>
        </w:rPr>
        <w:t xml:space="preserve"> el presupuesto de </w:t>
      </w:r>
      <w:r w:rsidRPr="00D93140">
        <w:rPr>
          <w:rFonts w:ascii="Times New Roman" w:hAnsi="Times New Roman"/>
          <w:i/>
          <w:sz w:val="28"/>
          <w:szCs w:val="28"/>
        </w:rPr>
        <w:t>suficiencia</w:t>
      </w:r>
      <w:r w:rsidRPr="00D93140">
        <w:rPr>
          <w:rFonts w:ascii="Times New Roman" w:hAnsi="Times New Roman"/>
          <w:sz w:val="28"/>
          <w:szCs w:val="28"/>
        </w:rPr>
        <w:t xml:space="preserve"> toda vez</w:t>
      </w:r>
      <w:r w:rsidRPr="00D93140">
        <w:rPr>
          <w:rFonts w:ascii="Times New Roman" w:hAnsi="Times New Roman"/>
          <w:sz w:val="28"/>
          <w:szCs w:val="28"/>
        </w:rPr>
        <w:t xml:space="preserve"> que el reproche carece de un desarrollo argumentativo que permita adelantar un juicio de constitucionalidad al no explicar cómo hay una vulneración de los artículos 7, 330 y 93 de la Constitución, ni por qué el uso de la MPC como instancia de concertación</w:t>
      </w:r>
      <w:r w:rsidRPr="00D93140">
        <w:rPr>
          <w:rFonts w:ascii="Times New Roman" w:hAnsi="Times New Roman"/>
          <w:sz w:val="28"/>
          <w:szCs w:val="28"/>
        </w:rPr>
        <w:t xml:space="preserve"> sería inconstitucional.</w:t>
      </w:r>
      <w:r w:rsidRPr="00D93140">
        <w:rPr>
          <w:rFonts w:ascii="Times New Roman" w:hAnsi="Times New Roman"/>
          <w:sz w:val="28"/>
          <w:szCs w:val="28"/>
        </w:rPr>
        <w:t xml:space="preserve"> Es importante resaltar que </w:t>
      </w:r>
      <w:r w:rsidRPr="00D93140">
        <w:rPr>
          <w:rFonts w:ascii="Times New Roman" w:hAnsi="Times New Roman"/>
          <w:sz w:val="28"/>
          <w:szCs w:val="28"/>
        </w:rPr>
        <w:t>el actor</w:t>
      </w:r>
      <w:r w:rsidRPr="00D93140">
        <w:rPr>
          <w:rFonts w:ascii="Times New Roman" w:hAnsi="Times New Roman"/>
          <w:sz w:val="28"/>
          <w:szCs w:val="28"/>
        </w:rPr>
        <w:t xml:space="preserve"> no explicó por qué todas </w:t>
      </w:r>
      <w:r w:rsidRPr="00D93140">
        <w:rPr>
          <w:rFonts w:ascii="Times New Roman" w:hAnsi="Times New Roman"/>
          <w:sz w:val="28"/>
          <w:szCs w:val="28"/>
        </w:rPr>
        <w:t>las medidas adoptadas</w:t>
      </w:r>
      <w:r w:rsidRPr="00D93140">
        <w:rPr>
          <w:rFonts w:ascii="Times New Roman" w:hAnsi="Times New Roman"/>
          <w:sz w:val="28"/>
          <w:szCs w:val="28"/>
        </w:rPr>
        <w:t xml:space="preserve"> serían insuficientes o contrarias al estándar de consulta previa libre e informada.</w:t>
      </w:r>
    </w:p>
    <w:p w:rsidR="00A17BFB" w:rsidRPr="00D93140" w:rsidRDefault="00D93140" w:rsidP="00A17BFB">
      <w:pPr>
        <w:pStyle w:val="Prrafodelista"/>
        <w:ind w:left="0"/>
        <w:jc w:val="both"/>
        <w:rPr>
          <w:rFonts w:ascii="Times New Roman" w:hAnsi="Times New Roman"/>
          <w:sz w:val="28"/>
          <w:szCs w:val="28"/>
        </w:rPr>
      </w:pPr>
    </w:p>
    <w:p w:rsidR="006747BA" w:rsidRPr="00D93140" w:rsidRDefault="00D93140" w:rsidP="006747BA">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En segundo lugar, respecto de la falta de consulta previa a las comunidades NARP </w:t>
      </w:r>
      <w:r w:rsidRPr="00D93140">
        <w:rPr>
          <w:rFonts w:ascii="Times New Roman" w:hAnsi="Times New Roman"/>
          <w:sz w:val="28"/>
          <w:szCs w:val="28"/>
        </w:rPr>
        <w:t xml:space="preserve">el cargo carece de </w:t>
      </w:r>
      <w:r w:rsidRPr="00D93140">
        <w:rPr>
          <w:rFonts w:ascii="Times New Roman" w:hAnsi="Times New Roman"/>
          <w:i/>
          <w:sz w:val="28"/>
          <w:szCs w:val="28"/>
        </w:rPr>
        <w:t>certeza</w:t>
      </w:r>
      <w:r w:rsidRPr="00D93140">
        <w:rPr>
          <w:rFonts w:ascii="Times New Roman" w:hAnsi="Times New Roman"/>
          <w:sz w:val="28"/>
          <w:szCs w:val="28"/>
        </w:rPr>
        <w:t>, al estar basado en hipótesis abstractas de posibles conflictos territoriales en áreas indígenas no tituladas, conflictos cuya ocurrencia no se demuestra en casos concretos en la demanda, y que, en consecuencia, tienen un carácter de mera potencialidad. E</w:t>
      </w:r>
      <w:r w:rsidRPr="00D93140">
        <w:rPr>
          <w:rFonts w:ascii="Times New Roman" w:hAnsi="Times New Roman"/>
          <w:sz w:val="28"/>
          <w:szCs w:val="28"/>
        </w:rPr>
        <w:t xml:space="preserve">ste alegato del demandante no se deriva con claridad ni de la lectura del texto de la norma acusada, ni de su interpretación a la luz del ordenamiento jurídico vigente en general, lo que no permite a la Corte tener certeza sobre el problema constitucional </w:t>
      </w:r>
      <w:r w:rsidRPr="00D93140">
        <w:rPr>
          <w:rFonts w:ascii="Times New Roman" w:hAnsi="Times New Roman"/>
          <w:sz w:val="28"/>
          <w:szCs w:val="28"/>
        </w:rPr>
        <w:t xml:space="preserve">abordado. </w:t>
      </w:r>
    </w:p>
    <w:p w:rsidR="006747BA" w:rsidRPr="00D93140" w:rsidRDefault="00D93140" w:rsidP="006747BA">
      <w:pPr>
        <w:pStyle w:val="Prrafodelista"/>
        <w:ind w:left="0"/>
        <w:jc w:val="both"/>
        <w:rPr>
          <w:rFonts w:ascii="Times New Roman" w:hAnsi="Times New Roman"/>
          <w:sz w:val="28"/>
          <w:szCs w:val="28"/>
        </w:rPr>
      </w:pPr>
    </w:p>
    <w:p w:rsidR="006747BA" w:rsidRPr="00D93140" w:rsidRDefault="00D93140" w:rsidP="00537BCE">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Para la Sala Plena el cargo tampoco es </w:t>
      </w:r>
      <w:r w:rsidRPr="00D93140">
        <w:rPr>
          <w:rFonts w:ascii="Times New Roman" w:hAnsi="Times New Roman"/>
          <w:i/>
          <w:sz w:val="28"/>
          <w:szCs w:val="28"/>
        </w:rPr>
        <w:t>claro</w:t>
      </w:r>
      <w:r w:rsidRPr="00D93140">
        <w:rPr>
          <w:rFonts w:ascii="Times New Roman" w:hAnsi="Times New Roman"/>
          <w:sz w:val="28"/>
          <w:szCs w:val="28"/>
        </w:rPr>
        <w:t>. De un lado, porque no es posible verificar cuál o cuáles son las disposiciones que debieron ser consultadas a las comunidades NARP. Esto, porque el actor pareció cuestionar las disposiciones que rec</w:t>
      </w:r>
      <w:r w:rsidRPr="00D93140">
        <w:rPr>
          <w:rFonts w:ascii="Times New Roman" w:hAnsi="Times New Roman"/>
          <w:sz w:val="28"/>
          <w:szCs w:val="28"/>
        </w:rPr>
        <w:t xml:space="preserve">onocieron algunas competencias ambientales a autoridades indígenas. Sin embargo, aseguró que este “vicio […] afecta la totalidad del decreto demandado”. De otro lado, por cuanto el demandante se refirió de forma indistinta a las comunidades NARP, así como </w:t>
      </w:r>
      <w:r w:rsidRPr="00D93140">
        <w:rPr>
          <w:rFonts w:ascii="Times New Roman" w:hAnsi="Times New Roman"/>
          <w:sz w:val="28"/>
          <w:szCs w:val="28"/>
        </w:rPr>
        <w:t>a las comunidades negras o afrodescendientes. Esto impide constatar si, en su criterio, el deber de consulta debió haberse surtido con todas esas comunidades, o solo con estas últimas.</w:t>
      </w:r>
    </w:p>
    <w:p w:rsidR="006747BA" w:rsidRPr="00D93140" w:rsidRDefault="00D93140" w:rsidP="006747BA">
      <w:pPr>
        <w:pStyle w:val="Prrafodelista"/>
        <w:ind w:left="0"/>
        <w:jc w:val="both"/>
        <w:rPr>
          <w:rFonts w:ascii="Times New Roman" w:hAnsi="Times New Roman"/>
          <w:sz w:val="28"/>
          <w:szCs w:val="28"/>
        </w:rPr>
      </w:pPr>
    </w:p>
    <w:p w:rsidR="006966C5" w:rsidRPr="00D93140" w:rsidRDefault="00D93140" w:rsidP="006747BA">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También </w:t>
      </w:r>
      <w:r w:rsidRPr="00D93140">
        <w:rPr>
          <w:rFonts w:ascii="Times New Roman" w:hAnsi="Times New Roman"/>
          <w:sz w:val="28"/>
          <w:szCs w:val="28"/>
        </w:rPr>
        <w:t>advierte esta Sala que el actor no demostró la oposición concr</w:t>
      </w:r>
      <w:r w:rsidRPr="00D93140">
        <w:rPr>
          <w:rFonts w:ascii="Times New Roman" w:hAnsi="Times New Roman"/>
          <w:sz w:val="28"/>
          <w:szCs w:val="28"/>
        </w:rPr>
        <w:t xml:space="preserve">eta entre la norma demandada y la norma presuntamente vulnerada incumpliendo el requisito de </w:t>
      </w:r>
      <w:r w:rsidRPr="00D93140">
        <w:rPr>
          <w:rFonts w:ascii="Times New Roman" w:hAnsi="Times New Roman"/>
          <w:i/>
          <w:sz w:val="28"/>
          <w:szCs w:val="28"/>
        </w:rPr>
        <w:t>especificidad</w:t>
      </w:r>
      <w:r w:rsidRPr="00D93140">
        <w:rPr>
          <w:rFonts w:ascii="Times New Roman" w:hAnsi="Times New Roman"/>
          <w:sz w:val="28"/>
          <w:szCs w:val="28"/>
        </w:rPr>
        <w:t xml:space="preserve">. Lo anterior al no </w:t>
      </w:r>
      <w:r w:rsidRPr="00D93140">
        <w:rPr>
          <w:rFonts w:ascii="Times New Roman" w:hAnsi="Times New Roman"/>
          <w:sz w:val="28"/>
          <w:szCs w:val="28"/>
        </w:rPr>
        <w:t>identifica</w:t>
      </w:r>
      <w:r w:rsidRPr="00D93140">
        <w:rPr>
          <w:rFonts w:ascii="Times New Roman" w:hAnsi="Times New Roman"/>
          <w:sz w:val="28"/>
          <w:szCs w:val="28"/>
        </w:rPr>
        <w:t>r</w:t>
      </w:r>
      <w:r w:rsidRPr="00D93140">
        <w:rPr>
          <w:rFonts w:ascii="Times New Roman" w:hAnsi="Times New Roman"/>
          <w:sz w:val="28"/>
          <w:szCs w:val="28"/>
        </w:rPr>
        <w:t xml:space="preserve"> con precisión qué consistiría la afectación directa que exige el deber de consulta. El Decreto 1275 otorga competencia</w:t>
      </w:r>
      <w:r w:rsidRPr="00D93140">
        <w:rPr>
          <w:rFonts w:ascii="Times New Roman" w:hAnsi="Times New Roman"/>
          <w:sz w:val="28"/>
          <w:szCs w:val="28"/>
        </w:rPr>
        <w:t xml:space="preserve">s ambientales a las autoridades indígenas en el marco de su autonomía y conforme al artículo 56 transitorio de la Constitución, sin imponer limitaciones o cargas sobre comunidades distintas. La jurisprudencia, en especial las </w:t>
      </w:r>
      <w:r w:rsidRPr="00D93140">
        <w:rPr>
          <w:rFonts w:ascii="Times New Roman" w:hAnsi="Times New Roman"/>
          <w:sz w:val="28"/>
          <w:szCs w:val="28"/>
        </w:rPr>
        <w:t>Sentencia</w:t>
      </w:r>
      <w:r w:rsidRPr="00D93140">
        <w:rPr>
          <w:rFonts w:ascii="Times New Roman" w:hAnsi="Times New Roman"/>
          <w:sz w:val="28"/>
          <w:szCs w:val="28"/>
        </w:rPr>
        <w:t>s C-030 de 2008 y C-3</w:t>
      </w:r>
      <w:r w:rsidRPr="00D93140">
        <w:rPr>
          <w:rFonts w:ascii="Times New Roman" w:hAnsi="Times New Roman"/>
          <w:sz w:val="28"/>
          <w:szCs w:val="28"/>
        </w:rPr>
        <w:t>89 de 2016, ha precisado que el deber de consulta se activa cuando la medida produce un impacto directo, específico y diferenciado sobre los pueblos étnicos. El actor no desarrolla este aspecto ni demuestra que el decreto tenga efectos adversos sobre las c</w:t>
      </w:r>
      <w:r w:rsidRPr="00D93140">
        <w:rPr>
          <w:rFonts w:ascii="Times New Roman" w:hAnsi="Times New Roman"/>
          <w:sz w:val="28"/>
          <w:szCs w:val="28"/>
        </w:rPr>
        <w:t>omunidades indígenas o afrodescendientes.</w:t>
      </w:r>
    </w:p>
    <w:p w:rsidR="006966C5" w:rsidRPr="00D93140" w:rsidRDefault="00D93140" w:rsidP="006966C5">
      <w:pPr>
        <w:pStyle w:val="Prrafodelista"/>
        <w:ind w:left="0"/>
        <w:jc w:val="both"/>
        <w:rPr>
          <w:rFonts w:ascii="Times New Roman" w:hAnsi="Times New Roman"/>
          <w:sz w:val="28"/>
          <w:szCs w:val="28"/>
        </w:rPr>
      </w:pPr>
    </w:p>
    <w:p w:rsidR="00B52426" w:rsidRPr="00D93140" w:rsidRDefault="00D93140" w:rsidP="002A390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Respecto de la falta de </w:t>
      </w:r>
      <w:r w:rsidRPr="00D93140">
        <w:rPr>
          <w:rFonts w:ascii="Times New Roman" w:hAnsi="Times New Roman"/>
          <w:i/>
          <w:sz w:val="28"/>
          <w:szCs w:val="28"/>
        </w:rPr>
        <w:t>pertinencia</w:t>
      </w:r>
      <w:r w:rsidRPr="00D93140">
        <w:rPr>
          <w:rFonts w:ascii="Times New Roman" w:hAnsi="Times New Roman"/>
          <w:sz w:val="28"/>
          <w:szCs w:val="28"/>
        </w:rPr>
        <w:t xml:space="preserve">, destaca la Corte que </w:t>
      </w:r>
      <w:r w:rsidRPr="00D93140">
        <w:rPr>
          <w:rFonts w:ascii="Times New Roman" w:hAnsi="Times New Roman"/>
          <w:sz w:val="28"/>
          <w:szCs w:val="28"/>
        </w:rPr>
        <w:t xml:space="preserve">el actor no </w:t>
      </w:r>
      <w:r w:rsidRPr="00D93140">
        <w:rPr>
          <w:rFonts w:ascii="Times New Roman" w:hAnsi="Times New Roman"/>
          <w:sz w:val="28"/>
          <w:szCs w:val="28"/>
        </w:rPr>
        <w:t>propone</w:t>
      </w:r>
      <w:r w:rsidRPr="00D93140">
        <w:rPr>
          <w:rFonts w:ascii="Times New Roman" w:hAnsi="Times New Roman"/>
          <w:sz w:val="28"/>
          <w:szCs w:val="28"/>
        </w:rPr>
        <w:t xml:space="preserve"> un problema de validez del marco normativo demandado sino de aplicación de sus disposiciones en casos concretos. Así, solo en los casos</w:t>
      </w:r>
      <w:r w:rsidRPr="00D93140">
        <w:rPr>
          <w:rFonts w:ascii="Times New Roman" w:hAnsi="Times New Roman"/>
          <w:sz w:val="28"/>
          <w:szCs w:val="28"/>
        </w:rPr>
        <w:t xml:space="preserve"> eventuales en los que una autoridad indígena destinataria de las medidas cuestionadas ejerza tales medidas y siempre que en ese territorio concurran alguna o algunas de las comunidades NARP, podría presentarse el problema de constitucionalidad que propone</w:t>
      </w:r>
      <w:r w:rsidRPr="00D93140">
        <w:rPr>
          <w:rFonts w:ascii="Times New Roman" w:hAnsi="Times New Roman"/>
          <w:sz w:val="28"/>
          <w:szCs w:val="28"/>
        </w:rPr>
        <w:t xml:space="preserve"> el actor.</w:t>
      </w:r>
    </w:p>
    <w:p w:rsidR="00915148" w:rsidRPr="00D93140" w:rsidRDefault="00D93140" w:rsidP="00915148">
      <w:pPr>
        <w:pStyle w:val="Prrafodelista"/>
        <w:ind w:left="0"/>
        <w:jc w:val="both"/>
        <w:rPr>
          <w:rFonts w:ascii="Times New Roman" w:hAnsi="Times New Roman"/>
          <w:sz w:val="28"/>
          <w:szCs w:val="28"/>
        </w:rPr>
      </w:pPr>
    </w:p>
    <w:p w:rsidR="002A3907" w:rsidRPr="00D93140" w:rsidRDefault="00D93140" w:rsidP="002A3907">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Finalmente, no se cumple la exigencia de </w:t>
      </w:r>
      <w:r w:rsidRPr="00D93140">
        <w:rPr>
          <w:rFonts w:ascii="Times New Roman" w:hAnsi="Times New Roman"/>
          <w:i/>
          <w:sz w:val="28"/>
          <w:szCs w:val="28"/>
        </w:rPr>
        <w:t>suficiencia</w:t>
      </w:r>
      <w:r w:rsidRPr="00D93140">
        <w:rPr>
          <w:rFonts w:ascii="Times New Roman" w:hAnsi="Times New Roman"/>
          <w:sz w:val="28"/>
          <w:szCs w:val="28"/>
        </w:rPr>
        <w:t xml:space="preserve">, </w:t>
      </w:r>
      <w:r w:rsidRPr="00D93140">
        <w:rPr>
          <w:rFonts w:ascii="Times New Roman" w:hAnsi="Times New Roman"/>
          <w:sz w:val="28"/>
          <w:szCs w:val="28"/>
        </w:rPr>
        <w:t>en tanto los argumentos del accionante no parecen generar una duda de constitucionalidad de la norma cuestionada, por las razones expuestas.</w:t>
      </w:r>
    </w:p>
    <w:p w:rsidR="002A3907" w:rsidRPr="00D93140" w:rsidRDefault="00D93140" w:rsidP="00E04174">
      <w:pPr>
        <w:pStyle w:val="Prrafodelista"/>
        <w:ind w:left="0"/>
        <w:jc w:val="both"/>
        <w:rPr>
          <w:rFonts w:ascii="Times New Roman" w:hAnsi="Times New Roman"/>
          <w:sz w:val="28"/>
          <w:szCs w:val="28"/>
        </w:rPr>
      </w:pPr>
    </w:p>
    <w:p w:rsidR="00142403"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ptitud del cargo relacionado con la</w:t>
      </w:r>
      <w:r w:rsidRPr="00D93140">
        <w:rPr>
          <w:rFonts w:ascii="Times New Roman" w:hAnsi="Times New Roman"/>
          <w:i/>
          <w:iCs/>
          <w:sz w:val="28"/>
          <w:szCs w:val="28"/>
          <w:u w:color="000000"/>
          <w:bdr w:val="nil"/>
        </w:rPr>
        <w:t xml:space="preserve"> vulneración de los artículos 123 y 210 de la Constitución (cargo cuarto expediente D-16396).</w:t>
      </w:r>
      <w:r w:rsidRPr="00D93140">
        <w:rPr>
          <w:rFonts w:ascii="Times New Roman" w:hAnsi="Times New Roman"/>
          <w:i/>
          <w:iCs/>
          <w:sz w:val="28"/>
          <w:szCs w:val="28"/>
          <w:u w:color="000000"/>
          <w:bdr w:val="nil"/>
        </w:rPr>
        <w:t xml:space="preserve"> </w:t>
      </w:r>
      <w:r w:rsidRPr="00D93140">
        <w:rPr>
          <w:rFonts w:ascii="Times New Roman" w:hAnsi="Times New Roman"/>
          <w:sz w:val="28"/>
          <w:szCs w:val="28"/>
        </w:rPr>
        <w:t>E</w:t>
      </w:r>
      <w:r w:rsidRPr="00D93140">
        <w:rPr>
          <w:rFonts w:ascii="Times New Roman" w:hAnsi="Times New Roman"/>
          <w:sz w:val="28"/>
          <w:szCs w:val="28"/>
        </w:rPr>
        <w:t xml:space="preserve">l demandante plantea que el Decreto 1275 desconoce los artículos 123 y 210 de la Constitución al permitir el vaciamiento permanente de las funciones a cargo de las autoridades ambientales al trasladárselas integralmente a los particulares, ya que se trata </w:t>
      </w:r>
      <w:r w:rsidRPr="00D93140">
        <w:rPr>
          <w:rFonts w:ascii="Times New Roman" w:hAnsi="Times New Roman"/>
          <w:sz w:val="28"/>
          <w:szCs w:val="28"/>
        </w:rPr>
        <w:t xml:space="preserve">de formas organizativas que no se reconocen como entidades públicas en la Constitución ni en las leyes. </w:t>
      </w:r>
      <w:r w:rsidRPr="00D93140">
        <w:rPr>
          <w:rFonts w:ascii="Times New Roman" w:hAnsi="Times New Roman"/>
          <w:sz w:val="28"/>
          <w:szCs w:val="28"/>
        </w:rPr>
        <w:t>También</w:t>
      </w:r>
      <w:r w:rsidRPr="00D93140">
        <w:rPr>
          <w:rFonts w:ascii="Times New Roman" w:hAnsi="Times New Roman"/>
          <w:sz w:val="28"/>
          <w:szCs w:val="28"/>
        </w:rPr>
        <w:t xml:space="preserve"> reconoce que otorgar funciones públicas a particulares no es inconstitucional, pero estas deben estar delimitadas con el fin de evitar el vaciam</w:t>
      </w:r>
      <w:r w:rsidRPr="00D93140">
        <w:rPr>
          <w:rFonts w:ascii="Times New Roman" w:hAnsi="Times New Roman"/>
          <w:sz w:val="28"/>
          <w:szCs w:val="28"/>
        </w:rPr>
        <w:t>iento de la función de la autoridad administrativa</w:t>
      </w:r>
      <w:r w:rsidRPr="00D93140">
        <w:rPr>
          <w:rFonts w:ascii="Times New Roman" w:hAnsi="Times New Roman"/>
          <w:sz w:val="28"/>
          <w:szCs w:val="28"/>
        </w:rPr>
        <w:t xml:space="preserve">, lo que no ocurriría en este caso y por tanto es </w:t>
      </w:r>
      <w:r w:rsidRPr="00D93140">
        <w:rPr>
          <w:rFonts w:ascii="Times New Roman" w:hAnsi="Times New Roman"/>
          <w:sz w:val="28"/>
          <w:szCs w:val="28"/>
        </w:rPr>
        <w:t>necesario que las funciones administrativas ambientales se encuentren suficientemente bien delimitadas con el fin de impedir el vaciamiento de las competenc</w:t>
      </w:r>
      <w:r w:rsidRPr="00D93140">
        <w:rPr>
          <w:rFonts w:ascii="Times New Roman" w:hAnsi="Times New Roman"/>
          <w:sz w:val="28"/>
          <w:szCs w:val="28"/>
        </w:rPr>
        <w:t xml:space="preserve">ias de la autoridad ambiental. </w:t>
      </w:r>
      <w:r w:rsidRPr="00D93140">
        <w:rPr>
          <w:rFonts w:ascii="Times New Roman" w:hAnsi="Times New Roman"/>
          <w:sz w:val="28"/>
          <w:szCs w:val="28"/>
        </w:rPr>
        <w:t xml:space="preserve">En ese contexto, el actor </w:t>
      </w:r>
      <w:r w:rsidRPr="00D93140">
        <w:rPr>
          <w:rFonts w:ascii="Times New Roman" w:hAnsi="Times New Roman"/>
          <w:sz w:val="28"/>
          <w:szCs w:val="28"/>
        </w:rPr>
        <w:t>desarrolla una argumentación encaminada a demostrar por qué los artículos 5, 6 y 7 no señalan cuáles son las competencias que se atribuyen a estas autoridades indígenas, permitiendo entender que a es</w:t>
      </w:r>
      <w:r w:rsidRPr="00D93140">
        <w:rPr>
          <w:rFonts w:ascii="Times New Roman" w:hAnsi="Times New Roman"/>
          <w:sz w:val="28"/>
          <w:szCs w:val="28"/>
        </w:rPr>
        <w:t xml:space="preserve">tas se les han atribuido todas las funciones que la ley y los reglamentos </w:t>
      </w:r>
      <w:r w:rsidRPr="00D93140">
        <w:rPr>
          <w:rFonts w:ascii="Times New Roman" w:hAnsi="Times New Roman"/>
          <w:sz w:val="28"/>
          <w:szCs w:val="28"/>
        </w:rPr>
        <w:t>arrogan</w:t>
      </w:r>
      <w:r w:rsidRPr="00D93140">
        <w:rPr>
          <w:rFonts w:ascii="Times New Roman" w:hAnsi="Times New Roman"/>
          <w:sz w:val="28"/>
          <w:szCs w:val="28"/>
        </w:rPr>
        <w:t xml:space="preserve"> a las distintas autoridades del Sistema Nacional Ambiental, incluyendo al Ministerio de Ambiente, la ANLA, las corporaciones autónomas y las entidades territoriales.</w:t>
      </w:r>
    </w:p>
    <w:p w:rsidR="005F7A0A" w:rsidRPr="00D93140" w:rsidRDefault="00D93140" w:rsidP="00E04174">
      <w:pPr>
        <w:pStyle w:val="Prrafodelista"/>
        <w:ind w:left="0"/>
        <w:jc w:val="both"/>
        <w:rPr>
          <w:rFonts w:ascii="Times New Roman" w:hAnsi="Times New Roman"/>
          <w:sz w:val="28"/>
          <w:szCs w:val="28"/>
        </w:rPr>
      </w:pPr>
    </w:p>
    <w:p w:rsidR="00D90B39"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Este ca</w:t>
      </w:r>
      <w:r w:rsidRPr="00D93140">
        <w:rPr>
          <w:rFonts w:ascii="Times New Roman" w:hAnsi="Times New Roman"/>
          <w:sz w:val="28"/>
          <w:szCs w:val="28"/>
        </w:rPr>
        <w:t xml:space="preserve">rgo </w:t>
      </w:r>
      <w:r w:rsidRPr="00D93140">
        <w:rPr>
          <w:rFonts w:ascii="Times New Roman" w:hAnsi="Times New Roman"/>
          <w:sz w:val="28"/>
          <w:szCs w:val="28"/>
        </w:rPr>
        <w:t xml:space="preserve">no cumple con los presupuestos exigidos para ser analizado de fondo. Si bien son </w:t>
      </w:r>
      <w:r w:rsidRPr="00D93140">
        <w:rPr>
          <w:rFonts w:ascii="Times New Roman" w:hAnsi="Times New Roman"/>
          <w:i/>
          <w:sz w:val="28"/>
          <w:szCs w:val="28"/>
        </w:rPr>
        <w:t>claros</w:t>
      </w:r>
      <w:r w:rsidRPr="00D93140">
        <w:rPr>
          <w:rFonts w:ascii="Times New Roman" w:hAnsi="Times New Roman"/>
          <w:sz w:val="28"/>
          <w:szCs w:val="28"/>
        </w:rPr>
        <w:t xml:space="preserve"> los argumentos expuestos y </w:t>
      </w:r>
      <w:r w:rsidRPr="00D93140">
        <w:rPr>
          <w:rFonts w:ascii="Times New Roman" w:hAnsi="Times New Roman"/>
          <w:sz w:val="28"/>
          <w:szCs w:val="28"/>
        </w:rPr>
        <w:t xml:space="preserve">permiten entender la acusación planteada. </w:t>
      </w:r>
      <w:r w:rsidRPr="00D93140">
        <w:rPr>
          <w:rFonts w:ascii="Times New Roman" w:hAnsi="Times New Roman"/>
          <w:sz w:val="28"/>
          <w:szCs w:val="28"/>
        </w:rPr>
        <w:t>No resulta</w:t>
      </w:r>
      <w:r w:rsidRPr="00D93140">
        <w:rPr>
          <w:rFonts w:ascii="Times New Roman" w:hAnsi="Times New Roman"/>
          <w:sz w:val="28"/>
          <w:szCs w:val="28"/>
        </w:rPr>
        <w:t>n</w:t>
      </w:r>
      <w:r w:rsidRPr="00D93140">
        <w:rPr>
          <w:rFonts w:ascii="Times New Roman" w:hAnsi="Times New Roman"/>
          <w:sz w:val="28"/>
          <w:szCs w:val="28"/>
        </w:rPr>
        <w:t xml:space="preserve"> </w:t>
      </w:r>
      <w:r w:rsidRPr="00D93140">
        <w:rPr>
          <w:rFonts w:ascii="Times New Roman" w:hAnsi="Times New Roman"/>
          <w:i/>
          <w:sz w:val="28"/>
          <w:szCs w:val="28"/>
        </w:rPr>
        <w:t>cierto</w:t>
      </w:r>
      <w:r w:rsidRPr="00D93140">
        <w:rPr>
          <w:rFonts w:ascii="Times New Roman" w:hAnsi="Times New Roman"/>
          <w:i/>
          <w:sz w:val="28"/>
          <w:szCs w:val="28"/>
        </w:rPr>
        <w:t>s</w:t>
      </w:r>
      <w:r w:rsidRPr="00D93140">
        <w:rPr>
          <w:rFonts w:ascii="Times New Roman" w:hAnsi="Times New Roman"/>
          <w:sz w:val="28"/>
          <w:szCs w:val="28"/>
        </w:rPr>
        <w:t xml:space="preserve"> por cuanto la </w:t>
      </w:r>
      <w:r w:rsidRPr="00D93140">
        <w:rPr>
          <w:rFonts w:ascii="Times New Roman" w:hAnsi="Times New Roman"/>
          <w:sz w:val="28"/>
          <w:szCs w:val="28"/>
        </w:rPr>
        <w:t xml:space="preserve">interpretación del contenido normativo acusado </w:t>
      </w:r>
      <w:r w:rsidRPr="00D93140">
        <w:rPr>
          <w:rFonts w:ascii="Times New Roman" w:hAnsi="Times New Roman"/>
          <w:sz w:val="28"/>
          <w:szCs w:val="28"/>
        </w:rPr>
        <w:t xml:space="preserve">no </w:t>
      </w:r>
      <w:r w:rsidRPr="00D93140">
        <w:rPr>
          <w:rFonts w:ascii="Times New Roman" w:hAnsi="Times New Roman"/>
          <w:sz w:val="28"/>
          <w:szCs w:val="28"/>
        </w:rPr>
        <w:t>se desprend</w:t>
      </w:r>
      <w:r w:rsidRPr="00D93140">
        <w:rPr>
          <w:rFonts w:ascii="Times New Roman" w:hAnsi="Times New Roman"/>
          <w:sz w:val="28"/>
          <w:szCs w:val="28"/>
        </w:rPr>
        <w:t xml:space="preserve">e de las normas cuestionadas ni mucho menos con el entendimiento que la Carta Política y la jurisprudencia ha tenido de las autoridades indígenas. </w:t>
      </w:r>
    </w:p>
    <w:p w:rsidR="008C61E1" w:rsidRPr="00D93140" w:rsidRDefault="00D93140" w:rsidP="00E04174">
      <w:pPr>
        <w:pStyle w:val="Prrafodelista"/>
        <w:ind w:left="0"/>
        <w:jc w:val="both"/>
        <w:rPr>
          <w:rFonts w:ascii="Times New Roman" w:hAnsi="Times New Roman"/>
          <w:sz w:val="28"/>
          <w:szCs w:val="28"/>
        </w:rPr>
      </w:pPr>
    </w:p>
    <w:p w:rsidR="008C61E1"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En primer lugar, </w:t>
      </w:r>
      <w:r w:rsidRPr="00D93140">
        <w:rPr>
          <w:rFonts w:ascii="Times New Roman" w:hAnsi="Times New Roman"/>
          <w:sz w:val="28"/>
          <w:szCs w:val="28"/>
        </w:rPr>
        <w:t>el accionante fundamenta su argumentación en un entendimiento que hace del Decreto 1275 de</w:t>
      </w:r>
      <w:r w:rsidRPr="00D93140">
        <w:rPr>
          <w:rFonts w:ascii="Times New Roman" w:hAnsi="Times New Roman"/>
          <w:sz w:val="28"/>
          <w:szCs w:val="28"/>
        </w:rPr>
        <w:t xml:space="preserve"> 2024 en el sentido de incluir otras formas organizativas que, en su criterio, no pueden entenderse como territorios ya que es posible que se presente una solicitud sin la debida fundamentación para conformarse en una entidad pública o no se cumplan eventu</w:t>
      </w:r>
      <w:r w:rsidRPr="00D93140">
        <w:rPr>
          <w:rFonts w:ascii="Times New Roman" w:hAnsi="Times New Roman"/>
          <w:sz w:val="28"/>
          <w:szCs w:val="28"/>
        </w:rPr>
        <w:t>almente los requisitos para constituirse como tales de conformidad con el Decreto 1953 de 2014. Al respecto, es necesario resaltar que el artículo 4 del decreto objeto de estudio dispone expresamente:</w:t>
      </w:r>
    </w:p>
    <w:p w:rsidR="008C61E1" w:rsidRPr="00D93140" w:rsidRDefault="00D93140" w:rsidP="00E04174">
      <w:pPr>
        <w:pStyle w:val="Prrafodelista"/>
        <w:ind w:left="0"/>
        <w:jc w:val="both"/>
        <w:rPr>
          <w:rFonts w:ascii="Times New Roman" w:hAnsi="Times New Roman"/>
          <w:sz w:val="28"/>
          <w:szCs w:val="28"/>
        </w:rPr>
      </w:pPr>
    </w:p>
    <w:p w:rsidR="008C61E1" w:rsidRPr="00D93140" w:rsidRDefault="00D93140" w:rsidP="00E04174">
      <w:pPr>
        <w:pStyle w:val="Prrafodelista"/>
        <w:ind w:left="567"/>
        <w:jc w:val="both"/>
        <w:rPr>
          <w:rFonts w:ascii="Times New Roman" w:hAnsi="Times New Roman"/>
          <w:sz w:val="28"/>
          <w:szCs w:val="24"/>
        </w:rPr>
      </w:pPr>
      <w:r w:rsidRPr="00D93140">
        <w:rPr>
          <w:rFonts w:ascii="Times New Roman" w:hAnsi="Times New Roman"/>
          <w:sz w:val="28"/>
          <w:szCs w:val="24"/>
        </w:rPr>
        <w:t>Artículo 4. Ámbito de aplicación. Las disposiciones establecidas en el presente Decreto aplican en los Territorios Indígenas de los que trata los artículos 286 y 330 de la Constitución Política y complementan el Decreto Ley 1953 de 2014; los territorios in</w:t>
      </w:r>
      <w:r w:rsidRPr="00D93140">
        <w:rPr>
          <w:rFonts w:ascii="Times New Roman" w:hAnsi="Times New Roman"/>
          <w:sz w:val="28"/>
          <w:szCs w:val="24"/>
        </w:rPr>
        <w:t xml:space="preserve">dígenas puestos en funcionamiento en virtud del Decreto Ley 632 de 2018 </w:t>
      </w:r>
      <w:r w:rsidRPr="00D93140">
        <w:rPr>
          <w:rFonts w:ascii="Times New Roman" w:hAnsi="Times New Roman"/>
          <w:i/>
          <w:sz w:val="28"/>
          <w:szCs w:val="24"/>
        </w:rPr>
        <w:t>o de aquellos que se pongan en funcionamiento con normas de igual alcance constitucional; los resguardos indígenas y las reservas indígenas. Así mismo, a los territorios ancestrales, l</w:t>
      </w:r>
      <w:r w:rsidRPr="00D93140">
        <w:rPr>
          <w:rFonts w:ascii="Times New Roman" w:hAnsi="Times New Roman"/>
          <w:i/>
          <w:sz w:val="28"/>
          <w:szCs w:val="24"/>
        </w:rPr>
        <w:t>as territorialidades y las áreas poseídas por las comunidades que tengan un gobierno propio y hayan solicitado por las respectivas autoridades la puesta en funcionamiento de la entidad territorial indígena o la formalización y/o seguridad jurídica del terr</w:t>
      </w:r>
      <w:r w:rsidRPr="00D93140">
        <w:rPr>
          <w:rFonts w:ascii="Times New Roman" w:hAnsi="Times New Roman"/>
          <w:i/>
          <w:sz w:val="28"/>
          <w:szCs w:val="24"/>
        </w:rPr>
        <w:t>itorio indígena de acuerdo con las normas pertinentes</w:t>
      </w:r>
      <w:r w:rsidRPr="00D93140">
        <w:rPr>
          <w:rFonts w:ascii="Times New Roman" w:hAnsi="Times New Roman"/>
          <w:sz w:val="28"/>
          <w:szCs w:val="24"/>
        </w:rPr>
        <w:t xml:space="preserve"> y serán ejercidas por las autoridades propias de cada pueblo indígena, de acuerdo con sus sistemas de conocimiento, Derecho Mayor, Derecho Propio, Ley de Origen, Ley Natural, Palabra de Vida, respecto d</w:t>
      </w:r>
      <w:r w:rsidRPr="00D93140">
        <w:rPr>
          <w:rFonts w:ascii="Times New Roman" w:hAnsi="Times New Roman"/>
          <w:sz w:val="28"/>
          <w:szCs w:val="24"/>
        </w:rPr>
        <w:t>e los miembros de cada pueblo y en sus propias territorialidades.</w:t>
      </w:r>
    </w:p>
    <w:p w:rsidR="008C61E1" w:rsidRPr="00D93140" w:rsidRDefault="00D93140" w:rsidP="00E04174">
      <w:pPr>
        <w:pStyle w:val="Prrafodelista"/>
        <w:jc w:val="both"/>
        <w:rPr>
          <w:rFonts w:ascii="Times New Roman" w:hAnsi="Times New Roman"/>
          <w:sz w:val="28"/>
          <w:szCs w:val="24"/>
        </w:rPr>
      </w:pPr>
    </w:p>
    <w:p w:rsidR="008C61E1" w:rsidRPr="00D93140" w:rsidRDefault="00D93140" w:rsidP="00E04174">
      <w:pPr>
        <w:pStyle w:val="Prrafodelista"/>
        <w:ind w:left="567"/>
        <w:jc w:val="both"/>
        <w:rPr>
          <w:rFonts w:ascii="Times New Roman" w:hAnsi="Times New Roman"/>
          <w:sz w:val="28"/>
          <w:szCs w:val="24"/>
        </w:rPr>
      </w:pPr>
      <w:r w:rsidRPr="00D93140">
        <w:rPr>
          <w:rFonts w:ascii="Times New Roman" w:hAnsi="Times New Roman"/>
          <w:sz w:val="28"/>
          <w:szCs w:val="24"/>
        </w:rPr>
        <w:t>Parágrafo. Frente a los territorios indígenas de la Sierra Nevada de Santa Marta, el ámbito de aplicación del presente Decreto será de conformidad con el artículo 6 del Decreto 1500 del 201</w:t>
      </w:r>
      <w:r w:rsidRPr="00D93140">
        <w:rPr>
          <w:rFonts w:ascii="Times New Roman" w:hAnsi="Times New Roman"/>
          <w:sz w:val="28"/>
          <w:szCs w:val="24"/>
        </w:rPr>
        <w:t>8.</w:t>
      </w:r>
    </w:p>
    <w:p w:rsidR="008C61E1" w:rsidRPr="00D93140" w:rsidRDefault="00D93140" w:rsidP="00E04174">
      <w:pPr>
        <w:pStyle w:val="Prrafodelista"/>
        <w:ind w:left="0"/>
        <w:jc w:val="both"/>
        <w:rPr>
          <w:rFonts w:ascii="Times New Roman" w:hAnsi="Times New Roman"/>
          <w:sz w:val="28"/>
          <w:szCs w:val="28"/>
        </w:rPr>
      </w:pPr>
    </w:p>
    <w:p w:rsidR="00B87E09"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De conformidad con lo citado, no es cierto que las competencias en materia ambiental sean otorgadas a cualquier forma de organización indígena pues el artículo es claro al exigir el requisito de haber solicitado la puesta en funcionamiento de su territorio</w:t>
      </w:r>
      <w:r w:rsidRPr="00D93140">
        <w:rPr>
          <w:rFonts w:ascii="Times New Roman" w:hAnsi="Times New Roman"/>
          <w:sz w:val="28"/>
          <w:szCs w:val="28"/>
          <w:u w:color="000000"/>
          <w:bdr w:val="nil"/>
        </w:rPr>
        <w:t xml:space="preserve"> de conformidad con las normas pertinentes.  </w:t>
      </w:r>
      <w:r w:rsidRPr="00D93140">
        <w:rPr>
          <w:rFonts w:ascii="Times New Roman" w:hAnsi="Times New Roman"/>
          <w:sz w:val="28"/>
          <w:szCs w:val="28"/>
          <w:u w:color="000000"/>
          <w:bdr w:val="nil"/>
        </w:rPr>
        <w:t xml:space="preserve">Ahora, </w:t>
      </w:r>
      <w:r w:rsidRPr="00D93140">
        <w:rPr>
          <w:rFonts w:ascii="Times New Roman" w:hAnsi="Times New Roman"/>
          <w:sz w:val="28"/>
          <w:szCs w:val="28"/>
          <w:u w:color="000000"/>
          <w:bdr w:val="nil"/>
        </w:rPr>
        <w:t xml:space="preserve">acudir al </w:t>
      </w:r>
      <w:r w:rsidRPr="00D93140">
        <w:rPr>
          <w:rFonts w:ascii="Times New Roman" w:hAnsi="Times New Roman"/>
          <w:sz w:val="28"/>
          <w:szCs w:val="28"/>
          <w:u w:color="000000"/>
          <w:bdr w:val="nil"/>
        </w:rPr>
        <w:t>correspondiente análisis d</w:t>
      </w:r>
      <w:r w:rsidRPr="00D93140">
        <w:rPr>
          <w:rFonts w:ascii="Times New Roman" w:hAnsi="Times New Roman"/>
          <w:sz w:val="28"/>
          <w:szCs w:val="28"/>
          <w:u w:color="000000"/>
          <w:bdr w:val="nil"/>
        </w:rPr>
        <w:t xml:space="preserve">e procedencia de la solicitud y </w:t>
      </w:r>
      <w:r w:rsidRPr="00D93140">
        <w:rPr>
          <w:rFonts w:ascii="Times New Roman" w:hAnsi="Times New Roman"/>
          <w:sz w:val="28"/>
          <w:szCs w:val="28"/>
          <w:u w:color="000000"/>
          <w:bdr w:val="nil"/>
        </w:rPr>
        <w:t xml:space="preserve">a </w:t>
      </w:r>
      <w:r w:rsidRPr="00D93140">
        <w:rPr>
          <w:rFonts w:ascii="Times New Roman" w:hAnsi="Times New Roman"/>
          <w:sz w:val="28"/>
          <w:szCs w:val="28"/>
          <w:u w:color="000000"/>
          <w:bdr w:val="nil"/>
        </w:rPr>
        <w:t xml:space="preserve">su resultado genera </w:t>
      </w:r>
      <w:r w:rsidRPr="00D93140">
        <w:rPr>
          <w:rFonts w:ascii="Times New Roman" w:hAnsi="Times New Roman"/>
          <w:sz w:val="28"/>
          <w:szCs w:val="28"/>
          <w:u w:color="000000"/>
          <w:bdr w:val="nil"/>
        </w:rPr>
        <w:t xml:space="preserve">que el accionante acuda a </w:t>
      </w:r>
      <w:r w:rsidRPr="00D93140">
        <w:rPr>
          <w:rFonts w:ascii="Times New Roman" w:hAnsi="Times New Roman"/>
          <w:sz w:val="28"/>
          <w:szCs w:val="28"/>
          <w:u w:color="000000"/>
          <w:bdr w:val="nil"/>
        </w:rPr>
        <w:t>hipótesis que no son del resorte del análisis constitucional y se enmarcan en el ejercic</w:t>
      </w:r>
      <w:r w:rsidRPr="00D93140">
        <w:rPr>
          <w:rFonts w:ascii="Times New Roman" w:hAnsi="Times New Roman"/>
          <w:sz w:val="28"/>
          <w:szCs w:val="28"/>
          <w:u w:color="000000"/>
          <w:bdr w:val="nil"/>
        </w:rPr>
        <w:t>io práctico de la aplicación de la norma, aspecto que</w:t>
      </w:r>
      <w:r w:rsidRPr="00D93140">
        <w:rPr>
          <w:rFonts w:ascii="Times New Roman" w:hAnsi="Times New Roman"/>
          <w:sz w:val="28"/>
          <w:szCs w:val="28"/>
          <w:u w:color="000000"/>
          <w:bdr w:val="nil"/>
        </w:rPr>
        <w:t>, además,</w:t>
      </w:r>
      <w:r w:rsidRPr="00D93140">
        <w:rPr>
          <w:rFonts w:ascii="Times New Roman" w:hAnsi="Times New Roman"/>
          <w:sz w:val="28"/>
          <w:szCs w:val="28"/>
          <w:u w:color="000000"/>
          <w:bdr w:val="nil"/>
        </w:rPr>
        <w:t xml:space="preserve"> no altera la claridad del texto analizado. </w:t>
      </w:r>
      <w:r w:rsidRPr="00D93140">
        <w:rPr>
          <w:rFonts w:ascii="Times New Roman" w:hAnsi="Times New Roman"/>
          <w:sz w:val="28"/>
          <w:szCs w:val="28"/>
          <w:u w:color="000000"/>
          <w:bdr w:val="nil"/>
        </w:rPr>
        <w:t>De modo que justificar el argumento en un eventual incumplimiento de los requisitos por parte de una organización indígena de las contempladas en el d</w:t>
      </w:r>
      <w:r w:rsidRPr="00D93140">
        <w:rPr>
          <w:rFonts w:ascii="Times New Roman" w:hAnsi="Times New Roman"/>
          <w:sz w:val="28"/>
          <w:szCs w:val="28"/>
          <w:u w:color="000000"/>
          <w:bdr w:val="nil"/>
        </w:rPr>
        <w:t>ecreto para funcionar como territorio carece de relevancia constitucional y sitúa tal fundamentación en el campo de la subjetividad.</w:t>
      </w:r>
    </w:p>
    <w:p w:rsidR="00C5751A" w:rsidRPr="00D93140" w:rsidRDefault="00D93140" w:rsidP="00E04174">
      <w:pPr>
        <w:pStyle w:val="Prrafodelista"/>
        <w:ind w:left="0"/>
        <w:jc w:val="both"/>
        <w:rPr>
          <w:rFonts w:ascii="Times New Roman" w:hAnsi="Times New Roman"/>
          <w:sz w:val="28"/>
          <w:szCs w:val="28"/>
          <w:u w:color="000000"/>
          <w:bdr w:val="nil"/>
        </w:rPr>
      </w:pPr>
    </w:p>
    <w:p w:rsidR="00FE6456"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En segundo lugar, y partiendo de una interpretación errónea del artículo 4 del Decreto 1275 de 2024, el accionante conside</w:t>
      </w:r>
      <w:r w:rsidRPr="00D93140">
        <w:rPr>
          <w:rFonts w:ascii="Times New Roman" w:hAnsi="Times New Roman"/>
          <w:sz w:val="28"/>
          <w:szCs w:val="28"/>
          <w:u w:color="000000"/>
          <w:bdr w:val="nil"/>
        </w:rPr>
        <w:t>ra que al extenderse el ámbito de aplicación a organizaciones indígenas que no han cumplido con los requisitos para constituirse como territorio, sus autoridades no serían “públicas” sino particulares</w:t>
      </w:r>
      <w:r w:rsidRPr="00D93140">
        <w:rPr>
          <w:rFonts w:ascii="Times New Roman" w:hAnsi="Times New Roman"/>
          <w:sz w:val="28"/>
          <w:szCs w:val="28"/>
          <w:u w:color="000000"/>
          <w:bdr w:val="nil"/>
        </w:rPr>
        <w:t xml:space="preserve"> a los cuales no se les podría otorgar estas facultades </w:t>
      </w:r>
      <w:r w:rsidRPr="00D93140">
        <w:rPr>
          <w:rFonts w:ascii="Times New Roman" w:hAnsi="Times New Roman"/>
          <w:sz w:val="28"/>
          <w:szCs w:val="28"/>
          <w:u w:color="000000"/>
          <w:bdr w:val="nil"/>
        </w:rPr>
        <w:t>ambientales</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Además, señala que incluso, a las autoridades de los territorios debidamente constituidos y en funcionamiento, tampoco se les podría tener como autoridades públicas sino particulares </w:t>
      </w:r>
      <w:r w:rsidRPr="00D93140">
        <w:rPr>
          <w:rFonts w:ascii="Times New Roman" w:hAnsi="Times New Roman"/>
          <w:sz w:val="28"/>
          <w:szCs w:val="28"/>
          <w:u w:color="000000"/>
          <w:bdr w:val="nil"/>
        </w:rPr>
        <w:t>ya que el Decreto 1953 de 20</w:t>
      </w:r>
      <w:r w:rsidRPr="00D93140">
        <w:rPr>
          <w:rFonts w:ascii="Times New Roman" w:hAnsi="Times New Roman"/>
          <w:sz w:val="28"/>
          <w:szCs w:val="28"/>
          <w:u w:color="000000"/>
          <w:bdr w:val="nil"/>
        </w:rPr>
        <w:t>1</w:t>
      </w:r>
      <w:r w:rsidRPr="00D93140">
        <w:rPr>
          <w:rFonts w:ascii="Times New Roman" w:hAnsi="Times New Roman"/>
          <w:sz w:val="28"/>
          <w:szCs w:val="28"/>
          <w:u w:color="000000"/>
          <w:bdr w:val="nil"/>
        </w:rPr>
        <w:t>4 no les reconoce tal calidad</w:t>
      </w:r>
      <w:r w:rsidRPr="00D93140">
        <w:rPr>
          <w:rFonts w:ascii="Times New Roman" w:hAnsi="Times New Roman"/>
          <w:sz w:val="28"/>
          <w:szCs w:val="28"/>
          <w:u w:color="000000"/>
          <w:bdr w:val="nil"/>
        </w:rPr>
        <w:t xml:space="preserve">. Este aspecto, para la Sala Plena tampoco es cierto. </w:t>
      </w:r>
      <w:r w:rsidRPr="00D93140">
        <w:rPr>
          <w:rFonts w:ascii="Times New Roman" w:hAnsi="Times New Roman"/>
          <w:sz w:val="28"/>
          <w:szCs w:val="28"/>
          <w:u w:color="000000"/>
          <w:bdr w:val="nil"/>
        </w:rPr>
        <w:t xml:space="preserve">Aunque </w:t>
      </w:r>
      <w:r w:rsidRPr="00D93140">
        <w:rPr>
          <w:rFonts w:ascii="Times New Roman" w:hAnsi="Times New Roman"/>
          <w:sz w:val="28"/>
          <w:szCs w:val="28"/>
          <w:u w:color="000000"/>
          <w:bdr w:val="nil"/>
        </w:rPr>
        <w:t xml:space="preserve">este último decreto </w:t>
      </w:r>
      <w:r w:rsidRPr="00D93140">
        <w:rPr>
          <w:rFonts w:ascii="Times New Roman" w:hAnsi="Times New Roman"/>
          <w:sz w:val="28"/>
          <w:szCs w:val="28"/>
          <w:u w:color="000000"/>
          <w:bdr w:val="nil"/>
        </w:rPr>
        <w:t>no les reconoce la calidad de servidores públicos a las autoridades indígenas, sí les reconoce como autoridad ambiental como se desprende del numeral 3 del artículo 13, al oto</w:t>
      </w:r>
      <w:r w:rsidRPr="00D93140">
        <w:rPr>
          <w:rFonts w:ascii="Times New Roman" w:hAnsi="Times New Roman"/>
          <w:sz w:val="28"/>
          <w:szCs w:val="28"/>
          <w:u w:color="000000"/>
          <w:bdr w:val="nil"/>
        </w:rPr>
        <w:t xml:space="preserve">rgarles competencia para: “[d]efinir, ejecutar y evaluar las políticas económicas, sociales, </w:t>
      </w:r>
      <w:r w:rsidRPr="00D93140">
        <w:rPr>
          <w:rFonts w:ascii="Times New Roman" w:hAnsi="Times New Roman"/>
          <w:b/>
          <w:sz w:val="28"/>
          <w:szCs w:val="28"/>
          <w:u w:color="000000"/>
          <w:bdr w:val="nil"/>
        </w:rPr>
        <w:t>ambientales</w:t>
      </w:r>
      <w:r w:rsidRPr="00D93140">
        <w:rPr>
          <w:rFonts w:ascii="Times New Roman" w:hAnsi="Times New Roman"/>
          <w:sz w:val="28"/>
          <w:szCs w:val="28"/>
          <w:u w:color="000000"/>
          <w:bdr w:val="nil"/>
        </w:rPr>
        <w:t xml:space="preserve"> y culturales propias en el marco de los planes de vida, en los respectivos territorios dentro del marco de la legislación nacional, y conforme a los pr</w:t>
      </w:r>
      <w:r w:rsidRPr="00D93140">
        <w:rPr>
          <w:rFonts w:ascii="Times New Roman" w:hAnsi="Times New Roman"/>
          <w:sz w:val="28"/>
          <w:szCs w:val="28"/>
          <w:u w:color="000000"/>
          <w:bdr w:val="nil"/>
        </w:rPr>
        <w:t>incipios de coordinación, concurrencia y subsidiariedad”</w:t>
      </w:r>
      <w:r w:rsidRPr="00D93140">
        <w:rPr>
          <w:rFonts w:ascii="Times New Roman" w:hAnsi="Times New Roman"/>
          <w:sz w:val="28"/>
          <w:szCs w:val="28"/>
          <w:u w:color="000000"/>
          <w:bdr w:val="nil"/>
        </w:rPr>
        <w:t>. (Negrilla fuera de texto original)</w:t>
      </w:r>
      <w:r w:rsidRPr="00D93140">
        <w:rPr>
          <w:rFonts w:ascii="Times New Roman" w:hAnsi="Times New Roman"/>
          <w:sz w:val="28"/>
          <w:szCs w:val="28"/>
          <w:u w:color="000000"/>
          <w:bdr w:val="nil"/>
        </w:rPr>
        <w:t>.</w:t>
      </w:r>
    </w:p>
    <w:p w:rsidR="00D354CE" w:rsidRPr="00D93140" w:rsidRDefault="00D93140" w:rsidP="00E04174">
      <w:pPr>
        <w:pStyle w:val="Prrafodelista"/>
        <w:ind w:left="0"/>
        <w:jc w:val="both"/>
        <w:rPr>
          <w:rFonts w:ascii="Times New Roman" w:hAnsi="Times New Roman"/>
          <w:sz w:val="28"/>
          <w:szCs w:val="28"/>
          <w:u w:color="000000"/>
          <w:bdr w:val="nil"/>
        </w:rPr>
      </w:pPr>
    </w:p>
    <w:p w:rsidR="00957869"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Además, si </w:t>
      </w:r>
      <w:r w:rsidRPr="00D93140">
        <w:rPr>
          <w:rFonts w:ascii="Times New Roman" w:hAnsi="Times New Roman"/>
          <w:sz w:val="28"/>
          <w:szCs w:val="28"/>
          <w:u w:color="000000"/>
          <w:bdr w:val="nil"/>
        </w:rPr>
        <w:t>bien</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la jurisprudencia no ha reconocido expresamente que las autoridades indígenas son autoridades públicas, sí ha reconocido el claro deber de partic</w:t>
      </w:r>
      <w:r w:rsidRPr="00D93140">
        <w:rPr>
          <w:rFonts w:ascii="Times New Roman" w:hAnsi="Times New Roman"/>
          <w:sz w:val="28"/>
          <w:szCs w:val="28"/>
          <w:u w:color="000000"/>
          <w:bdr w:val="nil"/>
        </w:rPr>
        <w:t xml:space="preserve">ipación que la Constitución les otorga en materia ambiental. Ello, en </w:t>
      </w:r>
      <w:r w:rsidRPr="00D93140">
        <w:rPr>
          <w:rFonts w:ascii="Times New Roman" w:hAnsi="Times New Roman"/>
          <w:sz w:val="28"/>
          <w:szCs w:val="28"/>
          <w:u w:color="000000"/>
          <w:bdr w:val="nil"/>
        </w:rPr>
        <w:t xml:space="preserve">virtud del pluralismo reconocido en la Carta Política y del </w:t>
      </w:r>
      <w:r w:rsidRPr="00D93140">
        <w:rPr>
          <w:rFonts w:ascii="Times New Roman" w:hAnsi="Times New Roman"/>
          <w:sz w:val="28"/>
          <w:szCs w:val="28"/>
          <w:u w:color="000000"/>
          <w:bdr w:val="nil"/>
        </w:rPr>
        <w:t xml:space="preserve">ejercicio del </w:t>
      </w:r>
      <w:r w:rsidRPr="00D93140">
        <w:rPr>
          <w:rFonts w:ascii="Times New Roman" w:hAnsi="Times New Roman"/>
          <w:sz w:val="28"/>
          <w:szCs w:val="28"/>
          <w:u w:color="000000"/>
          <w:bdr w:val="nil"/>
        </w:rPr>
        <w:t xml:space="preserve">derecho al </w:t>
      </w:r>
      <w:r w:rsidRPr="00D93140">
        <w:rPr>
          <w:rFonts w:ascii="Times New Roman" w:hAnsi="Times New Roman"/>
          <w:sz w:val="28"/>
          <w:szCs w:val="28"/>
          <w:u w:color="000000"/>
          <w:bdr w:val="nil"/>
        </w:rPr>
        <w:t xml:space="preserve">autogobierno que les permite adoptar en sus territorios las medidas </w:t>
      </w:r>
      <w:r w:rsidRPr="00D93140">
        <w:rPr>
          <w:rFonts w:ascii="Times New Roman" w:hAnsi="Times New Roman"/>
          <w:sz w:val="28"/>
          <w:szCs w:val="28"/>
          <w:u w:color="000000"/>
          <w:bdr w:val="nil"/>
        </w:rPr>
        <w:t>necesarias</w:t>
      </w:r>
      <w:r w:rsidRPr="00D93140">
        <w:rPr>
          <w:rFonts w:ascii="Times New Roman" w:hAnsi="Times New Roman"/>
          <w:sz w:val="28"/>
          <w:szCs w:val="28"/>
          <w:u w:color="000000"/>
          <w:bdr w:val="nil"/>
        </w:rPr>
        <w:t xml:space="preserve"> para la preservación d</w:t>
      </w:r>
      <w:r w:rsidRPr="00D93140">
        <w:rPr>
          <w:rFonts w:ascii="Times New Roman" w:hAnsi="Times New Roman"/>
          <w:sz w:val="28"/>
          <w:szCs w:val="28"/>
          <w:u w:color="000000"/>
          <w:bdr w:val="nil"/>
        </w:rPr>
        <w:t xml:space="preserve">el medio ambiente y de la supervivencia de sus pueblos. </w:t>
      </w:r>
      <w:r w:rsidRPr="00D93140">
        <w:rPr>
          <w:rFonts w:ascii="Times New Roman" w:hAnsi="Times New Roman"/>
          <w:sz w:val="28"/>
          <w:szCs w:val="28"/>
          <w:u w:color="000000"/>
          <w:bdr w:val="nil"/>
        </w:rPr>
        <w:t xml:space="preserve">En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T-236 de 2012 esta corporación señaló que “las normas constitucionales y legales también otorgan competencia de vigilancia y control ambiental a los pueblos indígenas. Además de que se crea la obligación en dichas normas de crear mecanismos de coordinació</w:t>
      </w:r>
      <w:r w:rsidRPr="00D93140">
        <w:rPr>
          <w:rFonts w:ascii="Times New Roman" w:hAnsi="Times New Roman"/>
          <w:sz w:val="28"/>
          <w:szCs w:val="28"/>
          <w:u w:color="000000"/>
          <w:bdr w:val="nil"/>
        </w:rPr>
        <w:t>n para hacer posible en la práctica el pluralismo jurídico que se deriva de la Constitución. Mecanismos que obviamente deben ser concertados entre autoridades -precisamente- como las CAR y autoridades indígenas, al menos en lo que se refiere al tema ambien</w:t>
      </w:r>
      <w:r w:rsidRPr="00D93140">
        <w:rPr>
          <w:rFonts w:ascii="Times New Roman" w:hAnsi="Times New Roman"/>
          <w:sz w:val="28"/>
          <w:szCs w:val="28"/>
          <w:u w:color="000000"/>
          <w:bdr w:val="nil"/>
        </w:rPr>
        <w:t>tal y de manejo de recursos naturales”.</w:t>
      </w:r>
    </w:p>
    <w:p w:rsidR="006F0915" w:rsidRPr="00D93140" w:rsidRDefault="00D93140" w:rsidP="00E04174">
      <w:pPr>
        <w:pStyle w:val="Prrafodelista"/>
        <w:ind w:left="0"/>
        <w:jc w:val="both"/>
        <w:rPr>
          <w:rFonts w:ascii="Times New Roman" w:hAnsi="Times New Roman"/>
          <w:sz w:val="28"/>
          <w:szCs w:val="28"/>
          <w:u w:color="000000"/>
          <w:bdr w:val="nil"/>
        </w:rPr>
      </w:pPr>
    </w:p>
    <w:p w:rsidR="00683A36"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De igual manera, </w:t>
      </w:r>
      <w:r w:rsidRPr="00D93140">
        <w:rPr>
          <w:rFonts w:ascii="Times New Roman" w:hAnsi="Times New Roman"/>
          <w:sz w:val="28"/>
          <w:szCs w:val="28"/>
          <w:u w:color="000000"/>
          <w:bdr w:val="nil"/>
        </w:rPr>
        <w:t xml:space="preserve">la Corte en la </w:t>
      </w:r>
      <w:r w:rsidRPr="00D93140">
        <w:rPr>
          <w:rFonts w:ascii="Times New Roman" w:hAnsi="Times New Roman"/>
          <w:sz w:val="28"/>
          <w:szCs w:val="28"/>
          <w:u w:color="000000"/>
          <w:bdr w:val="nil"/>
        </w:rPr>
        <w:t>Sentencia</w:t>
      </w:r>
      <w:r w:rsidRPr="00D93140">
        <w:rPr>
          <w:rFonts w:ascii="Times New Roman" w:hAnsi="Times New Roman"/>
          <w:sz w:val="28"/>
          <w:szCs w:val="28"/>
          <w:u w:color="000000"/>
          <w:bdr w:val="nil"/>
        </w:rPr>
        <w:t xml:space="preserve"> T-530 de 2016, señaló que “</w:t>
      </w:r>
      <w:r w:rsidRPr="00D93140">
        <w:rPr>
          <w:rFonts w:ascii="Times New Roman" w:hAnsi="Times New Roman"/>
          <w:iCs/>
          <w:sz w:val="28"/>
          <w:szCs w:val="28"/>
          <w:u w:color="000000"/>
          <w:bdr w:val="nil"/>
        </w:rPr>
        <w:t>el ejercicio de las competencias ambientales a nivel nacional, regional y local debe estar fundada en el principio de coordinación entre las disti</w:t>
      </w:r>
      <w:r w:rsidRPr="00D93140">
        <w:rPr>
          <w:rFonts w:ascii="Times New Roman" w:hAnsi="Times New Roman"/>
          <w:iCs/>
          <w:sz w:val="28"/>
          <w:szCs w:val="28"/>
          <w:u w:color="000000"/>
          <w:bdr w:val="nil"/>
        </w:rPr>
        <w:t xml:space="preserve">ntas instituciones involucradas. En ese contexto, es necesario señalar que las instituciones municipales y las autoridades ambientales (como, por ejemplo, las CAR) tienen el deber de trabajar de manera coordinada con autoridades indígenas y viceversa. Por </w:t>
      </w:r>
      <w:r w:rsidRPr="00D93140">
        <w:rPr>
          <w:rFonts w:ascii="Times New Roman" w:hAnsi="Times New Roman"/>
          <w:iCs/>
          <w:sz w:val="28"/>
          <w:szCs w:val="28"/>
          <w:u w:color="000000"/>
          <w:bdr w:val="nil"/>
        </w:rPr>
        <w:t>ende, es importante la creación de espacios de coordinación de naturaleza intercultural a nivel local y nacional que permitan llegar a soluciones por vía del diálogo, de forma que la solución de conflictos de competencia por la vía judicial sea sólo el últ</w:t>
      </w:r>
      <w:r w:rsidRPr="00D93140">
        <w:rPr>
          <w:rFonts w:ascii="Times New Roman" w:hAnsi="Times New Roman"/>
          <w:iCs/>
          <w:sz w:val="28"/>
          <w:szCs w:val="28"/>
          <w:u w:color="000000"/>
          <w:bdr w:val="nil"/>
        </w:rPr>
        <w:t>imo recurso”</w:t>
      </w:r>
      <w:r w:rsidRPr="00D93140">
        <w:rPr>
          <w:rFonts w:ascii="Times New Roman" w:hAnsi="Times New Roman"/>
          <w:iCs/>
          <w:sz w:val="28"/>
          <w:szCs w:val="28"/>
          <w:u w:color="000000"/>
          <w:bdr w:val="nil"/>
        </w:rPr>
        <w:t>.</w:t>
      </w:r>
    </w:p>
    <w:p w:rsidR="00713D22" w:rsidRPr="00D93140" w:rsidRDefault="00D93140" w:rsidP="00E04174">
      <w:pPr>
        <w:pStyle w:val="Prrafodelista"/>
        <w:ind w:left="0"/>
        <w:jc w:val="both"/>
        <w:rPr>
          <w:rFonts w:ascii="Times New Roman" w:hAnsi="Times New Roman"/>
          <w:sz w:val="28"/>
          <w:szCs w:val="28"/>
          <w:u w:color="000000"/>
          <w:bdr w:val="nil"/>
        </w:rPr>
      </w:pPr>
    </w:p>
    <w:p w:rsidR="00A179CD"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En tercer lugar, no es </w:t>
      </w:r>
      <w:r w:rsidRPr="00D93140">
        <w:rPr>
          <w:rFonts w:ascii="Times New Roman" w:hAnsi="Times New Roman"/>
          <w:i/>
          <w:sz w:val="28"/>
          <w:szCs w:val="28"/>
          <w:u w:color="000000"/>
          <w:bdr w:val="nil"/>
        </w:rPr>
        <w:t>cierto</w:t>
      </w:r>
      <w:r w:rsidRPr="00D93140">
        <w:rPr>
          <w:rFonts w:ascii="Times New Roman" w:hAnsi="Times New Roman"/>
          <w:sz w:val="28"/>
          <w:szCs w:val="28"/>
          <w:u w:color="000000"/>
          <w:bdr w:val="nil"/>
        </w:rPr>
        <w:t xml:space="preserve"> que al incluirlas dentro del SINA, se presente un vaciamiento de las competencias de las autoridades ambientales. En efecto </w:t>
      </w:r>
      <w:r w:rsidRPr="00D93140">
        <w:rPr>
          <w:rFonts w:ascii="Times New Roman" w:hAnsi="Times New Roman"/>
          <w:sz w:val="28"/>
          <w:szCs w:val="28"/>
          <w:u w:color="000000"/>
          <w:bdr w:val="nil"/>
        </w:rPr>
        <w:t>puede entenderse que desde la Ley 99 de 1993, las comunidades indígenas han participado</w:t>
      </w:r>
      <w:r w:rsidRPr="00D93140">
        <w:rPr>
          <w:rFonts w:ascii="Times New Roman" w:hAnsi="Times New Roman"/>
          <w:sz w:val="28"/>
          <w:szCs w:val="28"/>
          <w:u w:color="000000"/>
          <w:bdr w:val="nil"/>
        </w:rPr>
        <w:t xml:space="preserve"> en el SINA a través de un representante que participa no solo en los órganos de dirección y administración de las CAR como es el Consejo Directivo</w:t>
      </w:r>
      <w:r w:rsidRPr="00D93140">
        <w:rPr>
          <w:rStyle w:val="Refdenotaalpie"/>
          <w:rFonts w:ascii="Times New Roman" w:hAnsi="Times New Roman"/>
          <w:sz w:val="28"/>
          <w:szCs w:val="28"/>
          <w:u w:color="000000"/>
          <w:bdr w:val="nil"/>
        </w:rPr>
        <w:footnoteReference w:id="41"/>
      </w:r>
      <w:r w:rsidRPr="00D93140">
        <w:rPr>
          <w:rFonts w:ascii="Times New Roman" w:hAnsi="Times New Roman"/>
          <w:sz w:val="28"/>
          <w:szCs w:val="28"/>
          <w:u w:color="000000"/>
          <w:bdr w:val="nil"/>
        </w:rPr>
        <w:t xml:space="preserve"> sino también en </w:t>
      </w:r>
      <w:r w:rsidRPr="00D93140">
        <w:rPr>
          <w:rFonts w:ascii="Times New Roman" w:hAnsi="Times New Roman"/>
          <w:sz w:val="28"/>
          <w:szCs w:val="28"/>
          <w:u w:color="000000"/>
          <w:bdr w:val="nil"/>
        </w:rPr>
        <w:t>e</w:t>
      </w:r>
      <w:r w:rsidRPr="00D93140">
        <w:rPr>
          <w:rFonts w:ascii="Times New Roman" w:hAnsi="Times New Roman"/>
          <w:sz w:val="28"/>
          <w:szCs w:val="28"/>
          <w:u w:color="000000"/>
          <w:bdr w:val="nil"/>
        </w:rPr>
        <w:t>l Consejo Nacional Ambiental</w:t>
      </w:r>
      <w:r w:rsidRPr="00D93140">
        <w:rPr>
          <w:rStyle w:val="Refdenotaalpie"/>
          <w:rFonts w:ascii="Times New Roman" w:hAnsi="Times New Roman"/>
          <w:sz w:val="28"/>
          <w:szCs w:val="28"/>
          <w:u w:color="000000"/>
          <w:bdr w:val="nil"/>
        </w:rPr>
        <w:footnoteReference w:id="42"/>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Así, con el Decreto 1275 de 2024 se desarrolla el reconocim</w:t>
      </w:r>
      <w:r w:rsidRPr="00D93140">
        <w:rPr>
          <w:rFonts w:ascii="Times New Roman" w:hAnsi="Times New Roman"/>
          <w:sz w:val="28"/>
          <w:szCs w:val="28"/>
          <w:u w:color="000000"/>
          <w:bdr w:val="nil"/>
        </w:rPr>
        <w:t xml:space="preserve">iento que se ha hecho tanto jurídicamente como jurisprudencialmente de las competencias ambientales de los territorios indígenas </w:t>
      </w:r>
      <w:r w:rsidRPr="00D93140">
        <w:rPr>
          <w:rFonts w:ascii="Times New Roman" w:hAnsi="Times New Roman"/>
          <w:sz w:val="28"/>
          <w:szCs w:val="28"/>
          <w:u w:color="000000"/>
          <w:bdr w:val="nil"/>
        </w:rPr>
        <w:t xml:space="preserve">y, por tanto a sus autoridades, </w:t>
      </w:r>
      <w:r w:rsidRPr="00D93140">
        <w:rPr>
          <w:rFonts w:ascii="Times New Roman" w:hAnsi="Times New Roman"/>
          <w:sz w:val="28"/>
          <w:szCs w:val="28"/>
          <w:u w:color="000000"/>
          <w:bdr w:val="nil"/>
        </w:rPr>
        <w:t>resaltando que las mismas se ejercerán bajo los principios de coordinación concurrencia, comple</w:t>
      </w:r>
      <w:r w:rsidRPr="00D93140">
        <w:rPr>
          <w:rFonts w:ascii="Times New Roman" w:hAnsi="Times New Roman"/>
          <w:sz w:val="28"/>
          <w:szCs w:val="28"/>
          <w:u w:color="000000"/>
          <w:bdr w:val="nil"/>
        </w:rPr>
        <w:t xml:space="preserve">mentariedad y subsidiariedad </w:t>
      </w:r>
      <w:r w:rsidRPr="00D93140">
        <w:rPr>
          <w:rFonts w:ascii="Times New Roman" w:hAnsi="Times New Roman"/>
          <w:sz w:val="28"/>
          <w:szCs w:val="28"/>
          <w:u w:color="000000"/>
          <w:bdr w:val="nil"/>
        </w:rPr>
        <w:t xml:space="preserve">dentro de sus territorios. La literalidad del decreto </w:t>
      </w:r>
      <w:r w:rsidRPr="00D93140">
        <w:rPr>
          <w:rFonts w:ascii="Times New Roman" w:hAnsi="Times New Roman"/>
          <w:sz w:val="28"/>
          <w:szCs w:val="28"/>
          <w:u w:color="000000"/>
          <w:bdr w:val="nil"/>
        </w:rPr>
        <w:t>no permite entender, como lo hace el actor, que estas competencias son absolutas y despojan de toda competencia a las autoridades ambientales nacionales.</w:t>
      </w:r>
    </w:p>
    <w:p w:rsidR="004D5166" w:rsidRPr="00D93140" w:rsidRDefault="00D93140" w:rsidP="00E04174">
      <w:pPr>
        <w:pStyle w:val="Prrafodelista"/>
        <w:ind w:left="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 </w:t>
      </w:r>
    </w:p>
    <w:p w:rsidR="00B02BCB"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Ahora bien, la fa</w:t>
      </w:r>
      <w:r w:rsidRPr="00D93140">
        <w:rPr>
          <w:rFonts w:ascii="Times New Roman" w:hAnsi="Times New Roman"/>
          <w:sz w:val="28"/>
          <w:szCs w:val="28"/>
          <w:u w:color="000000"/>
          <w:bdr w:val="nil"/>
        </w:rPr>
        <w:t xml:space="preserve">lta de </w:t>
      </w:r>
      <w:r w:rsidRPr="00D93140">
        <w:rPr>
          <w:rFonts w:ascii="Times New Roman" w:hAnsi="Times New Roman"/>
          <w:i/>
          <w:sz w:val="28"/>
          <w:szCs w:val="28"/>
          <w:u w:color="000000"/>
          <w:bdr w:val="nil"/>
        </w:rPr>
        <w:t>certeza</w:t>
      </w:r>
      <w:r w:rsidRPr="00D93140">
        <w:rPr>
          <w:rFonts w:ascii="Times New Roman" w:hAnsi="Times New Roman"/>
          <w:sz w:val="28"/>
          <w:szCs w:val="28"/>
          <w:u w:color="000000"/>
          <w:bdr w:val="nil"/>
        </w:rPr>
        <w:t xml:space="preserve"> del cargo, repercute en el incumplimiento de los requisitos de </w:t>
      </w:r>
      <w:r w:rsidRPr="00D93140">
        <w:rPr>
          <w:rFonts w:ascii="Times New Roman" w:hAnsi="Times New Roman"/>
          <w:i/>
          <w:sz w:val="28"/>
          <w:szCs w:val="28"/>
          <w:u w:color="000000"/>
          <w:bdr w:val="nil"/>
        </w:rPr>
        <w:t>especificidad</w:t>
      </w:r>
      <w:r w:rsidRPr="00D93140">
        <w:rPr>
          <w:rFonts w:ascii="Times New Roman" w:hAnsi="Times New Roman"/>
          <w:sz w:val="28"/>
          <w:szCs w:val="28"/>
          <w:u w:color="000000"/>
          <w:bdr w:val="nil"/>
        </w:rPr>
        <w:t xml:space="preserve"> y de </w:t>
      </w:r>
      <w:r w:rsidRPr="00D93140">
        <w:rPr>
          <w:rFonts w:ascii="Times New Roman" w:hAnsi="Times New Roman"/>
          <w:i/>
          <w:sz w:val="28"/>
          <w:szCs w:val="28"/>
          <w:u w:color="000000"/>
          <w:bdr w:val="nil"/>
        </w:rPr>
        <w:t>pertinencia</w:t>
      </w:r>
      <w:r w:rsidRPr="00D93140">
        <w:rPr>
          <w:rFonts w:ascii="Times New Roman" w:hAnsi="Times New Roman"/>
          <w:sz w:val="28"/>
          <w:szCs w:val="28"/>
          <w:u w:color="000000"/>
          <w:bdr w:val="nil"/>
        </w:rPr>
        <w:t>. Esto, por cuanto no se advierten argumentos que confronten objetivamente las normas constitucionales alegadas como vulneradas. No explica el actor, por qué, a pesar del reconocimiento que la misma Constitución y la jurisprudencia han hecho en materia amb</w:t>
      </w:r>
      <w:r w:rsidRPr="00D93140">
        <w:rPr>
          <w:rFonts w:ascii="Times New Roman" w:hAnsi="Times New Roman"/>
          <w:sz w:val="28"/>
          <w:szCs w:val="28"/>
          <w:u w:color="000000"/>
          <w:bdr w:val="nil"/>
        </w:rPr>
        <w:t xml:space="preserve">iental </w:t>
      </w:r>
      <w:r w:rsidRPr="00D93140">
        <w:rPr>
          <w:rFonts w:ascii="Times New Roman" w:hAnsi="Times New Roman"/>
          <w:sz w:val="28"/>
          <w:szCs w:val="28"/>
          <w:u w:color="000000"/>
          <w:bdr w:val="nil"/>
        </w:rPr>
        <w:t>a los pueblos indígenas, no es posible que ejerzan estas competencias en sus territorios de manera coordinada con las autoridades ambientales que componen el SINA</w:t>
      </w:r>
      <w:r w:rsidRPr="00D93140">
        <w:rPr>
          <w:rFonts w:ascii="Times New Roman" w:hAnsi="Times New Roman"/>
          <w:sz w:val="28"/>
          <w:szCs w:val="28"/>
          <w:u w:color="000000"/>
          <w:bdr w:val="nil"/>
        </w:rPr>
        <w:t xml:space="preserve"> o por qué, a pesar de la claridad de las normas habilitantes en materia ambiental, </w:t>
      </w:r>
      <w:r w:rsidRPr="00D93140">
        <w:rPr>
          <w:rFonts w:ascii="Times New Roman" w:hAnsi="Times New Roman"/>
          <w:sz w:val="28"/>
          <w:szCs w:val="28"/>
          <w:u w:color="000000"/>
          <w:bdr w:val="nil"/>
        </w:rPr>
        <w:t xml:space="preserve">se </w:t>
      </w:r>
      <w:r w:rsidRPr="00D93140">
        <w:rPr>
          <w:rFonts w:ascii="Times New Roman" w:hAnsi="Times New Roman"/>
          <w:sz w:val="28"/>
          <w:szCs w:val="28"/>
          <w:u w:color="000000"/>
          <w:bdr w:val="nil"/>
        </w:rPr>
        <w:t xml:space="preserve">verifique que </w:t>
      </w:r>
      <w:r w:rsidRPr="00D93140">
        <w:rPr>
          <w:rFonts w:ascii="Times New Roman" w:hAnsi="Times New Roman"/>
          <w:sz w:val="28"/>
          <w:szCs w:val="28"/>
          <w:u w:color="000000"/>
          <w:bdr w:val="nil"/>
        </w:rPr>
        <w:t xml:space="preserve">incluso, dentro de sus territorios, tal competencia pueda ejercerse de manera absoluta y excluyente. Por lo tanto, sus argumentos </w:t>
      </w:r>
      <w:r w:rsidRPr="00D93140">
        <w:rPr>
          <w:rFonts w:ascii="Times New Roman" w:hAnsi="Times New Roman"/>
          <w:sz w:val="28"/>
          <w:szCs w:val="28"/>
          <w:u w:color="000000"/>
          <w:bdr w:val="nil"/>
        </w:rPr>
        <w:t xml:space="preserve">no solo </w:t>
      </w:r>
      <w:r w:rsidRPr="00D93140">
        <w:rPr>
          <w:rFonts w:ascii="Times New Roman" w:hAnsi="Times New Roman"/>
          <w:sz w:val="28"/>
          <w:szCs w:val="28"/>
          <w:u w:color="000000"/>
          <w:bdr w:val="nil"/>
        </w:rPr>
        <w:t xml:space="preserve">parten de una interpretación y de una lectura subjetiva </w:t>
      </w:r>
      <w:r w:rsidRPr="00D93140">
        <w:rPr>
          <w:rFonts w:ascii="Times New Roman" w:hAnsi="Times New Roman"/>
          <w:sz w:val="28"/>
          <w:szCs w:val="28"/>
          <w:u w:color="000000"/>
          <w:bdr w:val="nil"/>
        </w:rPr>
        <w:t xml:space="preserve">del </w:t>
      </w:r>
      <w:r w:rsidRPr="00D93140">
        <w:rPr>
          <w:rFonts w:ascii="Times New Roman" w:hAnsi="Times New Roman"/>
          <w:sz w:val="28"/>
          <w:szCs w:val="28"/>
          <w:u w:color="000000"/>
          <w:bdr w:val="nil"/>
        </w:rPr>
        <w:t>Decreto 1275 de 2024</w:t>
      </w:r>
      <w:r w:rsidRPr="00D93140">
        <w:rPr>
          <w:rFonts w:ascii="Times New Roman" w:hAnsi="Times New Roman"/>
          <w:sz w:val="28"/>
          <w:szCs w:val="28"/>
          <w:u w:color="000000"/>
          <w:bdr w:val="nil"/>
        </w:rPr>
        <w:t xml:space="preserve"> sino </w:t>
      </w:r>
      <w:r w:rsidRPr="00D93140">
        <w:rPr>
          <w:rFonts w:ascii="Times New Roman" w:hAnsi="Times New Roman"/>
          <w:sz w:val="28"/>
          <w:szCs w:val="28"/>
          <w:u w:color="000000"/>
          <w:bdr w:val="nil"/>
        </w:rPr>
        <w:t>que,</w:t>
      </w:r>
      <w:r w:rsidRPr="00D93140">
        <w:rPr>
          <w:rFonts w:ascii="Times New Roman" w:hAnsi="Times New Roman"/>
          <w:sz w:val="28"/>
          <w:szCs w:val="28"/>
          <w:u w:color="000000"/>
          <w:bdr w:val="nil"/>
        </w:rPr>
        <w:t xml:space="preserve"> además, plant</w:t>
      </w:r>
      <w:r w:rsidRPr="00D93140">
        <w:rPr>
          <w:rFonts w:ascii="Times New Roman" w:hAnsi="Times New Roman"/>
          <w:sz w:val="28"/>
          <w:szCs w:val="28"/>
          <w:u w:color="000000"/>
          <w:bdr w:val="nil"/>
        </w:rPr>
        <w:t xml:space="preserve">ean </w:t>
      </w:r>
      <w:r w:rsidRPr="00D93140">
        <w:rPr>
          <w:rFonts w:ascii="Times New Roman" w:hAnsi="Times New Roman"/>
          <w:sz w:val="28"/>
          <w:szCs w:val="28"/>
          <w:u w:color="000000"/>
          <w:bdr w:val="nil"/>
        </w:rPr>
        <w:t>escenarios hipotéticos en los que asume un despojo de competencias ambientales a las CAR y a las demás autoridades ambientales</w:t>
      </w:r>
      <w:r w:rsidRPr="00D93140">
        <w:rPr>
          <w:rFonts w:ascii="Times New Roman" w:hAnsi="Times New Roman"/>
          <w:sz w:val="28"/>
          <w:szCs w:val="28"/>
          <w:u w:color="000000"/>
          <w:bdr w:val="nil"/>
        </w:rPr>
        <w:t xml:space="preserve"> en temas puntuales como</w:t>
      </w:r>
      <w:r w:rsidRPr="00D93140">
        <w:rPr>
          <w:rFonts w:ascii="Times New Roman" w:hAnsi="Times New Roman"/>
          <w:sz w:val="28"/>
          <w:szCs w:val="28"/>
          <w:u w:color="000000"/>
          <w:bdr w:val="nil"/>
        </w:rPr>
        <w:t>, por ejemplo,</w:t>
      </w:r>
      <w:r w:rsidRPr="00D93140">
        <w:rPr>
          <w:rFonts w:ascii="Times New Roman" w:hAnsi="Times New Roman"/>
          <w:sz w:val="28"/>
          <w:szCs w:val="28"/>
          <w:u w:color="000000"/>
          <w:bdr w:val="nil"/>
        </w:rPr>
        <w:t xml:space="preserve"> el otorgamiento de licencias ambientales</w:t>
      </w:r>
      <w:r w:rsidRPr="00D93140">
        <w:rPr>
          <w:rFonts w:ascii="Times New Roman" w:hAnsi="Times New Roman"/>
          <w:sz w:val="28"/>
          <w:szCs w:val="28"/>
          <w:u w:color="000000"/>
          <w:bdr w:val="nil"/>
        </w:rPr>
        <w:t>, el cual</w:t>
      </w:r>
      <w:r w:rsidRPr="00D93140">
        <w:rPr>
          <w:rFonts w:ascii="Times New Roman" w:hAnsi="Times New Roman"/>
          <w:sz w:val="28"/>
          <w:szCs w:val="28"/>
          <w:u w:color="000000"/>
          <w:bdr w:val="nil"/>
        </w:rPr>
        <w:t xml:space="preserve"> no está</w:t>
      </w:r>
      <w:r w:rsidRPr="00D93140">
        <w:rPr>
          <w:rFonts w:ascii="Times New Roman" w:hAnsi="Times New Roman"/>
          <w:sz w:val="28"/>
          <w:szCs w:val="28"/>
          <w:u w:color="000000"/>
          <w:bdr w:val="nil"/>
        </w:rPr>
        <w:t xml:space="preserve"> referenciado </w:t>
      </w:r>
      <w:r w:rsidRPr="00D93140">
        <w:rPr>
          <w:rFonts w:ascii="Times New Roman" w:hAnsi="Times New Roman"/>
          <w:sz w:val="28"/>
          <w:szCs w:val="28"/>
          <w:u w:color="000000"/>
          <w:bdr w:val="nil"/>
        </w:rPr>
        <w:t>en el citado dec</w:t>
      </w:r>
      <w:r w:rsidRPr="00D93140">
        <w:rPr>
          <w:rFonts w:ascii="Times New Roman" w:hAnsi="Times New Roman"/>
          <w:sz w:val="28"/>
          <w:szCs w:val="28"/>
          <w:u w:color="000000"/>
          <w:bdr w:val="nil"/>
        </w:rPr>
        <w:t>reto</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En este cargo, a pesar de señalar las normas que considera contrarias a la Constitución, las razones expuestas se encaminan a afirma</w:t>
      </w:r>
      <w:r w:rsidRPr="00D93140">
        <w:rPr>
          <w:rFonts w:ascii="Times New Roman" w:hAnsi="Times New Roman"/>
          <w:sz w:val="28"/>
          <w:szCs w:val="28"/>
          <w:u w:color="000000"/>
          <w:bdr w:val="nil"/>
        </w:rPr>
        <w:t>r</w:t>
      </w:r>
      <w:r w:rsidRPr="00D93140">
        <w:rPr>
          <w:rFonts w:ascii="Times New Roman" w:hAnsi="Times New Roman"/>
          <w:sz w:val="28"/>
          <w:szCs w:val="28"/>
          <w:u w:color="000000"/>
          <w:bdr w:val="nil"/>
        </w:rPr>
        <w:t xml:space="preserve"> que el decreto trasfiere o sustituye funciones </w:t>
      </w:r>
      <w:r w:rsidRPr="00D93140">
        <w:rPr>
          <w:rFonts w:ascii="Times New Roman" w:hAnsi="Times New Roman"/>
          <w:sz w:val="28"/>
          <w:szCs w:val="28"/>
          <w:u w:color="000000"/>
          <w:bdr w:val="nil"/>
        </w:rPr>
        <w:t>ambientales,</w:t>
      </w:r>
      <w:r w:rsidRPr="00D93140">
        <w:rPr>
          <w:rFonts w:ascii="Times New Roman" w:hAnsi="Times New Roman"/>
          <w:sz w:val="28"/>
          <w:szCs w:val="28"/>
          <w:u w:color="000000"/>
          <w:bdr w:val="nil"/>
        </w:rPr>
        <w:t xml:space="preserve"> pero no demuestra cómo puede presentarse tal vaciamiento</w:t>
      </w:r>
      <w:r w:rsidRPr="00D93140">
        <w:rPr>
          <w:rFonts w:ascii="Times New Roman" w:hAnsi="Times New Roman"/>
          <w:sz w:val="28"/>
          <w:szCs w:val="28"/>
          <w:u w:color="000000"/>
          <w:bdr w:val="nil"/>
        </w:rPr>
        <w:t xml:space="preserve"> cuando las normas textualmente promueven una coordinación entre las autoridades indígenas y las ambientales estatales.</w:t>
      </w:r>
    </w:p>
    <w:p w:rsidR="00D82B61" w:rsidRPr="00D93140" w:rsidRDefault="00D93140" w:rsidP="00E04174">
      <w:pPr>
        <w:pStyle w:val="Prrafodelista"/>
        <w:ind w:left="0"/>
        <w:jc w:val="both"/>
        <w:rPr>
          <w:rFonts w:ascii="Times New Roman" w:hAnsi="Times New Roman"/>
          <w:sz w:val="28"/>
          <w:szCs w:val="28"/>
          <w:u w:color="000000"/>
          <w:bdr w:val="nil"/>
        </w:rPr>
      </w:pPr>
    </w:p>
    <w:p w:rsidR="002A14B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i/>
          <w:iCs/>
          <w:sz w:val="28"/>
          <w:szCs w:val="28"/>
        </w:rPr>
        <w:t>Análisis de a</w:t>
      </w:r>
      <w:r w:rsidRPr="00D93140">
        <w:rPr>
          <w:rFonts w:ascii="Times New Roman" w:hAnsi="Times New Roman"/>
          <w:i/>
          <w:iCs/>
          <w:sz w:val="28"/>
          <w:szCs w:val="28"/>
          <w:u w:color="000000"/>
          <w:bdr w:val="nil"/>
        </w:rPr>
        <w:t>ptitud del cargo relacionado con la vulneración del artículo 229 de la Constitución (cargo cuarto expediente D-16396).</w:t>
      </w:r>
      <w:r w:rsidRPr="00D93140">
        <w:rPr>
          <w:rFonts w:ascii="Times New Roman" w:hAnsi="Times New Roman"/>
          <w:iCs/>
          <w:sz w:val="28"/>
          <w:szCs w:val="28"/>
          <w:u w:color="000000"/>
          <w:bdr w:val="nil"/>
        </w:rPr>
        <w:t xml:space="preserve"> En criterio del actor, </w:t>
      </w:r>
      <w:r w:rsidRPr="00D93140">
        <w:rPr>
          <w:rFonts w:ascii="Times New Roman" w:hAnsi="Times New Roman"/>
          <w:iCs/>
          <w:sz w:val="28"/>
          <w:szCs w:val="28"/>
          <w:u w:color="000000"/>
          <w:bdr w:val="nil"/>
        </w:rPr>
        <w:t>las atribuciones ambientales a las autoridades indígenas comportan</w:t>
      </w:r>
      <w:r w:rsidRPr="00D93140">
        <w:rPr>
          <w:rFonts w:ascii="Times New Roman" w:hAnsi="Times New Roman"/>
          <w:iCs/>
          <w:sz w:val="28"/>
          <w:szCs w:val="28"/>
          <w:u w:color="000000"/>
          <w:bdr w:val="nil"/>
        </w:rPr>
        <w:t xml:space="preserve"> la expedición </w:t>
      </w:r>
      <w:r w:rsidRPr="00D93140">
        <w:rPr>
          <w:rFonts w:ascii="Times New Roman" w:hAnsi="Times New Roman"/>
          <w:sz w:val="28"/>
          <w:szCs w:val="28"/>
        </w:rPr>
        <w:t xml:space="preserve">de actos generales y actos particulares, sin especificar </w:t>
      </w:r>
      <w:r w:rsidRPr="00D93140">
        <w:rPr>
          <w:rFonts w:ascii="Times New Roman" w:hAnsi="Times New Roman"/>
          <w:sz w:val="28"/>
          <w:szCs w:val="28"/>
        </w:rPr>
        <w:t xml:space="preserve">la calidad de los mismos, si son susceptibles de control jurisdiccional o </w:t>
      </w:r>
      <w:r w:rsidRPr="00D93140">
        <w:rPr>
          <w:rFonts w:ascii="Times New Roman" w:hAnsi="Times New Roman"/>
          <w:sz w:val="28"/>
          <w:szCs w:val="28"/>
        </w:rPr>
        <w:t>si estos actos se su</w:t>
      </w:r>
      <w:r w:rsidRPr="00D93140">
        <w:rPr>
          <w:rFonts w:ascii="Times New Roman" w:hAnsi="Times New Roman"/>
          <w:sz w:val="28"/>
          <w:szCs w:val="28"/>
        </w:rPr>
        <w:t>jetan a la Constitución y la ley</w:t>
      </w:r>
      <w:r w:rsidRPr="00D93140">
        <w:rPr>
          <w:rFonts w:ascii="Times New Roman" w:hAnsi="Times New Roman"/>
          <w:sz w:val="28"/>
          <w:szCs w:val="28"/>
        </w:rPr>
        <w:t xml:space="preserve">. Así, al </w:t>
      </w:r>
      <w:r w:rsidRPr="00D93140">
        <w:rPr>
          <w:rFonts w:ascii="Times New Roman" w:hAnsi="Times New Roman"/>
          <w:sz w:val="28"/>
          <w:szCs w:val="28"/>
        </w:rPr>
        <w:t>considera</w:t>
      </w:r>
      <w:r w:rsidRPr="00D93140">
        <w:rPr>
          <w:rFonts w:ascii="Times New Roman" w:hAnsi="Times New Roman"/>
          <w:sz w:val="28"/>
          <w:szCs w:val="28"/>
        </w:rPr>
        <w:t>r</w:t>
      </w:r>
      <w:r w:rsidRPr="00D93140">
        <w:rPr>
          <w:rFonts w:ascii="Times New Roman" w:hAnsi="Times New Roman"/>
          <w:sz w:val="28"/>
          <w:szCs w:val="28"/>
        </w:rPr>
        <w:t xml:space="preserve"> que estas competencias ambientales afectan a todas las personas – indígenas o no – que pretendan realizar actividades en amplias extensiones del territorio nacional</w:t>
      </w:r>
      <w:r w:rsidRPr="00D93140">
        <w:rPr>
          <w:rFonts w:ascii="Times New Roman" w:hAnsi="Times New Roman"/>
          <w:sz w:val="28"/>
          <w:szCs w:val="28"/>
        </w:rPr>
        <w:t xml:space="preserve">, estas se verían </w:t>
      </w:r>
      <w:r w:rsidRPr="00D93140">
        <w:rPr>
          <w:rFonts w:ascii="Times New Roman" w:hAnsi="Times New Roman"/>
          <w:sz w:val="28"/>
          <w:szCs w:val="28"/>
        </w:rPr>
        <w:t>desprovistas del dere</w:t>
      </w:r>
      <w:r w:rsidRPr="00D93140">
        <w:rPr>
          <w:rFonts w:ascii="Times New Roman" w:hAnsi="Times New Roman"/>
          <w:sz w:val="28"/>
          <w:szCs w:val="28"/>
        </w:rPr>
        <w:t>cho de acceso a la administración de justicia, al no contar con un procedimiento para controvertir los eventuales actos administrativos que expedirán estas autoridades indígenas.</w:t>
      </w:r>
    </w:p>
    <w:p w:rsidR="002A14BE" w:rsidRPr="00D93140" w:rsidRDefault="00D93140" w:rsidP="00E04174">
      <w:pPr>
        <w:pStyle w:val="Prrafodelista"/>
        <w:ind w:left="0"/>
        <w:jc w:val="both"/>
        <w:rPr>
          <w:rFonts w:ascii="Times New Roman" w:hAnsi="Times New Roman"/>
          <w:sz w:val="28"/>
          <w:szCs w:val="28"/>
          <w:u w:color="000000"/>
          <w:bdr w:val="nil"/>
        </w:rPr>
      </w:pPr>
    </w:p>
    <w:p w:rsidR="002A14B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La Sala Plena considera que el cargo</w:t>
      </w:r>
      <w:r w:rsidRPr="00D93140">
        <w:rPr>
          <w:rFonts w:ascii="Times New Roman" w:hAnsi="Times New Roman"/>
          <w:sz w:val="28"/>
          <w:szCs w:val="28"/>
        </w:rPr>
        <w:t xml:space="preserve"> cumple con los presupuestos exigidos en</w:t>
      </w:r>
      <w:r w:rsidRPr="00D93140">
        <w:rPr>
          <w:rFonts w:ascii="Times New Roman" w:hAnsi="Times New Roman"/>
          <w:sz w:val="28"/>
          <w:szCs w:val="28"/>
        </w:rPr>
        <w:t xml:space="preserve"> la medida en que los argumentos expuestos son </w:t>
      </w:r>
      <w:r w:rsidRPr="00D93140">
        <w:rPr>
          <w:rFonts w:ascii="Times New Roman" w:hAnsi="Times New Roman"/>
          <w:i/>
          <w:sz w:val="28"/>
          <w:szCs w:val="28"/>
        </w:rPr>
        <w:t>claros</w:t>
      </w:r>
      <w:r w:rsidRPr="00D93140">
        <w:rPr>
          <w:rFonts w:ascii="Times New Roman" w:hAnsi="Times New Roman"/>
          <w:sz w:val="28"/>
          <w:szCs w:val="28"/>
        </w:rPr>
        <w:t xml:space="preserve">, al seguir un hilo conductor que permite comprenderlos; son ciertos al recaer sobre una proposición jurídica real y existente cuyo contenido es verificable; </w:t>
      </w:r>
      <w:r w:rsidRPr="00D93140">
        <w:rPr>
          <w:rFonts w:ascii="Times New Roman" w:hAnsi="Times New Roman"/>
          <w:sz w:val="28"/>
          <w:szCs w:val="28"/>
        </w:rPr>
        <w:t xml:space="preserve">los argumentos </w:t>
      </w:r>
      <w:r w:rsidRPr="00D93140">
        <w:rPr>
          <w:rFonts w:ascii="Times New Roman" w:hAnsi="Times New Roman"/>
          <w:sz w:val="28"/>
          <w:szCs w:val="28"/>
        </w:rPr>
        <w:t xml:space="preserve">son </w:t>
      </w:r>
      <w:r w:rsidRPr="00D93140">
        <w:rPr>
          <w:rFonts w:ascii="Times New Roman" w:hAnsi="Times New Roman"/>
          <w:i/>
          <w:sz w:val="28"/>
          <w:szCs w:val="28"/>
        </w:rPr>
        <w:t>específicos</w:t>
      </w:r>
      <w:r w:rsidRPr="00D93140">
        <w:rPr>
          <w:rFonts w:ascii="Times New Roman" w:hAnsi="Times New Roman"/>
          <w:sz w:val="28"/>
          <w:szCs w:val="28"/>
        </w:rPr>
        <w:t>, porque define</w:t>
      </w:r>
      <w:r w:rsidRPr="00D93140">
        <w:rPr>
          <w:rFonts w:ascii="Times New Roman" w:hAnsi="Times New Roman"/>
          <w:sz w:val="28"/>
          <w:szCs w:val="28"/>
        </w:rPr>
        <w:t>n</w:t>
      </w:r>
      <w:r w:rsidRPr="00D93140">
        <w:rPr>
          <w:rFonts w:ascii="Times New Roman" w:hAnsi="Times New Roman"/>
          <w:sz w:val="28"/>
          <w:szCs w:val="28"/>
        </w:rPr>
        <w:t xml:space="preserve"> la manera en que l</w:t>
      </w:r>
      <w:r w:rsidRPr="00D93140">
        <w:rPr>
          <w:rFonts w:ascii="Times New Roman" w:hAnsi="Times New Roman"/>
          <w:sz w:val="28"/>
          <w:szCs w:val="28"/>
        </w:rPr>
        <w:t xml:space="preserve">os artículos 5 y 6 del decreto </w:t>
      </w:r>
      <w:r w:rsidRPr="00D93140">
        <w:rPr>
          <w:rFonts w:ascii="Times New Roman" w:hAnsi="Times New Roman"/>
          <w:sz w:val="28"/>
          <w:szCs w:val="28"/>
        </w:rPr>
        <w:t>desconocería</w:t>
      </w:r>
      <w:r w:rsidRPr="00D93140">
        <w:rPr>
          <w:rFonts w:ascii="Times New Roman" w:hAnsi="Times New Roman"/>
          <w:sz w:val="28"/>
          <w:szCs w:val="28"/>
        </w:rPr>
        <w:t>n</w:t>
      </w:r>
      <w:r w:rsidRPr="00D93140">
        <w:rPr>
          <w:rFonts w:ascii="Times New Roman" w:hAnsi="Times New Roman"/>
          <w:sz w:val="28"/>
          <w:szCs w:val="28"/>
        </w:rPr>
        <w:t xml:space="preserve"> </w:t>
      </w:r>
      <w:r w:rsidRPr="00D93140">
        <w:rPr>
          <w:rFonts w:ascii="Times New Roman" w:hAnsi="Times New Roman"/>
          <w:sz w:val="28"/>
          <w:szCs w:val="28"/>
        </w:rPr>
        <w:t>el artículo 229 superior</w:t>
      </w:r>
      <w:r w:rsidRPr="00D93140">
        <w:rPr>
          <w:rFonts w:ascii="Times New Roman" w:hAnsi="Times New Roman"/>
          <w:sz w:val="28"/>
          <w:szCs w:val="28"/>
        </w:rPr>
        <w:t xml:space="preserve">; </w:t>
      </w:r>
      <w:r w:rsidRPr="00D93140">
        <w:rPr>
          <w:rFonts w:ascii="Times New Roman" w:hAnsi="Times New Roman"/>
          <w:sz w:val="28"/>
          <w:szCs w:val="28"/>
        </w:rPr>
        <w:t xml:space="preserve">son </w:t>
      </w:r>
      <w:r w:rsidRPr="00D93140">
        <w:rPr>
          <w:rFonts w:ascii="Times New Roman" w:hAnsi="Times New Roman"/>
          <w:i/>
          <w:sz w:val="28"/>
          <w:szCs w:val="28"/>
        </w:rPr>
        <w:t>pertinentes</w:t>
      </w:r>
      <w:r w:rsidRPr="00D93140">
        <w:rPr>
          <w:rFonts w:ascii="Times New Roman" w:hAnsi="Times New Roman"/>
          <w:sz w:val="28"/>
          <w:szCs w:val="28"/>
        </w:rPr>
        <w:t xml:space="preserve">, </w:t>
      </w:r>
      <w:r w:rsidRPr="00D93140">
        <w:rPr>
          <w:rFonts w:ascii="Times New Roman" w:hAnsi="Times New Roman"/>
          <w:sz w:val="28"/>
          <w:szCs w:val="28"/>
        </w:rPr>
        <w:t xml:space="preserve">al plantear un </w:t>
      </w:r>
      <w:r w:rsidRPr="00D93140">
        <w:rPr>
          <w:rFonts w:ascii="Times New Roman" w:hAnsi="Times New Roman"/>
          <w:sz w:val="28"/>
          <w:szCs w:val="28"/>
        </w:rPr>
        <w:t>reproche de naturaleza constitucional</w:t>
      </w:r>
      <w:r w:rsidRPr="00D93140">
        <w:rPr>
          <w:rFonts w:ascii="Times New Roman" w:hAnsi="Times New Roman"/>
          <w:sz w:val="28"/>
          <w:szCs w:val="28"/>
        </w:rPr>
        <w:t xml:space="preserve">. La lectura de dichos artículos permite advertir </w:t>
      </w:r>
      <w:r w:rsidRPr="00D93140">
        <w:rPr>
          <w:rFonts w:ascii="Times New Roman" w:hAnsi="Times New Roman"/>
          <w:i/>
          <w:sz w:val="28"/>
          <w:szCs w:val="28"/>
        </w:rPr>
        <w:t>prima facie</w:t>
      </w:r>
      <w:r w:rsidRPr="00D93140">
        <w:rPr>
          <w:rFonts w:ascii="Times New Roman" w:hAnsi="Times New Roman"/>
          <w:sz w:val="28"/>
          <w:szCs w:val="28"/>
        </w:rPr>
        <w:t xml:space="preserve"> que no se contemplan mecanismos que permitan controvertir las decisiones adoptadas en virtud de las competencias otorgadas a las autoridades indígenas</w:t>
      </w:r>
      <w:r w:rsidRPr="00D93140">
        <w:rPr>
          <w:rFonts w:ascii="Times New Roman" w:hAnsi="Times New Roman"/>
          <w:sz w:val="28"/>
          <w:szCs w:val="28"/>
        </w:rPr>
        <w:t xml:space="preserve">; y </w:t>
      </w:r>
      <w:r w:rsidRPr="00D93140">
        <w:rPr>
          <w:rFonts w:ascii="Times New Roman" w:hAnsi="Times New Roman"/>
          <w:i/>
          <w:sz w:val="28"/>
          <w:szCs w:val="28"/>
        </w:rPr>
        <w:t>suficiente</w:t>
      </w:r>
      <w:r w:rsidRPr="00D93140">
        <w:rPr>
          <w:rFonts w:ascii="Times New Roman" w:hAnsi="Times New Roman"/>
          <w:i/>
          <w:sz w:val="28"/>
          <w:szCs w:val="28"/>
        </w:rPr>
        <w:t>s</w:t>
      </w:r>
      <w:r w:rsidRPr="00D93140">
        <w:rPr>
          <w:rFonts w:ascii="Times New Roman" w:hAnsi="Times New Roman"/>
          <w:sz w:val="28"/>
          <w:szCs w:val="28"/>
        </w:rPr>
        <w:t>, porque logra despertar una duda mínima sobre la constitucionalidad de la</w:t>
      </w:r>
      <w:r w:rsidRPr="00D93140">
        <w:rPr>
          <w:rFonts w:ascii="Times New Roman" w:hAnsi="Times New Roman"/>
          <w:sz w:val="28"/>
          <w:szCs w:val="28"/>
        </w:rPr>
        <w:t>s</w:t>
      </w:r>
      <w:r w:rsidRPr="00D93140">
        <w:rPr>
          <w:rFonts w:ascii="Times New Roman" w:hAnsi="Times New Roman"/>
          <w:sz w:val="28"/>
          <w:szCs w:val="28"/>
        </w:rPr>
        <w:t xml:space="preserve"> norma</w:t>
      </w:r>
      <w:r w:rsidRPr="00D93140">
        <w:rPr>
          <w:rFonts w:ascii="Times New Roman" w:hAnsi="Times New Roman"/>
          <w:sz w:val="28"/>
          <w:szCs w:val="28"/>
        </w:rPr>
        <w:t>s</w:t>
      </w:r>
      <w:r w:rsidRPr="00D93140">
        <w:rPr>
          <w:rFonts w:ascii="Times New Roman" w:hAnsi="Times New Roman"/>
          <w:sz w:val="28"/>
          <w:szCs w:val="28"/>
        </w:rPr>
        <w:t xml:space="preserve"> impugna</w:t>
      </w:r>
      <w:r w:rsidRPr="00D93140">
        <w:rPr>
          <w:rFonts w:ascii="Times New Roman" w:hAnsi="Times New Roman"/>
          <w:sz w:val="28"/>
          <w:szCs w:val="28"/>
        </w:rPr>
        <w:t>da</w:t>
      </w:r>
      <w:r w:rsidRPr="00D93140">
        <w:rPr>
          <w:rFonts w:ascii="Times New Roman" w:hAnsi="Times New Roman"/>
          <w:sz w:val="28"/>
          <w:szCs w:val="28"/>
        </w:rPr>
        <w:t>s</w:t>
      </w:r>
      <w:r w:rsidRPr="00D93140">
        <w:rPr>
          <w:rFonts w:ascii="Times New Roman" w:hAnsi="Times New Roman"/>
          <w:sz w:val="28"/>
          <w:szCs w:val="28"/>
        </w:rPr>
        <w:t>.</w:t>
      </w:r>
    </w:p>
    <w:p w:rsidR="001E55C4" w:rsidRPr="00D93140" w:rsidRDefault="00D93140" w:rsidP="00E04174">
      <w:pPr>
        <w:pStyle w:val="Prrafodelista"/>
        <w:ind w:left="0"/>
        <w:jc w:val="both"/>
        <w:rPr>
          <w:rFonts w:ascii="Times New Roman" w:hAnsi="Times New Roman"/>
          <w:sz w:val="28"/>
          <w:szCs w:val="28"/>
        </w:rPr>
      </w:pPr>
    </w:p>
    <w:p w:rsidR="007F145D"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De conformidad con lo expuesto, la Sala Plena se declarará inhibida respecto de los cargos presentados y relacionados previamente como: (i) cargos primero del expediente D-16345 y tercero del expediente D-16396; (ii) </w:t>
      </w:r>
      <w:r w:rsidRPr="00D93140">
        <w:rPr>
          <w:rFonts w:ascii="Times New Roman" w:hAnsi="Times New Roman"/>
          <w:sz w:val="28"/>
          <w:szCs w:val="28"/>
        </w:rPr>
        <w:t>primero del expediente D-16396; (</w:t>
      </w:r>
      <w:r w:rsidRPr="00D93140">
        <w:rPr>
          <w:rFonts w:ascii="Times New Roman" w:hAnsi="Times New Roman"/>
          <w:sz w:val="28"/>
          <w:szCs w:val="28"/>
        </w:rPr>
        <w:t xml:space="preserve">iii) </w:t>
      </w:r>
      <w:r w:rsidRPr="00D93140">
        <w:rPr>
          <w:rFonts w:ascii="Times New Roman" w:hAnsi="Times New Roman"/>
          <w:sz w:val="28"/>
          <w:szCs w:val="28"/>
        </w:rPr>
        <w:t>segundo del expediente D-16345; (i</w:t>
      </w:r>
      <w:r w:rsidRPr="00D93140">
        <w:rPr>
          <w:rFonts w:ascii="Times New Roman" w:hAnsi="Times New Roman"/>
          <w:sz w:val="28"/>
          <w:szCs w:val="28"/>
        </w:rPr>
        <w:t>v</w:t>
      </w:r>
      <w:r w:rsidRPr="00D93140">
        <w:rPr>
          <w:rFonts w:ascii="Times New Roman" w:hAnsi="Times New Roman"/>
          <w:sz w:val="28"/>
          <w:szCs w:val="28"/>
        </w:rPr>
        <w:t>) tercero del exp</w:t>
      </w:r>
      <w:r w:rsidRPr="00D93140">
        <w:rPr>
          <w:rFonts w:ascii="Times New Roman" w:hAnsi="Times New Roman"/>
          <w:sz w:val="28"/>
          <w:szCs w:val="28"/>
        </w:rPr>
        <w:t>ediente D-16345; (</w:t>
      </w:r>
      <w:r w:rsidRPr="00D93140">
        <w:rPr>
          <w:rFonts w:ascii="Times New Roman" w:hAnsi="Times New Roman"/>
          <w:sz w:val="28"/>
          <w:szCs w:val="28"/>
        </w:rPr>
        <w:t>v) cuarto del expediente D-16396; (v</w:t>
      </w:r>
      <w:r w:rsidRPr="00D93140">
        <w:rPr>
          <w:rFonts w:ascii="Times New Roman" w:hAnsi="Times New Roman"/>
          <w:sz w:val="28"/>
          <w:szCs w:val="28"/>
        </w:rPr>
        <w:t>i</w:t>
      </w:r>
      <w:r w:rsidRPr="00D93140">
        <w:rPr>
          <w:rFonts w:ascii="Times New Roman" w:hAnsi="Times New Roman"/>
          <w:sz w:val="28"/>
          <w:szCs w:val="28"/>
        </w:rPr>
        <w:t>) octavo del expediente D-16345.</w:t>
      </w:r>
    </w:p>
    <w:p w:rsidR="007F145D" w:rsidRPr="00D93140" w:rsidRDefault="00D93140" w:rsidP="00E04174">
      <w:pPr>
        <w:pStyle w:val="Prrafodelista"/>
        <w:ind w:left="0"/>
        <w:jc w:val="both"/>
        <w:rPr>
          <w:rFonts w:ascii="Times New Roman" w:hAnsi="Times New Roman"/>
          <w:sz w:val="28"/>
          <w:szCs w:val="28"/>
        </w:rPr>
      </w:pPr>
    </w:p>
    <w:p w:rsidR="001E55C4"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consecuencia, se pronunciará respecto de los cargos que superaron el análisis de aptitud y que, p</w:t>
      </w:r>
      <w:r w:rsidRPr="00D93140">
        <w:rPr>
          <w:rFonts w:ascii="Times New Roman" w:hAnsi="Times New Roman"/>
          <w:sz w:val="28"/>
          <w:szCs w:val="28"/>
        </w:rPr>
        <w:t xml:space="preserve">ara una mayor claridad, se </w:t>
      </w:r>
      <w:r w:rsidRPr="00D93140">
        <w:rPr>
          <w:rFonts w:ascii="Times New Roman" w:hAnsi="Times New Roman"/>
          <w:sz w:val="28"/>
          <w:szCs w:val="28"/>
        </w:rPr>
        <w:t>relacionarán e</w:t>
      </w:r>
      <w:r w:rsidRPr="00D93140">
        <w:rPr>
          <w:rFonts w:ascii="Times New Roman" w:hAnsi="Times New Roman"/>
          <w:sz w:val="28"/>
          <w:szCs w:val="28"/>
        </w:rPr>
        <w:t>n</w:t>
      </w:r>
      <w:r w:rsidRPr="00D93140">
        <w:rPr>
          <w:rFonts w:ascii="Times New Roman" w:hAnsi="Times New Roman"/>
          <w:sz w:val="28"/>
          <w:szCs w:val="28"/>
        </w:rPr>
        <w:t xml:space="preserve"> el siguiente cuadro, </w:t>
      </w:r>
      <w:r w:rsidRPr="00D93140">
        <w:rPr>
          <w:rFonts w:ascii="Times New Roman" w:hAnsi="Times New Roman"/>
          <w:sz w:val="28"/>
          <w:szCs w:val="28"/>
        </w:rPr>
        <w:t>para facilitar la identificación en el caso concreto:</w:t>
      </w:r>
    </w:p>
    <w:p w:rsidR="007F145D" w:rsidRPr="00D93140" w:rsidRDefault="00D93140" w:rsidP="00E04174">
      <w:pPr>
        <w:pStyle w:val="Prrafodelista"/>
        <w:ind w:left="0"/>
        <w:jc w:val="both"/>
        <w:rPr>
          <w:rFonts w:ascii="Times New Roman" w:hAnsi="Times New Roman"/>
          <w:sz w:val="28"/>
          <w:szCs w:val="28"/>
        </w:rPr>
      </w:pPr>
    </w:p>
    <w:tbl>
      <w:tblPr>
        <w:tblW w:w="8363"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3"/>
      </w:tblGrid>
      <w:tr w:rsidR="001E55C4" w:rsidRPr="00D93140" w:rsidTr="00D93140">
        <w:tc>
          <w:tcPr>
            <w:tcW w:w="8363" w:type="dxa"/>
            <w:shd w:val="clear" w:color="auto" w:fill="auto"/>
          </w:tcPr>
          <w:p w:rsidR="001E55C4" w:rsidRPr="00D93140" w:rsidRDefault="00D93140" w:rsidP="00D93140">
            <w:pPr>
              <w:jc w:val="center"/>
              <w:rPr>
                <w:rFonts w:ascii="Times New Roman" w:hAnsi="Times New Roman"/>
                <w:b/>
                <w:sz w:val="28"/>
                <w:szCs w:val="28"/>
              </w:rPr>
            </w:pPr>
            <w:r w:rsidRPr="00D93140">
              <w:rPr>
                <w:rFonts w:ascii="Times New Roman" w:hAnsi="Times New Roman"/>
                <w:b/>
                <w:sz w:val="28"/>
                <w:szCs w:val="28"/>
              </w:rPr>
              <w:t>Cargo</w:t>
            </w:r>
          </w:p>
        </w:tc>
      </w:tr>
      <w:tr w:rsidR="001E55C4" w:rsidRPr="00D93140" w:rsidTr="00D93140">
        <w:tc>
          <w:tcPr>
            <w:tcW w:w="8363" w:type="dxa"/>
            <w:shd w:val="clear" w:color="auto" w:fill="auto"/>
          </w:tcPr>
          <w:p w:rsidR="001E55C4" w:rsidRPr="00D93140" w:rsidRDefault="00D93140" w:rsidP="00D93140">
            <w:pPr>
              <w:jc w:val="both"/>
              <w:rPr>
                <w:rFonts w:ascii="Times New Roman" w:hAnsi="Times New Roman"/>
                <w:sz w:val="28"/>
                <w:szCs w:val="28"/>
              </w:rPr>
            </w:pPr>
            <w:r w:rsidRPr="00D93140">
              <w:rPr>
                <w:rFonts w:ascii="Times New Roman" w:hAnsi="Times New Roman"/>
                <w:b/>
                <w:sz w:val="28"/>
                <w:szCs w:val="28"/>
              </w:rPr>
              <w:t>Primero</w:t>
            </w:r>
            <w:r w:rsidRPr="00D93140">
              <w:rPr>
                <w:rFonts w:ascii="Times New Roman" w:hAnsi="Times New Roman"/>
                <w:sz w:val="28"/>
                <w:szCs w:val="28"/>
              </w:rPr>
              <w:t xml:space="preserve">: </w:t>
            </w:r>
            <w:r w:rsidRPr="00D93140">
              <w:rPr>
                <w:rFonts w:ascii="Times New Roman" w:hAnsi="Times New Roman"/>
                <w:iCs/>
                <w:sz w:val="28"/>
                <w:szCs w:val="28"/>
              </w:rPr>
              <w:t>vulneración del artículo 1 de la Constitución al modificar la definición del interés general.</w:t>
            </w:r>
          </w:p>
        </w:tc>
      </w:tr>
      <w:tr w:rsidR="001E55C4" w:rsidRPr="00D93140" w:rsidTr="00D93140">
        <w:tc>
          <w:tcPr>
            <w:tcW w:w="8363" w:type="dxa"/>
            <w:shd w:val="clear" w:color="auto" w:fill="auto"/>
          </w:tcPr>
          <w:p w:rsidR="001E55C4" w:rsidRPr="00D93140" w:rsidRDefault="00D93140" w:rsidP="00D93140">
            <w:pPr>
              <w:jc w:val="both"/>
              <w:rPr>
                <w:rFonts w:ascii="Times New Roman" w:hAnsi="Times New Roman"/>
                <w:sz w:val="28"/>
                <w:szCs w:val="28"/>
              </w:rPr>
            </w:pPr>
            <w:r w:rsidRPr="00D93140">
              <w:rPr>
                <w:rFonts w:ascii="Times New Roman" w:hAnsi="Times New Roman"/>
                <w:b/>
                <w:sz w:val="28"/>
                <w:szCs w:val="28"/>
              </w:rPr>
              <w:t>Segundo</w:t>
            </w:r>
            <w:r w:rsidRPr="00D93140">
              <w:rPr>
                <w:rFonts w:ascii="Times New Roman" w:hAnsi="Times New Roman"/>
                <w:sz w:val="28"/>
                <w:szCs w:val="28"/>
              </w:rPr>
              <w:t xml:space="preserve">: </w:t>
            </w:r>
            <w:r w:rsidRPr="00D93140">
              <w:rPr>
                <w:rFonts w:ascii="Times New Roman" w:hAnsi="Times New Roman"/>
                <w:iCs/>
                <w:sz w:val="28"/>
                <w:szCs w:val="28"/>
              </w:rPr>
              <w:t>vulneración del a</w:t>
            </w:r>
            <w:r w:rsidRPr="00D93140">
              <w:rPr>
                <w:rFonts w:ascii="Times New Roman" w:hAnsi="Times New Roman"/>
                <w:iCs/>
                <w:sz w:val="28"/>
                <w:szCs w:val="28"/>
              </w:rPr>
              <w:t>rtículo 29 de la Constitución al desconocer el debido proceso de terceros que no hacen parte de las comunidades indígenas.</w:t>
            </w:r>
          </w:p>
        </w:tc>
      </w:tr>
      <w:tr w:rsidR="00510807" w:rsidRPr="00D93140" w:rsidTr="00D93140">
        <w:tc>
          <w:tcPr>
            <w:tcW w:w="8363" w:type="dxa"/>
            <w:shd w:val="clear" w:color="auto" w:fill="auto"/>
          </w:tcPr>
          <w:p w:rsidR="001E55C4" w:rsidRPr="00D93140" w:rsidRDefault="00D93140" w:rsidP="00D93140">
            <w:pPr>
              <w:jc w:val="both"/>
              <w:rPr>
                <w:rFonts w:ascii="Times New Roman" w:hAnsi="Times New Roman"/>
                <w:sz w:val="28"/>
                <w:szCs w:val="28"/>
              </w:rPr>
            </w:pPr>
            <w:r w:rsidRPr="00D93140">
              <w:rPr>
                <w:rFonts w:ascii="Times New Roman" w:hAnsi="Times New Roman"/>
                <w:b/>
                <w:sz w:val="28"/>
                <w:szCs w:val="28"/>
              </w:rPr>
              <w:t>Tercero</w:t>
            </w:r>
            <w:r w:rsidRPr="00D93140">
              <w:rPr>
                <w:rFonts w:ascii="Times New Roman" w:hAnsi="Times New Roman"/>
                <w:sz w:val="28"/>
                <w:szCs w:val="28"/>
              </w:rPr>
              <w:t>:</w:t>
            </w:r>
            <w:r w:rsidRPr="00D93140">
              <w:rPr>
                <w:rFonts w:ascii="Times New Roman" w:hAnsi="Times New Roman"/>
                <w:sz w:val="28"/>
                <w:szCs w:val="28"/>
              </w:rPr>
              <w:t xml:space="preserve"> vulneración de los artículos 150.7, 325 y 331 de la Constitución Política, por desconocimiento del régimen de autonomía de las Corporaciones Autónomas Regionales.</w:t>
            </w:r>
          </w:p>
        </w:tc>
      </w:tr>
      <w:tr w:rsidR="001E55C4" w:rsidRPr="00D93140" w:rsidTr="00D93140">
        <w:tc>
          <w:tcPr>
            <w:tcW w:w="8363" w:type="dxa"/>
            <w:shd w:val="clear" w:color="auto" w:fill="auto"/>
          </w:tcPr>
          <w:p w:rsidR="001E55C4" w:rsidRPr="00D93140" w:rsidRDefault="00D93140" w:rsidP="00D93140">
            <w:pPr>
              <w:jc w:val="both"/>
              <w:rPr>
                <w:rFonts w:ascii="Times New Roman" w:hAnsi="Times New Roman"/>
                <w:sz w:val="28"/>
                <w:szCs w:val="28"/>
              </w:rPr>
            </w:pPr>
            <w:r w:rsidRPr="00D93140">
              <w:rPr>
                <w:rFonts w:ascii="Times New Roman" w:hAnsi="Times New Roman"/>
                <w:b/>
                <w:sz w:val="28"/>
                <w:szCs w:val="28"/>
              </w:rPr>
              <w:t>Cuarto</w:t>
            </w:r>
            <w:r w:rsidRPr="00D93140">
              <w:rPr>
                <w:rFonts w:ascii="Times New Roman" w:hAnsi="Times New Roman"/>
                <w:sz w:val="28"/>
                <w:szCs w:val="28"/>
              </w:rPr>
              <w:t xml:space="preserve">: Vulneración del artículo </w:t>
            </w:r>
            <w:r w:rsidRPr="00D93140">
              <w:rPr>
                <w:rFonts w:ascii="Times New Roman" w:hAnsi="Times New Roman"/>
                <w:sz w:val="28"/>
                <w:szCs w:val="28"/>
              </w:rPr>
              <w:t>229</w:t>
            </w:r>
            <w:r w:rsidRPr="00D93140">
              <w:rPr>
                <w:rFonts w:ascii="Times New Roman" w:hAnsi="Times New Roman"/>
                <w:sz w:val="28"/>
                <w:szCs w:val="28"/>
              </w:rPr>
              <w:t xml:space="preserve"> de la Constitución</w:t>
            </w:r>
            <w:r w:rsidRPr="00D93140">
              <w:rPr>
                <w:rFonts w:ascii="Times New Roman" w:hAnsi="Times New Roman"/>
                <w:sz w:val="28"/>
                <w:szCs w:val="28"/>
              </w:rPr>
              <w:t xml:space="preserve"> por desconocer el derecho de acceso a la justicia de personas </w:t>
            </w:r>
            <w:r w:rsidRPr="00D93140">
              <w:rPr>
                <w:rFonts w:ascii="Times New Roman" w:hAnsi="Times New Roman"/>
                <w:sz w:val="28"/>
                <w:szCs w:val="28"/>
              </w:rPr>
              <w:t xml:space="preserve">que pertenecen a las comunidades indígenas y de aquellas </w:t>
            </w:r>
            <w:r w:rsidRPr="00D93140">
              <w:rPr>
                <w:rFonts w:ascii="Times New Roman" w:hAnsi="Times New Roman"/>
                <w:sz w:val="28"/>
                <w:szCs w:val="28"/>
              </w:rPr>
              <w:t xml:space="preserve">ajenas a </w:t>
            </w:r>
            <w:r w:rsidRPr="00D93140">
              <w:rPr>
                <w:rFonts w:ascii="Times New Roman" w:hAnsi="Times New Roman"/>
                <w:sz w:val="28"/>
                <w:szCs w:val="28"/>
              </w:rPr>
              <w:t>estas</w:t>
            </w:r>
            <w:r w:rsidRPr="00D93140">
              <w:rPr>
                <w:rFonts w:ascii="Times New Roman" w:hAnsi="Times New Roman"/>
                <w:sz w:val="28"/>
                <w:szCs w:val="28"/>
              </w:rPr>
              <w:t>.</w:t>
            </w:r>
          </w:p>
        </w:tc>
      </w:tr>
    </w:tbl>
    <w:p w:rsidR="001E55C4" w:rsidRPr="00D93140" w:rsidRDefault="00D93140" w:rsidP="00E04174">
      <w:pPr>
        <w:pStyle w:val="Prrafodelista"/>
        <w:ind w:left="0"/>
        <w:jc w:val="both"/>
        <w:rPr>
          <w:rFonts w:ascii="Times New Roman" w:hAnsi="Times New Roman"/>
          <w:sz w:val="28"/>
          <w:szCs w:val="28"/>
        </w:rPr>
      </w:pPr>
    </w:p>
    <w:p w:rsidR="00996854" w:rsidRPr="00D93140" w:rsidRDefault="00D93140" w:rsidP="001C7D85">
      <w:pPr>
        <w:pStyle w:val="Ttulo2"/>
        <w:rPr>
          <w:rFonts w:ascii="Times New Roman" w:hAnsi="Times New Roman"/>
          <w:b/>
          <w:sz w:val="28"/>
          <w:lang w:val="es-ES"/>
        </w:rPr>
      </w:pPr>
      <w:bookmarkStart w:id="15" w:name="_Toc215735433"/>
      <w:r w:rsidRPr="00D93140">
        <w:rPr>
          <w:rFonts w:ascii="Times New Roman" w:hAnsi="Times New Roman"/>
          <w:b/>
          <w:sz w:val="28"/>
          <w:lang w:val="es-ES"/>
        </w:rPr>
        <w:t>D. Planteamiento de</w:t>
      </w:r>
      <w:r w:rsidRPr="00D93140">
        <w:rPr>
          <w:rFonts w:ascii="Times New Roman" w:hAnsi="Times New Roman"/>
          <w:b/>
          <w:sz w:val="28"/>
          <w:lang w:val="es-ES"/>
        </w:rPr>
        <w:t xml:space="preserve"> </w:t>
      </w:r>
      <w:r w:rsidRPr="00D93140">
        <w:rPr>
          <w:rFonts w:ascii="Times New Roman" w:hAnsi="Times New Roman"/>
          <w:b/>
          <w:sz w:val="28"/>
          <w:lang w:val="es-ES"/>
        </w:rPr>
        <w:t>l</w:t>
      </w:r>
      <w:r w:rsidRPr="00D93140">
        <w:rPr>
          <w:rFonts w:ascii="Times New Roman" w:hAnsi="Times New Roman"/>
          <w:b/>
          <w:sz w:val="28"/>
          <w:lang w:val="es-ES"/>
        </w:rPr>
        <w:t>os</w:t>
      </w:r>
      <w:r w:rsidRPr="00D93140">
        <w:rPr>
          <w:rFonts w:ascii="Times New Roman" w:hAnsi="Times New Roman"/>
          <w:b/>
          <w:sz w:val="28"/>
          <w:lang w:val="es-ES"/>
        </w:rPr>
        <w:t xml:space="preserve"> problema</w:t>
      </w:r>
      <w:r w:rsidRPr="00D93140">
        <w:rPr>
          <w:rFonts w:ascii="Times New Roman" w:hAnsi="Times New Roman"/>
          <w:b/>
          <w:sz w:val="28"/>
          <w:lang w:val="es-ES"/>
        </w:rPr>
        <w:t>s</w:t>
      </w:r>
      <w:r w:rsidRPr="00D93140">
        <w:rPr>
          <w:rFonts w:ascii="Times New Roman" w:hAnsi="Times New Roman"/>
          <w:b/>
          <w:sz w:val="28"/>
          <w:lang w:val="es-ES"/>
        </w:rPr>
        <w:t xml:space="preserve"> jurídico</w:t>
      </w:r>
      <w:r w:rsidRPr="00D93140">
        <w:rPr>
          <w:rFonts w:ascii="Times New Roman" w:hAnsi="Times New Roman"/>
          <w:b/>
          <w:sz w:val="28"/>
          <w:lang w:val="es-ES"/>
        </w:rPr>
        <w:t>s</w:t>
      </w:r>
      <w:r w:rsidRPr="00D93140">
        <w:rPr>
          <w:rFonts w:ascii="Times New Roman" w:hAnsi="Times New Roman"/>
          <w:b/>
          <w:sz w:val="28"/>
          <w:lang w:val="es-ES"/>
        </w:rPr>
        <w:t xml:space="preserve"> y metodología de </w:t>
      </w:r>
      <w:r w:rsidRPr="00D93140">
        <w:rPr>
          <w:rFonts w:ascii="Times New Roman" w:hAnsi="Times New Roman"/>
          <w:b/>
          <w:sz w:val="28"/>
          <w:lang w:val="es-ES"/>
        </w:rPr>
        <w:t xml:space="preserve">la </w:t>
      </w:r>
      <w:r w:rsidRPr="00D93140">
        <w:rPr>
          <w:rFonts w:ascii="Times New Roman" w:hAnsi="Times New Roman"/>
          <w:b/>
          <w:sz w:val="28"/>
          <w:lang w:val="es-ES"/>
        </w:rPr>
        <w:t>decisión</w:t>
      </w:r>
      <w:bookmarkEnd w:id="15"/>
      <w:r w:rsidRPr="00D93140">
        <w:rPr>
          <w:rFonts w:ascii="Times New Roman" w:hAnsi="Times New Roman"/>
          <w:b/>
          <w:sz w:val="28"/>
          <w:lang w:val="es-ES"/>
        </w:rPr>
        <w:t xml:space="preserve"> </w:t>
      </w:r>
    </w:p>
    <w:p w:rsidR="00996854" w:rsidRPr="00D93140" w:rsidRDefault="00D93140" w:rsidP="00E04174">
      <w:pPr>
        <w:tabs>
          <w:tab w:val="left" w:pos="567"/>
        </w:tabs>
        <w:contextualSpacing/>
        <w:jc w:val="both"/>
        <w:rPr>
          <w:rFonts w:ascii="Times New Roman" w:hAnsi="Times New Roman"/>
          <w:b/>
          <w:bCs/>
          <w:sz w:val="28"/>
          <w:szCs w:val="28"/>
          <w:lang w:val="es-ES"/>
        </w:rPr>
      </w:pPr>
    </w:p>
    <w:p w:rsidR="00996854" w:rsidRPr="00D93140" w:rsidRDefault="00D93140" w:rsidP="00E04174">
      <w:pPr>
        <w:pStyle w:val="Prrafodelista"/>
        <w:numPr>
          <w:ilvl w:val="0"/>
          <w:numId w:val="1"/>
        </w:numPr>
        <w:tabs>
          <w:tab w:val="left" w:pos="142"/>
        </w:tabs>
        <w:ind w:left="0" w:firstLine="0"/>
        <w:jc w:val="both"/>
        <w:rPr>
          <w:rFonts w:ascii="Times New Roman" w:hAnsi="Times New Roman"/>
          <w:sz w:val="28"/>
          <w:szCs w:val="28"/>
          <w:lang w:val="es-ES"/>
        </w:rPr>
      </w:pPr>
      <w:r w:rsidRPr="00D93140">
        <w:rPr>
          <w:rFonts w:ascii="Times New Roman" w:hAnsi="Times New Roman"/>
          <w:i/>
          <w:iCs/>
          <w:sz w:val="28"/>
          <w:szCs w:val="28"/>
          <w:lang w:val="es-ES"/>
        </w:rPr>
        <w:t>Problema</w:t>
      </w:r>
      <w:r w:rsidRPr="00D93140">
        <w:rPr>
          <w:rFonts w:ascii="Times New Roman" w:hAnsi="Times New Roman"/>
          <w:i/>
          <w:iCs/>
          <w:sz w:val="28"/>
          <w:szCs w:val="28"/>
          <w:lang w:val="es-ES"/>
        </w:rPr>
        <w:t>s</w:t>
      </w:r>
      <w:r w:rsidRPr="00D93140">
        <w:rPr>
          <w:rFonts w:ascii="Times New Roman" w:hAnsi="Times New Roman"/>
          <w:i/>
          <w:iCs/>
          <w:sz w:val="28"/>
          <w:szCs w:val="28"/>
          <w:lang w:val="es-ES"/>
        </w:rPr>
        <w:t xml:space="preserve"> jurídico</w:t>
      </w:r>
      <w:r w:rsidRPr="00D93140">
        <w:rPr>
          <w:rFonts w:ascii="Times New Roman" w:hAnsi="Times New Roman"/>
          <w:i/>
          <w:iCs/>
          <w:sz w:val="28"/>
          <w:szCs w:val="28"/>
          <w:lang w:val="es-ES"/>
        </w:rPr>
        <w:t>s</w:t>
      </w:r>
      <w:r w:rsidRPr="00D93140">
        <w:rPr>
          <w:rFonts w:ascii="Times New Roman" w:hAnsi="Times New Roman"/>
          <w:i/>
          <w:iCs/>
          <w:sz w:val="28"/>
          <w:szCs w:val="28"/>
          <w:lang w:val="es-ES"/>
        </w:rPr>
        <w:t xml:space="preserve">. </w:t>
      </w:r>
      <w:r w:rsidRPr="00D93140">
        <w:rPr>
          <w:rFonts w:ascii="Times New Roman" w:hAnsi="Times New Roman"/>
          <w:sz w:val="28"/>
          <w:szCs w:val="28"/>
          <w:lang w:val="es-ES"/>
        </w:rPr>
        <w:t xml:space="preserve">De los antecedentes y de los cargos </w:t>
      </w:r>
      <w:r w:rsidRPr="00D93140">
        <w:rPr>
          <w:rFonts w:ascii="Times New Roman" w:hAnsi="Times New Roman"/>
          <w:sz w:val="28"/>
          <w:szCs w:val="28"/>
          <w:lang w:val="es-ES"/>
        </w:rPr>
        <w:t>señalados que cumplieron con el análisis de aptitud</w:t>
      </w:r>
      <w:r w:rsidRPr="00D93140">
        <w:rPr>
          <w:rFonts w:ascii="Times New Roman" w:hAnsi="Times New Roman"/>
          <w:sz w:val="28"/>
          <w:szCs w:val="28"/>
          <w:lang w:val="es-ES"/>
        </w:rPr>
        <w:t xml:space="preserve">, la Sala Plena procederá a resolver los siguientes problemas jurídicos: </w:t>
      </w:r>
    </w:p>
    <w:p w:rsidR="00996854" w:rsidRPr="00D93140" w:rsidRDefault="00D93140" w:rsidP="00E04174">
      <w:pPr>
        <w:tabs>
          <w:tab w:val="left" w:pos="567"/>
        </w:tabs>
        <w:ind w:left="567" w:right="900"/>
        <w:contextualSpacing/>
        <w:jc w:val="both"/>
        <w:rPr>
          <w:rFonts w:ascii="Times New Roman" w:hAnsi="Times New Roman"/>
          <w:sz w:val="28"/>
          <w:szCs w:val="28"/>
          <w:lang w:val="es-ES"/>
        </w:rPr>
      </w:pPr>
    </w:p>
    <w:p w:rsidR="00CB7E52" w:rsidRPr="00D93140" w:rsidRDefault="00D93140" w:rsidP="00E04174">
      <w:pPr>
        <w:pStyle w:val="Prrafodelista"/>
        <w:ind w:left="567" w:right="616"/>
        <w:jc w:val="both"/>
        <w:rPr>
          <w:rFonts w:ascii="Times New Roman" w:hAnsi="Times New Roman"/>
          <w:sz w:val="28"/>
          <w:szCs w:val="28"/>
          <w:lang w:eastAsia="es-MX"/>
        </w:rPr>
      </w:pPr>
      <w:r w:rsidRPr="00D93140">
        <w:rPr>
          <w:rFonts w:ascii="Times New Roman" w:hAnsi="Times New Roman"/>
          <w:sz w:val="28"/>
          <w:szCs w:val="28"/>
          <w:lang w:eastAsia="es-MX"/>
        </w:rPr>
        <w:t>¿</w:t>
      </w:r>
      <w:r w:rsidRPr="00D93140">
        <w:rPr>
          <w:rFonts w:ascii="Times New Roman" w:hAnsi="Times New Roman"/>
          <w:sz w:val="28"/>
          <w:szCs w:val="28"/>
          <w:lang w:eastAsia="es-MX"/>
        </w:rPr>
        <w:t xml:space="preserve">El artículo 2 del Decreto 1275 de 2024 </w:t>
      </w:r>
      <w:r w:rsidRPr="00D93140">
        <w:rPr>
          <w:rFonts w:ascii="Times New Roman" w:hAnsi="Times New Roman"/>
          <w:sz w:val="28"/>
          <w:szCs w:val="28"/>
          <w:lang w:eastAsia="es-MX"/>
        </w:rPr>
        <w:t>vulnera el artículo 1 de la Constitución al definir el</w:t>
      </w:r>
      <w:r w:rsidRPr="00D93140">
        <w:rPr>
          <w:rFonts w:ascii="Times New Roman" w:hAnsi="Times New Roman"/>
          <w:sz w:val="28"/>
          <w:szCs w:val="28"/>
          <w:lang w:eastAsia="es-MX"/>
        </w:rPr>
        <w:t xml:space="preserve"> interés general de una forma que favorece el interés de las comunidades indígenas para efectos de aplicación del decreto?</w:t>
      </w:r>
    </w:p>
    <w:p w:rsidR="00B477F7" w:rsidRPr="00D93140" w:rsidRDefault="00D93140" w:rsidP="00E04174">
      <w:pPr>
        <w:pStyle w:val="Prrafodelista"/>
        <w:ind w:left="567" w:right="616"/>
        <w:jc w:val="both"/>
        <w:rPr>
          <w:rFonts w:ascii="Times New Roman" w:hAnsi="Times New Roman"/>
          <w:sz w:val="28"/>
          <w:szCs w:val="28"/>
          <w:lang w:eastAsia="es-MX"/>
        </w:rPr>
      </w:pPr>
    </w:p>
    <w:p w:rsidR="00B477F7" w:rsidRPr="00D93140" w:rsidRDefault="00D93140" w:rsidP="00E04174">
      <w:pPr>
        <w:pStyle w:val="Prrafodelista"/>
        <w:ind w:left="567" w:right="616"/>
        <w:jc w:val="both"/>
        <w:rPr>
          <w:rFonts w:ascii="Times New Roman" w:hAnsi="Times New Roman"/>
          <w:sz w:val="28"/>
          <w:szCs w:val="28"/>
          <w:lang w:eastAsia="es-MX"/>
        </w:rPr>
      </w:pPr>
      <w:r w:rsidRPr="00D93140">
        <w:rPr>
          <w:rFonts w:ascii="Times New Roman" w:hAnsi="Times New Roman"/>
          <w:sz w:val="28"/>
          <w:szCs w:val="28"/>
          <w:lang w:eastAsia="es-MX"/>
        </w:rPr>
        <w:t>¿El artículo 5 del Decreto 1275 de 2024 vulnera los artículos 150-7, 325 y 331 de la Constitución Política, al desconocer el régimen</w:t>
      </w:r>
      <w:r w:rsidRPr="00D93140">
        <w:rPr>
          <w:rFonts w:ascii="Times New Roman" w:hAnsi="Times New Roman"/>
          <w:sz w:val="28"/>
          <w:szCs w:val="28"/>
          <w:lang w:eastAsia="es-MX"/>
        </w:rPr>
        <w:t xml:space="preserve"> de autonomía de las Corporaciones Autónomas Regionales al otorgarles competencias ambientales a las autoridades indígenas con fines regulatorios por fuera de su territorio? </w:t>
      </w:r>
    </w:p>
    <w:p w:rsidR="008E4ABB" w:rsidRPr="00D93140" w:rsidRDefault="00D93140" w:rsidP="00E04174">
      <w:pPr>
        <w:pStyle w:val="Prrafodelista"/>
        <w:ind w:left="567" w:right="616"/>
        <w:jc w:val="both"/>
        <w:rPr>
          <w:rFonts w:ascii="Times New Roman" w:hAnsi="Times New Roman"/>
          <w:sz w:val="28"/>
          <w:szCs w:val="28"/>
          <w:lang w:eastAsia="es-MX"/>
        </w:rPr>
      </w:pPr>
    </w:p>
    <w:p w:rsidR="008E4ABB" w:rsidRPr="00D93140" w:rsidRDefault="00D93140" w:rsidP="00E04174">
      <w:pPr>
        <w:pStyle w:val="Prrafodelista"/>
        <w:ind w:left="567" w:right="616"/>
        <w:jc w:val="both"/>
        <w:rPr>
          <w:rFonts w:ascii="Times New Roman" w:hAnsi="Times New Roman"/>
          <w:sz w:val="28"/>
          <w:szCs w:val="28"/>
          <w:lang w:eastAsia="es-MX"/>
        </w:rPr>
      </w:pPr>
      <w:r w:rsidRPr="00D93140">
        <w:rPr>
          <w:rFonts w:ascii="Times New Roman" w:hAnsi="Times New Roman"/>
          <w:sz w:val="28"/>
          <w:szCs w:val="28"/>
          <w:lang w:eastAsia="es-MX"/>
        </w:rPr>
        <w:t>¿El artículo 6 del Decreto 1275 de 2024 vulnera el artículo 29 de la Constitució</w:t>
      </w:r>
      <w:r w:rsidRPr="00D93140">
        <w:rPr>
          <w:rFonts w:ascii="Times New Roman" w:hAnsi="Times New Roman"/>
          <w:sz w:val="28"/>
          <w:szCs w:val="28"/>
          <w:lang w:eastAsia="es-MX"/>
        </w:rPr>
        <w:t>n al otorgar potestades sancionatorias a las autoridades indígenas</w:t>
      </w:r>
      <w:r w:rsidRPr="00D93140">
        <w:rPr>
          <w:rFonts w:ascii="Times New Roman" w:hAnsi="Times New Roman"/>
          <w:sz w:val="28"/>
          <w:szCs w:val="28"/>
          <w:lang w:eastAsia="es-MX"/>
        </w:rPr>
        <w:t xml:space="preserve"> para que </w:t>
      </w:r>
      <w:r w:rsidRPr="00D93140">
        <w:rPr>
          <w:rFonts w:ascii="Times New Roman" w:hAnsi="Times New Roman"/>
          <w:sz w:val="28"/>
          <w:szCs w:val="28"/>
          <w:lang w:eastAsia="es-MX"/>
        </w:rPr>
        <w:t xml:space="preserve">impongan sanciones </w:t>
      </w:r>
      <w:r w:rsidRPr="00D93140">
        <w:rPr>
          <w:rFonts w:ascii="Times New Roman" w:hAnsi="Times New Roman"/>
          <w:sz w:val="28"/>
          <w:szCs w:val="28"/>
          <w:lang w:eastAsia="es-MX"/>
        </w:rPr>
        <w:t xml:space="preserve">a </w:t>
      </w:r>
      <w:r w:rsidRPr="00D93140">
        <w:rPr>
          <w:rFonts w:ascii="Times New Roman" w:hAnsi="Times New Roman"/>
          <w:sz w:val="28"/>
          <w:szCs w:val="28"/>
          <w:lang w:eastAsia="es-MX"/>
        </w:rPr>
        <w:t>personas que no hacen parte de sus comunidades?</w:t>
      </w:r>
    </w:p>
    <w:p w:rsidR="008E4ABB" w:rsidRPr="00D93140" w:rsidRDefault="00D93140" w:rsidP="00E04174">
      <w:pPr>
        <w:pStyle w:val="Prrafodelista"/>
        <w:ind w:left="567" w:right="616"/>
        <w:jc w:val="both"/>
        <w:rPr>
          <w:rFonts w:ascii="Times New Roman" w:hAnsi="Times New Roman"/>
          <w:sz w:val="28"/>
          <w:szCs w:val="28"/>
          <w:lang w:eastAsia="es-MX"/>
        </w:rPr>
      </w:pPr>
    </w:p>
    <w:p w:rsidR="00330B70" w:rsidRPr="00D93140" w:rsidRDefault="00D93140" w:rsidP="00E04174">
      <w:pPr>
        <w:pStyle w:val="Prrafodelista"/>
        <w:ind w:left="567" w:right="616"/>
        <w:jc w:val="both"/>
        <w:rPr>
          <w:rFonts w:ascii="Times New Roman" w:hAnsi="Times New Roman"/>
          <w:sz w:val="28"/>
          <w:szCs w:val="28"/>
        </w:rPr>
      </w:pPr>
      <w:r w:rsidRPr="00D93140">
        <w:rPr>
          <w:rFonts w:ascii="Times New Roman" w:hAnsi="Times New Roman"/>
          <w:sz w:val="28"/>
          <w:szCs w:val="28"/>
          <w:lang w:eastAsia="es-MX"/>
        </w:rPr>
        <w:t>¿Los artículo</w:t>
      </w:r>
      <w:r w:rsidRPr="00D93140">
        <w:rPr>
          <w:rFonts w:ascii="Times New Roman" w:hAnsi="Times New Roman"/>
          <w:sz w:val="28"/>
          <w:szCs w:val="28"/>
          <w:lang w:eastAsia="es-MX"/>
        </w:rPr>
        <w:t>s</w:t>
      </w:r>
      <w:r w:rsidRPr="00D93140">
        <w:rPr>
          <w:rFonts w:ascii="Times New Roman" w:hAnsi="Times New Roman"/>
          <w:sz w:val="28"/>
          <w:szCs w:val="28"/>
          <w:lang w:eastAsia="es-MX"/>
        </w:rPr>
        <w:t xml:space="preserve"> 5 y 6 del Decreto 1275 de 2024 desconocen el derecho a la administración de justicia de personas que no pertenezcan a las comunidades indígenas y se vean afectadas con las decisiones q</w:t>
      </w:r>
      <w:r w:rsidRPr="00D93140">
        <w:rPr>
          <w:rFonts w:ascii="Times New Roman" w:hAnsi="Times New Roman"/>
          <w:sz w:val="28"/>
          <w:szCs w:val="28"/>
          <w:lang w:eastAsia="es-MX"/>
        </w:rPr>
        <w:t>ue en materia ambiental se adopten en ejercicio de las facultades confe</w:t>
      </w:r>
      <w:r w:rsidRPr="00D93140">
        <w:rPr>
          <w:rFonts w:ascii="Times New Roman" w:hAnsi="Times New Roman"/>
          <w:sz w:val="28"/>
          <w:szCs w:val="28"/>
          <w:lang w:eastAsia="es-MX"/>
        </w:rPr>
        <w:t>ridas por el decreto?</w:t>
      </w:r>
    </w:p>
    <w:p w:rsidR="00996854" w:rsidRPr="00D93140" w:rsidRDefault="00D93140" w:rsidP="00E04174">
      <w:pPr>
        <w:tabs>
          <w:tab w:val="left" w:pos="567"/>
        </w:tabs>
        <w:contextualSpacing/>
        <w:jc w:val="both"/>
        <w:rPr>
          <w:rFonts w:ascii="Times New Roman" w:hAnsi="Times New Roman"/>
          <w:i/>
          <w:iCs/>
          <w:sz w:val="28"/>
          <w:szCs w:val="28"/>
        </w:rPr>
      </w:pPr>
    </w:p>
    <w:p w:rsidR="00996854" w:rsidRPr="00D93140" w:rsidRDefault="00D93140" w:rsidP="003C3E37">
      <w:pPr>
        <w:pStyle w:val="Prrafodelista"/>
        <w:numPr>
          <w:ilvl w:val="0"/>
          <w:numId w:val="1"/>
        </w:numPr>
        <w:shd w:val="clear" w:color="auto" w:fill="FFFFFF"/>
        <w:ind w:left="0" w:firstLine="0"/>
        <w:jc w:val="both"/>
        <w:textAlignment w:val="baseline"/>
        <w:rPr>
          <w:rFonts w:ascii="Times New Roman" w:hAnsi="Times New Roman"/>
          <w:sz w:val="28"/>
          <w:szCs w:val="28"/>
          <w:lang w:val="es-ES"/>
        </w:rPr>
      </w:pPr>
      <w:r w:rsidRPr="00D93140">
        <w:rPr>
          <w:rFonts w:ascii="Times New Roman" w:hAnsi="Times New Roman"/>
          <w:i/>
          <w:iCs/>
          <w:sz w:val="28"/>
          <w:szCs w:val="28"/>
        </w:rPr>
        <w:t xml:space="preserve">Metodología de la decisión. </w:t>
      </w:r>
      <w:r w:rsidRPr="00D93140">
        <w:rPr>
          <w:rFonts w:ascii="Times New Roman" w:hAnsi="Times New Roman"/>
          <w:sz w:val="28"/>
          <w:szCs w:val="28"/>
        </w:rPr>
        <w:t xml:space="preserve">Para resolver </w:t>
      </w:r>
      <w:r w:rsidRPr="00D93140">
        <w:rPr>
          <w:rFonts w:ascii="Times New Roman" w:hAnsi="Times New Roman"/>
          <w:sz w:val="28"/>
          <w:szCs w:val="28"/>
        </w:rPr>
        <w:t xml:space="preserve">los distintos </w:t>
      </w:r>
      <w:r w:rsidRPr="00D93140">
        <w:rPr>
          <w:rFonts w:ascii="Times New Roman" w:hAnsi="Times New Roman"/>
          <w:sz w:val="28"/>
          <w:szCs w:val="28"/>
        </w:rPr>
        <w:t>problema</w:t>
      </w:r>
      <w:r w:rsidRPr="00D93140">
        <w:rPr>
          <w:rFonts w:ascii="Times New Roman" w:hAnsi="Times New Roman"/>
          <w:sz w:val="28"/>
          <w:szCs w:val="28"/>
        </w:rPr>
        <w:t>s</w:t>
      </w:r>
      <w:r w:rsidRPr="00D93140">
        <w:rPr>
          <w:rFonts w:ascii="Times New Roman" w:hAnsi="Times New Roman"/>
          <w:sz w:val="28"/>
          <w:szCs w:val="28"/>
        </w:rPr>
        <w:t xml:space="preserve"> jurídico</w:t>
      </w:r>
      <w:r w:rsidRPr="00D93140">
        <w:rPr>
          <w:rFonts w:ascii="Times New Roman" w:hAnsi="Times New Roman"/>
          <w:sz w:val="28"/>
          <w:szCs w:val="28"/>
        </w:rPr>
        <w:t>s</w:t>
      </w:r>
      <w:r w:rsidRPr="00D93140">
        <w:rPr>
          <w:rFonts w:ascii="Times New Roman" w:hAnsi="Times New Roman"/>
          <w:sz w:val="28"/>
          <w:szCs w:val="28"/>
        </w:rPr>
        <w:t xml:space="preserve"> expuesto</w:t>
      </w:r>
      <w:r w:rsidRPr="00D93140">
        <w:rPr>
          <w:rFonts w:ascii="Times New Roman" w:hAnsi="Times New Roman"/>
          <w:sz w:val="28"/>
          <w:szCs w:val="28"/>
        </w:rPr>
        <w:t>s</w:t>
      </w:r>
      <w:r w:rsidRPr="00D93140">
        <w:rPr>
          <w:rFonts w:ascii="Times New Roman" w:hAnsi="Times New Roman"/>
          <w:sz w:val="28"/>
          <w:szCs w:val="28"/>
        </w:rPr>
        <w:t xml:space="preserve">, como parte dogmática, la Sala Plena procederá a </w:t>
      </w:r>
      <w:r w:rsidRPr="00D93140">
        <w:rPr>
          <w:rFonts w:ascii="Times New Roman" w:hAnsi="Times New Roman"/>
          <w:sz w:val="28"/>
          <w:szCs w:val="28"/>
        </w:rPr>
        <w:t xml:space="preserve">reiterar la jurisprudencia relacionada con </w:t>
      </w:r>
      <w:r w:rsidRPr="00D93140">
        <w:rPr>
          <w:rFonts w:ascii="Times New Roman" w:hAnsi="Times New Roman"/>
          <w:i/>
          <w:iCs/>
          <w:sz w:val="28"/>
          <w:szCs w:val="28"/>
        </w:rPr>
        <w:t xml:space="preserve">(i) </w:t>
      </w:r>
      <w:r w:rsidRPr="00D93140">
        <w:rPr>
          <w:rFonts w:ascii="Times New Roman" w:hAnsi="Times New Roman"/>
          <w:bCs/>
          <w:iCs/>
          <w:sz w:val="28"/>
          <w:szCs w:val="28"/>
        </w:rPr>
        <w:t xml:space="preserve">del </w:t>
      </w:r>
      <w:r w:rsidRPr="00D93140">
        <w:rPr>
          <w:rFonts w:ascii="Times New Roman" w:hAnsi="Times New Roman"/>
          <w:bCs/>
          <w:iCs/>
          <w:sz w:val="28"/>
          <w:szCs w:val="28"/>
          <w:lang w:val="es-ES"/>
        </w:rPr>
        <w:t>reconocimiento y la protección de la diversidad</w:t>
      </w:r>
      <w:r w:rsidRPr="00D93140">
        <w:rPr>
          <w:rFonts w:ascii="Times New Roman" w:hAnsi="Times New Roman"/>
          <w:bCs/>
          <w:iCs/>
          <w:sz w:val="28"/>
          <w:szCs w:val="28"/>
          <w:lang w:val="es-ES"/>
        </w:rPr>
        <w:t xml:space="preserve"> étnica y cultural </w:t>
      </w:r>
      <w:r w:rsidRPr="00D93140">
        <w:rPr>
          <w:rFonts w:ascii="Times New Roman" w:hAnsi="Times New Roman"/>
          <w:bCs/>
          <w:iCs/>
          <w:sz w:val="28"/>
          <w:szCs w:val="28"/>
          <w:lang w:val="es-ES"/>
        </w:rPr>
        <w:t>de las comunidades</w:t>
      </w:r>
      <w:r w:rsidRPr="00D93140">
        <w:rPr>
          <w:rFonts w:ascii="Times New Roman" w:hAnsi="Times New Roman"/>
          <w:bCs/>
          <w:iCs/>
          <w:sz w:val="28"/>
          <w:szCs w:val="28"/>
        </w:rPr>
        <w:t xml:space="preserve"> indígenas</w:t>
      </w:r>
      <w:r w:rsidRPr="00D93140">
        <w:rPr>
          <w:rFonts w:ascii="Times New Roman" w:hAnsi="Times New Roman"/>
          <w:iCs/>
          <w:sz w:val="28"/>
          <w:szCs w:val="28"/>
        </w:rPr>
        <w:t xml:space="preserve"> </w:t>
      </w:r>
      <w:r w:rsidRPr="00D93140">
        <w:rPr>
          <w:rFonts w:ascii="Times New Roman" w:hAnsi="Times New Roman"/>
          <w:bCs/>
          <w:iCs/>
          <w:sz w:val="28"/>
          <w:szCs w:val="28"/>
          <w:lang w:val="es-ES"/>
        </w:rPr>
        <w:t xml:space="preserve">y </w:t>
      </w:r>
      <w:r w:rsidRPr="00D93140">
        <w:rPr>
          <w:rFonts w:ascii="Times New Roman" w:hAnsi="Times New Roman"/>
          <w:bCs/>
          <w:iCs/>
          <w:sz w:val="28"/>
          <w:szCs w:val="28"/>
          <w:lang w:val="es-ES"/>
        </w:rPr>
        <w:t xml:space="preserve">su derecho a </w:t>
      </w:r>
      <w:r w:rsidRPr="00D93140">
        <w:rPr>
          <w:rFonts w:ascii="Times New Roman" w:hAnsi="Times New Roman"/>
          <w:bCs/>
          <w:iCs/>
          <w:sz w:val="28"/>
          <w:szCs w:val="28"/>
          <w:lang w:val="es-ES"/>
        </w:rPr>
        <w:t>la auto</w:t>
      </w:r>
      <w:r w:rsidRPr="00D93140">
        <w:rPr>
          <w:rFonts w:ascii="Times New Roman" w:hAnsi="Times New Roman"/>
          <w:bCs/>
          <w:iCs/>
          <w:sz w:val="28"/>
          <w:szCs w:val="28"/>
          <w:lang w:val="es-ES"/>
        </w:rPr>
        <w:t xml:space="preserve">nomía y libre </w:t>
      </w:r>
      <w:r w:rsidRPr="00D93140">
        <w:rPr>
          <w:rFonts w:ascii="Times New Roman" w:hAnsi="Times New Roman"/>
          <w:bCs/>
          <w:iCs/>
          <w:sz w:val="28"/>
          <w:szCs w:val="28"/>
          <w:lang w:val="es-ES"/>
        </w:rPr>
        <w:t xml:space="preserve">determinación </w:t>
      </w:r>
      <w:r w:rsidRPr="00D93140">
        <w:rPr>
          <w:rFonts w:ascii="Times New Roman" w:hAnsi="Times New Roman"/>
          <w:iCs/>
          <w:sz w:val="28"/>
          <w:szCs w:val="28"/>
        </w:rPr>
        <w:t xml:space="preserve">y las prerrogativas que de ellos se derivan, a saber: a) territorios indígenas y autonomía territorial; </w:t>
      </w:r>
      <w:r w:rsidRPr="00D93140">
        <w:rPr>
          <w:rFonts w:ascii="Times New Roman" w:hAnsi="Times New Roman"/>
          <w:iCs/>
          <w:sz w:val="28"/>
          <w:szCs w:val="28"/>
        </w:rPr>
        <w:t>b</w:t>
      </w:r>
      <w:r w:rsidRPr="00D93140">
        <w:rPr>
          <w:rFonts w:ascii="Times New Roman" w:hAnsi="Times New Roman"/>
          <w:sz w:val="28"/>
          <w:szCs w:val="28"/>
        </w:rPr>
        <w:t>) la a</w:t>
      </w:r>
      <w:r w:rsidRPr="00D93140">
        <w:rPr>
          <w:rFonts w:ascii="Times New Roman" w:hAnsi="Times New Roman"/>
          <w:iCs/>
          <w:sz w:val="28"/>
          <w:szCs w:val="28"/>
        </w:rPr>
        <w:t>utonomía</w:t>
      </w:r>
      <w:r w:rsidRPr="00D93140">
        <w:rPr>
          <w:rFonts w:ascii="Times New Roman" w:hAnsi="Times New Roman"/>
          <w:iCs/>
          <w:sz w:val="28"/>
          <w:szCs w:val="28"/>
        </w:rPr>
        <w:t xml:space="preserve"> de los territorios</w:t>
      </w:r>
      <w:r w:rsidRPr="00D93140">
        <w:rPr>
          <w:rFonts w:ascii="Times New Roman" w:hAnsi="Times New Roman"/>
          <w:iCs/>
          <w:sz w:val="28"/>
          <w:szCs w:val="28"/>
        </w:rPr>
        <w:t xml:space="preserve"> y competencias ambientales </w:t>
      </w:r>
      <w:r w:rsidRPr="00D93140">
        <w:rPr>
          <w:rFonts w:ascii="Times New Roman" w:hAnsi="Times New Roman"/>
          <w:iCs/>
          <w:sz w:val="28"/>
          <w:szCs w:val="28"/>
        </w:rPr>
        <w:t>de las autoridades</w:t>
      </w:r>
      <w:r w:rsidRPr="00D93140">
        <w:rPr>
          <w:rFonts w:ascii="Times New Roman" w:hAnsi="Times New Roman"/>
          <w:iCs/>
          <w:sz w:val="28"/>
          <w:szCs w:val="28"/>
        </w:rPr>
        <w:t xml:space="preserve"> indígenas</w:t>
      </w:r>
      <w:r w:rsidRPr="00D93140">
        <w:rPr>
          <w:rFonts w:ascii="Times New Roman" w:hAnsi="Times New Roman"/>
          <w:iCs/>
          <w:sz w:val="28"/>
          <w:szCs w:val="28"/>
        </w:rPr>
        <w:t xml:space="preserve">; </w:t>
      </w:r>
      <w:r w:rsidRPr="00D93140">
        <w:rPr>
          <w:rFonts w:ascii="Times New Roman" w:hAnsi="Times New Roman"/>
          <w:iCs/>
          <w:sz w:val="28"/>
          <w:szCs w:val="28"/>
        </w:rPr>
        <w:t>c</w:t>
      </w:r>
      <w:r w:rsidRPr="00D93140">
        <w:rPr>
          <w:rFonts w:ascii="Times New Roman" w:hAnsi="Times New Roman"/>
          <w:iCs/>
          <w:sz w:val="28"/>
          <w:szCs w:val="28"/>
        </w:rPr>
        <w:t>) autogobierno y la jurisdicción especial indígena.</w:t>
      </w:r>
      <w:r w:rsidRPr="00D93140">
        <w:rPr>
          <w:rFonts w:ascii="Times New Roman" w:hAnsi="Times New Roman"/>
          <w:sz w:val="28"/>
          <w:szCs w:val="28"/>
        </w:rPr>
        <w:t xml:space="preserve"> </w:t>
      </w:r>
      <w:r w:rsidRPr="00D93140">
        <w:rPr>
          <w:rFonts w:ascii="Times New Roman" w:hAnsi="Times New Roman"/>
          <w:i/>
          <w:iCs/>
          <w:sz w:val="28"/>
          <w:szCs w:val="28"/>
        </w:rPr>
        <w:t xml:space="preserve">(ii) </w:t>
      </w:r>
      <w:r w:rsidRPr="00D93140">
        <w:rPr>
          <w:rFonts w:ascii="Times New Roman" w:hAnsi="Times New Roman"/>
          <w:iCs/>
          <w:sz w:val="28"/>
          <w:szCs w:val="28"/>
        </w:rPr>
        <w:t>E</w:t>
      </w:r>
      <w:r w:rsidRPr="00D93140">
        <w:rPr>
          <w:rFonts w:ascii="Times New Roman" w:hAnsi="Times New Roman"/>
          <w:sz w:val="28"/>
          <w:szCs w:val="28"/>
        </w:rPr>
        <w:t>l concepto de interés general en un Estado pluralista</w:t>
      </w:r>
      <w:r w:rsidRPr="00D93140">
        <w:rPr>
          <w:rFonts w:ascii="Times New Roman" w:hAnsi="Times New Roman"/>
          <w:sz w:val="28"/>
          <w:szCs w:val="28"/>
        </w:rPr>
        <w:t>.</w:t>
      </w:r>
      <w:r w:rsidRPr="00D93140">
        <w:rPr>
          <w:rFonts w:ascii="Times New Roman" w:hAnsi="Times New Roman"/>
          <w:sz w:val="28"/>
          <w:szCs w:val="28"/>
        </w:rPr>
        <w:t xml:space="preserve"> </w:t>
      </w:r>
      <w:r w:rsidRPr="00D93140">
        <w:rPr>
          <w:rFonts w:ascii="Times New Roman" w:hAnsi="Times New Roman"/>
          <w:i/>
          <w:iCs/>
          <w:sz w:val="28"/>
          <w:szCs w:val="28"/>
        </w:rPr>
        <w:t xml:space="preserve">(iii) </w:t>
      </w:r>
      <w:r w:rsidRPr="00D93140">
        <w:rPr>
          <w:rFonts w:ascii="Times New Roman" w:hAnsi="Times New Roman"/>
          <w:bCs/>
          <w:sz w:val="28"/>
          <w:szCs w:val="28"/>
        </w:rPr>
        <w:t>Las Corporaciones Autónomas Regionales en el ordenamiento constitucional</w:t>
      </w:r>
      <w:r w:rsidRPr="00D93140">
        <w:rPr>
          <w:rFonts w:ascii="Times New Roman" w:hAnsi="Times New Roman"/>
          <w:bCs/>
          <w:sz w:val="28"/>
          <w:szCs w:val="28"/>
        </w:rPr>
        <w:t>, su n</w:t>
      </w:r>
      <w:r w:rsidRPr="00D93140">
        <w:rPr>
          <w:rFonts w:ascii="Times New Roman" w:hAnsi="Times New Roman"/>
          <w:bCs/>
          <w:sz w:val="28"/>
          <w:szCs w:val="28"/>
        </w:rPr>
        <w:t>aturaleza jurídica, funciones y autonomía</w:t>
      </w:r>
      <w:r w:rsidRPr="00D93140">
        <w:rPr>
          <w:rFonts w:ascii="Times New Roman" w:hAnsi="Times New Roman"/>
          <w:sz w:val="28"/>
          <w:szCs w:val="28"/>
        </w:rPr>
        <w:t xml:space="preserve">. </w:t>
      </w:r>
      <w:r w:rsidRPr="00D93140">
        <w:rPr>
          <w:rFonts w:ascii="Times New Roman" w:hAnsi="Times New Roman"/>
          <w:i/>
          <w:sz w:val="28"/>
          <w:szCs w:val="28"/>
        </w:rPr>
        <w:t>(iv)</w:t>
      </w:r>
      <w:r w:rsidRPr="00D93140">
        <w:rPr>
          <w:rFonts w:ascii="Times New Roman" w:hAnsi="Times New Roman"/>
          <w:sz w:val="28"/>
          <w:szCs w:val="28"/>
        </w:rPr>
        <w:t xml:space="preserve"> </w:t>
      </w:r>
      <w:r w:rsidRPr="00D93140">
        <w:rPr>
          <w:rFonts w:ascii="Times New Roman" w:hAnsi="Times New Roman"/>
          <w:bCs/>
          <w:color w:val="2D2D2D"/>
          <w:sz w:val="28"/>
          <w:szCs w:val="28"/>
        </w:rPr>
        <w:t>Derecho administrativo sancionatorio en materia ambiental.</w:t>
      </w:r>
      <w:r w:rsidRPr="00D93140">
        <w:rPr>
          <w:rFonts w:ascii="Times New Roman" w:hAnsi="Times New Roman"/>
          <w:b/>
          <w:bCs/>
          <w:color w:val="2D2D2D"/>
          <w:sz w:val="28"/>
          <w:szCs w:val="28"/>
        </w:rPr>
        <w:t xml:space="preserve"> </w:t>
      </w:r>
      <w:r w:rsidRPr="00D93140">
        <w:rPr>
          <w:rFonts w:ascii="Times New Roman" w:hAnsi="Times New Roman"/>
          <w:sz w:val="28"/>
          <w:szCs w:val="28"/>
        </w:rPr>
        <w:t>Con base en lo anterior, procederá a resolver los distintos problemas jurídicos.</w:t>
      </w:r>
    </w:p>
    <w:p w:rsidR="00996854" w:rsidRPr="00D93140" w:rsidRDefault="00D93140" w:rsidP="00E04174">
      <w:pPr>
        <w:tabs>
          <w:tab w:val="left" w:pos="567"/>
        </w:tabs>
        <w:contextualSpacing/>
        <w:jc w:val="both"/>
        <w:rPr>
          <w:rFonts w:ascii="Times New Roman" w:hAnsi="Times New Roman"/>
          <w:sz w:val="28"/>
          <w:szCs w:val="28"/>
        </w:rPr>
      </w:pPr>
    </w:p>
    <w:p w:rsidR="00996854" w:rsidRPr="00D93140" w:rsidRDefault="00D93140" w:rsidP="001C7D85">
      <w:pPr>
        <w:pStyle w:val="Ttulo3"/>
        <w:rPr>
          <w:rFonts w:ascii="Times New Roman" w:hAnsi="Times New Roman"/>
          <w:sz w:val="28"/>
        </w:rPr>
      </w:pPr>
      <w:bookmarkStart w:id="16" w:name="_Toc215735434"/>
      <w:r w:rsidRPr="00D93140">
        <w:rPr>
          <w:rFonts w:ascii="Times New Roman" w:hAnsi="Times New Roman"/>
          <w:sz w:val="28"/>
        </w:rPr>
        <w:t xml:space="preserve">1. </w:t>
      </w:r>
      <w:r w:rsidRPr="00D93140">
        <w:rPr>
          <w:rFonts w:ascii="Times New Roman" w:hAnsi="Times New Roman"/>
          <w:sz w:val="28"/>
        </w:rPr>
        <w:t>Breve c</w:t>
      </w:r>
      <w:r w:rsidRPr="00D93140">
        <w:rPr>
          <w:rFonts w:ascii="Times New Roman" w:hAnsi="Times New Roman"/>
          <w:sz w:val="28"/>
        </w:rPr>
        <w:t xml:space="preserve">aracterización </w:t>
      </w:r>
      <w:r w:rsidRPr="00D93140">
        <w:rPr>
          <w:rFonts w:ascii="Times New Roman" w:hAnsi="Times New Roman"/>
          <w:sz w:val="28"/>
        </w:rPr>
        <w:t>de</w:t>
      </w:r>
      <w:r w:rsidRPr="00D93140">
        <w:rPr>
          <w:rFonts w:ascii="Times New Roman" w:hAnsi="Times New Roman"/>
          <w:sz w:val="28"/>
        </w:rPr>
        <w:t>l</w:t>
      </w:r>
      <w:r w:rsidRPr="00D93140">
        <w:rPr>
          <w:rFonts w:ascii="Times New Roman" w:hAnsi="Times New Roman"/>
          <w:iCs/>
          <w:sz w:val="28"/>
        </w:rPr>
        <w:t xml:space="preserve"> </w:t>
      </w:r>
      <w:r w:rsidRPr="00D93140">
        <w:rPr>
          <w:rFonts w:ascii="Times New Roman" w:hAnsi="Times New Roman"/>
          <w:sz w:val="28"/>
          <w:lang w:val="es-ES"/>
        </w:rPr>
        <w:t xml:space="preserve">reconocimiento y la protección de la diversidad étnica y cultural </w:t>
      </w:r>
      <w:r w:rsidRPr="00D93140">
        <w:rPr>
          <w:rFonts w:ascii="Times New Roman" w:hAnsi="Times New Roman"/>
          <w:sz w:val="28"/>
          <w:lang w:val="es-ES"/>
        </w:rPr>
        <w:t>de las comunidades</w:t>
      </w:r>
      <w:r w:rsidRPr="00D93140">
        <w:rPr>
          <w:rFonts w:ascii="Times New Roman" w:hAnsi="Times New Roman"/>
          <w:iCs/>
          <w:sz w:val="28"/>
        </w:rPr>
        <w:t xml:space="preserve"> indígenas</w:t>
      </w:r>
      <w:r w:rsidRPr="00D93140">
        <w:rPr>
          <w:rFonts w:ascii="Times New Roman" w:hAnsi="Times New Roman"/>
          <w:sz w:val="28"/>
          <w:lang w:val="es-ES"/>
        </w:rPr>
        <w:t xml:space="preserve"> </w:t>
      </w:r>
      <w:r w:rsidRPr="00D93140">
        <w:rPr>
          <w:rFonts w:ascii="Times New Roman" w:hAnsi="Times New Roman"/>
          <w:sz w:val="28"/>
          <w:lang w:val="es-ES"/>
        </w:rPr>
        <w:t xml:space="preserve">y </w:t>
      </w:r>
      <w:r w:rsidRPr="00D93140">
        <w:rPr>
          <w:rFonts w:ascii="Times New Roman" w:hAnsi="Times New Roman"/>
          <w:sz w:val="28"/>
          <w:lang w:val="es-ES"/>
        </w:rPr>
        <w:t xml:space="preserve">su derecho a </w:t>
      </w:r>
      <w:r w:rsidRPr="00D93140">
        <w:rPr>
          <w:rFonts w:ascii="Times New Roman" w:hAnsi="Times New Roman"/>
          <w:sz w:val="28"/>
          <w:lang w:val="es-ES"/>
        </w:rPr>
        <w:t>la auto</w:t>
      </w:r>
      <w:r w:rsidRPr="00D93140">
        <w:rPr>
          <w:rFonts w:ascii="Times New Roman" w:hAnsi="Times New Roman"/>
          <w:sz w:val="28"/>
          <w:lang w:val="es-ES"/>
        </w:rPr>
        <w:t xml:space="preserve">nomía y libre </w:t>
      </w:r>
      <w:r w:rsidRPr="00D93140">
        <w:rPr>
          <w:rFonts w:ascii="Times New Roman" w:hAnsi="Times New Roman"/>
          <w:sz w:val="28"/>
          <w:lang w:val="es-ES"/>
        </w:rPr>
        <w:t>determinación</w:t>
      </w:r>
      <w:r w:rsidRPr="00D93140">
        <w:rPr>
          <w:rFonts w:ascii="Times New Roman" w:hAnsi="Times New Roman"/>
          <w:iCs/>
          <w:sz w:val="28"/>
        </w:rPr>
        <w:t>. Reiteración de jurisprudencia</w:t>
      </w:r>
      <w:bookmarkEnd w:id="16"/>
    </w:p>
    <w:p w:rsidR="00BE20F5" w:rsidRPr="00D93140" w:rsidRDefault="00D93140" w:rsidP="00E04174">
      <w:pPr>
        <w:tabs>
          <w:tab w:val="left" w:pos="567"/>
        </w:tabs>
        <w:contextualSpacing/>
        <w:jc w:val="both"/>
        <w:rPr>
          <w:rFonts w:ascii="Times New Roman" w:hAnsi="Times New Roman"/>
          <w:b/>
          <w:bCs/>
          <w:sz w:val="28"/>
          <w:szCs w:val="28"/>
        </w:rPr>
      </w:pPr>
    </w:p>
    <w:p w:rsidR="00C02AFF"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Nuestro Estado</w:t>
      </w:r>
      <w:r w:rsidRPr="00D93140">
        <w:rPr>
          <w:rFonts w:ascii="Times New Roman" w:hAnsi="Times New Roman"/>
          <w:sz w:val="28"/>
          <w:szCs w:val="28"/>
        </w:rPr>
        <w:t xml:space="preserve"> Social de Derecho</w:t>
      </w:r>
      <w:r w:rsidRPr="00D93140">
        <w:rPr>
          <w:rFonts w:ascii="Times New Roman" w:hAnsi="Times New Roman"/>
          <w:sz w:val="28"/>
          <w:szCs w:val="28"/>
        </w:rPr>
        <w:t>, como lo determina el artículo 1 de la Constit</w:t>
      </w:r>
      <w:r w:rsidRPr="00D93140">
        <w:rPr>
          <w:rFonts w:ascii="Times New Roman" w:hAnsi="Times New Roman"/>
          <w:sz w:val="28"/>
          <w:szCs w:val="28"/>
        </w:rPr>
        <w:t xml:space="preserve">ución, se caracteriza por el pluralismo y la participación, lo que implica un deber estatal de reconocimiento y protección de la diversidad étnica y cultural de la Nación. </w:t>
      </w:r>
      <w:r w:rsidRPr="00D93140">
        <w:rPr>
          <w:rFonts w:ascii="Times New Roman" w:hAnsi="Times New Roman"/>
          <w:sz w:val="28"/>
          <w:szCs w:val="28"/>
        </w:rPr>
        <w:t xml:space="preserve">En ese escenario, el derecho a la </w:t>
      </w:r>
      <w:r w:rsidRPr="00D93140">
        <w:rPr>
          <w:rFonts w:ascii="Times New Roman" w:hAnsi="Times New Roman"/>
          <w:sz w:val="28"/>
          <w:szCs w:val="28"/>
        </w:rPr>
        <w:t xml:space="preserve">libre determinación </w:t>
      </w:r>
      <w:r w:rsidRPr="00D93140">
        <w:rPr>
          <w:rFonts w:ascii="Times New Roman" w:hAnsi="Times New Roman"/>
          <w:sz w:val="28"/>
          <w:szCs w:val="28"/>
        </w:rPr>
        <w:t xml:space="preserve">de los pueblos indígenas </w:t>
      </w:r>
      <w:r w:rsidRPr="00D93140">
        <w:rPr>
          <w:rFonts w:ascii="Times New Roman" w:hAnsi="Times New Roman"/>
          <w:sz w:val="28"/>
          <w:szCs w:val="28"/>
        </w:rPr>
        <w:t>tiene</w:t>
      </w:r>
      <w:r w:rsidRPr="00D93140">
        <w:rPr>
          <w:rFonts w:ascii="Times New Roman" w:hAnsi="Times New Roman"/>
          <w:sz w:val="28"/>
          <w:szCs w:val="28"/>
        </w:rPr>
        <w:t xml:space="preserve"> fundamento en los artículos 1, 7, 70, 171, 176, 246, 286, 329 y 330, entre otros, de la Carta, en el Convenio 169 de la OIT “Sobre pueblos indígenas y tribales en países independientes”</w:t>
      </w:r>
      <w:r w:rsidRPr="00D93140">
        <w:rPr>
          <w:rStyle w:val="Refdenotaalpie"/>
          <w:rFonts w:ascii="Times New Roman" w:hAnsi="Times New Roman"/>
          <w:sz w:val="28"/>
          <w:szCs w:val="28"/>
        </w:rPr>
        <w:footnoteReference w:id="43"/>
      </w:r>
      <w:r w:rsidRPr="00D93140">
        <w:rPr>
          <w:rFonts w:ascii="Times New Roman" w:hAnsi="Times New Roman"/>
          <w:sz w:val="28"/>
          <w:szCs w:val="28"/>
        </w:rPr>
        <w:t xml:space="preserve"> y otros instrumentos del derecho internacional de los derechos human</w:t>
      </w:r>
      <w:r w:rsidRPr="00D93140">
        <w:rPr>
          <w:rFonts w:ascii="Times New Roman" w:hAnsi="Times New Roman"/>
          <w:sz w:val="28"/>
          <w:szCs w:val="28"/>
        </w:rPr>
        <w:t>os, como la Declaración de las Naciones Unidas sobre los derechos de los pueblos indígenas adoptada en el 2007</w:t>
      </w:r>
      <w:r w:rsidRPr="00D93140">
        <w:rPr>
          <w:rStyle w:val="Refdenotaalpie"/>
          <w:rFonts w:ascii="Times New Roman" w:hAnsi="Times New Roman"/>
          <w:sz w:val="28"/>
          <w:szCs w:val="28"/>
        </w:rPr>
        <w:footnoteReference w:id="44"/>
      </w:r>
      <w:r w:rsidRPr="00D93140">
        <w:rPr>
          <w:rFonts w:ascii="Times New Roman" w:hAnsi="Times New Roman"/>
          <w:sz w:val="28"/>
          <w:szCs w:val="28"/>
        </w:rPr>
        <w:t>.</w:t>
      </w:r>
    </w:p>
    <w:p w:rsidR="00C02AFF" w:rsidRPr="00D93140" w:rsidRDefault="00D93140" w:rsidP="00E04174">
      <w:pPr>
        <w:pStyle w:val="Prrafodelista"/>
        <w:ind w:left="0"/>
        <w:jc w:val="both"/>
        <w:rPr>
          <w:rFonts w:ascii="Times New Roman" w:hAnsi="Times New Roman"/>
          <w:sz w:val="28"/>
          <w:szCs w:val="28"/>
        </w:rPr>
      </w:pPr>
    </w:p>
    <w:p w:rsidR="002D4259"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Este derecho, de conformidad con la jurisprudencia constitucional </w:t>
      </w:r>
      <w:r w:rsidRPr="00D93140">
        <w:rPr>
          <w:rFonts w:ascii="Times New Roman" w:hAnsi="Times New Roman"/>
          <w:sz w:val="28"/>
          <w:szCs w:val="28"/>
        </w:rPr>
        <w:t xml:space="preserve">comprende el derecho de las comunidades étnicas a “determinar sus propias </w:t>
      </w:r>
      <w:r w:rsidRPr="00D93140">
        <w:rPr>
          <w:rFonts w:ascii="Times New Roman" w:hAnsi="Times New Roman"/>
          <w:sz w:val="28"/>
          <w:szCs w:val="28"/>
        </w:rPr>
        <w:t>instituciones y autoridades de gobierno; a darse o conservar sus normas, costumbres, visión del mundo y opción de desarrollo o proyecto de vida; y de adoptar las decisiones internas o locales que estime más adecuadas para la conservación o protección de es</w:t>
      </w:r>
      <w:r w:rsidRPr="00D93140">
        <w:rPr>
          <w:rFonts w:ascii="Times New Roman" w:hAnsi="Times New Roman"/>
          <w:sz w:val="28"/>
          <w:szCs w:val="28"/>
        </w:rPr>
        <w:t>os fines”.</w:t>
      </w:r>
      <w:r w:rsidRPr="00D93140">
        <w:rPr>
          <w:rStyle w:val="Refdenotaalpie"/>
          <w:rFonts w:ascii="Times New Roman" w:hAnsi="Times New Roman"/>
          <w:sz w:val="28"/>
          <w:szCs w:val="28"/>
        </w:rPr>
        <w:footnoteReference w:id="45"/>
      </w:r>
      <w:r w:rsidRPr="00D93140">
        <w:rPr>
          <w:rFonts w:ascii="Times New Roman" w:hAnsi="Times New Roman"/>
          <w:sz w:val="28"/>
          <w:szCs w:val="28"/>
        </w:rPr>
        <w:t xml:space="preserve"> </w:t>
      </w:r>
      <w:r w:rsidRPr="00D93140">
        <w:rPr>
          <w:rFonts w:ascii="Times New Roman" w:hAnsi="Times New Roman"/>
          <w:sz w:val="28"/>
          <w:szCs w:val="28"/>
          <w:shd w:val="clear" w:color="auto" w:fill="FFFFFF"/>
        </w:rPr>
        <w:t>Por su parte, el artículo 4 de la Declaración sobre los derechos d</w:t>
      </w:r>
      <w:r w:rsidRPr="00D93140">
        <w:rPr>
          <w:rFonts w:ascii="Times New Roman" w:hAnsi="Times New Roman"/>
          <w:sz w:val="28"/>
          <w:szCs w:val="28"/>
          <w:shd w:val="clear" w:color="auto" w:fill="FFFFFF"/>
        </w:rPr>
        <w:t xml:space="preserve">e los pueblos indígenas dispone que </w:t>
      </w:r>
      <w:r w:rsidRPr="00D93140">
        <w:rPr>
          <w:rFonts w:ascii="Times New Roman" w:hAnsi="Times New Roman"/>
          <w:iCs/>
          <w:sz w:val="28"/>
          <w:szCs w:val="28"/>
          <w:shd w:val="clear" w:color="auto" w:fill="FFFFFF"/>
        </w:rPr>
        <w:t>“l</w:t>
      </w:r>
      <w:r w:rsidRPr="00D93140">
        <w:rPr>
          <w:rFonts w:ascii="Times New Roman" w:hAnsi="Times New Roman"/>
          <w:iCs/>
          <w:sz w:val="28"/>
          <w:szCs w:val="28"/>
          <w:shd w:val="clear" w:color="auto" w:fill="FFFFFF"/>
        </w:rPr>
        <w:t>os pueblos indígenas, en ejercicio de su derecho de libre determinación, tienen derecho a la autonomía o al autogobierno en las cuestiones r</w:t>
      </w:r>
      <w:r w:rsidRPr="00D93140">
        <w:rPr>
          <w:rFonts w:ascii="Times New Roman" w:hAnsi="Times New Roman"/>
          <w:iCs/>
          <w:sz w:val="28"/>
          <w:szCs w:val="28"/>
          <w:shd w:val="clear" w:color="auto" w:fill="FFFFFF"/>
        </w:rPr>
        <w:t>elacionadas con sus asuntos internos y locales, así como a disponer de los medios para financiar sus funciones autónomas”</w:t>
      </w:r>
      <w:r w:rsidRPr="00D93140">
        <w:rPr>
          <w:rFonts w:ascii="Times New Roman" w:hAnsi="Times New Roman"/>
          <w:iCs/>
          <w:sz w:val="28"/>
          <w:szCs w:val="28"/>
          <w:shd w:val="clear" w:color="auto" w:fill="FFFFFF"/>
        </w:rPr>
        <w:t xml:space="preserve">. </w:t>
      </w:r>
      <w:r w:rsidRPr="00D93140">
        <w:rPr>
          <w:rFonts w:ascii="Times New Roman" w:hAnsi="Times New Roman"/>
          <w:sz w:val="28"/>
          <w:szCs w:val="28"/>
          <w:shd w:val="clear" w:color="auto" w:fill="FFFFFF"/>
        </w:rPr>
        <w:t xml:space="preserve">El artículo 5 agrega que los pueblos indígenas tienen derecho a conservar y reforzar sus propias instituciones políticas, jurídicas, </w:t>
      </w:r>
      <w:r w:rsidRPr="00D93140">
        <w:rPr>
          <w:rFonts w:ascii="Times New Roman" w:hAnsi="Times New Roman"/>
          <w:sz w:val="28"/>
          <w:szCs w:val="28"/>
          <w:shd w:val="clear" w:color="auto" w:fill="FFFFFF"/>
        </w:rPr>
        <w:t>económicas, sociales y culturales, y a participar plenamente, si lo desean, en la vida política, económica, social y cultural del Estado.</w:t>
      </w:r>
      <w:r w:rsidRPr="00D93140">
        <w:rPr>
          <w:rFonts w:ascii="Times New Roman" w:hAnsi="Times New Roman"/>
          <w:sz w:val="28"/>
          <w:szCs w:val="28"/>
          <w:shd w:val="clear" w:color="auto" w:fill="FFFFFF"/>
        </w:rPr>
        <w:t xml:space="preserve"> </w:t>
      </w:r>
      <w:r w:rsidRPr="00D93140">
        <w:rPr>
          <w:rFonts w:ascii="Times New Roman" w:hAnsi="Times New Roman"/>
          <w:sz w:val="28"/>
          <w:szCs w:val="28"/>
        </w:rPr>
        <w:t xml:space="preserve">Así, la consagración de este derecho, junto con el de otros derechos de las comunidades étnicas, como se manifestó en </w:t>
      </w:r>
      <w:r w:rsidRPr="00D93140">
        <w:rPr>
          <w:rFonts w:ascii="Times New Roman" w:hAnsi="Times New Roman"/>
          <w:sz w:val="28"/>
          <w:szCs w:val="28"/>
        </w:rPr>
        <w:t xml:space="preserve">la </w:t>
      </w:r>
      <w:r w:rsidRPr="00D93140">
        <w:rPr>
          <w:rFonts w:ascii="Times New Roman" w:hAnsi="Times New Roman"/>
          <w:sz w:val="28"/>
          <w:szCs w:val="28"/>
        </w:rPr>
        <w:t>Sentencia</w:t>
      </w:r>
      <w:r w:rsidRPr="00D93140">
        <w:rPr>
          <w:rFonts w:ascii="Times New Roman" w:hAnsi="Times New Roman"/>
          <w:sz w:val="28"/>
          <w:szCs w:val="28"/>
        </w:rPr>
        <w:t xml:space="preserve"> C-030 de 2008, parte del reconocimiento del valor intrínseco de las </w:t>
      </w:r>
      <w:r w:rsidRPr="00D93140">
        <w:rPr>
          <w:rFonts w:ascii="Times New Roman" w:hAnsi="Times New Roman"/>
          <w:sz w:val="28"/>
          <w:szCs w:val="28"/>
        </w:rPr>
        <w:t>mismas</w:t>
      </w:r>
      <w:r w:rsidRPr="00D93140">
        <w:rPr>
          <w:rFonts w:ascii="Times New Roman" w:hAnsi="Times New Roman"/>
          <w:sz w:val="28"/>
          <w:szCs w:val="28"/>
        </w:rPr>
        <w:t xml:space="preserve"> como grupos diferenciados culturalmente.</w:t>
      </w:r>
    </w:p>
    <w:p w:rsidR="005F3034" w:rsidRPr="00D93140" w:rsidRDefault="00D93140" w:rsidP="00E04174">
      <w:pPr>
        <w:pStyle w:val="Prrafodelista"/>
        <w:ind w:left="0"/>
        <w:jc w:val="both"/>
        <w:rPr>
          <w:rFonts w:ascii="Times New Roman" w:hAnsi="Times New Roman"/>
          <w:sz w:val="28"/>
          <w:szCs w:val="28"/>
        </w:rPr>
      </w:pPr>
    </w:p>
    <w:p w:rsidR="005F3034"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Esta corporación, en la </w:t>
      </w:r>
      <w:r w:rsidRPr="00D93140">
        <w:rPr>
          <w:rFonts w:ascii="Times New Roman" w:hAnsi="Times New Roman"/>
          <w:sz w:val="28"/>
          <w:szCs w:val="28"/>
        </w:rPr>
        <w:t>Sentencia</w:t>
      </w:r>
      <w:r w:rsidRPr="00D93140">
        <w:rPr>
          <w:rFonts w:ascii="Times New Roman" w:hAnsi="Times New Roman"/>
          <w:sz w:val="28"/>
          <w:szCs w:val="28"/>
        </w:rPr>
        <w:t xml:space="preserve"> T-973 de 2009, precisó los tres ámbitos de protección que comprende este derecho, a saber: (</w:t>
      </w:r>
      <w:r w:rsidRPr="00D93140">
        <w:rPr>
          <w:rFonts w:ascii="Times New Roman" w:hAnsi="Times New Roman"/>
          <w:sz w:val="28"/>
          <w:szCs w:val="28"/>
        </w:rPr>
        <w:t xml:space="preserve">i) </w:t>
      </w:r>
      <w:r w:rsidRPr="00D93140">
        <w:rPr>
          <w:rFonts w:ascii="Times New Roman" w:hAnsi="Times New Roman"/>
          <w:sz w:val="28"/>
          <w:szCs w:val="28"/>
        </w:rPr>
        <w:t>u</w:t>
      </w:r>
      <w:r w:rsidRPr="00D93140">
        <w:rPr>
          <w:rFonts w:ascii="Times New Roman" w:hAnsi="Times New Roman"/>
          <w:sz w:val="28"/>
          <w:szCs w:val="28"/>
        </w:rPr>
        <w:t>n ámbito externo que reconoce el derecho a participar en las decisiones que los afectan, en el que la consulta previa juega un rol importante y necesario para asegurar que se tengan en cuenta las necesidades de estos pueblos; (ii) otro ámbito externo q</w:t>
      </w:r>
      <w:r w:rsidRPr="00D93140">
        <w:rPr>
          <w:rFonts w:ascii="Times New Roman" w:hAnsi="Times New Roman"/>
          <w:sz w:val="28"/>
          <w:szCs w:val="28"/>
        </w:rPr>
        <w:t xml:space="preserve">ue permite la participación política, teniendo representación en el Congreso y, (iii) un ámbito interno que </w:t>
      </w:r>
      <w:r w:rsidRPr="00D93140">
        <w:rPr>
          <w:rFonts w:ascii="Times New Roman" w:hAnsi="Times New Roman"/>
          <w:sz w:val="28"/>
          <w:szCs w:val="28"/>
        </w:rPr>
        <w:t>reconoce las formas de autogobierno y autodeterminación de las reglas jurídicas al interior de los pueblos indígenas.</w:t>
      </w:r>
      <w:r w:rsidRPr="00D93140">
        <w:rPr>
          <w:rFonts w:ascii="Times New Roman" w:hAnsi="Times New Roman"/>
          <w:sz w:val="28"/>
          <w:szCs w:val="28"/>
        </w:rPr>
        <w:t xml:space="preserve"> En este último, se destaca el </w:t>
      </w:r>
      <w:r w:rsidRPr="00D93140">
        <w:rPr>
          <w:rFonts w:ascii="Times New Roman" w:hAnsi="Times New Roman"/>
          <w:sz w:val="28"/>
          <w:szCs w:val="28"/>
        </w:rPr>
        <w:t>derecho de estas comunidades a decidir su forma de gobierno, a ejercer funciones jurisdiccionales dentro de su territorio, entre otros</w:t>
      </w:r>
      <w:r w:rsidRPr="00D93140">
        <w:rPr>
          <w:rFonts w:ascii="Times New Roman" w:hAnsi="Times New Roman"/>
          <w:sz w:val="28"/>
          <w:szCs w:val="28"/>
        </w:rPr>
        <w:t>, de conformidad con la Constitución y la ley</w:t>
      </w:r>
      <w:r w:rsidRPr="00D93140">
        <w:rPr>
          <w:rFonts w:ascii="Times New Roman" w:hAnsi="Times New Roman"/>
          <w:sz w:val="28"/>
          <w:szCs w:val="28"/>
        </w:rPr>
        <w:t>.</w:t>
      </w:r>
    </w:p>
    <w:p w:rsidR="0099771B" w:rsidRPr="00D93140" w:rsidRDefault="00D93140" w:rsidP="00E04174">
      <w:pPr>
        <w:pStyle w:val="Prrafodelista"/>
        <w:ind w:left="0"/>
        <w:jc w:val="both"/>
        <w:rPr>
          <w:rFonts w:ascii="Times New Roman" w:hAnsi="Times New Roman"/>
          <w:sz w:val="28"/>
          <w:szCs w:val="28"/>
        </w:rPr>
      </w:pPr>
    </w:p>
    <w:p w:rsidR="00E172F3"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Por lo expuesto, el Estado colombiano tiene la obligación de garantizar a </w:t>
      </w:r>
      <w:r w:rsidRPr="00D93140">
        <w:rPr>
          <w:rFonts w:ascii="Times New Roman" w:hAnsi="Times New Roman"/>
          <w:sz w:val="28"/>
          <w:szCs w:val="28"/>
        </w:rPr>
        <w:t>las comunidades indígenas el control de sus instituciones, formas de vida y desarrollo económico, con el fin de desarrollar su derecho a la autodeterminación, es decir, de darse su propia organización social, económica y política y decidir sobre asuntos cu</w:t>
      </w:r>
      <w:r w:rsidRPr="00D93140">
        <w:rPr>
          <w:rFonts w:ascii="Times New Roman" w:hAnsi="Times New Roman"/>
          <w:sz w:val="28"/>
          <w:szCs w:val="28"/>
        </w:rPr>
        <w:t>lturales, espirituales, políticos y jurídicos</w:t>
      </w:r>
      <w:r w:rsidRPr="00D93140">
        <w:rPr>
          <w:rStyle w:val="Refdenotaalpie"/>
          <w:rFonts w:ascii="Times New Roman" w:hAnsi="Times New Roman"/>
          <w:sz w:val="28"/>
          <w:szCs w:val="28"/>
        </w:rPr>
        <w:footnoteReference w:id="46"/>
      </w:r>
      <w:r w:rsidRPr="00D93140">
        <w:rPr>
          <w:rFonts w:ascii="Times New Roman" w:hAnsi="Times New Roman"/>
          <w:sz w:val="28"/>
          <w:szCs w:val="28"/>
        </w:rPr>
        <w:t>.</w:t>
      </w:r>
    </w:p>
    <w:p w:rsidR="00E348A3" w:rsidRPr="00D93140" w:rsidRDefault="00D93140" w:rsidP="00E04174">
      <w:pPr>
        <w:pStyle w:val="Prrafodelista"/>
        <w:ind w:left="0"/>
        <w:jc w:val="both"/>
        <w:rPr>
          <w:rFonts w:ascii="Times New Roman" w:hAnsi="Times New Roman"/>
          <w:sz w:val="28"/>
          <w:szCs w:val="28"/>
        </w:rPr>
      </w:pPr>
    </w:p>
    <w:p w:rsidR="00E172F3" w:rsidRPr="00D93140" w:rsidRDefault="00D93140" w:rsidP="00E04174">
      <w:pPr>
        <w:pStyle w:val="Prrafodelista"/>
        <w:ind w:left="0"/>
        <w:jc w:val="both"/>
        <w:rPr>
          <w:rFonts w:ascii="Times New Roman" w:hAnsi="Times New Roman"/>
          <w:i/>
          <w:sz w:val="28"/>
          <w:szCs w:val="28"/>
        </w:rPr>
      </w:pPr>
      <w:r w:rsidRPr="00D93140">
        <w:rPr>
          <w:rFonts w:ascii="Times New Roman" w:hAnsi="Times New Roman"/>
          <w:i/>
          <w:sz w:val="28"/>
          <w:szCs w:val="28"/>
        </w:rPr>
        <w:t>T</w:t>
      </w:r>
      <w:r w:rsidRPr="00D93140">
        <w:rPr>
          <w:rFonts w:ascii="Times New Roman" w:hAnsi="Times New Roman"/>
          <w:i/>
          <w:sz w:val="28"/>
          <w:szCs w:val="28"/>
        </w:rPr>
        <w:t>erritorios indígenas</w:t>
      </w:r>
      <w:r w:rsidRPr="00D93140">
        <w:rPr>
          <w:rFonts w:ascii="Times New Roman" w:hAnsi="Times New Roman"/>
          <w:i/>
          <w:sz w:val="28"/>
          <w:szCs w:val="28"/>
        </w:rPr>
        <w:t xml:space="preserve"> y autonomía territorial</w:t>
      </w:r>
    </w:p>
    <w:p w:rsidR="00E348A3" w:rsidRPr="00D93140" w:rsidRDefault="00D93140" w:rsidP="00E04174">
      <w:pPr>
        <w:pStyle w:val="Prrafodelista"/>
        <w:ind w:left="0"/>
        <w:jc w:val="both"/>
        <w:rPr>
          <w:rFonts w:ascii="Times New Roman" w:hAnsi="Times New Roman"/>
          <w:b/>
          <w:sz w:val="28"/>
          <w:szCs w:val="28"/>
        </w:rPr>
      </w:pPr>
    </w:p>
    <w:p w:rsidR="00E348A3"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El territorio, en palabras de esta Corte, “es elemento esencial para su existencia, dado que les permiten desarrollarse plenamente como cultura y expresar su id</w:t>
      </w:r>
      <w:r w:rsidRPr="00D93140">
        <w:rPr>
          <w:rFonts w:ascii="Times New Roman" w:hAnsi="Times New Roman"/>
          <w:sz w:val="28"/>
          <w:szCs w:val="28"/>
        </w:rPr>
        <w:t>entidad de manera diferenciada. Así, de conformidad con el Convenio 169 de la OIT, ha destacado que, para estos grupos étnicos, la percepción de la tierra no se limita a la porción ubicada dentro de los linderos que los entes estatales les han reconocido c</w:t>
      </w:r>
      <w:r w:rsidRPr="00D93140">
        <w:rPr>
          <w:rFonts w:ascii="Times New Roman" w:hAnsi="Times New Roman"/>
          <w:sz w:val="28"/>
          <w:szCs w:val="28"/>
        </w:rPr>
        <w:t>omo propia, sino que se extiende a todo el espacio que utilizan, que puede incluir cuerpos de agua, montañas y bosques, entre otros componentes de gran relevancia para su subsistencia económica y su bienestar espiritual y cultural. De igual manera, ha reco</w:t>
      </w:r>
      <w:r w:rsidRPr="00D93140">
        <w:rPr>
          <w:rFonts w:ascii="Times New Roman" w:hAnsi="Times New Roman"/>
          <w:sz w:val="28"/>
          <w:szCs w:val="28"/>
        </w:rPr>
        <w:t>nocido que, en aras de la protección de sus territorios, los pueblos indígenas tienen derecho a gobernarlos de conformidad con sus usos y costumbres”</w:t>
      </w:r>
      <w:r w:rsidRPr="00D93140">
        <w:rPr>
          <w:rStyle w:val="Refdenotaalpie"/>
          <w:rFonts w:ascii="Times New Roman" w:hAnsi="Times New Roman"/>
          <w:sz w:val="28"/>
          <w:szCs w:val="28"/>
        </w:rPr>
        <w:footnoteReference w:id="47"/>
      </w:r>
      <w:r w:rsidRPr="00D93140">
        <w:rPr>
          <w:rFonts w:ascii="Times New Roman" w:hAnsi="Times New Roman"/>
          <w:sz w:val="28"/>
          <w:szCs w:val="28"/>
        </w:rPr>
        <w:t>.</w:t>
      </w:r>
    </w:p>
    <w:p w:rsidR="00E172F3" w:rsidRPr="00D93140" w:rsidRDefault="00D93140" w:rsidP="00E04174">
      <w:pPr>
        <w:pStyle w:val="Prrafodelista"/>
        <w:ind w:left="0"/>
        <w:jc w:val="both"/>
        <w:rPr>
          <w:rFonts w:ascii="Times New Roman" w:hAnsi="Times New Roman"/>
          <w:sz w:val="28"/>
          <w:szCs w:val="28"/>
        </w:rPr>
      </w:pPr>
    </w:p>
    <w:p w:rsidR="00241F9A"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Este Convenio 169 también establece el deber del Estado de “desarrollar, con la participación de los </w:t>
      </w:r>
      <w:r w:rsidRPr="00D93140">
        <w:rPr>
          <w:rFonts w:ascii="Times New Roman" w:hAnsi="Times New Roman"/>
          <w:sz w:val="28"/>
          <w:szCs w:val="28"/>
        </w:rPr>
        <w:t>pueblos interesados, una acción coordinada y sistemática para asegurar a los miembros de las comunidades indígenas los derechos y oportunidades que la legislación nacional otorga a los demás miembros de la población, respetando su identidad social y cultur</w:t>
      </w:r>
      <w:r w:rsidRPr="00D93140">
        <w:rPr>
          <w:rFonts w:ascii="Times New Roman" w:hAnsi="Times New Roman"/>
          <w:sz w:val="28"/>
          <w:szCs w:val="28"/>
        </w:rPr>
        <w:t>al, sus costumbres, sus tradiciones y sus instituciones”</w:t>
      </w:r>
      <w:r w:rsidRPr="00D93140">
        <w:rPr>
          <w:rStyle w:val="Refdenotaalpie"/>
          <w:rFonts w:ascii="Times New Roman" w:hAnsi="Times New Roman"/>
          <w:sz w:val="28"/>
          <w:szCs w:val="28"/>
        </w:rPr>
        <w:footnoteReference w:id="48"/>
      </w:r>
      <w:r w:rsidRPr="00D93140">
        <w:rPr>
          <w:rFonts w:ascii="Times New Roman" w:hAnsi="Times New Roman"/>
          <w:sz w:val="28"/>
          <w:szCs w:val="28"/>
        </w:rPr>
        <w:t>.</w:t>
      </w:r>
      <w:r w:rsidRPr="00D93140">
        <w:rPr>
          <w:rFonts w:ascii="Times New Roman" w:hAnsi="Times New Roman"/>
          <w:sz w:val="28"/>
          <w:szCs w:val="28"/>
          <w:shd w:val="clear" w:color="auto" w:fill="FFFFFF"/>
        </w:rPr>
        <w:t xml:space="preserve"> </w:t>
      </w:r>
    </w:p>
    <w:p w:rsidR="00241F9A" w:rsidRPr="00D93140" w:rsidRDefault="00D93140" w:rsidP="00E04174">
      <w:pPr>
        <w:pStyle w:val="Prrafodelista"/>
        <w:ind w:left="0"/>
        <w:jc w:val="both"/>
        <w:rPr>
          <w:rFonts w:ascii="Times New Roman" w:hAnsi="Times New Roman"/>
          <w:sz w:val="28"/>
          <w:szCs w:val="28"/>
        </w:rPr>
      </w:pPr>
    </w:p>
    <w:p w:rsidR="00C50791"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La </w:t>
      </w:r>
      <w:r w:rsidRPr="00D93140">
        <w:rPr>
          <w:rFonts w:ascii="Times New Roman" w:hAnsi="Times New Roman"/>
          <w:sz w:val="28"/>
          <w:szCs w:val="28"/>
        </w:rPr>
        <w:t xml:space="preserve">Constitución </w:t>
      </w:r>
      <w:r w:rsidRPr="00D93140">
        <w:rPr>
          <w:rFonts w:ascii="Times New Roman" w:hAnsi="Times New Roman"/>
          <w:sz w:val="28"/>
          <w:szCs w:val="28"/>
        </w:rPr>
        <w:t xml:space="preserve">en su artículo 286 </w:t>
      </w:r>
      <w:r w:rsidRPr="00D93140">
        <w:rPr>
          <w:rFonts w:ascii="Times New Roman" w:hAnsi="Times New Roman"/>
          <w:sz w:val="28"/>
          <w:szCs w:val="28"/>
        </w:rPr>
        <w:t xml:space="preserve">reconoce como entidades territoriales a los departamentos, los distritos, los municipios y los territorios indígenas. </w:t>
      </w:r>
      <w:r w:rsidRPr="00D93140">
        <w:rPr>
          <w:rFonts w:ascii="Times New Roman" w:hAnsi="Times New Roman"/>
          <w:sz w:val="28"/>
          <w:szCs w:val="28"/>
        </w:rPr>
        <w:t>Igualmente, en su a</w:t>
      </w:r>
      <w:r w:rsidRPr="00D93140">
        <w:rPr>
          <w:rFonts w:ascii="Times New Roman" w:hAnsi="Times New Roman"/>
          <w:sz w:val="28"/>
          <w:szCs w:val="28"/>
        </w:rPr>
        <w:t xml:space="preserve">rtículo 287 </w:t>
      </w:r>
      <w:r w:rsidRPr="00D93140">
        <w:rPr>
          <w:rFonts w:ascii="Times New Roman" w:hAnsi="Times New Roman"/>
          <w:sz w:val="28"/>
          <w:szCs w:val="28"/>
        </w:rPr>
        <w:t>señala que</w:t>
      </w:r>
      <w:r w:rsidRPr="00D93140">
        <w:rPr>
          <w:rFonts w:ascii="Times New Roman" w:hAnsi="Times New Roman"/>
          <w:sz w:val="28"/>
          <w:szCs w:val="28"/>
        </w:rPr>
        <w:t xml:space="preserve"> estas entidades gozan de autonomía para la gestión de sus intereses, dentro de los límites de la Constitución y la ley, y tienen derecho a (i) gobernarse por autoridades propias, (ii) ejercer las competencias que les correspondan, (iii) administrar los re</w:t>
      </w:r>
      <w:r w:rsidRPr="00D93140">
        <w:rPr>
          <w:rFonts w:ascii="Times New Roman" w:hAnsi="Times New Roman"/>
          <w:sz w:val="28"/>
          <w:szCs w:val="28"/>
        </w:rPr>
        <w:t>cursos y establecer los tributos necesarios para el cumplimiento de sus funciones, y (iv) participar en las rentas nacionales.</w:t>
      </w:r>
    </w:p>
    <w:p w:rsidR="00C50791" w:rsidRPr="00D93140" w:rsidRDefault="00D93140" w:rsidP="00E04174">
      <w:pPr>
        <w:pStyle w:val="Prrafodelista"/>
        <w:ind w:left="0"/>
        <w:jc w:val="both"/>
        <w:rPr>
          <w:rFonts w:ascii="Times New Roman" w:hAnsi="Times New Roman"/>
          <w:sz w:val="28"/>
          <w:szCs w:val="28"/>
        </w:rPr>
      </w:pPr>
    </w:p>
    <w:p w:rsidR="00776D3F"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shd w:val="clear" w:color="auto" w:fill="FFFFFF"/>
          <w:lang w:val="es-ES"/>
        </w:rPr>
        <w:t xml:space="preserve">Por su parte, el </w:t>
      </w:r>
      <w:r w:rsidRPr="00D93140">
        <w:rPr>
          <w:rFonts w:ascii="Times New Roman" w:hAnsi="Times New Roman"/>
          <w:sz w:val="28"/>
          <w:szCs w:val="28"/>
          <w:shd w:val="clear" w:color="auto" w:fill="FFFFFF"/>
          <w:lang w:val="es-ES"/>
        </w:rPr>
        <w:t>artículo 329 de la Constitución dispone que “[</w:t>
      </w:r>
      <w:r w:rsidRPr="00D93140">
        <w:rPr>
          <w:rFonts w:ascii="Times New Roman" w:hAnsi="Times New Roman"/>
          <w:sz w:val="28"/>
          <w:szCs w:val="28"/>
          <w:shd w:val="clear" w:color="auto" w:fill="FFFFFF"/>
        </w:rPr>
        <w:t>l]a conformación de las entidades territoriales indígenas [ETI] s</w:t>
      </w:r>
      <w:r w:rsidRPr="00D93140">
        <w:rPr>
          <w:rFonts w:ascii="Times New Roman" w:hAnsi="Times New Roman"/>
          <w:sz w:val="28"/>
          <w:szCs w:val="28"/>
          <w:shd w:val="clear" w:color="auto" w:fill="FFFFFF"/>
        </w:rPr>
        <w:t>e hará con sujeción a lo dispuesto en la Ley Orgánica de Ordenamiento Territorial, y su delimitación se hará por el Gobierno Nacional, con participación de los representantes de las comunidades indígenas, previo concepto de la Comisión de Ordenamiento Terr</w:t>
      </w:r>
      <w:r w:rsidRPr="00D93140">
        <w:rPr>
          <w:rFonts w:ascii="Times New Roman" w:hAnsi="Times New Roman"/>
          <w:sz w:val="28"/>
          <w:szCs w:val="28"/>
          <w:shd w:val="clear" w:color="auto" w:fill="FFFFFF"/>
        </w:rPr>
        <w:t>itorial”</w:t>
      </w:r>
      <w:r w:rsidRPr="00D93140">
        <w:rPr>
          <w:rStyle w:val="Refdenotaalpie"/>
          <w:rFonts w:ascii="Times New Roman" w:hAnsi="Times New Roman"/>
          <w:sz w:val="28"/>
          <w:szCs w:val="28"/>
          <w:shd w:val="clear" w:color="auto" w:fill="FFFFFF"/>
        </w:rPr>
        <w:footnoteReference w:id="49"/>
      </w:r>
      <w:r w:rsidRPr="00D93140">
        <w:rPr>
          <w:rFonts w:ascii="Times New Roman" w:hAnsi="Times New Roman"/>
          <w:sz w:val="28"/>
          <w:szCs w:val="28"/>
          <w:shd w:val="clear" w:color="auto" w:fill="FFFFFF"/>
        </w:rPr>
        <w:t>.</w:t>
      </w:r>
    </w:p>
    <w:p w:rsidR="00E348A3" w:rsidRPr="00D93140" w:rsidRDefault="00D93140" w:rsidP="00E04174">
      <w:pPr>
        <w:pStyle w:val="Prrafodelista"/>
        <w:ind w:left="0"/>
        <w:jc w:val="both"/>
        <w:rPr>
          <w:rFonts w:ascii="Times New Roman" w:hAnsi="Times New Roman"/>
          <w:sz w:val="28"/>
          <w:szCs w:val="28"/>
        </w:rPr>
      </w:pPr>
    </w:p>
    <w:p w:rsidR="002B628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Ahora, reconociendo la importancia de los territorios en los que se asientan las comunidades indígenas, la Corte</w:t>
      </w:r>
      <w:r w:rsidRPr="00D93140">
        <w:rPr>
          <w:rStyle w:val="Refdenotaalpie"/>
          <w:rFonts w:ascii="Times New Roman" w:hAnsi="Times New Roman"/>
          <w:sz w:val="28"/>
          <w:szCs w:val="28"/>
        </w:rPr>
        <w:footnoteReference w:id="50"/>
      </w:r>
      <w:r w:rsidRPr="00D93140">
        <w:rPr>
          <w:rFonts w:ascii="Times New Roman" w:hAnsi="Times New Roman"/>
          <w:sz w:val="28"/>
          <w:szCs w:val="28"/>
        </w:rPr>
        <w:t xml:space="preserve"> ha resaltado </w:t>
      </w:r>
      <w:r w:rsidRPr="00D93140">
        <w:rPr>
          <w:rFonts w:ascii="Times New Roman" w:hAnsi="Times New Roman"/>
          <w:sz w:val="28"/>
          <w:szCs w:val="28"/>
        </w:rPr>
        <w:t xml:space="preserve">que dentro del derecho a la libre determinación de los pueblos se encuentra la autonomía territorial, que </w:t>
      </w:r>
      <w:r w:rsidRPr="00D93140">
        <w:rPr>
          <w:rFonts w:ascii="Times New Roman" w:hAnsi="Times New Roman"/>
          <w:sz w:val="28"/>
          <w:szCs w:val="28"/>
        </w:rPr>
        <w:t>encuentra f</w:t>
      </w:r>
      <w:r w:rsidRPr="00D93140">
        <w:rPr>
          <w:rFonts w:ascii="Times New Roman" w:hAnsi="Times New Roman"/>
          <w:sz w:val="28"/>
          <w:szCs w:val="28"/>
        </w:rPr>
        <w:t>undamento no solo en los artículos 7 y 330 de la Constitución, sino en el Convenio 169 de la OIT, el PIDESC, el PIDCP y en la Declaración de las Naciones Unidas para los Derechos de los Pueblos Indígenas, que prevé en su artículo 3 que las comunidades pued</w:t>
      </w:r>
      <w:r w:rsidRPr="00D93140">
        <w:rPr>
          <w:rFonts w:ascii="Times New Roman" w:hAnsi="Times New Roman"/>
          <w:sz w:val="28"/>
          <w:szCs w:val="28"/>
        </w:rPr>
        <w:t xml:space="preserve">en determinar libremente su condición política y su desarrollo económico, social y cultural. </w:t>
      </w:r>
    </w:p>
    <w:p w:rsidR="002B628E" w:rsidRPr="00D93140" w:rsidRDefault="00D93140" w:rsidP="00E04174">
      <w:pPr>
        <w:pStyle w:val="Prrafodelista"/>
        <w:ind w:left="0"/>
        <w:jc w:val="both"/>
        <w:rPr>
          <w:rFonts w:ascii="Times New Roman" w:hAnsi="Times New Roman"/>
          <w:sz w:val="28"/>
          <w:szCs w:val="28"/>
        </w:rPr>
      </w:pPr>
    </w:p>
    <w:p w:rsidR="00DD6B92"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También </w:t>
      </w:r>
      <w:r w:rsidRPr="00D93140">
        <w:rPr>
          <w:rFonts w:ascii="Times New Roman" w:hAnsi="Times New Roman"/>
          <w:sz w:val="28"/>
          <w:szCs w:val="28"/>
        </w:rPr>
        <w:t xml:space="preserve">se </w:t>
      </w:r>
      <w:r w:rsidRPr="00D93140">
        <w:rPr>
          <w:rFonts w:ascii="Times New Roman" w:hAnsi="Times New Roman"/>
          <w:sz w:val="28"/>
          <w:szCs w:val="28"/>
        </w:rPr>
        <w:t xml:space="preserve">ha señalado que la </w:t>
      </w:r>
      <w:r w:rsidRPr="00D93140">
        <w:rPr>
          <w:rFonts w:ascii="Times New Roman" w:hAnsi="Times New Roman"/>
          <w:sz w:val="28"/>
          <w:szCs w:val="28"/>
        </w:rPr>
        <w:t xml:space="preserve">autonomía </w:t>
      </w:r>
      <w:r w:rsidRPr="00D93140">
        <w:rPr>
          <w:rFonts w:ascii="Times New Roman" w:hAnsi="Times New Roman"/>
          <w:sz w:val="28"/>
          <w:szCs w:val="28"/>
        </w:rPr>
        <w:t xml:space="preserve">es </w:t>
      </w:r>
      <w:r w:rsidRPr="00D93140">
        <w:rPr>
          <w:rFonts w:ascii="Times New Roman" w:hAnsi="Times New Roman"/>
          <w:sz w:val="28"/>
          <w:szCs w:val="28"/>
        </w:rPr>
        <w:t xml:space="preserve">un elemento fundamental para la conservación cultural de las comunidades, ya que a través de ella pueden </w:t>
      </w:r>
      <w:r w:rsidRPr="00D93140">
        <w:rPr>
          <w:rFonts w:ascii="Times New Roman" w:hAnsi="Times New Roman"/>
          <w:sz w:val="28"/>
          <w:szCs w:val="28"/>
          <w:lang w:val="es-ES"/>
        </w:rPr>
        <w:t xml:space="preserve">señalar sus </w:t>
      </w:r>
      <w:r w:rsidRPr="00D93140">
        <w:rPr>
          <w:rFonts w:ascii="Times New Roman" w:hAnsi="Times New Roman"/>
          <w:sz w:val="28"/>
          <w:szCs w:val="28"/>
          <w:lang w:val="es-ES"/>
        </w:rPr>
        <w:t>autoridades e instituciones, a fin de determinar sus procesos y preservar sus usos y costumbres, de conformidad con su propia cosmovisión, de tal manera que se salvaguarde su supervivencia</w:t>
      </w:r>
      <w:r w:rsidRPr="00D93140">
        <w:rPr>
          <w:rStyle w:val="Refdenotaalpie"/>
          <w:rFonts w:ascii="Times New Roman" w:hAnsi="Times New Roman"/>
          <w:sz w:val="28"/>
          <w:szCs w:val="28"/>
          <w:lang w:val="es-ES"/>
        </w:rPr>
        <w:footnoteReference w:id="51"/>
      </w:r>
      <w:r w:rsidRPr="00D93140">
        <w:rPr>
          <w:rFonts w:ascii="Times New Roman" w:hAnsi="Times New Roman"/>
          <w:sz w:val="28"/>
          <w:szCs w:val="28"/>
          <w:lang w:val="es-ES"/>
        </w:rPr>
        <w:t>.</w:t>
      </w:r>
      <w:r w:rsidRPr="00D93140">
        <w:rPr>
          <w:rFonts w:ascii="Times New Roman" w:hAnsi="Times New Roman"/>
          <w:sz w:val="28"/>
          <w:szCs w:val="28"/>
          <w:lang w:val="es-ES"/>
        </w:rPr>
        <w:t xml:space="preserve">  </w:t>
      </w:r>
    </w:p>
    <w:p w:rsidR="00DD6B92" w:rsidRPr="00D93140" w:rsidRDefault="00D93140" w:rsidP="00E04174">
      <w:pPr>
        <w:pStyle w:val="Prrafodelista"/>
        <w:ind w:left="0"/>
        <w:jc w:val="both"/>
        <w:rPr>
          <w:rFonts w:ascii="Times New Roman" w:hAnsi="Times New Roman"/>
          <w:sz w:val="28"/>
          <w:szCs w:val="28"/>
        </w:rPr>
      </w:pPr>
    </w:p>
    <w:p w:rsidR="002B628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lang w:val="es-ES"/>
        </w:rPr>
        <w:t>Por lo tanto, su reconocimiento y respeto por parte de las aut</w:t>
      </w:r>
      <w:r w:rsidRPr="00D93140">
        <w:rPr>
          <w:rFonts w:ascii="Times New Roman" w:hAnsi="Times New Roman"/>
          <w:sz w:val="28"/>
          <w:szCs w:val="28"/>
          <w:lang w:val="es-ES"/>
        </w:rPr>
        <w:t xml:space="preserve">oridades </w:t>
      </w:r>
      <w:r w:rsidRPr="00D93140">
        <w:rPr>
          <w:rFonts w:ascii="Times New Roman" w:hAnsi="Times New Roman"/>
          <w:sz w:val="28"/>
          <w:szCs w:val="28"/>
          <w:lang w:val="es-ES"/>
        </w:rPr>
        <w:t xml:space="preserve">estatales resulta necesario para </w:t>
      </w:r>
      <w:r w:rsidRPr="00D93140">
        <w:rPr>
          <w:rFonts w:ascii="Times New Roman" w:hAnsi="Times New Roman"/>
          <w:sz w:val="28"/>
          <w:szCs w:val="28"/>
        </w:rPr>
        <w:t>preservar las tradiciones, los valores y la identidad de dichas comunidades como sujetos de especial protección constitucional dentro de un estado pluralista.</w:t>
      </w:r>
      <w:r w:rsidRPr="00D93140">
        <w:rPr>
          <w:rFonts w:ascii="Times New Roman" w:hAnsi="Times New Roman"/>
          <w:sz w:val="28"/>
          <w:szCs w:val="28"/>
        </w:rPr>
        <w:t xml:space="preserve"> Este respeto implica que el Estado no puede imponerles </w:t>
      </w:r>
      <w:r w:rsidRPr="00D93140">
        <w:rPr>
          <w:rFonts w:ascii="Times New Roman" w:hAnsi="Times New Roman"/>
          <w:sz w:val="28"/>
          <w:szCs w:val="28"/>
        </w:rPr>
        <w:t>una forma de organización ajena a sus costumbres ya que se desconocería su estructura política y social</w:t>
      </w:r>
      <w:r w:rsidRPr="00D93140">
        <w:rPr>
          <w:rStyle w:val="Refdenotaalpie"/>
          <w:rFonts w:ascii="Times New Roman" w:hAnsi="Times New Roman"/>
          <w:sz w:val="28"/>
          <w:szCs w:val="28"/>
        </w:rPr>
        <w:footnoteReference w:id="52"/>
      </w:r>
      <w:r w:rsidRPr="00D93140">
        <w:rPr>
          <w:rFonts w:ascii="Times New Roman" w:hAnsi="Times New Roman"/>
          <w:sz w:val="28"/>
          <w:szCs w:val="28"/>
        </w:rPr>
        <w:t>.</w:t>
      </w:r>
      <w:r w:rsidRPr="00D93140">
        <w:rPr>
          <w:rFonts w:ascii="Times New Roman" w:hAnsi="Times New Roman"/>
          <w:sz w:val="28"/>
          <w:szCs w:val="28"/>
        </w:rPr>
        <w:t xml:space="preserve"> No obstante, no sobra </w:t>
      </w:r>
      <w:r w:rsidRPr="00D93140">
        <w:rPr>
          <w:rFonts w:ascii="Times New Roman" w:hAnsi="Times New Roman"/>
          <w:sz w:val="28"/>
          <w:szCs w:val="28"/>
        </w:rPr>
        <w:t>decir</w:t>
      </w:r>
      <w:r w:rsidRPr="00D93140">
        <w:rPr>
          <w:rFonts w:ascii="Times New Roman" w:hAnsi="Times New Roman"/>
          <w:sz w:val="28"/>
          <w:szCs w:val="28"/>
        </w:rPr>
        <w:t xml:space="preserve"> que este derecho a la autonomía no es</w:t>
      </w:r>
      <w:r w:rsidRPr="00D93140">
        <w:rPr>
          <w:rFonts w:ascii="Times New Roman" w:hAnsi="Times New Roman"/>
          <w:sz w:val="28"/>
          <w:szCs w:val="28"/>
        </w:rPr>
        <w:t xml:space="preserve"> absoluto</w:t>
      </w:r>
      <w:r w:rsidRPr="00D93140">
        <w:rPr>
          <w:rFonts w:ascii="Times New Roman" w:hAnsi="Times New Roman"/>
          <w:sz w:val="28"/>
          <w:szCs w:val="28"/>
        </w:rPr>
        <w:t xml:space="preserve"> y puede</w:t>
      </w:r>
      <w:r w:rsidRPr="00D93140">
        <w:rPr>
          <w:rFonts w:ascii="Times New Roman" w:hAnsi="Times New Roman"/>
          <w:sz w:val="28"/>
          <w:szCs w:val="28"/>
        </w:rPr>
        <w:t xml:space="preserve"> </w:t>
      </w:r>
      <w:r w:rsidRPr="00D93140">
        <w:rPr>
          <w:rFonts w:ascii="Times New Roman" w:hAnsi="Times New Roman"/>
          <w:sz w:val="28"/>
          <w:szCs w:val="28"/>
        </w:rPr>
        <w:t>estar</w:t>
      </w:r>
      <w:r w:rsidRPr="00D93140">
        <w:rPr>
          <w:rFonts w:ascii="Times New Roman" w:hAnsi="Times New Roman"/>
          <w:sz w:val="28"/>
          <w:szCs w:val="28"/>
        </w:rPr>
        <w:t xml:space="preserve"> sujeto </w:t>
      </w:r>
      <w:r w:rsidRPr="00D93140">
        <w:rPr>
          <w:rFonts w:ascii="Times New Roman" w:hAnsi="Times New Roman"/>
          <w:sz w:val="28"/>
          <w:szCs w:val="28"/>
        </w:rPr>
        <w:t>a</w:t>
      </w:r>
      <w:r w:rsidRPr="00D93140">
        <w:rPr>
          <w:rFonts w:ascii="Times New Roman" w:hAnsi="Times New Roman"/>
          <w:sz w:val="28"/>
          <w:szCs w:val="28"/>
        </w:rPr>
        <w:t xml:space="preserve"> límites</w:t>
      </w:r>
      <w:r w:rsidRPr="00D93140">
        <w:rPr>
          <w:rFonts w:ascii="Times New Roman" w:hAnsi="Times New Roman"/>
          <w:sz w:val="28"/>
          <w:szCs w:val="28"/>
        </w:rPr>
        <w:t>, siempre que estos se funden en un principio</w:t>
      </w:r>
      <w:r w:rsidRPr="00D93140">
        <w:rPr>
          <w:rFonts w:ascii="Times New Roman" w:hAnsi="Times New Roman"/>
          <w:sz w:val="28"/>
          <w:szCs w:val="28"/>
        </w:rPr>
        <w:t xml:space="preserve"> de valor superior al de la diversidad étnica y cultural,</w:t>
      </w:r>
      <w:r w:rsidRPr="00D93140">
        <w:rPr>
          <w:rFonts w:ascii="Times New Roman" w:hAnsi="Times New Roman"/>
          <w:sz w:val="28"/>
          <w:szCs w:val="28"/>
        </w:rPr>
        <w:t xml:space="preserve"> como lo ha reconocido la jurisprudencia</w:t>
      </w:r>
      <w:r w:rsidRPr="00D93140">
        <w:rPr>
          <w:rFonts w:ascii="Times New Roman" w:hAnsi="Times New Roman"/>
          <w:sz w:val="28"/>
          <w:szCs w:val="28"/>
        </w:rPr>
        <w:t xml:space="preserve"> de esta corporación</w:t>
      </w:r>
      <w:r w:rsidRPr="00D93140">
        <w:rPr>
          <w:rStyle w:val="Refdenotaalpie"/>
          <w:rFonts w:ascii="Times New Roman" w:hAnsi="Times New Roman"/>
          <w:sz w:val="28"/>
          <w:szCs w:val="28"/>
        </w:rPr>
        <w:footnoteReference w:id="53"/>
      </w:r>
      <w:r w:rsidRPr="00D93140">
        <w:rPr>
          <w:rFonts w:ascii="Times New Roman" w:hAnsi="Times New Roman"/>
          <w:sz w:val="28"/>
          <w:szCs w:val="28"/>
        </w:rPr>
        <w:t>.</w:t>
      </w:r>
      <w:r w:rsidRPr="00D93140">
        <w:rPr>
          <w:rFonts w:ascii="Times New Roman" w:hAnsi="Times New Roman"/>
          <w:sz w:val="28"/>
          <w:szCs w:val="28"/>
        </w:rPr>
        <w:t xml:space="preserve"> </w:t>
      </w:r>
      <w:r w:rsidRPr="00D93140">
        <w:rPr>
          <w:rFonts w:ascii="Times New Roman" w:hAnsi="Times New Roman"/>
          <w:sz w:val="28"/>
          <w:szCs w:val="28"/>
        </w:rPr>
        <w:t xml:space="preserve">Por ejemplo, las decisiones internas de las comunidades étnicas sobre aprovechamiento de recursos naturales tienen como límite la </w:t>
      </w:r>
      <w:r w:rsidRPr="00D93140">
        <w:rPr>
          <w:rFonts w:ascii="Times New Roman" w:hAnsi="Times New Roman"/>
          <w:sz w:val="28"/>
          <w:szCs w:val="28"/>
        </w:rPr>
        <w:t>salvaguarda del medio ambiente y el desarrollo sostenible</w:t>
      </w:r>
      <w:r w:rsidRPr="00D93140">
        <w:rPr>
          <w:rStyle w:val="Refdenotaalpie"/>
          <w:rFonts w:ascii="Times New Roman" w:hAnsi="Times New Roman"/>
          <w:sz w:val="28"/>
          <w:szCs w:val="28"/>
        </w:rPr>
        <w:footnoteReference w:id="54"/>
      </w:r>
      <w:r w:rsidRPr="00D93140">
        <w:rPr>
          <w:rFonts w:ascii="Times New Roman" w:hAnsi="Times New Roman"/>
          <w:sz w:val="28"/>
          <w:szCs w:val="28"/>
        </w:rPr>
        <w:t xml:space="preserve">. </w:t>
      </w:r>
      <w:r w:rsidRPr="00D93140">
        <w:rPr>
          <w:rFonts w:ascii="Times New Roman" w:hAnsi="Times New Roman"/>
          <w:sz w:val="28"/>
          <w:szCs w:val="28"/>
        </w:rPr>
        <w:t>Al respecto no puede desconocerse que Colombia es una República unitaria, en tal virtud, el Estado debe atender unos fines impuestos por la misma Constitución, “lo que le impone la tarea de adopta</w:t>
      </w:r>
      <w:r w:rsidRPr="00D93140">
        <w:rPr>
          <w:rFonts w:ascii="Times New Roman" w:hAnsi="Times New Roman"/>
          <w:sz w:val="28"/>
          <w:szCs w:val="28"/>
        </w:rPr>
        <w:t>r medidas tendientes a la conservación de la vida, honra, bienes, creencias, y demás derechos y libertades, y a la defensa de la independencia nacional, al mantenimiento de la integridad territorial y asegurar la convivencia pacífica y la vigencia de un or</w:t>
      </w:r>
      <w:r w:rsidRPr="00D93140">
        <w:rPr>
          <w:rFonts w:ascii="Times New Roman" w:hAnsi="Times New Roman"/>
          <w:sz w:val="28"/>
          <w:szCs w:val="28"/>
        </w:rPr>
        <w:t>den justo”</w:t>
      </w:r>
      <w:r w:rsidRPr="00D93140">
        <w:rPr>
          <w:rStyle w:val="Refdenotaalpie"/>
          <w:rFonts w:ascii="Times New Roman" w:hAnsi="Times New Roman"/>
          <w:sz w:val="28"/>
          <w:szCs w:val="28"/>
        </w:rPr>
        <w:footnoteReference w:id="55"/>
      </w:r>
      <w:r w:rsidRPr="00D93140">
        <w:rPr>
          <w:rFonts w:ascii="Times New Roman" w:hAnsi="Times New Roman"/>
          <w:sz w:val="28"/>
          <w:szCs w:val="28"/>
        </w:rPr>
        <w:t>.</w:t>
      </w:r>
      <w:r w:rsidRPr="00D93140">
        <w:rPr>
          <w:rFonts w:ascii="Times New Roman" w:hAnsi="Times New Roman"/>
          <w:sz w:val="28"/>
          <w:szCs w:val="28"/>
        </w:rPr>
        <w:t xml:space="preserve"> </w:t>
      </w:r>
    </w:p>
    <w:p w:rsidR="0072710E" w:rsidRPr="00D93140" w:rsidRDefault="00D93140" w:rsidP="00E04174">
      <w:pPr>
        <w:pStyle w:val="Prrafodelista"/>
        <w:ind w:left="0"/>
        <w:jc w:val="both"/>
        <w:rPr>
          <w:rFonts w:ascii="Times New Roman" w:hAnsi="Times New Roman"/>
          <w:sz w:val="28"/>
          <w:szCs w:val="28"/>
        </w:rPr>
      </w:pPr>
    </w:p>
    <w:p w:rsidR="00D822A9" w:rsidRPr="00D93140" w:rsidRDefault="00D93140" w:rsidP="00E04174">
      <w:pPr>
        <w:pStyle w:val="Prrafodelista"/>
        <w:ind w:left="0"/>
        <w:jc w:val="both"/>
        <w:rPr>
          <w:rFonts w:ascii="Times New Roman" w:hAnsi="Times New Roman"/>
          <w:i/>
          <w:sz w:val="28"/>
          <w:szCs w:val="28"/>
        </w:rPr>
      </w:pPr>
      <w:r w:rsidRPr="00D93140">
        <w:rPr>
          <w:rFonts w:ascii="Times New Roman" w:hAnsi="Times New Roman"/>
          <w:i/>
          <w:sz w:val="28"/>
          <w:szCs w:val="28"/>
        </w:rPr>
        <w:t>Autonomía y competencias ambientales de los territorios indígenas</w:t>
      </w:r>
    </w:p>
    <w:p w:rsidR="00D822A9" w:rsidRPr="00D93140" w:rsidRDefault="00D93140" w:rsidP="00E04174">
      <w:pPr>
        <w:pStyle w:val="Prrafodelista"/>
        <w:ind w:left="0"/>
        <w:jc w:val="both"/>
        <w:rPr>
          <w:rFonts w:ascii="Times New Roman" w:hAnsi="Times New Roman"/>
          <w:sz w:val="28"/>
          <w:szCs w:val="28"/>
        </w:rPr>
      </w:pPr>
    </w:p>
    <w:p w:rsidR="0084627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La jurisprudencia ha señalado que el deber de protección de los recursos culturales y naturales y de velar por la conservación de un ambiente sano señalado en el artículo 95.</w:t>
      </w:r>
      <w:r w:rsidRPr="00D93140">
        <w:rPr>
          <w:rFonts w:ascii="Times New Roman" w:hAnsi="Times New Roman"/>
          <w:sz w:val="28"/>
          <w:szCs w:val="28"/>
        </w:rPr>
        <w:t xml:space="preserve">8 superior, adquiere </w:t>
      </w:r>
      <w:r w:rsidRPr="00D93140">
        <w:rPr>
          <w:rFonts w:ascii="Times New Roman" w:hAnsi="Times New Roman"/>
          <w:sz w:val="28"/>
          <w:szCs w:val="28"/>
        </w:rPr>
        <w:t>una naturaleza compleja cuando se trata de su protección por parte de comunidades indígenas, dada la relación inescindible que hay entre estas comunidades y el medio ambiente que habitan</w:t>
      </w:r>
      <w:r w:rsidRPr="00D93140">
        <w:rPr>
          <w:rFonts w:ascii="Times New Roman" w:hAnsi="Times New Roman"/>
          <w:sz w:val="28"/>
          <w:szCs w:val="28"/>
        </w:rPr>
        <w:t>, la cual se refleja en sus actividades tradicion</w:t>
      </w:r>
      <w:r w:rsidRPr="00D93140">
        <w:rPr>
          <w:rFonts w:ascii="Times New Roman" w:hAnsi="Times New Roman"/>
          <w:sz w:val="28"/>
          <w:szCs w:val="28"/>
        </w:rPr>
        <w:t>ales y en la construcción de su propia identidad</w:t>
      </w:r>
      <w:r w:rsidRPr="00D93140">
        <w:rPr>
          <w:rFonts w:ascii="Times New Roman" w:hAnsi="Times New Roman"/>
          <w:sz w:val="28"/>
          <w:szCs w:val="28"/>
        </w:rPr>
        <w:t>.</w:t>
      </w:r>
    </w:p>
    <w:p w:rsidR="005834A1" w:rsidRPr="00D93140" w:rsidRDefault="00D93140" w:rsidP="00E04174">
      <w:pPr>
        <w:pStyle w:val="Prrafodelista"/>
        <w:ind w:left="0"/>
        <w:jc w:val="both"/>
        <w:rPr>
          <w:rFonts w:ascii="Times New Roman" w:hAnsi="Times New Roman"/>
          <w:sz w:val="28"/>
          <w:szCs w:val="28"/>
        </w:rPr>
      </w:pPr>
    </w:p>
    <w:p w:rsidR="0084627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En este escenario, el conocimiento en la materia de las distintas comunidades indígenas resulta valioso para la protección de la biodiversidad y la restauración del medio ambiente. En efecto, </w:t>
      </w:r>
      <w:r w:rsidRPr="00D93140">
        <w:rPr>
          <w:rFonts w:ascii="Times New Roman" w:hAnsi="Times New Roman"/>
          <w:sz w:val="28"/>
          <w:szCs w:val="28"/>
        </w:rPr>
        <w:t>el Convenio 1</w:t>
      </w:r>
      <w:r w:rsidRPr="00D93140">
        <w:rPr>
          <w:rFonts w:ascii="Times New Roman" w:hAnsi="Times New Roman"/>
          <w:sz w:val="28"/>
          <w:szCs w:val="28"/>
        </w:rPr>
        <w:t>69 de la OIT señal</w:t>
      </w:r>
      <w:r w:rsidRPr="00D93140">
        <w:rPr>
          <w:rFonts w:ascii="Times New Roman" w:hAnsi="Times New Roman"/>
          <w:sz w:val="28"/>
          <w:szCs w:val="28"/>
        </w:rPr>
        <w:t>a</w:t>
      </w:r>
      <w:r w:rsidRPr="00D93140">
        <w:rPr>
          <w:rFonts w:ascii="Times New Roman" w:hAnsi="Times New Roman"/>
          <w:sz w:val="28"/>
          <w:szCs w:val="28"/>
        </w:rPr>
        <w:t xml:space="preserve"> la necesidad de recordar “la particular contribución de los pueblos indígenas y tribales a la diversidad cultural, a la armonía social y ecológica de la humanidad y la cooperación y comprensión internacionales”; y, en su artículo 15 det</w:t>
      </w:r>
      <w:r w:rsidRPr="00D93140">
        <w:rPr>
          <w:rFonts w:ascii="Times New Roman" w:hAnsi="Times New Roman"/>
          <w:sz w:val="28"/>
          <w:szCs w:val="28"/>
        </w:rPr>
        <w:t xml:space="preserve">ermina que “los derechos de los pueblos interesados en los recursos naturales existentes en sus tierras deberán protegerse especialmente. Estos derechos comprenden el derecho de esos pueblos a participar en la utilización, administración y conservación de </w:t>
      </w:r>
      <w:r w:rsidRPr="00D93140">
        <w:rPr>
          <w:rFonts w:ascii="Times New Roman" w:hAnsi="Times New Roman"/>
          <w:sz w:val="28"/>
          <w:szCs w:val="28"/>
        </w:rPr>
        <w:t>recursos”.</w:t>
      </w:r>
    </w:p>
    <w:p w:rsidR="004A5AB2" w:rsidRPr="00D93140" w:rsidRDefault="00D93140" w:rsidP="00E04174">
      <w:pPr>
        <w:pStyle w:val="Prrafodelista"/>
        <w:ind w:left="0"/>
        <w:jc w:val="both"/>
        <w:rPr>
          <w:rFonts w:ascii="Times New Roman" w:hAnsi="Times New Roman"/>
          <w:sz w:val="28"/>
          <w:szCs w:val="28"/>
        </w:rPr>
      </w:pPr>
    </w:p>
    <w:p w:rsidR="00063BB6"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El artículo 330 de la Constitución </w:t>
      </w:r>
      <w:r w:rsidRPr="00D93140">
        <w:rPr>
          <w:rFonts w:ascii="Times New Roman" w:hAnsi="Times New Roman"/>
          <w:sz w:val="28"/>
          <w:szCs w:val="28"/>
        </w:rPr>
        <w:t>dispone expresamente</w:t>
      </w:r>
      <w:r w:rsidRPr="00D93140">
        <w:rPr>
          <w:rFonts w:ascii="Times New Roman" w:hAnsi="Times New Roman"/>
          <w:sz w:val="28"/>
          <w:szCs w:val="28"/>
        </w:rPr>
        <w:t>, dentro de las funciones que ejercerán los territorios indígenas la de</w:t>
      </w:r>
      <w:r w:rsidRPr="00D93140">
        <w:rPr>
          <w:rFonts w:ascii="Times New Roman" w:hAnsi="Times New Roman"/>
          <w:sz w:val="28"/>
          <w:szCs w:val="28"/>
        </w:rPr>
        <w:t xml:space="preserve"> </w:t>
      </w:r>
      <w:r w:rsidRPr="00D93140">
        <w:rPr>
          <w:rFonts w:ascii="Times New Roman" w:hAnsi="Times New Roman"/>
          <w:sz w:val="28"/>
          <w:szCs w:val="28"/>
        </w:rPr>
        <w:t>v</w:t>
      </w:r>
      <w:r w:rsidRPr="00D93140">
        <w:rPr>
          <w:rFonts w:ascii="Times New Roman" w:hAnsi="Times New Roman"/>
          <w:sz w:val="28"/>
          <w:szCs w:val="28"/>
        </w:rPr>
        <w:t>elar por la preservación de los recursos naturales</w:t>
      </w:r>
      <w:r w:rsidRPr="00D93140">
        <w:rPr>
          <w:rFonts w:ascii="Times New Roman" w:hAnsi="Times New Roman"/>
          <w:sz w:val="28"/>
          <w:szCs w:val="28"/>
        </w:rPr>
        <w:t xml:space="preserve"> y</w:t>
      </w:r>
      <w:r w:rsidRPr="00D93140">
        <w:rPr>
          <w:rFonts w:ascii="Times New Roman" w:hAnsi="Times New Roman"/>
          <w:sz w:val="28"/>
          <w:szCs w:val="28"/>
        </w:rPr>
        <w:t xml:space="preserve"> que “la explotación de los recursos naturales en los territorios indígenas se hará sin desmedro de la integridad cultural, social y económica de las comunidades indígenas. En las decisiones que se adopten respecto de dicha explotación, el Gobierno propici</w:t>
      </w:r>
      <w:r w:rsidRPr="00D93140">
        <w:rPr>
          <w:rFonts w:ascii="Times New Roman" w:hAnsi="Times New Roman"/>
          <w:sz w:val="28"/>
          <w:szCs w:val="28"/>
        </w:rPr>
        <w:t>ará la participación de los representantes de las respectivas comunidades”.</w:t>
      </w:r>
    </w:p>
    <w:p w:rsidR="00063BB6" w:rsidRPr="00D93140" w:rsidRDefault="00D93140" w:rsidP="00E04174">
      <w:pPr>
        <w:pStyle w:val="Prrafodelista"/>
        <w:ind w:left="0"/>
        <w:jc w:val="both"/>
        <w:rPr>
          <w:rFonts w:ascii="Times New Roman" w:hAnsi="Times New Roman"/>
          <w:sz w:val="28"/>
          <w:szCs w:val="28"/>
        </w:rPr>
      </w:pPr>
    </w:p>
    <w:p w:rsidR="0052246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También deber resaltarse que la Ley 99 de 1993, en su artículo 63 consagra que “el ejercicio de las funciones en materia ambiental por parte de las entidades territoriales, se suj</w:t>
      </w:r>
      <w:r w:rsidRPr="00D93140">
        <w:rPr>
          <w:rFonts w:ascii="Times New Roman" w:hAnsi="Times New Roman"/>
          <w:sz w:val="28"/>
          <w:szCs w:val="28"/>
        </w:rPr>
        <w:t>etará a los principios de armonía regional, gradación normativa y rigor subsidiario definidos en el presente artículo”. Seguidamen</w:t>
      </w:r>
      <w:r w:rsidRPr="00D93140">
        <w:rPr>
          <w:rFonts w:ascii="Times New Roman" w:hAnsi="Times New Roman"/>
          <w:sz w:val="28"/>
          <w:szCs w:val="28"/>
        </w:rPr>
        <w:t xml:space="preserve">te, el artículo 67 dispone que </w:t>
      </w:r>
      <w:r w:rsidRPr="00D93140">
        <w:rPr>
          <w:rFonts w:ascii="Times New Roman" w:hAnsi="Times New Roman"/>
          <w:sz w:val="28"/>
          <w:szCs w:val="28"/>
        </w:rPr>
        <w:t xml:space="preserve">los territorios indígenas tendrán las mismas funciones y deberes definidos para los municipios </w:t>
      </w:r>
      <w:r w:rsidRPr="00D93140">
        <w:rPr>
          <w:rFonts w:ascii="Times New Roman" w:hAnsi="Times New Roman"/>
          <w:sz w:val="28"/>
          <w:szCs w:val="28"/>
        </w:rPr>
        <w:t>en materia ambiental, dentro de las que se encuentran especialmente las de: promover y ejecutar programas y políticas nacionales, regionales y sectoriales en relación con el medio ambiente y los recursos naturales renovables; colaborar con las corporacione</w:t>
      </w:r>
      <w:r w:rsidRPr="00D93140">
        <w:rPr>
          <w:rFonts w:ascii="Times New Roman" w:hAnsi="Times New Roman"/>
          <w:sz w:val="28"/>
          <w:szCs w:val="28"/>
        </w:rPr>
        <w:t>s autónomas regionales tanto en la elaboración de los planes regionales y en la ejecución de programas, proyectos y tareas necesarias para la conservación del medio ambiente y los recursos naturales renovables, como en la coordinación y dirección de las ac</w:t>
      </w:r>
      <w:r w:rsidRPr="00D93140">
        <w:rPr>
          <w:rFonts w:ascii="Times New Roman" w:hAnsi="Times New Roman"/>
          <w:sz w:val="28"/>
          <w:szCs w:val="28"/>
        </w:rPr>
        <w:t>tividades permanentes de control y vigilancia ambientales que se realicen en el territorio del municipio o distrito en relación con la movilización, procesamiento, uso, aprovechamiento y comercialización de los recursos naturales renovables o con actividad</w:t>
      </w:r>
      <w:r w:rsidRPr="00D93140">
        <w:rPr>
          <w:rFonts w:ascii="Times New Roman" w:hAnsi="Times New Roman"/>
          <w:sz w:val="28"/>
          <w:szCs w:val="28"/>
        </w:rPr>
        <w:t>es degradantes de las aguas, el aire o el suelo</w:t>
      </w:r>
      <w:r w:rsidRPr="00D93140">
        <w:rPr>
          <w:rStyle w:val="Refdenotaalpie"/>
          <w:rFonts w:ascii="Times New Roman" w:hAnsi="Times New Roman"/>
          <w:sz w:val="28"/>
          <w:szCs w:val="28"/>
        </w:rPr>
        <w:footnoteReference w:id="56"/>
      </w:r>
      <w:r w:rsidRPr="00D93140">
        <w:rPr>
          <w:rFonts w:ascii="Times New Roman" w:hAnsi="Times New Roman"/>
          <w:sz w:val="28"/>
          <w:szCs w:val="28"/>
        </w:rPr>
        <w:t>.</w:t>
      </w:r>
    </w:p>
    <w:p w:rsidR="0052246E" w:rsidRPr="00D93140" w:rsidRDefault="00D93140" w:rsidP="00E04174">
      <w:pPr>
        <w:pStyle w:val="Prrafodelista"/>
        <w:ind w:left="0"/>
        <w:jc w:val="both"/>
        <w:rPr>
          <w:rFonts w:ascii="Times New Roman" w:hAnsi="Times New Roman"/>
          <w:sz w:val="28"/>
          <w:szCs w:val="28"/>
        </w:rPr>
      </w:pPr>
    </w:p>
    <w:p w:rsidR="00063BB6"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Lo anterior, como lo ha señalado la Corte, permite establecer la relación estrecha que </w:t>
      </w:r>
      <w:r w:rsidRPr="00D93140">
        <w:rPr>
          <w:rFonts w:ascii="Times New Roman" w:hAnsi="Times New Roman"/>
          <w:sz w:val="28"/>
          <w:szCs w:val="28"/>
        </w:rPr>
        <w:t xml:space="preserve">los pueblos indígenas mantienen con el medio ambiente, </w:t>
      </w:r>
      <w:r w:rsidRPr="00D93140">
        <w:rPr>
          <w:rFonts w:ascii="Times New Roman" w:hAnsi="Times New Roman"/>
          <w:sz w:val="28"/>
          <w:szCs w:val="28"/>
        </w:rPr>
        <w:t>“</w:t>
      </w:r>
      <w:r w:rsidRPr="00D93140">
        <w:rPr>
          <w:rFonts w:ascii="Times New Roman" w:hAnsi="Times New Roman"/>
          <w:sz w:val="28"/>
          <w:szCs w:val="28"/>
        </w:rPr>
        <w:t>toda vez que el aprovechamiento de los recursos naturales para</w:t>
      </w:r>
      <w:r w:rsidRPr="00D93140">
        <w:rPr>
          <w:rFonts w:ascii="Times New Roman" w:hAnsi="Times New Roman"/>
          <w:sz w:val="28"/>
          <w:szCs w:val="28"/>
        </w:rPr>
        <w:t xml:space="preserve"> la alimentación, construcción de vivienda, fabricación de productos artesanales para su comercialización o el desarrollo de su propia cosmovisión, es menos artificioso y por lo mismo más directa</w:t>
      </w:r>
      <w:r w:rsidRPr="00D93140">
        <w:rPr>
          <w:rFonts w:ascii="Times New Roman" w:hAnsi="Times New Roman"/>
          <w:sz w:val="28"/>
          <w:szCs w:val="28"/>
        </w:rPr>
        <w:t>”</w:t>
      </w:r>
      <w:r w:rsidRPr="00D93140">
        <w:rPr>
          <w:rStyle w:val="Refdenotaalpie"/>
          <w:rFonts w:ascii="Times New Roman" w:hAnsi="Times New Roman"/>
          <w:sz w:val="28"/>
          <w:szCs w:val="28"/>
        </w:rPr>
        <w:footnoteReference w:id="57"/>
      </w:r>
      <w:r w:rsidRPr="00D93140">
        <w:rPr>
          <w:rFonts w:ascii="Times New Roman" w:hAnsi="Times New Roman"/>
          <w:sz w:val="28"/>
          <w:szCs w:val="28"/>
        </w:rPr>
        <w:t>.</w:t>
      </w:r>
    </w:p>
    <w:p w:rsidR="00063BB6" w:rsidRPr="00D93140" w:rsidRDefault="00D93140" w:rsidP="00E04174">
      <w:pPr>
        <w:pStyle w:val="Prrafodelista"/>
        <w:ind w:left="0"/>
        <w:jc w:val="both"/>
        <w:rPr>
          <w:rFonts w:ascii="Times New Roman" w:hAnsi="Times New Roman"/>
          <w:sz w:val="28"/>
          <w:szCs w:val="28"/>
        </w:rPr>
      </w:pPr>
    </w:p>
    <w:p w:rsidR="00A55A6D"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Bajo este contexto</w:t>
      </w:r>
      <w:r w:rsidRPr="00D93140">
        <w:rPr>
          <w:rFonts w:ascii="Times New Roman" w:hAnsi="Times New Roman"/>
          <w:sz w:val="28"/>
          <w:szCs w:val="28"/>
        </w:rPr>
        <w:t xml:space="preserve">, </w:t>
      </w:r>
      <w:r w:rsidRPr="00D93140">
        <w:rPr>
          <w:rFonts w:ascii="Times New Roman" w:hAnsi="Times New Roman"/>
          <w:sz w:val="28"/>
          <w:szCs w:val="28"/>
        </w:rPr>
        <w:t>esta corporación</w:t>
      </w:r>
      <w:r w:rsidRPr="00D93140">
        <w:rPr>
          <w:rStyle w:val="Refdenotaalpie"/>
          <w:rFonts w:ascii="Times New Roman" w:hAnsi="Times New Roman"/>
          <w:sz w:val="28"/>
          <w:szCs w:val="28"/>
        </w:rPr>
        <w:footnoteReference w:id="58"/>
      </w:r>
      <w:r w:rsidRPr="00D93140">
        <w:rPr>
          <w:rFonts w:ascii="Times New Roman" w:hAnsi="Times New Roman"/>
          <w:sz w:val="28"/>
          <w:szCs w:val="28"/>
        </w:rPr>
        <w:t xml:space="preserve"> ha reconocido </w:t>
      </w:r>
      <w:r w:rsidRPr="00D93140">
        <w:rPr>
          <w:rFonts w:ascii="Times New Roman" w:hAnsi="Times New Roman"/>
          <w:sz w:val="28"/>
          <w:szCs w:val="28"/>
        </w:rPr>
        <w:t>la c</w:t>
      </w:r>
      <w:r w:rsidRPr="00D93140">
        <w:rPr>
          <w:rFonts w:ascii="Times New Roman" w:hAnsi="Times New Roman"/>
          <w:sz w:val="28"/>
          <w:szCs w:val="28"/>
        </w:rPr>
        <w:t>alidad de las comunidades indígenas como autoridades ambientales</w:t>
      </w:r>
      <w:r w:rsidRPr="00D93140">
        <w:rPr>
          <w:rFonts w:ascii="Times New Roman" w:hAnsi="Times New Roman"/>
          <w:sz w:val="28"/>
          <w:szCs w:val="28"/>
        </w:rPr>
        <w:t>, la cual se deriva</w:t>
      </w:r>
      <w:r w:rsidRPr="00D93140">
        <w:rPr>
          <w:rFonts w:ascii="Times New Roman" w:hAnsi="Times New Roman"/>
          <w:sz w:val="28"/>
          <w:szCs w:val="28"/>
        </w:rPr>
        <w:t xml:space="preserve"> del </w:t>
      </w:r>
      <w:r w:rsidRPr="00D93140">
        <w:rPr>
          <w:rFonts w:ascii="Times New Roman" w:hAnsi="Times New Roman"/>
          <w:sz w:val="28"/>
          <w:szCs w:val="28"/>
        </w:rPr>
        <w:t xml:space="preserve">citado </w:t>
      </w:r>
      <w:r w:rsidRPr="00D93140">
        <w:rPr>
          <w:rFonts w:ascii="Times New Roman" w:hAnsi="Times New Roman"/>
          <w:sz w:val="28"/>
          <w:szCs w:val="28"/>
        </w:rPr>
        <w:t xml:space="preserve">artículo 330 constitucional, </w:t>
      </w:r>
      <w:r w:rsidRPr="00D93140">
        <w:rPr>
          <w:rFonts w:ascii="Times New Roman" w:hAnsi="Times New Roman"/>
          <w:sz w:val="28"/>
          <w:szCs w:val="28"/>
        </w:rPr>
        <w:t>“</w:t>
      </w:r>
      <w:r w:rsidRPr="00D93140">
        <w:rPr>
          <w:rFonts w:ascii="Times New Roman" w:hAnsi="Times New Roman"/>
          <w:sz w:val="28"/>
          <w:szCs w:val="28"/>
        </w:rPr>
        <w:t>que les confirió dicha potestad a los pueblos indígenas dentro de sus territorios; y del valor del conocimiento de estos pueblos so</w:t>
      </w:r>
      <w:r w:rsidRPr="00D93140">
        <w:rPr>
          <w:rFonts w:ascii="Times New Roman" w:hAnsi="Times New Roman"/>
          <w:sz w:val="28"/>
          <w:szCs w:val="28"/>
        </w:rPr>
        <w:t xml:space="preserve">bre la diversidad biológica, el ambiente y las prácticas de gestión sostenible de sus recursos. Además, ya desde la </w:t>
      </w:r>
      <w:r w:rsidRPr="00D93140">
        <w:rPr>
          <w:rFonts w:ascii="Times New Roman" w:hAnsi="Times New Roman"/>
          <w:sz w:val="28"/>
          <w:szCs w:val="28"/>
        </w:rPr>
        <w:t>Sentencia</w:t>
      </w:r>
      <w:r w:rsidRPr="00D93140">
        <w:rPr>
          <w:rFonts w:ascii="Times New Roman" w:hAnsi="Times New Roman"/>
          <w:sz w:val="28"/>
          <w:szCs w:val="28"/>
        </w:rPr>
        <w:t xml:space="preserve"> T-955 de 2003, la Corte sostuvo que las autoridades indígenas tienen funciones relacionadas con el desarrollo sostenible y el uso </w:t>
      </w:r>
      <w:r w:rsidRPr="00D93140">
        <w:rPr>
          <w:rFonts w:ascii="Times New Roman" w:hAnsi="Times New Roman"/>
          <w:sz w:val="28"/>
          <w:szCs w:val="28"/>
        </w:rPr>
        <w:t>responsable de sus recursos</w:t>
      </w:r>
      <w:r w:rsidRPr="00D93140">
        <w:rPr>
          <w:rFonts w:ascii="Times New Roman" w:hAnsi="Times New Roman"/>
          <w:sz w:val="28"/>
          <w:szCs w:val="28"/>
        </w:rPr>
        <w:t>”</w:t>
      </w:r>
      <w:r w:rsidRPr="00D93140">
        <w:rPr>
          <w:rStyle w:val="Refdenotaalpie"/>
          <w:rFonts w:ascii="Times New Roman" w:hAnsi="Times New Roman"/>
          <w:sz w:val="28"/>
          <w:szCs w:val="28"/>
        </w:rPr>
        <w:footnoteReference w:id="59"/>
      </w:r>
      <w:r w:rsidRPr="00D93140">
        <w:rPr>
          <w:rFonts w:ascii="Times New Roman" w:hAnsi="Times New Roman"/>
          <w:sz w:val="28"/>
          <w:szCs w:val="28"/>
        </w:rPr>
        <w:t>.</w:t>
      </w:r>
    </w:p>
    <w:p w:rsidR="00A55A6D" w:rsidRPr="00D93140" w:rsidRDefault="00D93140" w:rsidP="00E04174">
      <w:pPr>
        <w:pStyle w:val="Prrafodelista"/>
        <w:ind w:left="0"/>
        <w:jc w:val="both"/>
        <w:rPr>
          <w:rFonts w:ascii="Times New Roman" w:hAnsi="Times New Roman"/>
          <w:sz w:val="28"/>
          <w:szCs w:val="28"/>
        </w:rPr>
      </w:pPr>
    </w:p>
    <w:p w:rsidR="00171DF2"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La jurisprudencia</w:t>
      </w:r>
      <w:r w:rsidRPr="00D93140">
        <w:rPr>
          <w:rStyle w:val="Refdenotaalpie"/>
          <w:rFonts w:ascii="Times New Roman" w:hAnsi="Times New Roman"/>
          <w:sz w:val="28"/>
          <w:szCs w:val="28"/>
        </w:rPr>
        <w:footnoteReference w:id="60"/>
      </w:r>
      <w:r w:rsidRPr="00D93140">
        <w:rPr>
          <w:rFonts w:ascii="Times New Roman" w:hAnsi="Times New Roman"/>
          <w:sz w:val="28"/>
          <w:szCs w:val="28"/>
        </w:rPr>
        <w:t xml:space="preserve"> también ha resaltado que estas </w:t>
      </w:r>
      <w:r w:rsidRPr="00D93140">
        <w:rPr>
          <w:rFonts w:ascii="Times New Roman" w:hAnsi="Times New Roman"/>
          <w:sz w:val="28"/>
          <w:szCs w:val="28"/>
        </w:rPr>
        <w:t>competencias ambientales no pueden desconoc</w:t>
      </w:r>
      <w:r w:rsidRPr="00D93140">
        <w:rPr>
          <w:rFonts w:ascii="Times New Roman" w:hAnsi="Times New Roman"/>
          <w:sz w:val="28"/>
          <w:szCs w:val="28"/>
        </w:rPr>
        <w:t>erse</w:t>
      </w:r>
      <w:r w:rsidRPr="00D93140">
        <w:rPr>
          <w:rFonts w:ascii="Times New Roman" w:hAnsi="Times New Roman"/>
          <w:sz w:val="28"/>
          <w:szCs w:val="28"/>
        </w:rPr>
        <w:t xml:space="preserve"> por las demás autoridades públicas y </w:t>
      </w:r>
      <w:r w:rsidRPr="00D93140">
        <w:rPr>
          <w:rFonts w:ascii="Times New Roman" w:hAnsi="Times New Roman"/>
          <w:sz w:val="28"/>
          <w:szCs w:val="28"/>
        </w:rPr>
        <w:t>resulta necesario a</w:t>
      </w:r>
      <w:r w:rsidRPr="00D93140">
        <w:rPr>
          <w:rFonts w:ascii="Times New Roman" w:hAnsi="Times New Roman"/>
          <w:sz w:val="28"/>
          <w:szCs w:val="28"/>
        </w:rPr>
        <w:t xml:space="preserve">segurar espacios de concertación para que los problemas ambientales </w:t>
      </w:r>
      <w:r w:rsidRPr="00D93140">
        <w:rPr>
          <w:rFonts w:ascii="Times New Roman" w:hAnsi="Times New Roman"/>
          <w:sz w:val="28"/>
          <w:szCs w:val="28"/>
        </w:rPr>
        <w:t xml:space="preserve">en sus territorios </w:t>
      </w:r>
      <w:r w:rsidRPr="00D93140">
        <w:rPr>
          <w:rFonts w:ascii="Times New Roman" w:hAnsi="Times New Roman"/>
          <w:sz w:val="28"/>
          <w:szCs w:val="28"/>
        </w:rPr>
        <w:t>sean percibidos desde la perspectiva de los pueblos indígenas.</w:t>
      </w:r>
      <w:r w:rsidRPr="00D93140">
        <w:rPr>
          <w:rFonts w:ascii="Times New Roman" w:hAnsi="Times New Roman"/>
          <w:sz w:val="28"/>
          <w:szCs w:val="28"/>
        </w:rPr>
        <w:t xml:space="preserve"> </w:t>
      </w:r>
    </w:p>
    <w:p w:rsidR="00171DF2" w:rsidRPr="00D93140" w:rsidRDefault="00D93140" w:rsidP="00E04174">
      <w:pPr>
        <w:pStyle w:val="Prrafodelista"/>
        <w:ind w:left="0"/>
        <w:jc w:val="both"/>
        <w:rPr>
          <w:rFonts w:ascii="Times New Roman" w:hAnsi="Times New Roman"/>
          <w:sz w:val="28"/>
          <w:szCs w:val="28"/>
        </w:rPr>
      </w:pPr>
    </w:p>
    <w:p w:rsidR="00171DF2"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shd w:val="clear" w:color="auto" w:fill="FFFFFF"/>
        </w:rPr>
        <w:t>Además, en el marco de un Estado multicultural y defensor del pluralismo jurídico, se ha reconocido que la relación entre la comunidad indígena y los recursos naturales tra</w:t>
      </w:r>
      <w:r w:rsidRPr="00D93140">
        <w:rPr>
          <w:rFonts w:ascii="Times New Roman" w:hAnsi="Times New Roman"/>
          <w:sz w:val="28"/>
          <w:szCs w:val="28"/>
          <w:shd w:val="clear" w:color="auto" w:fill="FFFFFF"/>
        </w:rPr>
        <w:t xml:space="preserve">sciende al plano del Derecho y tiene implicaciones jurídicas en materia medioambiental, incluyendo su faceta sancionatoria. Destacando lo siguiente: </w:t>
      </w:r>
    </w:p>
    <w:p w:rsidR="00171DF2" w:rsidRPr="00D93140" w:rsidRDefault="00D93140" w:rsidP="00E04174">
      <w:pPr>
        <w:jc w:val="both"/>
        <w:rPr>
          <w:rFonts w:ascii="Times New Roman" w:hAnsi="Times New Roman"/>
          <w:sz w:val="28"/>
          <w:szCs w:val="24"/>
        </w:rPr>
      </w:pPr>
    </w:p>
    <w:p w:rsidR="0084627E" w:rsidRPr="00D93140" w:rsidRDefault="00D93140" w:rsidP="00E04174">
      <w:pPr>
        <w:ind w:left="708"/>
        <w:jc w:val="both"/>
        <w:rPr>
          <w:rFonts w:ascii="Times New Roman" w:hAnsi="Times New Roman"/>
          <w:sz w:val="28"/>
          <w:szCs w:val="28"/>
        </w:rPr>
      </w:pPr>
      <w:r w:rsidRPr="00D93140">
        <w:rPr>
          <w:rFonts w:ascii="Times New Roman" w:hAnsi="Times New Roman"/>
          <w:sz w:val="28"/>
          <w:szCs w:val="24"/>
        </w:rPr>
        <w:t xml:space="preserve">“(…) </w:t>
      </w:r>
      <w:r w:rsidRPr="00D93140">
        <w:rPr>
          <w:rFonts w:ascii="Times New Roman" w:hAnsi="Times New Roman"/>
          <w:sz w:val="28"/>
          <w:szCs w:val="24"/>
        </w:rPr>
        <w:t>en primer lugar, las autoridades indígenas son autoridades ambientales, y dentro de sus resguardo co</w:t>
      </w:r>
      <w:r w:rsidRPr="00D93140">
        <w:rPr>
          <w:rFonts w:ascii="Times New Roman" w:hAnsi="Times New Roman"/>
          <w:sz w:val="28"/>
          <w:szCs w:val="24"/>
        </w:rPr>
        <w:t>nservan la competencia para velar por el manejo de la propiedad colectiva y el territorio de acuerdo con su cosmovisión</w:t>
      </w:r>
      <w:r w:rsidRPr="00D93140">
        <w:rPr>
          <w:rStyle w:val="Refdenotaalpie"/>
          <w:rFonts w:ascii="Times New Roman" w:hAnsi="Times New Roman"/>
          <w:sz w:val="28"/>
          <w:szCs w:val="24"/>
        </w:rPr>
        <w:footnoteReference w:id="61"/>
      </w:r>
      <w:r w:rsidRPr="00D93140">
        <w:rPr>
          <w:rFonts w:ascii="Times New Roman" w:hAnsi="Times New Roman"/>
          <w:sz w:val="28"/>
          <w:szCs w:val="24"/>
        </w:rPr>
        <w:t>. En segundo lugar, la jurisdicción especial indígena es la autoridad competente para decidir sobre las sanciones ambientales, pues lo c</w:t>
      </w:r>
      <w:r w:rsidRPr="00D93140">
        <w:rPr>
          <w:rFonts w:ascii="Times New Roman" w:hAnsi="Times New Roman"/>
          <w:sz w:val="28"/>
          <w:szCs w:val="24"/>
        </w:rPr>
        <w:t>ierto es que la competencia de la JEI no se agota en la sanción de pequeñas faltas. En tercer lugar, la planificación del uso y aprovechamiento de los recursos naturales que se encuentren en territorios ancestrales indígenas –aun cuando estos no estén cons</w:t>
      </w:r>
      <w:r w:rsidRPr="00D93140">
        <w:rPr>
          <w:rFonts w:ascii="Times New Roman" w:hAnsi="Times New Roman"/>
          <w:sz w:val="28"/>
          <w:szCs w:val="24"/>
        </w:rPr>
        <w:t>tituidos como resguardos, que como se explicará a continuación, obedece a una definición amplia del territorio–, debe incluir las costumbres propias de las comunidades indígenas, de modo que se armonice la sostenibilidad ambiental con la autonomía de las c</w:t>
      </w:r>
      <w:r w:rsidRPr="00D93140">
        <w:rPr>
          <w:rFonts w:ascii="Times New Roman" w:hAnsi="Times New Roman"/>
          <w:sz w:val="28"/>
          <w:szCs w:val="24"/>
        </w:rPr>
        <w:t>omunidades</w:t>
      </w:r>
      <w:r w:rsidRPr="00D93140">
        <w:rPr>
          <w:rFonts w:ascii="Times New Roman" w:hAnsi="Times New Roman"/>
          <w:sz w:val="28"/>
          <w:szCs w:val="24"/>
        </w:rPr>
        <w:t>”</w:t>
      </w:r>
      <w:r w:rsidRPr="00D93140">
        <w:rPr>
          <w:rFonts w:ascii="Times New Roman" w:hAnsi="Times New Roman"/>
          <w:sz w:val="28"/>
          <w:szCs w:val="28"/>
        </w:rPr>
        <w:t>.</w:t>
      </w:r>
    </w:p>
    <w:p w:rsidR="0084627E" w:rsidRPr="00D93140" w:rsidRDefault="00D93140" w:rsidP="00E04174">
      <w:pPr>
        <w:jc w:val="both"/>
        <w:rPr>
          <w:rFonts w:ascii="Times New Roman" w:hAnsi="Times New Roman"/>
          <w:sz w:val="28"/>
          <w:szCs w:val="28"/>
        </w:rPr>
      </w:pPr>
    </w:p>
    <w:p w:rsidR="001E55C4"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Así las cosas, la condición de autoridades ambientales se desprende directamente de las normas del bloque de constitucionalid</w:t>
      </w:r>
      <w:r w:rsidRPr="00D93140">
        <w:rPr>
          <w:rFonts w:ascii="Times New Roman" w:hAnsi="Times New Roman"/>
          <w:sz w:val="28"/>
          <w:szCs w:val="28"/>
        </w:rPr>
        <w:t>ad y la jurisprudencia de esta c</w:t>
      </w:r>
      <w:r w:rsidRPr="00D93140">
        <w:rPr>
          <w:rFonts w:ascii="Times New Roman" w:hAnsi="Times New Roman"/>
          <w:sz w:val="28"/>
          <w:szCs w:val="28"/>
        </w:rPr>
        <w:t>orporación, y se relaciona asimismo con los derechos fundamentales de los pueblos a l</w:t>
      </w:r>
      <w:r w:rsidRPr="00D93140">
        <w:rPr>
          <w:rFonts w:ascii="Times New Roman" w:hAnsi="Times New Roman"/>
          <w:sz w:val="28"/>
          <w:szCs w:val="28"/>
        </w:rPr>
        <w:t>a autonomía y la propiedad colectiva de sus tierras y territorios.</w:t>
      </w:r>
      <w:r w:rsidRPr="00D93140">
        <w:rPr>
          <w:rFonts w:ascii="Times New Roman" w:hAnsi="Times New Roman"/>
          <w:sz w:val="28"/>
          <w:szCs w:val="28"/>
        </w:rPr>
        <w:t xml:space="preserve"> Ne</w:t>
      </w:r>
      <w:r w:rsidRPr="00D93140">
        <w:rPr>
          <w:rFonts w:ascii="Times New Roman" w:hAnsi="Times New Roman"/>
          <w:sz w:val="28"/>
          <w:szCs w:val="28"/>
        </w:rPr>
        <w:t xml:space="preserve">gar </w:t>
      </w:r>
      <w:r w:rsidRPr="00D93140">
        <w:rPr>
          <w:rFonts w:ascii="Times New Roman" w:hAnsi="Times New Roman"/>
          <w:sz w:val="28"/>
          <w:szCs w:val="28"/>
        </w:rPr>
        <w:t>estas</w:t>
      </w:r>
      <w:r w:rsidRPr="00D93140">
        <w:rPr>
          <w:rFonts w:ascii="Times New Roman" w:hAnsi="Times New Roman"/>
          <w:sz w:val="28"/>
          <w:szCs w:val="28"/>
        </w:rPr>
        <w:t xml:space="preserve"> competencias </w:t>
      </w:r>
      <w:r w:rsidRPr="00D93140">
        <w:rPr>
          <w:rFonts w:ascii="Times New Roman" w:hAnsi="Times New Roman"/>
          <w:sz w:val="28"/>
          <w:szCs w:val="28"/>
        </w:rPr>
        <w:t xml:space="preserve">significaría </w:t>
      </w:r>
      <w:r w:rsidRPr="00D93140">
        <w:rPr>
          <w:rFonts w:ascii="Times New Roman" w:hAnsi="Times New Roman"/>
          <w:sz w:val="28"/>
          <w:szCs w:val="28"/>
        </w:rPr>
        <w:t>vaciar de contenido la autonomía indígena y desconocer la estrecha relación entre territorio, cultura y medio ambiente.</w:t>
      </w:r>
    </w:p>
    <w:p w:rsidR="00535E6A" w:rsidRPr="00D93140" w:rsidRDefault="00D93140" w:rsidP="00E04174">
      <w:pPr>
        <w:pStyle w:val="Prrafodelista"/>
        <w:ind w:left="0"/>
        <w:jc w:val="both"/>
        <w:rPr>
          <w:rFonts w:ascii="Times New Roman" w:hAnsi="Times New Roman"/>
          <w:sz w:val="28"/>
          <w:szCs w:val="28"/>
        </w:rPr>
      </w:pPr>
    </w:p>
    <w:p w:rsidR="00535E6A" w:rsidRPr="00D93140" w:rsidRDefault="00D93140" w:rsidP="00E04174">
      <w:pPr>
        <w:pStyle w:val="Prrafodelista"/>
        <w:ind w:left="0"/>
        <w:jc w:val="both"/>
        <w:rPr>
          <w:rFonts w:ascii="Times New Roman" w:hAnsi="Times New Roman"/>
          <w:i/>
          <w:sz w:val="28"/>
          <w:szCs w:val="28"/>
        </w:rPr>
      </w:pPr>
      <w:r w:rsidRPr="00D93140">
        <w:rPr>
          <w:rFonts w:ascii="Times New Roman" w:hAnsi="Times New Roman"/>
          <w:i/>
          <w:sz w:val="28"/>
          <w:szCs w:val="28"/>
        </w:rPr>
        <w:t xml:space="preserve">Autogobierno y jurisdicción </w:t>
      </w:r>
      <w:r w:rsidRPr="00D93140">
        <w:rPr>
          <w:rFonts w:ascii="Times New Roman" w:hAnsi="Times New Roman"/>
          <w:i/>
          <w:sz w:val="28"/>
          <w:szCs w:val="28"/>
        </w:rPr>
        <w:t>especial indígena</w:t>
      </w:r>
    </w:p>
    <w:p w:rsidR="00535E6A" w:rsidRPr="00D93140" w:rsidRDefault="00D93140" w:rsidP="00E04174">
      <w:pPr>
        <w:pStyle w:val="Prrafodelista"/>
        <w:ind w:left="0"/>
        <w:jc w:val="both"/>
        <w:rPr>
          <w:rFonts w:ascii="Times New Roman" w:hAnsi="Times New Roman"/>
          <w:sz w:val="28"/>
          <w:szCs w:val="28"/>
        </w:rPr>
      </w:pPr>
    </w:p>
    <w:p w:rsidR="000C019B"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El artículo 246 de la Constitución Política consagra el ejercicio de funciones jurisdiccionales por parte de las autoridades indígenas dentro de su territorio. Este reconocimiento hace parte de la autonomía de los pueblos indígenas y del</w:t>
      </w:r>
      <w:r w:rsidRPr="00D93140">
        <w:rPr>
          <w:rFonts w:ascii="Times New Roman" w:hAnsi="Times New Roman"/>
          <w:sz w:val="28"/>
          <w:szCs w:val="28"/>
        </w:rPr>
        <w:t xml:space="preserve"> derecho al autogobierno. E</w:t>
      </w:r>
      <w:r w:rsidRPr="00D93140">
        <w:rPr>
          <w:rFonts w:ascii="Times New Roman" w:hAnsi="Times New Roman"/>
          <w:sz w:val="28"/>
          <w:szCs w:val="28"/>
        </w:rPr>
        <w:t>l</w:t>
      </w:r>
      <w:r w:rsidRPr="00D93140">
        <w:rPr>
          <w:rFonts w:ascii="Times New Roman" w:hAnsi="Times New Roman"/>
          <w:sz w:val="28"/>
          <w:szCs w:val="28"/>
        </w:rPr>
        <w:t xml:space="preserve"> ejercicio de esta función jurisdiccional</w:t>
      </w:r>
      <w:r w:rsidRPr="00D93140">
        <w:rPr>
          <w:rFonts w:ascii="Times New Roman" w:hAnsi="Times New Roman"/>
          <w:sz w:val="28"/>
          <w:szCs w:val="28"/>
        </w:rPr>
        <w:t xml:space="preserve">, de conformidad con la </w:t>
      </w:r>
      <w:r w:rsidRPr="00D93140">
        <w:rPr>
          <w:rFonts w:ascii="Times New Roman" w:hAnsi="Times New Roman"/>
          <w:sz w:val="28"/>
          <w:szCs w:val="28"/>
        </w:rPr>
        <w:t>Sentencia</w:t>
      </w:r>
      <w:r w:rsidRPr="00D93140">
        <w:rPr>
          <w:rFonts w:ascii="Times New Roman" w:hAnsi="Times New Roman"/>
          <w:sz w:val="28"/>
          <w:szCs w:val="28"/>
        </w:rPr>
        <w:t xml:space="preserve"> C-139 de 1996, comprende </w:t>
      </w:r>
      <w:r w:rsidRPr="00D93140">
        <w:rPr>
          <w:rFonts w:ascii="Times New Roman" w:hAnsi="Times New Roman"/>
          <w:sz w:val="28"/>
          <w:szCs w:val="28"/>
          <w:shd w:val="clear" w:color="auto" w:fill="FFFFFF"/>
        </w:rPr>
        <w:t>(i) la facultad de la comunidades de establecer autoridades judiciales propias; (ii) la potestad de establecer y/o conservar nor</w:t>
      </w:r>
      <w:r w:rsidRPr="00D93140">
        <w:rPr>
          <w:rFonts w:ascii="Times New Roman" w:hAnsi="Times New Roman"/>
          <w:sz w:val="28"/>
          <w:szCs w:val="28"/>
          <w:shd w:val="clear" w:color="auto" w:fill="FFFFFF"/>
        </w:rPr>
        <w:t>mas y procedimientos propios; (iii) la sujeción de los elementos anteriores a la Constitución y la ley; (iv) la competencia del legislador para señalar la forma de coordinación ínter jurisdiccional (definición de competencias), sin que, en todo caso, el ej</w:t>
      </w:r>
      <w:r w:rsidRPr="00D93140">
        <w:rPr>
          <w:rFonts w:ascii="Times New Roman" w:hAnsi="Times New Roman"/>
          <w:sz w:val="28"/>
          <w:szCs w:val="28"/>
          <w:shd w:val="clear" w:color="auto" w:fill="FFFFFF"/>
        </w:rPr>
        <w:t>ercicio de la jurisdicción indígena esté condicionado a la expedición de la ley mencionada.</w:t>
      </w:r>
    </w:p>
    <w:p w:rsidR="000C019B" w:rsidRPr="00D93140" w:rsidRDefault="00D93140" w:rsidP="00E04174">
      <w:pPr>
        <w:pStyle w:val="Prrafodelista"/>
        <w:ind w:left="0"/>
        <w:jc w:val="both"/>
        <w:rPr>
          <w:rFonts w:ascii="Times New Roman" w:hAnsi="Times New Roman"/>
          <w:sz w:val="28"/>
          <w:szCs w:val="28"/>
        </w:rPr>
      </w:pPr>
    </w:p>
    <w:p w:rsidR="00384745"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shd w:val="clear" w:color="auto" w:fill="FFFFFF"/>
        </w:rPr>
        <w:t xml:space="preserve"> En dicha providencia, también se resaltó que los dos primeros elementos conforman el núcleo de autonomía otorgado a las comunidades indígenas -que se extiende no </w:t>
      </w:r>
      <w:r w:rsidRPr="00D93140">
        <w:rPr>
          <w:rFonts w:ascii="Times New Roman" w:hAnsi="Times New Roman"/>
          <w:sz w:val="28"/>
          <w:szCs w:val="28"/>
          <w:shd w:val="clear" w:color="auto" w:fill="FFFFFF"/>
        </w:rPr>
        <w:t>sólo al ámbito jurisdiccional sino también al legislativo, en cuanto incluye la posibilidad de creación de ‘normas y procedimientos’-, mientras que los</w:t>
      </w:r>
      <w:r w:rsidRPr="00D93140">
        <w:rPr>
          <w:rFonts w:ascii="Times New Roman" w:hAnsi="Times New Roman"/>
          <w:sz w:val="28"/>
          <w:szCs w:val="28"/>
          <w:shd w:val="clear" w:color="auto" w:fill="FFFFFF"/>
        </w:rPr>
        <w:t xml:space="preserve"> otros</w:t>
      </w:r>
      <w:r w:rsidRPr="00D93140">
        <w:rPr>
          <w:rFonts w:ascii="Times New Roman" w:hAnsi="Times New Roman"/>
          <w:sz w:val="28"/>
          <w:szCs w:val="28"/>
          <w:shd w:val="clear" w:color="auto" w:fill="FFFFFF"/>
        </w:rPr>
        <w:t xml:space="preserve"> dos constituyen los mecanismos de integración de los ordenamientos jurídicos indígenas dentro del </w:t>
      </w:r>
      <w:r w:rsidRPr="00D93140">
        <w:rPr>
          <w:rFonts w:ascii="Times New Roman" w:hAnsi="Times New Roman"/>
          <w:sz w:val="28"/>
          <w:szCs w:val="28"/>
          <w:shd w:val="clear" w:color="auto" w:fill="FFFFFF"/>
        </w:rPr>
        <w:t>contexto del ordenamiento nacional. </w:t>
      </w:r>
    </w:p>
    <w:p w:rsidR="00384745" w:rsidRPr="00D93140" w:rsidRDefault="00D93140" w:rsidP="00E04174">
      <w:pPr>
        <w:pStyle w:val="Prrafodelista"/>
        <w:ind w:left="0"/>
        <w:jc w:val="both"/>
        <w:rPr>
          <w:rFonts w:ascii="Times New Roman" w:hAnsi="Times New Roman"/>
          <w:sz w:val="28"/>
          <w:szCs w:val="28"/>
        </w:rPr>
      </w:pPr>
    </w:p>
    <w:p w:rsidR="0063146F"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w:t>
      </w:r>
      <w:r w:rsidRPr="00D93140">
        <w:rPr>
          <w:rFonts w:ascii="Times New Roman" w:hAnsi="Times New Roman"/>
          <w:sz w:val="28"/>
          <w:szCs w:val="28"/>
        </w:rPr>
        <w:t xml:space="preserve">sta autonomía no es </w:t>
      </w:r>
      <w:r w:rsidRPr="00D93140">
        <w:rPr>
          <w:rFonts w:ascii="Times New Roman" w:hAnsi="Times New Roman"/>
          <w:sz w:val="28"/>
          <w:szCs w:val="28"/>
        </w:rPr>
        <w:t>absolut</w:t>
      </w:r>
      <w:r w:rsidRPr="00D93140">
        <w:rPr>
          <w:rFonts w:ascii="Times New Roman" w:hAnsi="Times New Roman"/>
          <w:sz w:val="28"/>
          <w:szCs w:val="28"/>
        </w:rPr>
        <w:t>a</w:t>
      </w:r>
      <w:r w:rsidRPr="00D93140">
        <w:rPr>
          <w:rFonts w:ascii="Times New Roman" w:hAnsi="Times New Roman"/>
          <w:sz w:val="28"/>
          <w:szCs w:val="28"/>
        </w:rPr>
        <w:t xml:space="preserve"> y</w:t>
      </w:r>
      <w:r w:rsidRPr="00D93140">
        <w:rPr>
          <w:rFonts w:ascii="Times New Roman" w:hAnsi="Times New Roman"/>
          <w:sz w:val="28"/>
          <w:szCs w:val="28"/>
        </w:rPr>
        <w:t xml:space="preserve"> el ejercicio de la función ju</w:t>
      </w:r>
      <w:r w:rsidRPr="00D93140">
        <w:rPr>
          <w:rFonts w:ascii="Times New Roman" w:hAnsi="Times New Roman"/>
          <w:sz w:val="28"/>
          <w:szCs w:val="28"/>
        </w:rPr>
        <w:t xml:space="preserve">risdiccional </w:t>
      </w:r>
      <w:r w:rsidRPr="00D93140">
        <w:rPr>
          <w:rFonts w:ascii="Times New Roman" w:hAnsi="Times New Roman"/>
          <w:sz w:val="28"/>
          <w:szCs w:val="28"/>
        </w:rPr>
        <w:t>de las autoridades indígenas</w:t>
      </w:r>
      <w:r w:rsidRPr="00D93140">
        <w:rPr>
          <w:rFonts w:ascii="Times New Roman" w:hAnsi="Times New Roman"/>
          <w:sz w:val="28"/>
          <w:szCs w:val="28"/>
        </w:rPr>
        <w:t xml:space="preserve"> encuentra límites en la Constitución y la ley. </w:t>
      </w:r>
      <w:r w:rsidRPr="00D93140">
        <w:rPr>
          <w:rFonts w:ascii="Times New Roman" w:hAnsi="Times New Roman"/>
          <w:sz w:val="28"/>
          <w:szCs w:val="28"/>
        </w:rPr>
        <w:t xml:space="preserve">Sin embargo, </w:t>
      </w:r>
      <w:r w:rsidRPr="00D93140">
        <w:rPr>
          <w:rFonts w:ascii="Times New Roman" w:hAnsi="Times New Roman"/>
          <w:sz w:val="28"/>
          <w:szCs w:val="28"/>
          <w:shd w:val="clear" w:color="auto" w:fill="FFFFFF"/>
        </w:rPr>
        <w:t xml:space="preserve">la Corte ha precisado reiteradamente, que la autonomía </w:t>
      </w:r>
      <w:r w:rsidRPr="00D93140">
        <w:rPr>
          <w:rFonts w:ascii="Times New Roman" w:hAnsi="Times New Roman"/>
          <w:sz w:val="28"/>
          <w:szCs w:val="28"/>
          <w:shd w:val="clear" w:color="auto" w:fill="FFFFFF"/>
        </w:rPr>
        <w:t>no puede ser restringida a partir de cualquier disposición legal o constitucional, pues ello dejaría los principios de diversidad y pluralismo jurídico en un plano simbólico</w:t>
      </w:r>
      <w:r w:rsidRPr="00D93140">
        <w:rPr>
          <w:rStyle w:val="Refdenotaalpie"/>
          <w:rFonts w:ascii="Times New Roman" w:hAnsi="Times New Roman"/>
          <w:sz w:val="28"/>
          <w:szCs w:val="28"/>
          <w:shd w:val="clear" w:color="auto" w:fill="FFFFFF"/>
        </w:rPr>
        <w:footnoteReference w:id="62"/>
      </w:r>
      <w:r w:rsidRPr="00D93140">
        <w:rPr>
          <w:rFonts w:ascii="Times New Roman" w:hAnsi="Times New Roman"/>
          <w:sz w:val="28"/>
          <w:szCs w:val="28"/>
          <w:shd w:val="clear" w:color="auto" w:fill="FFFFFF"/>
        </w:rPr>
        <w:t xml:space="preserve">. </w:t>
      </w:r>
      <w:r w:rsidRPr="00D93140">
        <w:rPr>
          <w:rFonts w:ascii="Times New Roman" w:hAnsi="Times New Roman"/>
          <w:sz w:val="28"/>
          <w:szCs w:val="28"/>
          <w:shd w:val="clear" w:color="auto" w:fill="FFFFFF"/>
        </w:rPr>
        <w:t>Así, se ha sostenido que “</w:t>
      </w:r>
      <w:r w:rsidRPr="00D93140">
        <w:rPr>
          <w:rFonts w:ascii="Times New Roman" w:hAnsi="Times New Roman"/>
          <w:sz w:val="28"/>
          <w:szCs w:val="28"/>
          <w:shd w:val="clear" w:color="auto" w:fill="FFFFFF"/>
        </w:rPr>
        <w:t>los límites a la autonomía se refieren a lo verdaderam</w:t>
      </w:r>
      <w:r w:rsidRPr="00D93140">
        <w:rPr>
          <w:rFonts w:ascii="Times New Roman" w:hAnsi="Times New Roman"/>
          <w:sz w:val="28"/>
          <w:szCs w:val="28"/>
          <w:shd w:val="clear" w:color="auto" w:fill="FFFFFF"/>
        </w:rPr>
        <w:t>ente intolerable desde el punto de vista de los derechos humanos, a partir de un consenso intercultural lo más amplio posible</w:t>
      </w:r>
      <w:r w:rsidRPr="00D93140">
        <w:rPr>
          <w:rStyle w:val="Refdenotaalpie"/>
          <w:rFonts w:ascii="Times New Roman" w:hAnsi="Times New Roman"/>
          <w:sz w:val="28"/>
          <w:szCs w:val="28"/>
          <w:shd w:val="clear" w:color="auto" w:fill="FFFFFF"/>
        </w:rPr>
        <w:footnoteReference w:id="63"/>
      </w:r>
      <w:r w:rsidRPr="00D93140">
        <w:rPr>
          <w:rFonts w:ascii="Times New Roman" w:hAnsi="Times New Roman"/>
          <w:sz w:val="28"/>
          <w:szCs w:val="28"/>
          <w:shd w:val="clear" w:color="auto" w:fill="FFFFFF"/>
        </w:rPr>
        <w:t>: el derecho a la vida, la prohibición de tortura, la prohibición de esclavitud y el principio de legalidad, especialmente en mate</w:t>
      </w:r>
      <w:r w:rsidRPr="00D93140">
        <w:rPr>
          <w:rFonts w:ascii="Times New Roman" w:hAnsi="Times New Roman"/>
          <w:sz w:val="28"/>
          <w:szCs w:val="28"/>
          <w:shd w:val="clear" w:color="auto" w:fill="FFFFFF"/>
        </w:rPr>
        <w:t>ria penal</w:t>
      </w:r>
      <w:r w:rsidRPr="00D93140">
        <w:rPr>
          <w:rFonts w:ascii="Times New Roman" w:hAnsi="Times New Roman"/>
          <w:sz w:val="28"/>
          <w:szCs w:val="28"/>
          <w:shd w:val="clear" w:color="auto" w:fill="FFFFFF"/>
        </w:rPr>
        <w:t>”</w:t>
      </w:r>
      <w:r w:rsidRPr="00D93140">
        <w:rPr>
          <w:rStyle w:val="Refdenotaalpie"/>
          <w:rFonts w:ascii="Times New Roman" w:hAnsi="Times New Roman"/>
          <w:sz w:val="28"/>
          <w:szCs w:val="28"/>
          <w:shd w:val="clear" w:color="auto" w:fill="FFFFFF"/>
        </w:rPr>
        <w:footnoteReference w:id="64"/>
      </w:r>
      <w:r w:rsidRPr="00D93140">
        <w:rPr>
          <w:rFonts w:ascii="Times New Roman" w:hAnsi="Times New Roman"/>
          <w:sz w:val="28"/>
          <w:szCs w:val="28"/>
          <w:shd w:val="clear" w:color="auto" w:fill="FFFFFF"/>
        </w:rPr>
        <w:t xml:space="preserve">. </w:t>
      </w:r>
    </w:p>
    <w:p w:rsidR="0063146F" w:rsidRPr="00D93140" w:rsidRDefault="00D93140" w:rsidP="00E04174">
      <w:pPr>
        <w:pStyle w:val="Prrafodelista"/>
        <w:ind w:left="0"/>
        <w:jc w:val="both"/>
        <w:rPr>
          <w:rFonts w:ascii="Times New Roman" w:hAnsi="Times New Roman"/>
          <w:sz w:val="28"/>
          <w:szCs w:val="28"/>
        </w:rPr>
      </w:pPr>
    </w:p>
    <w:p w:rsidR="00534A45" w:rsidRPr="00D93140" w:rsidRDefault="00D93140" w:rsidP="00E04174">
      <w:pPr>
        <w:pStyle w:val="Prrafodelista"/>
        <w:numPr>
          <w:ilvl w:val="0"/>
          <w:numId w:val="1"/>
        </w:numPr>
        <w:shd w:val="clear" w:color="auto" w:fill="FFFFFF"/>
        <w:ind w:left="0" w:firstLine="0"/>
        <w:jc w:val="both"/>
        <w:textAlignment w:val="baseline"/>
        <w:rPr>
          <w:rFonts w:ascii="Times New Roman" w:hAnsi="Times New Roman"/>
          <w:sz w:val="28"/>
          <w:szCs w:val="28"/>
        </w:rPr>
      </w:pPr>
      <w:r w:rsidRPr="00D93140">
        <w:rPr>
          <w:rFonts w:ascii="Times New Roman" w:hAnsi="Times New Roman"/>
          <w:sz w:val="28"/>
          <w:szCs w:val="28"/>
          <w:shd w:val="clear" w:color="auto" w:fill="FFFFFF"/>
        </w:rPr>
        <w:t>A</w:t>
      </w:r>
      <w:r w:rsidRPr="00D93140">
        <w:rPr>
          <w:rFonts w:ascii="Times New Roman" w:hAnsi="Times New Roman"/>
          <w:sz w:val="28"/>
          <w:szCs w:val="28"/>
          <w:shd w:val="clear" w:color="auto" w:fill="FFFFFF"/>
        </w:rPr>
        <w:t>hora, la Corte</w:t>
      </w:r>
      <w:r w:rsidRPr="00D93140">
        <w:rPr>
          <w:rStyle w:val="Refdenotaalpie"/>
          <w:rFonts w:ascii="Times New Roman" w:hAnsi="Times New Roman"/>
          <w:sz w:val="28"/>
          <w:szCs w:val="28"/>
          <w:shd w:val="clear" w:color="auto" w:fill="FFFFFF"/>
        </w:rPr>
        <w:footnoteReference w:id="65"/>
      </w:r>
      <w:r w:rsidRPr="00D93140">
        <w:rPr>
          <w:rFonts w:ascii="Times New Roman" w:hAnsi="Times New Roman"/>
          <w:sz w:val="28"/>
          <w:szCs w:val="28"/>
          <w:shd w:val="clear" w:color="auto" w:fill="FFFFFF"/>
        </w:rPr>
        <w:t xml:space="preserve"> ha establecido unos criterios para la activación de la jurisdicción indígena, que definen su competencia y </w:t>
      </w:r>
      <w:r w:rsidRPr="00D93140">
        <w:rPr>
          <w:rFonts w:ascii="Times New Roman" w:hAnsi="Times New Roman"/>
          <w:sz w:val="28"/>
          <w:szCs w:val="28"/>
        </w:rPr>
        <w:t>que deben ser evaluados cuidadosamente por el juez, para determinar si las autoridades indígenas deben o no adelantar</w:t>
      </w:r>
      <w:r w:rsidRPr="00D93140">
        <w:rPr>
          <w:rFonts w:ascii="Times New Roman" w:hAnsi="Times New Roman"/>
          <w:sz w:val="28"/>
          <w:szCs w:val="28"/>
        </w:rPr>
        <w:t xml:space="preserve"> un proceso que afecta a su comunidad indígena o a sus miembros. </w:t>
      </w:r>
      <w:r w:rsidRPr="00D93140">
        <w:rPr>
          <w:rFonts w:ascii="Times New Roman" w:hAnsi="Times New Roman"/>
          <w:sz w:val="28"/>
          <w:szCs w:val="28"/>
        </w:rPr>
        <w:t xml:space="preserve">Ello, con el </w:t>
      </w:r>
      <w:r w:rsidRPr="00D93140">
        <w:rPr>
          <w:rFonts w:ascii="Times New Roman" w:hAnsi="Times New Roman"/>
          <w:sz w:val="28"/>
          <w:szCs w:val="28"/>
        </w:rPr>
        <w:t>fin de proteger la eficacia del debido proceso del investigado y los derechos de las víctimas.</w:t>
      </w:r>
      <w:r w:rsidRPr="00D93140">
        <w:rPr>
          <w:rFonts w:ascii="Times New Roman" w:hAnsi="Times New Roman"/>
          <w:sz w:val="28"/>
          <w:szCs w:val="28"/>
        </w:rPr>
        <w:t xml:space="preserve"> De esta forma, </w:t>
      </w:r>
      <w:r w:rsidRPr="00D93140">
        <w:rPr>
          <w:rFonts w:ascii="Times New Roman" w:hAnsi="Times New Roman"/>
          <w:sz w:val="28"/>
          <w:szCs w:val="28"/>
        </w:rPr>
        <w:t xml:space="preserve">para que se active </w:t>
      </w:r>
      <w:r w:rsidRPr="00D93140">
        <w:rPr>
          <w:rFonts w:ascii="Times New Roman" w:hAnsi="Times New Roman"/>
          <w:sz w:val="28"/>
          <w:szCs w:val="28"/>
        </w:rPr>
        <w:t xml:space="preserve">esta jurisdicción </w:t>
      </w:r>
      <w:r w:rsidRPr="00D93140">
        <w:rPr>
          <w:rFonts w:ascii="Times New Roman" w:hAnsi="Times New Roman"/>
          <w:sz w:val="28"/>
          <w:szCs w:val="28"/>
        </w:rPr>
        <w:t xml:space="preserve">se requiere acreditar los </w:t>
      </w:r>
      <w:r w:rsidRPr="00D93140">
        <w:rPr>
          <w:rFonts w:ascii="Times New Roman" w:hAnsi="Times New Roman"/>
          <w:sz w:val="28"/>
          <w:szCs w:val="28"/>
        </w:rPr>
        <w:t>siguientes elementos: (i) personal, (ii) territorial, (iii) objetivo e (iv) institucional</w:t>
      </w:r>
      <w:r w:rsidRPr="00D93140">
        <w:rPr>
          <w:rStyle w:val="Refdenotaalpie"/>
          <w:rFonts w:ascii="Times New Roman" w:hAnsi="Times New Roman"/>
          <w:sz w:val="28"/>
          <w:szCs w:val="28"/>
        </w:rPr>
        <w:footnoteReference w:id="66"/>
      </w:r>
      <w:r w:rsidRPr="00D93140">
        <w:rPr>
          <w:rFonts w:ascii="Times New Roman" w:hAnsi="Times New Roman"/>
          <w:sz w:val="28"/>
          <w:szCs w:val="28"/>
        </w:rPr>
        <w:t xml:space="preserve">. </w:t>
      </w:r>
    </w:p>
    <w:p w:rsidR="0098148A" w:rsidRPr="00D93140" w:rsidRDefault="00D93140" w:rsidP="0098148A">
      <w:pPr>
        <w:pStyle w:val="Prrafodelista"/>
        <w:rPr>
          <w:rFonts w:ascii="Times New Roman" w:hAnsi="Times New Roman"/>
          <w:sz w:val="28"/>
          <w:szCs w:val="28"/>
        </w:rPr>
      </w:pPr>
    </w:p>
    <w:p w:rsidR="00534A45" w:rsidRPr="00D93140" w:rsidRDefault="00D93140" w:rsidP="00E04174">
      <w:pPr>
        <w:pStyle w:val="Prrafodelista"/>
        <w:numPr>
          <w:ilvl w:val="0"/>
          <w:numId w:val="1"/>
        </w:numPr>
        <w:shd w:val="clear" w:color="auto" w:fill="FFFFFF"/>
        <w:ind w:left="0" w:firstLine="0"/>
        <w:jc w:val="both"/>
        <w:textAlignment w:val="baseline"/>
        <w:rPr>
          <w:rFonts w:ascii="Times New Roman" w:hAnsi="Times New Roman"/>
          <w:sz w:val="28"/>
          <w:szCs w:val="28"/>
        </w:rPr>
      </w:pPr>
      <w:r w:rsidRPr="00D93140">
        <w:rPr>
          <w:rFonts w:ascii="Times New Roman" w:hAnsi="Times New Roman"/>
          <w:sz w:val="28"/>
          <w:szCs w:val="28"/>
        </w:rPr>
        <w:t xml:space="preserve">De esta manera, se garantiza que la decisión que llegue adoptarse en un caso particular, esté apoyada en un análisis conjunto, ponderado y razonable de los </w:t>
      </w:r>
      <w:r w:rsidRPr="00D93140">
        <w:rPr>
          <w:rFonts w:ascii="Times New Roman" w:hAnsi="Times New Roman"/>
          <w:sz w:val="28"/>
          <w:szCs w:val="28"/>
        </w:rPr>
        <w:t>distintos elementos que activan la JEI</w:t>
      </w:r>
      <w:r w:rsidRPr="00D93140">
        <w:rPr>
          <w:rStyle w:val="Refdenotaalpie"/>
          <w:rFonts w:ascii="Times New Roman" w:hAnsi="Times New Roman"/>
          <w:sz w:val="28"/>
          <w:szCs w:val="28"/>
        </w:rPr>
        <w:footnoteReference w:id="67"/>
      </w:r>
      <w:r w:rsidRPr="00D93140">
        <w:rPr>
          <w:rFonts w:ascii="Times New Roman" w:hAnsi="Times New Roman"/>
          <w:sz w:val="28"/>
          <w:szCs w:val="28"/>
        </w:rPr>
        <w:t xml:space="preserve">, con el fin de que se tenga en cuenta el debido proceso del investigado, los derechos de las víctimas, el pluralismo jurídico, la diversidad étnica y la maximización de la autonomía indígena. </w:t>
      </w:r>
    </w:p>
    <w:p w:rsidR="00534A45" w:rsidRPr="00D93140" w:rsidRDefault="00D93140" w:rsidP="00E04174">
      <w:pPr>
        <w:pStyle w:val="Prrafodelista"/>
        <w:shd w:val="clear" w:color="auto" w:fill="FFFFFF"/>
        <w:ind w:left="0"/>
        <w:jc w:val="both"/>
        <w:textAlignment w:val="baseline"/>
        <w:rPr>
          <w:rFonts w:ascii="Times New Roman" w:hAnsi="Times New Roman"/>
          <w:sz w:val="28"/>
          <w:szCs w:val="28"/>
        </w:rPr>
      </w:pPr>
    </w:p>
    <w:p w:rsidR="00080A69" w:rsidRPr="00D93140" w:rsidRDefault="00D93140" w:rsidP="001C7D85">
      <w:pPr>
        <w:pStyle w:val="Ttulo3"/>
        <w:rPr>
          <w:rFonts w:ascii="Times New Roman" w:hAnsi="Times New Roman"/>
          <w:bCs/>
          <w:sz w:val="28"/>
        </w:rPr>
      </w:pPr>
      <w:bookmarkStart w:id="17" w:name="_Toc215735435"/>
      <w:r w:rsidRPr="00D93140">
        <w:rPr>
          <w:rFonts w:ascii="Times New Roman" w:hAnsi="Times New Roman"/>
          <w:sz w:val="28"/>
        </w:rPr>
        <w:t xml:space="preserve">2. </w:t>
      </w:r>
      <w:r w:rsidRPr="00D93140">
        <w:rPr>
          <w:rFonts w:ascii="Times New Roman" w:hAnsi="Times New Roman"/>
          <w:sz w:val="28"/>
        </w:rPr>
        <w:t xml:space="preserve">El interés general </w:t>
      </w:r>
      <w:r w:rsidRPr="00D93140">
        <w:rPr>
          <w:rFonts w:ascii="Times New Roman" w:hAnsi="Times New Roman"/>
          <w:sz w:val="28"/>
        </w:rPr>
        <w:t xml:space="preserve">en un Estado </w:t>
      </w:r>
      <w:r w:rsidRPr="00D93140">
        <w:rPr>
          <w:rFonts w:ascii="Times New Roman" w:hAnsi="Times New Roman"/>
          <w:sz w:val="28"/>
        </w:rPr>
        <w:t>social de derecho pluralista. Reiteración de jurisprudencia</w:t>
      </w:r>
      <w:bookmarkEnd w:id="17"/>
    </w:p>
    <w:p w:rsidR="00080A69" w:rsidRPr="00D93140" w:rsidRDefault="00D93140" w:rsidP="00E04174">
      <w:pPr>
        <w:tabs>
          <w:tab w:val="left" w:pos="567"/>
        </w:tabs>
        <w:contextualSpacing/>
        <w:jc w:val="both"/>
        <w:rPr>
          <w:rFonts w:ascii="Times New Roman" w:hAnsi="Times New Roman"/>
          <w:sz w:val="28"/>
          <w:szCs w:val="28"/>
        </w:rPr>
      </w:pPr>
    </w:p>
    <w:p w:rsidR="00B37F3A" w:rsidRPr="00D93140" w:rsidRDefault="00D93140" w:rsidP="00E04174">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La Corte Constitucional ha señalado que e</w:t>
      </w:r>
      <w:r w:rsidRPr="00D93140">
        <w:rPr>
          <w:rFonts w:ascii="Times New Roman" w:hAnsi="Times New Roman"/>
          <w:sz w:val="28"/>
          <w:szCs w:val="28"/>
        </w:rPr>
        <w:t xml:space="preserve">l concepto de interés general es </w:t>
      </w:r>
      <w:r w:rsidRPr="00D93140">
        <w:rPr>
          <w:rFonts w:ascii="Times New Roman" w:hAnsi="Times New Roman"/>
          <w:sz w:val="28"/>
          <w:szCs w:val="28"/>
        </w:rPr>
        <w:t xml:space="preserve">indeterminado y su contenido debe </w:t>
      </w:r>
      <w:r w:rsidRPr="00D93140">
        <w:rPr>
          <w:rFonts w:ascii="Times New Roman" w:hAnsi="Times New Roman"/>
          <w:sz w:val="28"/>
          <w:szCs w:val="28"/>
        </w:rPr>
        <w:t>hacerse explícito en cada caso concreto</w:t>
      </w:r>
      <w:r w:rsidRPr="00D93140">
        <w:rPr>
          <w:rStyle w:val="Refdenotaalpie"/>
          <w:rFonts w:ascii="Times New Roman" w:hAnsi="Times New Roman"/>
          <w:sz w:val="28"/>
          <w:szCs w:val="28"/>
        </w:rPr>
        <w:footnoteReference w:id="68"/>
      </w:r>
      <w:r w:rsidRPr="00D93140">
        <w:rPr>
          <w:rFonts w:ascii="Times New Roman" w:hAnsi="Times New Roman"/>
          <w:sz w:val="28"/>
          <w:szCs w:val="28"/>
        </w:rPr>
        <w:t xml:space="preserve">.  </w:t>
      </w:r>
      <w:r w:rsidRPr="00D93140">
        <w:rPr>
          <w:rFonts w:ascii="Times New Roman" w:hAnsi="Times New Roman"/>
          <w:sz w:val="28"/>
          <w:szCs w:val="28"/>
        </w:rPr>
        <w:t>Por lo tanto, no puede invocars</w:t>
      </w:r>
      <w:r w:rsidRPr="00D93140">
        <w:rPr>
          <w:rFonts w:ascii="Times New Roman" w:hAnsi="Times New Roman"/>
          <w:sz w:val="28"/>
          <w:szCs w:val="28"/>
        </w:rPr>
        <w:t>e por el Estado para “</w:t>
      </w:r>
      <w:r w:rsidRPr="00D93140">
        <w:rPr>
          <w:rFonts w:ascii="Times New Roman" w:hAnsi="Times New Roman"/>
          <w:sz w:val="28"/>
          <w:szCs w:val="28"/>
        </w:rPr>
        <w:t>justificar una conducta irracional, la protección injustificada de un interés oculto o la vulneración de los derechos de las personas</w:t>
      </w:r>
      <w:r w:rsidRPr="00D93140">
        <w:rPr>
          <w:rFonts w:ascii="Times New Roman" w:hAnsi="Times New Roman"/>
          <w:sz w:val="28"/>
          <w:szCs w:val="28"/>
        </w:rPr>
        <w:t>”</w:t>
      </w:r>
      <w:r w:rsidRPr="00D93140">
        <w:rPr>
          <w:rStyle w:val="Refdenotaalpie"/>
          <w:rFonts w:ascii="Times New Roman" w:hAnsi="Times New Roman"/>
          <w:sz w:val="28"/>
          <w:szCs w:val="28"/>
        </w:rPr>
        <w:footnoteReference w:id="69"/>
      </w:r>
      <w:r w:rsidRPr="00D93140">
        <w:rPr>
          <w:rFonts w:ascii="Times New Roman" w:hAnsi="Times New Roman"/>
          <w:sz w:val="28"/>
          <w:szCs w:val="28"/>
        </w:rPr>
        <w:t xml:space="preserve">.  </w:t>
      </w:r>
    </w:p>
    <w:p w:rsidR="00B37F3A" w:rsidRPr="00D93140" w:rsidRDefault="00D93140" w:rsidP="00E04174">
      <w:pPr>
        <w:pStyle w:val="Prrafodelista"/>
        <w:tabs>
          <w:tab w:val="left" w:pos="284"/>
          <w:tab w:val="left" w:pos="567"/>
        </w:tabs>
        <w:ind w:left="0"/>
        <w:jc w:val="both"/>
        <w:rPr>
          <w:rFonts w:ascii="Times New Roman" w:hAnsi="Times New Roman"/>
          <w:sz w:val="28"/>
          <w:szCs w:val="28"/>
        </w:rPr>
      </w:pPr>
    </w:p>
    <w:p w:rsidR="009C0246" w:rsidRPr="00D93140" w:rsidRDefault="00D93140" w:rsidP="00E04174">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 xml:space="preserve">Igualmente, esta corporación aclaró en la </w:t>
      </w:r>
      <w:r w:rsidRPr="00D93140">
        <w:rPr>
          <w:rFonts w:ascii="Times New Roman" w:hAnsi="Times New Roman"/>
          <w:sz w:val="28"/>
          <w:szCs w:val="28"/>
        </w:rPr>
        <w:t>Sentencia</w:t>
      </w:r>
      <w:r w:rsidRPr="00D93140">
        <w:rPr>
          <w:rFonts w:ascii="Times New Roman" w:hAnsi="Times New Roman"/>
          <w:sz w:val="28"/>
          <w:szCs w:val="28"/>
        </w:rPr>
        <w:t xml:space="preserve"> C-053 de 2001 que </w:t>
      </w:r>
      <w:r w:rsidRPr="00D93140">
        <w:rPr>
          <w:rFonts w:ascii="Times New Roman" w:hAnsi="Times New Roman"/>
          <w:sz w:val="28"/>
          <w:szCs w:val="28"/>
        </w:rPr>
        <w:t xml:space="preserve">la máxima según la cual este interés prevalece sobre el particular no es absoluta, ni susceptible de aplicación inmediata. </w:t>
      </w:r>
      <w:r w:rsidRPr="00D93140">
        <w:rPr>
          <w:rFonts w:ascii="Times New Roman" w:hAnsi="Times New Roman"/>
          <w:sz w:val="28"/>
          <w:szCs w:val="28"/>
        </w:rPr>
        <w:t xml:space="preserve">Su invocación debe estar dirigida obtener un </w:t>
      </w:r>
      <w:r w:rsidRPr="00D93140">
        <w:rPr>
          <w:rFonts w:ascii="Times New Roman" w:hAnsi="Times New Roman"/>
          <w:sz w:val="28"/>
          <w:szCs w:val="28"/>
        </w:rPr>
        <w:t xml:space="preserve">objetivo constitucional </w:t>
      </w:r>
      <w:r w:rsidRPr="00D93140">
        <w:rPr>
          <w:rFonts w:ascii="Times New Roman" w:hAnsi="Times New Roman"/>
          <w:sz w:val="28"/>
          <w:szCs w:val="28"/>
        </w:rPr>
        <w:t xml:space="preserve">condicionado </w:t>
      </w:r>
      <w:r w:rsidRPr="00D93140">
        <w:rPr>
          <w:rFonts w:ascii="Times New Roman" w:hAnsi="Times New Roman"/>
          <w:sz w:val="28"/>
          <w:szCs w:val="28"/>
        </w:rPr>
        <w:t>por los principios de razonabilidad y proporcionali</w:t>
      </w:r>
      <w:r w:rsidRPr="00D93140">
        <w:rPr>
          <w:rFonts w:ascii="Times New Roman" w:hAnsi="Times New Roman"/>
          <w:sz w:val="28"/>
          <w:szCs w:val="28"/>
        </w:rPr>
        <w:t xml:space="preserve">dad, en aras de </w:t>
      </w:r>
      <w:r w:rsidRPr="00D93140">
        <w:rPr>
          <w:rFonts w:ascii="Times New Roman" w:hAnsi="Times New Roman"/>
          <w:sz w:val="28"/>
          <w:szCs w:val="28"/>
        </w:rPr>
        <w:t>que pueda ser conciliado o armonizado c</w:t>
      </w:r>
      <w:r w:rsidRPr="00D93140">
        <w:rPr>
          <w:rFonts w:ascii="Times New Roman" w:hAnsi="Times New Roman"/>
          <w:sz w:val="28"/>
          <w:szCs w:val="28"/>
        </w:rPr>
        <w:t>on los intereses particulares, principalmente, con los derechos fundamentales</w:t>
      </w:r>
      <w:r w:rsidRPr="00D93140">
        <w:rPr>
          <w:rFonts w:ascii="Times New Roman" w:hAnsi="Times New Roman"/>
          <w:sz w:val="28"/>
          <w:szCs w:val="28"/>
        </w:rPr>
        <w:t xml:space="preserve"> y con el valor social que tiene la diversidad cultural</w:t>
      </w:r>
      <w:r w:rsidRPr="00D93140">
        <w:rPr>
          <w:rFonts w:ascii="Times New Roman" w:hAnsi="Times New Roman"/>
          <w:sz w:val="28"/>
          <w:szCs w:val="28"/>
        </w:rPr>
        <w:t xml:space="preserve">. </w:t>
      </w:r>
    </w:p>
    <w:p w:rsidR="009C0246" w:rsidRPr="00D93140" w:rsidRDefault="00D93140" w:rsidP="00E04174">
      <w:pPr>
        <w:pStyle w:val="Prrafodelista"/>
        <w:tabs>
          <w:tab w:val="left" w:pos="284"/>
          <w:tab w:val="left" w:pos="426"/>
        </w:tabs>
        <w:ind w:left="0"/>
        <w:jc w:val="both"/>
        <w:rPr>
          <w:rFonts w:ascii="Times New Roman" w:hAnsi="Times New Roman"/>
          <w:sz w:val="28"/>
          <w:szCs w:val="28"/>
        </w:rPr>
      </w:pPr>
    </w:p>
    <w:p w:rsidR="00834463" w:rsidRPr="00D93140" w:rsidRDefault="00D93140" w:rsidP="00E04174">
      <w:pPr>
        <w:pStyle w:val="Prrafodelista"/>
        <w:numPr>
          <w:ilvl w:val="0"/>
          <w:numId w:val="1"/>
        </w:numPr>
        <w:tabs>
          <w:tab w:val="left" w:pos="142"/>
        </w:tabs>
        <w:ind w:left="0" w:firstLine="0"/>
        <w:jc w:val="both"/>
        <w:rPr>
          <w:rFonts w:ascii="Times New Roman" w:hAnsi="Times New Roman"/>
          <w:sz w:val="28"/>
          <w:szCs w:val="28"/>
        </w:rPr>
      </w:pPr>
      <w:r w:rsidRPr="00D93140">
        <w:rPr>
          <w:rFonts w:ascii="Times New Roman" w:hAnsi="Times New Roman"/>
          <w:sz w:val="28"/>
          <w:szCs w:val="28"/>
        </w:rPr>
        <w:t>Así, para evitar abusos o arbitrariedades es i</w:t>
      </w:r>
      <w:r w:rsidRPr="00D93140">
        <w:rPr>
          <w:rFonts w:ascii="Times New Roman" w:hAnsi="Times New Roman"/>
          <w:sz w:val="28"/>
          <w:szCs w:val="28"/>
        </w:rPr>
        <w:t>ndispensable que el</w:t>
      </w:r>
      <w:r w:rsidRPr="00D93140">
        <w:rPr>
          <w:rFonts w:ascii="Times New Roman" w:hAnsi="Times New Roman"/>
          <w:sz w:val="28"/>
          <w:szCs w:val="28"/>
        </w:rPr>
        <w:t xml:space="preserve"> operador jurídico analice minuciosamente las particularidades de cada caso, intente armonizar el interés general con los derechos de los particulares y, en caso de no ser posible, lo pondere teniendo en cuenta la jerarquía de valores propia de la Constitu</w:t>
      </w:r>
      <w:r w:rsidRPr="00D93140">
        <w:rPr>
          <w:rFonts w:ascii="Times New Roman" w:hAnsi="Times New Roman"/>
          <w:sz w:val="28"/>
          <w:szCs w:val="28"/>
        </w:rPr>
        <w:t>ción</w:t>
      </w:r>
      <w:r w:rsidRPr="00D93140">
        <w:rPr>
          <w:rStyle w:val="Refdenotaalpie"/>
          <w:rFonts w:ascii="Times New Roman" w:hAnsi="Times New Roman"/>
          <w:sz w:val="28"/>
          <w:szCs w:val="28"/>
        </w:rPr>
        <w:footnoteReference w:id="70"/>
      </w:r>
      <w:r w:rsidRPr="00D93140">
        <w:rPr>
          <w:rFonts w:ascii="Times New Roman" w:hAnsi="Times New Roman"/>
          <w:sz w:val="28"/>
          <w:szCs w:val="28"/>
        </w:rPr>
        <w:t xml:space="preserve">.  </w:t>
      </w:r>
      <w:r w:rsidRPr="00D93140">
        <w:rPr>
          <w:rFonts w:ascii="Times New Roman" w:hAnsi="Times New Roman"/>
          <w:sz w:val="28"/>
          <w:szCs w:val="28"/>
        </w:rPr>
        <w:t xml:space="preserve">En la </w:t>
      </w:r>
      <w:r w:rsidRPr="00D93140">
        <w:rPr>
          <w:rFonts w:ascii="Times New Roman" w:hAnsi="Times New Roman"/>
          <w:sz w:val="28"/>
          <w:szCs w:val="28"/>
        </w:rPr>
        <w:t>Sentencia</w:t>
      </w:r>
      <w:r w:rsidRPr="00D93140">
        <w:rPr>
          <w:rFonts w:ascii="Times New Roman" w:hAnsi="Times New Roman"/>
          <w:sz w:val="28"/>
          <w:szCs w:val="28"/>
        </w:rPr>
        <w:t xml:space="preserve"> </w:t>
      </w:r>
      <w:r w:rsidRPr="00D93140">
        <w:rPr>
          <w:rFonts w:ascii="Times New Roman" w:hAnsi="Times New Roman"/>
          <w:color w:val="2D2D2D"/>
          <w:sz w:val="28"/>
          <w:szCs w:val="28"/>
          <w:shd w:val="clear" w:color="auto" w:fill="FFFFFF"/>
        </w:rPr>
        <w:t>T-428 de 1992 se afirmó</w:t>
      </w:r>
      <w:r w:rsidRPr="00D93140">
        <w:rPr>
          <w:rFonts w:ascii="Times New Roman" w:hAnsi="Times New Roman"/>
          <w:sz w:val="28"/>
          <w:szCs w:val="28"/>
        </w:rPr>
        <w:t xml:space="preserve"> al respecto:</w:t>
      </w:r>
    </w:p>
    <w:p w:rsidR="00834463" w:rsidRPr="00D93140" w:rsidRDefault="00D93140" w:rsidP="00E04174">
      <w:pPr>
        <w:tabs>
          <w:tab w:val="left" w:pos="567"/>
        </w:tabs>
        <w:contextualSpacing/>
        <w:jc w:val="both"/>
        <w:rPr>
          <w:rFonts w:ascii="Times New Roman" w:hAnsi="Times New Roman"/>
          <w:sz w:val="28"/>
          <w:szCs w:val="28"/>
        </w:rPr>
      </w:pPr>
    </w:p>
    <w:p w:rsidR="00834463" w:rsidRPr="00D93140" w:rsidRDefault="00D93140" w:rsidP="00E04174">
      <w:pPr>
        <w:tabs>
          <w:tab w:val="left" w:pos="567"/>
        </w:tabs>
        <w:ind w:left="567"/>
        <w:contextualSpacing/>
        <w:jc w:val="both"/>
        <w:rPr>
          <w:rFonts w:ascii="Times New Roman" w:hAnsi="Times New Roman"/>
          <w:sz w:val="28"/>
          <w:szCs w:val="24"/>
        </w:rPr>
      </w:pPr>
      <w:r w:rsidRPr="00D93140">
        <w:rPr>
          <w:rFonts w:ascii="Times New Roman" w:hAnsi="Times New Roman"/>
          <w:sz w:val="28"/>
          <w:szCs w:val="24"/>
        </w:rPr>
        <w:t xml:space="preserve">“Ante todo es necesario aclarar que el concepto de interés general, como todas las normas constitucionales que consagran valores generales y abstractos, no siempre puede ser aplicado de manera directa a los hechos. La Constitución establece la prevalencia </w:t>
      </w:r>
      <w:r w:rsidRPr="00D93140">
        <w:rPr>
          <w:rFonts w:ascii="Times New Roman" w:hAnsi="Times New Roman"/>
          <w:sz w:val="28"/>
          <w:szCs w:val="24"/>
        </w:rPr>
        <w:t>del interés general en su artículo primero, pero también establece la protección de numerosos valores relacionados con intereses particulares, como es el caso de los derechos de la mujer, del niño, de los débiles, etc. El Estado Social de Derecho y la demo</w:t>
      </w:r>
      <w:r w:rsidRPr="00D93140">
        <w:rPr>
          <w:rFonts w:ascii="Times New Roman" w:hAnsi="Times New Roman"/>
          <w:sz w:val="28"/>
          <w:szCs w:val="24"/>
        </w:rPr>
        <w:t>cracia participativa se han ido construyendo bajo la idea de que el reino de la generalidad no sólo no puede ser llevado a la práctica en todas las circunstancias, sino que, además, ello no siempre es deseable; la idea del respeto a la diversidad, al recon</w:t>
      </w:r>
      <w:r w:rsidRPr="00D93140">
        <w:rPr>
          <w:rFonts w:ascii="Times New Roman" w:hAnsi="Times New Roman"/>
          <w:sz w:val="28"/>
          <w:szCs w:val="24"/>
        </w:rPr>
        <w:t>ocimiento de las necesidades específicas de grupos sociales diferenciados por razones de cultura, localización, edad, sexo, trabajo, etc., ha sido un elemento esencial para la determinación de los derechos sociales económicos y culturales y en términos gen</w:t>
      </w:r>
      <w:r w:rsidRPr="00D93140">
        <w:rPr>
          <w:rFonts w:ascii="Times New Roman" w:hAnsi="Times New Roman"/>
          <w:sz w:val="28"/>
          <w:szCs w:val="24"/>
        </w:rPr>
        <w:t xml:space="preserve">erales, para el logro de la justicia.” </w:t>
      </w:r>
    </w:p>
    <w:p w:rsidR="00834463" w:rsidRPr="00D93140" w:rsidRDefault="00D93140" w:rsidP="00E04174">
      <w:pPr>
        <w:tabs>
          <w:tab w:val="left" w:pos="567"/>
        </w:tabs>
        <w:contextualSpacing/>
        <w:jc w:val="both"/>
        <w:rPr>
          <w:rFonts w:ascii="Times New Roman" w:hAnsi="Times New Roman"/>
          <w:sz w:val="28"/>
          <w:szCs w:val="28"/>
        </w:rPr>
      </w:pPr>
    </w:p>
    <w:p w:rsidR="00E23754" w:rsidRPr="00D93140" w:rsidRDefault="00D93140" w:rsidP="00E04174">
      <w:pPr>
        <w:pStyle w:val="Prrafodelista"/>
        <w:numPr>
          <w:ilvl w:val="0"/>
          <w:numId w:val="1"/>
        </w:numPr>
        <w:tabs>
          <w:tab w:val="left" w:pos="142"/>
          <w:tab w:val="left" w:pos="567"/>
        </w:tabs>
        <w:ind w:left="0" w:firstLine="0"/>
        <w:jc w:val="both"/>
        <w:rPr>
          <w:rFonts w:ascii="Times New Roman" w:hAnsi="Times New Roman"/>
          <w:sz w:val="28"/>
          <w:szCs w:val="28"/>
        </w:rPr>
      </w:pPr>
      <w:r w:rsidRPr="00D93140">
        <w:rPr>
          <w:rFonts w:ascii="Times New Roman" w:hAnsi="Times New Roman"/>
          <w:sz w:val="28"/>
          <w:szCs w:val="28"/>
        </w:rPr>
        <w:t>En ese contexto, y respecto de la protección de las comunidades indígenas y tribales y sus valores culturales, económicos y sociales, la Corte ha señalado que es un asunto de interés general “</w:t>
      </w:r>
      <w:r w:rsidRPr="00D93140">
        <w:rPr>
          <w:rFonts w:ascii="Times New Roman" w:hAnsi="Times New Roman"/>
          <w:color w:val="2D2D2D"/>
          <w:sz w:val="28"/>
          <w:szCs w:val="28"/>
          <w:shd w:val="clear" w:color="auto" w:fill="FFFFFF"/>
        </w:rPr>
        <w:t>en cuanto comporta el r</w:t>
      </w:r>
      <w:r w:rsidRPr="00D93140">
        <w:rPr>
          <w:rFonts w:ascii="Times New Roman" w:hAnsi="Times New Roman"/>
          <w:color w:val="2D2D2D"/>
          <w:sz w:val="28"/>
          <w:szCs w:val="28"/>
          <w:shd w:val="clear" w:color="auto" w:fill="FFFFFF"/>
        </w:rPr>
        <w:t>econocimiento de la diversidad étnica y cultural de la nación colombiana, y la existencia misma del Estado social de derecho”</w:t>
      </w:r>
      <w:r w:rsidRPr="00D93140">
        <w:rPr>
          <w:rStyle w:val="Refdenotaalpie"/>
          <w:rFonts w:ascii="Times New Roman" w:hAnsi="Times New Roman"/>
          <w:color w:val="2D2D2D"/>
          <w:sz w:val="28"/>
          <w:szCs w:val="28"/>
          <w:shd w:val="clear" w:color="auto" w:fill="FFFFFF"/>
        </w:rPr>
        <w:footnoteReference w:id="71"/>
      </w:r>
      <w:r w:rsidRPr="00D93140">
        <w:rPr>
          <w:rFonts w:ascii="Times New Roman" w:hAnsi="Times New Roman"/>
          <w:color w:val="2D2D2D"/>
          <w:sz w:val="28"/>
          <w:szCs w:val="28"/>
          <w:shd w:val="clear" w:color="auto" w:fill="FFFFFF"/>
        </w:rPr>
        <w:t xml:space="preserve">. </w:t>
      </w:r>
    </w:p>
    <w:p w:rsidR="00E23754" w:rsidRPr="00D93140" w:rsidRDefault="00D93140" w:rsidP="00E04174">
      <w:pPr>
        <w:pStyle w:val="Prrafodelista"/>
        <w:tabs>
          <w:tab w:val="left" w:pos="142"/>
          <w:tab w:val="left" w:pos="567"/>
        </w:tabs>
        <w:ind w:left="0"/>
        <w:jc w:val="both"/>
        <w:rPr>
          <w:rFonts w:ascii="Times New Roman" w:hAnsi="Times New Roman"/>
          <w:sz w:val="28"/>
          <w:szCs w:val="28"/>
        </w:rPr>
      </w:pPr>
    </w:p>
    <w:p w:rsidR="00834463" w:rsidRPr="00D93140" w:rsidRDefault="00D93140" w:rsidP="00E04174">
      <w:pPr>
        <w:pStyle w:val="Prrafodelista"/>
        <w:numPr>
          <w:ilvl w:val="0"/>
          <w:numId w:val="1"/>
        </w:numPr>
        <w:tabs>
          <w:tab w:val="left" w:pos="142"/>
          <w:tab w:val="left" w:pos="567"/>
        </w:tabs>
        <w:ind w:left="0" w:firstLine="0"/>
        <w:jc w:val="both"/>
        <w:rPr>
          <w:rFonts w:ascii="Times New Roman" w:hAnsi="Times New Roman"/>
          <w:sz w:val="28"/>
          <w:szCs w:val="28"/>
        </w:rPr>
      </w:pPr>
      <w:r w:rsidRPr="00D93140">
        <w:rPr>
          <w:rFonts w:ascii="Times New Roman" w:hAnsi="Times New Roman"/>
          <w:sz w:val="28"/>
          <w:szCs w:val="28"/>
        </w:rPr>
        <w:t xml:space="preserve">Así, en caso </w:t>
      </w:r>
      <w:r w:rsidRPr="00D93140">
        <w:rPr>
          <w:rFonts w:ascii="Times New Roman" w:hAnsi="Times New Roman"/>
          <w:sz w:val="28"/>
          <w:szCs w:val="28"/>
        </w:rPr>
        <w:t xml:space="preserve">de presentarse un conflicto </w:t>
      </w:r>
      <w:r w:rsidRPr="00D93140">
        <w:rPr>
          <w:rFonts w:ascii="Times New Roman" w:hAnsi="Times New Roman"/>
          <w:sz w:val="28"/>
          <w:szCs w:val="28"/>
        </w:rPr>
        <w:t xml:space="preserve">en el que se enfrente el </w:t>
      </w:r>
      <w:r w:rsidRPr="00D93140">
        <w:rPr>
          <w:rFonts w:ascii="Times New Roman" w:hAnsi="Times New Roman"/>
          <w:sz w:val="28"/>
          <w:szCs w:val="28"/>
        </w:rPr>
        <w:t xml:space="preserve">interés general </w:t>
      </w:r>
      <w:r w:rsidRPr="00D93140">
        <w:rPr>
          <w:rFonts w:ascii="Times New Roman" w:hAnsi="Times New Roman"/>
          <w:sz w:val="28"/>
          <w:szCs w:val="28"/>
        </w:rPr>
        <w:t xml:space="preserve">con otro particular, aquél </w:t>
      </w:r>
      <w:r w:rsidRPr="00D93140">
        <w:rPr>
          <w:rFonts w:ascii="Times New Roman" w:hAnsi="Times New Roman"/>
          <w:sz w:val="28"/>
          <w:szCs w:val="28"/>
        </w:rPr>
        <w:t xml:space="preserve">debe ser armonizado con el derecho o interés individual con el que choca, </w:t>
      </w:r>
      <w:r w:rsidRPr="00D93140">
        <w:rPr>
          <w:rFonts w:ascii="Times New Roman" w:hAnsi="Times New Roman"/>
          <w:sz w:val="28"/>
          <w:szCs w:val="28"/>
        </w:rPr>
        <w:t xml:space="preserve">con el propósito de llegar a una </w:t>
      </w:r>
      <w:r w:rsidRPr="00D93140">
        <w:rPr>
          <w:rFonts w:ascii="Times New Roman" w:hAnsi="Times New Roman"/>
          <w:sz w:val="28"/>
          <w:szCs w:val="28"/>
        </w:rPr>
        <w:t xml:space="preserve">solución que, </w:t>
      </w:r>
      <w:r w:rsidRPr="00D93140">
        <w:rPr>
          <w:rFonts w:ascii="Times New Roman" w:hAnsi="Times New Roman"/>
          <w:sz w:val="28"/>
          <w:szCs w:val="28"/>
        </w:rPr>
        <w:t xml:space="preserve">en lo posible y teniendo en cuenta las </w:t>
      </w:r>
      <w:r w:rsidRPr="00D93140">
        <w:rPr>
          <w:rFonts w:ascii="Times New Roman" w:hAnsi="Times New Roman"/>
          <w:sz w:val="28"/>
          <w:szCs w:val="28"/>
        </w:rPr>
        <w:t>particularidades del caso concreto, maximice ambos extremos de la tensión.</w:t>
      </w:r>
      <w:r w:rsidRPr="00D93140">
        <w:rPr>
          <w:rStyle w:val="Refdenotaalpie"/>
          <w:rFonts w:ascii="Times New Roman" w:hAnsi="Times New Roman"/>
          <w:sz w:val="28"/>
          <w:szCs w:val="28"/>
        </w:rPr>
        <w:footnoteReference w:id="72"/>
      </w:r>
    </w:p>
    <w:p w:rsidR="00080A69" w:rsidRPr="00D93140" w:rsidRDefault="00D93140" w:rsidP="00E04174">
      <w:pPr>
        <w:tabs>
          <w:tab w:val="left" w:pos="567"/>
        </w:tabs>
        <w:contextualSpacing/>
        <w:jc w:val="both"/>
        <w:rPr>
          <w:rFonts w:ascii="Times New Roman" w:hAnsi="Times New Roman"/>
          <w:bCs/>
          <w:sz w:val="28"/>
          <w:szCs w:val="28"/>
        </w:rPr>
      </w:pPr>
    </w:p>
    <w:p w:rsidR="00080A69" w:rsidRPr="00D93140" w:rsidRDefault="00D93140" w:rsidP="001C7D85">
      <w:pPr>
        <w:pStyle w:val="Ttulo3"/>
        <w:rPr>
          <w:rFonts w:ascii="Times New Roman" w:hAnsi="Times New Roman"/>
          <w:sz w:val="28"/>
        </w:rPr>
      </w:pPr>
      <w:bookmarkStart w:id="18" w:name="_Toc215735436"/>
      <w:r w:rsidRPr="00D93140">
        <w:rPr>
          <w:rFonts w:ascii="Times New Roman" w:hAnsi="Times New Roman"/>
          <w:sz w:val="28"/>
        </w:rPr>
        <w:t xml:space="preserve">3. </w:t>
      </w:r>
      <w:r w:rsidRPr="00D93140">
        <w:rPr>
          <w:rFonts w:ascii="Times New Roman" w:hAnsi="Times New Roman"/>
          <w:sz w:val="28"/>
        </w:rPr>
        <w:t>Las Corporacione</w:t>
      </w:r>
      <w:r w:rsidRPr="00D93140">
        <w:rPr>
          <w:rFonts w:ascii="Times New Roman" w:hAnsi="Times New Roman"/>
          <w:sz w:val="28"/>
        </w:rPr>
        <w:t>s Autónomas Regionales en el ordenamiento constitucional. Naturaleza jurídica, funciones y autonomía. Reiteración de jurisprudencia</w:t>
      </w:r>
      <w:bookmarkEnd w:id="18"/>
      <w:r w:rsidRPr="00D93140">
        <w:rPr>
          <w:rFonts w:ascii="Times New Roman" w:hAnsi="Times New Roman"/>
          <w:sz w:val="28"/>
        </w:rPr>
        <w:t xml:space="preserve"> </w:t>
      </w:r>
    </w:p>
    <w:p w:rsidR="00080A69" w:rsidRPr="00D93140" w:rsidRDefault="00D93140" w:rsidP="00E04174">
      <w:pPr>
        <w:tabs>
          <w:tab w:val="left" w:pos="567"/>
        </w:tabs>
        <w:contextualSpacing/>
        <w:jc w:val="both"/>
        <w:rPr>
          <w:rFonts w:ascii="Times New Roman" w:hAnsi="Times New Roman"/>
          <w:b/>
          <w:bCs/>
          <w:sz w:val="28"/>
          <w:szCs w:val="28"/>
        </w:rPr>
      </w:pPr>
    </w:p>
    <w:p w:rsidR="005D6A00" w:rsidRPr="00D93140" w:rsidRDefault="00D93140" w:rsidP="00E04174">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 xml:space="preserve">Es reconocida la Constitución de 1991 por su amplio y significativo contenido ambientalista, encaminado a la conservación </w:t>
      </w:r>
      <w:r w:rsidRPr="00D93140">
        <w:rPr>
          <w:rFonts w:ascii="Times New Roman" w:hAnsi="Times New Roman"/>
          <w:bCs/>
          <w:sz w:val="28"/>
          <w:szCs w:val="28"/>
        </w:rPr>
        <w:t>y preservación de los recursos naturales renovables y no renovables en nuestro país, al menos en lo esencial, para un desarrollo sostenible. Al punto que el ambiente sano es considerado como un derecho de rango constitucional y un asunto de interés general</w:t>
      </w:r>
      <w:r w:rsidRPr="00D93140">
        <w:rPr>
          <w:rFonts w:ascii="Times New Roman" w:hAnsi="Times New Roman"/>
          <w:bCs/>
          <w:sz w:val="28"/>
          <w:szCs w:val="28"/>
        </w:rPr>
        <w:t xml:space="preserve">. </w:t>
      </w:r>
    </w:p>
    <w:p w:rsidR="005D6A00" w:rsidRPr="00D93140" w:rsidRDefault="00D93140" w:rsidP="00E04174">
      <w:pPr>
        <w:pStyle w:val="Prrafodelista"/>
        <w:ind w:left="0"/>
        <w:jc w:val="both"/>
        <w:rPr>
          <w:rFonts w:ascii="Times New Roman" w:hAnsi="Times New Roman"/>
          <w:bCs/>
          <w:sz w:val="28"/>
          <w:szCs w:val="28"/>
        </w:rPr>
      </w:pPr>
    </w:p>
    <w:p w:rsidR="00EA647B" w:rsidRPr="00D93140" w:rsidRDefault="00D93140" w:rsidP="00E04174">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En desarrollo de los preceptos constitucionales relacionados con el medio ambiente se expidió la Ley 99 de 1993</w:t>
      </w:r>
      <w:r w:rsidRPr="00D93140">
        <w:rPr>
          <w:rStyle w:val="Refdenotaalpie"/>
          <w:rFonts w:ascii="Times New Roman" w:hAnsi="Times New Roman"/>
          <w:sz w:val="28"/>
          <w:szCs w:val="28"/>
        </w:rPr>
        <w:footnoteReference w:id="73"/>
      </w:r>
      <w:r w:rsidRPr="00D93140">
        <w:rPr>
          <w:rFonts w:ascii="Times New Roman" w:hAnsi="Times New Roman"/>
          <w:bCs/>
          <w:sz w:val="28"/>
          <w:szCs w:val="28"/>
        </w:rPr>
        <w:t>, la cual en su artículo 2 dispuso que al Ministerio de Ambiente y Desarrollo Sostenible le corresponde coordinar el Sistema Nacional Ambien</w:t>
      </w:r>
      <w:r w:rsidRPr="00D93140">
        <w:rPr>
          <w:rFonts w:ascii="Times New Roman" w:hAnsi="Times New Roman"/>
          <w:bCs/>
          <w:sz w:val="28"/>
          <w:szCs w:val="28"/>
        </w:rPr>
        <w:t>tal, SINA, para asegurar la adopción y ejecución de las políticas y de los planes, programas y proyectos respectivos, en orden a garantizar el cumplimiento de los deberes y derechos del Estado y de los particulares en relación con el medio ambiente y con e</w:t>
      </w:r>
      <w:r w:rsidRPr="00D93140">
        <w:rPr>
          <w:rFonts w:ascii="Times New Roman" w:hAnsi="Times New Roman"/>
          <w:bCs/>
          <w:sz w:val="28"/>
          <w:szCs w:val="28"/>
        </w:rPr>
        <w:t xml:space="preserve">l patrimonio natural de la Nación. </w:t>
      </w:r>
    </w:p>
    <w:p w:rsidR="00EA647B" w:rsidRPr="00D93140" w:rsidRDefault="00D93140" w:rsidP="00E04174">
      <w:pPr>
        <w:pStyle w:val="Prrafodelista"/>
        <w:ind w:left="0"/>
        <w:jc w:val="both"/>
        <w:rPr>
          <w:rFonts w:ascii="Times New Roman" w:hAnsi="Times New Roman"/>
          <w:bCs/>
          <w:sz w:val="28"/>
          <w:szCs w:val="28"/>
        </w:rPr>
      </w:pPr>
    </w:p>
    <w:p w:rsidR="003318B7" w:rsidRPr="00D93140" w:rsidRDefault="00D93140" w:rsidP="00E04174">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De acuerdo con lo anterior, en la protección ambiental existen competencias normativas concurrentes entre el poder central y las autoridades locales. La armonización de esta concurrencia de competencias, como lo ha dich</w:t>
      </w:r>
      <w:r w:rsidRPr="00D93140">
        <w:rPr>
          <w:rFonts w:ascii="Times New Roman" w:hAnsi="Times New Roman"/>
          <w:bCs/>
          <w:sz w:val="28"/>
          <w:szCs w:val="28"/>
        </w:rPr>
        <w:t>o es</w:t>
      </w:r>
      <w:r w:rsidRPr="00D93140">
        <w:rPr>
          <w:rFonts w:ascii="Times New Roman" w:hAnsi="Times New Roman"/>
          <w:bCs/>
          <w:sz w:val="28"/>
          <w:szCs w:val="28"/>
        </w:rPr>
        <w:t>t</w:t>
      </w:r>
      <w:r w:rsidRPr="00D93140">
        <w:rPr>
          <w:rFonts w:ascii="Times New Roman" w:hAnsi="Times New Roman"/>
          <w:bCs/>
          <w:sz w:val="28"/>
          <w:szCs w:val="28"/>
        </w:rPr>
        <w:t>a Corte, es posible mediante la aplicación del principio de rigor subsidiario</w:t>
      </w:r>
      <w:r w:rsidRPr="00D93140">
        <w:rPr>
          <w:rStyle w:val="Refdenotaalpie"/>
          <w:rFonts w:ascii="Times New Roman" w:hAnsi="Times New Roman"/>
          <w:sz w:val="28"/>
          <w:szCs w:val="28"/>
        </w:rPr>
        <w:footnoteReference w:id="74"/>
      </w:r>
      <w:r w:rsidRPr="00D93140">
        <w:rPr>
          <w:rFonts w:ascii="Times New Roman" w:hAnsi="Times New Roman"/>
          <w:bCs/>
          <w:sz w:val="28"/>
          <w:szCs w:val="28"/>
        </w:rPr>
        <w:t xml:space="preserve">. Al respecto, en la </w:t>
      </w:r>
      <w:r w:rsidRPr="00D93140">
        <w:rPr>
          <w:rFonts w:ascii="Times New Roman" w:hAnsi="Times New Roman"/>
          <w:bCs/>
          <w:sz w:val="28"/>
          <w:szCs w:val="28"/>
        </w:rPr>
        <w:t>Sentencia</w:t>
      </w:r>
      <w:r w:rsidRPr="00D93140">
        <w:rPr>
          <w:rFonts w:ascii="Times New Roman" w:hAnsi="Times New Roman"/>
          <w:bCs/>
          <w:sz w:val="28"/>
          <w:szCs w:val="28"/>
        </w:rPr>
        <w:t xml:space="preserve"> C-535 de 1996 se indicó:</w:t>
      </w:r>
    </w:p>
    <w:p w:rsidR="003318B7" w:rsidRPr="00D93140" w:rsidRDefault="00D93140" w:rsidP="00E04174">
      <w:pPr>
        <w:tabs>
          <w:tab w:val="left" w:pos="567"/>
        </w:tabs>
        <w:contextualSpacing/>
        <w:jc w:val="both"/>
        <w:rPr>
          <w:rFonts w:ascii="Times New Roman" w:hAnsi="Times New Roman"/>
          <w:bCs/>
          <w:sz w:val="28"/>
          <w:szCs w:val="28"/>
        </w:rPr>
      </w:pPr>
    </w:p>
    <w:p w:rsidR="003318B7" w:rsidRPr="00D93140" w:rsidRDefault="00D93140" w:rsidP="00E04174">
      <w:pPr>
        <w:tabs>
          <w:tab w:val="left" w:pos="567"/>
        </w:tabs>
        <w:ind w:left="567"/>
        <w:contextualSpacing/>
        <w:jc w:val="both"/>
        <w:rPr>
          <w:rFonts w:ascii="Times New Roman" w:hAnsi="Times New Roman"/>
          <w:bCs/>
          <w:sz w:val="28"/>
          <w:szCs w:val="24"/>
        </w:rPr>
      </w:pPr>
      <w:r w:rsidRPr="00D93140">
        <w:rPr>
          <w:rFonts w:ascii="Times New Roman" w:hAnsi="Times New Roman"/>
          <w:bCs/>
          <w:sz w:val="28"/>
          <w:szCs w:val="24"/>
        </w:rPr>
        <w:t>“Por consiguiente, en función de esos deberes constitucionales estatales calificados, el Congreso puede establecer una legislación básica nacional que evite el deterioro del patrimonio ecológico municipal y proteja el derecho al medio ambiente en ese ámbit</w:t>
      </w:r>
      <w:r w:rsidRPr="00D93140">
        <w:rPr>
          <w:rFonts w:ascii="Times New Roman" w:hAnsi="Times New Roman"/>
          <w:bCs/>
          <w:sz w:val="28"/>
          <w:szCs w:val="24"/>
        </w:rPr>
        <w:t xml:space="preserve">o local, pues la garantía de ese derecho de la persona no puede quedar sujeta al albur de que la autoridad indígena o el concejo municipal o distrital expidan o no la correspondiente regulación. La competencia de los municipios y las autoridades indígenas </w:t>
      </w:r>
      <w:r w:rsidRPr="00D93140">
        <w:rPr>
          <w:rFonts w:ascii="Times New Roman" w:hAnsi="Times New Roman"/>
          <w:bCs/>
          <w:sz w:val="28"/>
          <w:szCs w:val="24"/>
        </w:rPr>
        <w:t xml:space="preserve">en relación con el patrimonio ecológico local no es entonces exclusiva sino concurrente con la normatividad básica nacional que el Congreso expida sobre la materia.  </w:t>
      </w:r>
    </w:p>
    <w:p w:rsidR="003318B7" w:rsidRPr="00D93140" w:rsidRDefault="00D93140" w:rsidP="00E04174">
      <w:pPr>
        <w:tabs>
          <w:tab w:val="left" w:pos="567"/>
        </w:tabs>
        <w:ind w:left="567"/>
        <w:contextualSpacing/>
        <w:jc w:val="both"/>
        <w:rPr>
          <w:rFonts w:ascii="Times New Roman" w:hAnsi="Times New Roman"/>
          <w:bCs/>
          <w:sz w:val="28"/>
          <w:szCs w:val="24"/>
        </w:rPr>
      </w:pPr>
      <w:r w:rsidRPr="00D93140">
        <w:rPr>
          <w:rFonts w:ascii="Times New Roman" w:hAnsi="Times New Roman"/>
          <w:bCs/>
          <w:sz w:val="28"/>
          <w:szCs w:val="24"/>
        </w:rPr>
        <w:t xml:space="preserve"> </w:t>
      </w:r>
    </w:p>
    <w:p w:rsidR="003318B7" w:rsidRPr="00D93140" w:rsidRDefault="00D93140" w:rsidP="00E04174">
      <w:pPr>
        <w:tabs>
          <w:tab w:val="left" w:pos="567"/>
        </w:tabs>
        <w:ind w:left="567"/>
        <w:contextualSpacing/>
        <w:jc w:val="both"/>
        <w:rPr>
          <w:rFonts w:ascii="Times New Roman" w:hAnsi="Times New Roman"/>
          <w:bCs/>
          <w:sz w:val="28"/>
          <w:szCs w:val="28"/>
        </w:rPr>
      </w:pPr>
      <w:r w:rsidRPr="00D93140">
        <w:rPr>
          <w:rFonts w:ascii="Times New Roman" w:hAnsi="Times New Roman"/>
          <w:bCs/>
          <w:sz w:val="28"/>
          <w:szCs w:val="24"/>
        </w:rPr>
        <w:t>... En el campo ecológico, tal y como lo ha señalado la doctrina y lo ha recogido el ar</w:t>
      </w:r>
      <w:r w:rsidRPr="00D93140">
        <w:rPr>
          <w:rFonts w:ascii="Times New Roman" w:hAnsi="Times New Roman"/>
          <w:bCs/>
          <w:sz w:val="28"/>
          <w:szCs w:val="24"/>
        </w:rPr>
        <w:t>tículo 63 de la Ley 99 de 1993,  rige entonces un principio de rigor subsidiario (CP art. 288), según el cual las normas nacionales de policía ambiental, que limitan libertades para preservar o restaurar el medio ambiente, o que por tales razones exijan li</w:t>
      </w:r>
      <w:r w:rsidRPr="00D93140">
        <w:rPr>
          <w:rFonts w:ascii="Times New Roman" w:hAnsi="Times New Roman"/>
          <w:bCs/>
          <w:sz w:val="28"/>
          <w:szCs w:val="24"/>
        </w:rPr>
        <w:t>cencias o permisos para determinadas actividades, pueden hacerse más rigurosas, pero no más flexibles, por las autoridades competentes de los niveles territoriales inferiores, por cuanto las circunstancias locales pueden justificar una normatividad más exi</w:t>
      </w:r>
      <w:r w:rsidRPr="00D93140">
        <w:rPr>
          <w:rFonts w:ascii="Times New Roman" w:hAnsi="Times New Roman"/>
          <w:bCs/>
          <w:sz w:val="28"/>
          <w:szCs w:val="24"/>
        </w:rPr>
        <w:t xml:space="preserve">gente. En el caso del patrimonio ecológico local, este principio es aún más claro, pues al ser una competencia propia de los concejos municipales y los territorios indígenas, su potestad reglamentaria no puede ser limitada por la ley, al punto de vaciarla </w:t>
      </w:r>
      <w:r w:rsidRPr="00D93140">
        <w:rPr>
          <w:rFonts w:ascii="Times New Roman" w:hAnsi="Times New Roman"/>
          <w:bCs/>
          <w:sz w:val="28"/>
          <w:szCs w:val="24"/>
        </w:rPr>
        <w:t>de contenido, por cuanto el Congreso desconocería la garantía institucional de la autonomía territorial. Pero sí puede la ley dictar aquella normatividad básica indispensable a la protección del patrimonio ecológico en todo el territorio nacional.”</w:t>
      </w:r>
    </w:p>
    <w:p w:rsidR="003318B7" w:rsidRPr="00D93140" w:rsidRDefault="00D93140" w:rsidP="00E04174">
      <w:pPr>
        <w:tabs>
          <w:tab w:val="left" w:pos="567"/>
        </w:tabs>
        <w:contextualSpacing/>
        <w:jc w:val="both"/>
        <w:rPr>
          <w:rFonts w:ascii="Times New Roman" w:hAnsi="Times New Roman"/>
          <w:bCs/>
          <w:sz w:val="28"/>
          <w:szCs w:val="28"/>
        </w:rPr>
      </w:pPr>
    </w:p>
    <w:p w:rsidR="00447B09" w:rsidRPr="00D93140" w:rsidRDefault="00D93140" w:rsidP="00360D40">
      <w:pPr>
        <w:pStyle w:val="Prrafodelista"/>
        <w:numPr>
          <w:ilvl w:val="0"/>
          <w:numId w:val="1"/>
        </w:numPr>
        <w:tabs>
          <w:tab w:val="left" w:pos="142"/>
        </w:tabs>
        <w:ind w:left="0" w:firstLine="0"/>
        <w:jc w:val="both"/>
        <w:rPr>
          <w:rFonts w:ascii="Times New Roman" w:hAnsi="Times New Roman"/>
          <w:bCs/>
          <w:sz w:val="28"/>
          <w:szCs w:val="28"/>
        </w:rPr>
      </w:pPr>
      <w:r w:rsidRPr="00D93140">
        <w:rPr>
          <w:rFonts w:ascii="Times New Roman" w:hAnsi="Times New Roman"/>
          <w:bCs/>
          <w:sz w:val="28"/>
          <w:szCs w:val="28"/>
        </w:rPr>
        <w:t xml:space="preserve">Entre </w:t>
      </w:r>
      <w:r w:rsidRPr="00D93140">
        <w:rPr>
          <w:rFonts w:ascii="Times New Roman" w:hAnsi="Times New Roman"/>
          <w:bCs/>
          <w:sz w:val="28"/>
          <w:szCs w:val="28"/>
        </w:rPr>
        <w:t>las entidades pertenecientes al SINA se encuentran las Corporaciones Autónomas Regionales CAR, entidades públicas nacionales catalogadas como la máxima autoridad ambiental en el área de su jurisdicción</w:t>
      </w:r>
      <w:r w:rsidRPr="00D93140">
        <w:rPr>
          <w:rStyle w:val="Refdenotaalpie"/>
          <w:rFonts w:ascii="Times New Roman" w:hAnsi="Times New Roman"/>
          <w:sz w:val="28"/>
          <w:szCs w:val="28"/>
        </w:rPr>
        <w:footnoteReference w:id="75"/>
      </w:r>
      <w:r w:rsidRPr="00D93140">
        <w:rPr>
          <w:rFonts w:ascii="Times New Roman" w:hAnsi="Times New Roman"/>
          <w:bCs/>
          <w:sz w:val="28"/>
          <w:szCs w:val="28"/>
        </w:rPr>
        <w:t>, las cuales se encargan de la administración del medi</w:t>
      </w:r>
      <w:r w:rsidRPr="00D93140">
        <w:rPr>
          <w:rFonts w:ascii="Times New Roman" w:hAnsi="Times New Roman"/>
          <w:bCs/>
          <w:sz w:val="28"/>
          <w:szCs w:val="28"/>
        </w:rPr>
        <w:t xml:space="preserve">o ambiente, los recursos naturales renovables y propenden por su desarrollo sostenible. </w:t>
      </w:r>
    </w:p>
    <w:p w:rsidR="00447B09" w:rsidRPr="00D93140" w:rsidRDefault="00D93140" w:rsidP="00447B09">
      <w:pPr>
        <w:pStyle w:val="Prrafodelista"/>
        <w:tabs>
          <w:tab w:val="left" w:pos="142"/>
        </w:tabs>
        <w:ind w:left="0"/>
        <w:jc w:val="both"/>
        <w:rPr>
          <w:rFonts w:ascii="Times New Roman" w:hAnsi="Times New Roman"/>
          <w:bCs/>
          <w:sz w:val="28"/>
          <w:szCs w:val="28"/>
        </w:rPr>
      </w:pPr>
    </w:p>
    <w:p w:rsidR="00360D40" w:rsidRPr="00D93140" w:rsidRDefault="00D93140" w:rsidP="00360D40">
      <w:pPr>
        <w:pStyle w:val="Prrafodelista"/>
        <w:numPr>
          <w:ilvl w:val="0"/>
          <w:numId w:val="1"/>
        </w:numPr>
        <w:tabs>
          <w:tab w:val="left" w:pos="142"/>
        </w:tabs>
        <w:ind w:left="0" w:firstLine="0"/>
        <w:jc w:val="both"/>
        <w:rPr>
          <w:rFonts w:ascii="Times New Roman" w:hAnsi="Times New Roman"/>
          <w:bCs/>
          <w:sz w:val="28"/>
          <w:szCs w:val="28"/>
        </w:rPr>
      </w:pPr>
      <w:r w:rsidRPr="00D93140">
        <w:rPr>
          <w:rFonts w:ascii="Times New Roman" w:hAnsi="Times New Roman"/>
          <w:bCs/>
          <w:sz w:val="28"/>
          <w:szCs w:val="28"/>
        </w:rPr>
        <w:t xml:space="preserve">La Constitución </w:t>
      </w:r>
      <w:r w:rsidRPr="00D93140">
        <w:rPr>
          <w:rFonts w:ascii="Times New Roman" w:hAnsi="Times New Roman"/>
          <w:bCs/>
          <w:sz w:val="28"/>
          <w:szCs w:val="28"/>
        </w:rPr>
        <w:t>hace referencia en tres artículos a estas corporaciones</w:t>
      </w:r>
      <w:r w:rsidRPr="00D93140">
        <w:rPr>
          <w:rStyle w:val="Refdenotaalpie"/>
          <w:rFonts w:ascii="Times New Roman" w:hAnsi="Times New Roman"/>
          <w:bCs/>
          <w:sz w:val="28"/>
          <w:szCs w:val="28"/>
        </w:rPr>
        <w:footnoteReference w:id="76"/>
      </w:r>
      <w:r w:rsidRPr="00D93140">
        <w:rPr>
          <w:rFonts w:ascii="Times New Roman" w:hAnsi="Times New Roman"/>
          <w:bCs/>
          <w:sz w:val="28"/>
          <w:szCs w:val="28"/>
        </w:rPr>
        <w:t xml:space="preserve">: </w:t>
      </w:r>
      <w:r w:rsidRPr="00D93140">
        <w:rPr>
          <w:rFonts w:ascii="Times New Roman" w:hAnsi="Times New Roman"/>
          <w:bCs/>
          <w:sz w:val="28"/>
          <w:szCs w:val="28"/>
        </w:rPr>
        <w:t xml:space="preserve">(i) </w:t>
      </w:r>
      <w:r w:rsidRPr="00D93140">
        <w:rPr>
          <w:rFonts w:ascii="Times New Roman" w:hAnsi="Times New Roman"/>
          <w:bCs/>
          <w:sz w:val="28"/>
          <w:szCs w:val="28"/>
        </w:rPr>
        <w:t xml:space="preserve">en </w:t>
      </w:r>
      <w:r w:rsidRPr="00D93140">
        <w:rPr>
          <w:rFonts w:ascii="Times New Roman" w:hAnsi="Times New Roman"/>
          <w:bCs/>
          <w:sz w:val="28"/>
          <w:szCs w:val="28"/>
        </w:rPr>
        <w:t>el artículo 150.7 delega en el Legislador la atribución de “reglamentar la creación y</w:t>
      </w:r>
      <w:r w:rsidRPr="00D93140">
        <w:rPr>
          <w:rFonts w:ascii="Times New Roman" w:hAnsi="Times New Roman"/>
          <w:bCs/>
          <w:sz w:val="28"/>
          <w:szCs w:val="28"/>
        </w:rPr>
        <w:t xml:space="preserve"> funcionamiento de las corporaciones autónomas regionales dentro de un régimen de autonomía”</w:t>
      </w:r>
      <w:r w:rsidRPr="00D93140">
        <w:rPr>
          <w:rFonts w:ascii="Times New Roman" w:hAnsi="Times New Roman"/>
          <w:bCs/>
          <w:sz w:val="28"/>
          <w:szCs w:val="28"/>
        </w:rPr>
        <w:t>; (ii) en e</w:t>
      </w:r>
      <w:r w:rsidRPr="00D93140">
        <w:rPr>
          <w:rFonts w:ascii="Times New Roman" w:hAnsi="Times New Roman"/>
          <w:bCs/>
          <w:sz w:val="28"/>
          <w:szCs w:val="28"/>
        </w:rPr>
        <w:t>l artículo 325 (parágrafo transitorio 2) establece que la R</w:t>
      </w:r>
      <w:r w:rsidRPr="00D93140">
        <w:rPr>
          <w:rFonts w:ascii="Times New Roman" w:hAnsi="Times New Roman"/>
          <w:bCs/>
          <w:sz w:val="28"/>
          <w:szCs w:val="28"/>
        </w:rPr>
        <w:t xml:space="preserve">egión </w:t>
      </w:r>
      <w:r w:rsidRPr="00D93140">
        <w:rPr>
          <w:rFonts w:ascii="Times New Roman" w:hAnsi="Times New Roman"/>
          <w:bCs/>
          <w:sz w:val="28"/>
          <w:szCs w:val="28"/>
        </w:rPr>
        <w:t>M</w:t>
      </w:r>
      <w:r w:rsidRPr="00D93140">
        <w:rPr>
          <w:rFonts w:ascii="Times New Roman" w:hAnsi="Times New Roman"/>
          <w:bCs/>
          <w:sz w:val="28"/>
          <w:szCs w:val="28"/>
        </w:rPr>
        <w:t xml:space="preserve">etropolitana </w:t>
      </w:r>
      <w:r w:rsidRPr="00D93140">
        <w:rPr>
          <w:rFonts w:ascii="Times New Roman" w:hAnsi="Times New Roman"/>
          <w:bCs/>
          <w:sz w:val="28"/>
          <w:szCs w:val="28"/>
        </w:rPr>
        <w:t>B</w:t>
      </w:r>
      <w:r w:rsidRPr="00D93140">
        <w:rPr>
          <w:rFonts w:ascii="Times New Roman" w:hAnsi="Times New Roman"/>
          <w:bCs/>
          <w:sz w:val="28"/>
          <w:szCs w:val="28"/>
        </w:rPr>
        <w:t xml:space="preserve">ogotá </w:t>
      </w:r>
      <w:r w:rsidRPr="00D93140">
        <w:rPr>
          <w:rFonts w:ascii="Times New Roman" w:hAnsi="Times New Roman"/>
          <w:bCs/>
          <w:sz w:val="28"/>
          <w:szCs w:val="28"/>
        </w:rPr>
        <w:t>C</w:t>
      </w:r>
      <w:r w:rsidRPr="00D93140">
        <w:rPr>
          <w:rFonts w:ascii="Times New Roman" w:hAnsi="Times New Roman"/>
          <w:bCs/>
          <w:sz w:val="28"/>
          <w:szCs w:val="28"/>
        </w:rPr>
        <w:t>undinamarca</w:t>
      </w:r>
      <w:r w:rsidRPr="00D93140">
        <w:rPr>
          <w:rFonts w:ascii="Times New Roman" w:hAnsi="Times New Roman"/>
          <w:bCs/>
          <w:sz w:val="28"/>
          <w:szCs w:val="28"/>
        </w:rPr>
        <w:t xml:space="preserve"> no modifica el régimen de financiación, ni los municip</w:t>
      </w:r>
      <w:r w:rsidRPr="00D93140">
        <w:rPr>
          <w:rFonts w:ascii="Times New Roman" w:hAnsi="Times New Roman"/>
          <w:bCs/>
          <w:sz w:val="28"/>
          <w:szCs w:val="28"/>
        </w:rPr>
        <w:t>ios que componen la jurisdicción de la Corporación Autónoma Regional de Cundinamarca</w:t>
      </w:r>
      <w:r w:rsidRPr="00D93140">
        <w:rPr>
          <w:rFonts w:ascii="Times New Roman" w:hAnsi="Times New Roman"/>
          <w:bCs/>
          <w:sz w:val="28"/>
          <w:szCs w:val="28"/>
        </w:rPr>
        <w:t xml:space="preserve"> y, </w:t>
      </w:r>
      <w:r w:rsidRPr="00D93140">
        <w:rPr>
          <w:rFonts w:ascii="Times New Roman" w:hAnsi="Times New Roman"/>
          <w:bCs/>
          <w:sz w:val="28"/>
          <w:szCs w:val="28"/>
        </w:rPr>
        <w:t xml:space="preserve">(iii) </w:t>
      </w:r>
      <w:r w:rsidRPr="00D93140">
        <w:rPr>
          <w:rFonts w:ascii="Times New Roman" w:hAnsi="Times New Roman"/>
          <w:bCs/>
          <w:sz w:val="28"/>
          <w:szCs w:val="28"/>
        </w:rPr>
        <w:t xml:space="preserve">en </w:t>
      </w:r>
      <w:r w:rsidRPr="00D93140">
        <w:rPr>
          <w:rFonts w:ascii="Times New Roman" w:hAnsi="Times New Roman"/>
          <w:bCs/>
          <w:sz w:val="28"/>
          <w:szCs w:val="28"/>
        </w:rPr>
        <w:t xml:space="preserve">el artículo 331 crea la Corporación Autónoma Regional del Río Grande de la Magdalena, señala sus funciones y delega en el Legislador, entre otros aspectos, la </w:t>
      </w:r>
      <w:r w:rsidRPr="00D93140">
        <w:rPr>
          <w:rFonts w:ascii="Times New Roman" w:hAnsi="Times New Roman"/>
          <w:bCs/>
          <w:sz w:val="28"/>
          <w:szCs w:val="28"/>
        </w:rPr>
        <w:t>determinación de su organización y fuentes de financiación.</w:t>
      </w:r>
    </w:p>
    <w:p w:rsidR="00360D40" w:rsidRPr="00D93140" w:rsidRDefault="00D93140" w:rsidP="00360D40">
      <w:pPr>
        <w:pStyle w:val="Prrafodelista"/>
        <w:tabs>
          <w:tab w:val="left" w:pos="142"/>
        </w:tabs>
        <w:ind w:left="0"/>
        <w:jc w:val="both"/>
        <w:rPr>
          <w:rFonts w:ascii="Times New Roman" w:hAnsi="Times New Roman"/>
          <w:bCs/>
          <w:sz w:val="28"/>
          <w:szCs w:val="28"/>
        </w:rPr>
      </w:pPr>
    </w:p>
    <w:p w:rsidR="003318B7" w:rsidRPr="00D93140" w:rsidRDefault="00D93140" w:rsidP="00E04174">
      <w:pPr>
        <w:pStyle w:val="Prrafodelista"/>
        <w:numPr>
          <w:ilvl w:val="0"/>
          <w:numId w:val="1"/>
        </w:numPr>
        <w:tabs>
          <w:tab w:val="left" w:pos="142"/>
        </w:tabs>
        <w:ind w:left="0" w:firstLine="0"/>
        <w:jc w:val="both"/>
        <w:rPr>
          <w:rFonts w:ascii="Times New Roman" w:hAnsi="Times New Roman"/>
          <w:bCs/>
          <w:sz w:val="28"/>
          <w:szCs w:val="28"/>
        </w:rPr>
      </w:pPr>
      <w:r w:rsidRPr="00D93140">
        <w:rPr>
          <w:rFonts w:ascii="Times New Roman" w:hAnsi="Times New Roman"/>
          <w:bCs/>
          <w:sz w:val="28"/>
          <w:szCs w:val="28"/>
        </w:rPr>
        <w:t xml:space="preserve">Con excepción de la Corporación Autónoma Regional del Río Grande de la Magdalena - creada constitucionalmente y regulada en la Ley 161 de 1994- las CAR están </w:t>
      </w:r>
      <w:r w:rsidRPr="00D93140">
        <w:rPr>
          <w:rFonts w:ascii="Times New Roman" w:hAnsi="Times New Roman"/>
          <w:bCs/>
          <w:sz w:val="28"/>
          <w:szCs w:val="28"/>
        </w:rPr>
        <w:t>definidas en la Ley 99 de 1993</w:t>
      </w:r>
      <w:r w:rsidRPr="00D93140">
        <w:rPr>
          <w:rFonts w:ascii="Times New Roman" w:hAnsi="Times New Roman"/>
          <w:bCs/>
          <w:sz w:val="28"/>
          <w:szCs w:val="28"/>
        </w:rPr>
        <w:t>. D</w:t>
      </w:r>
      <w:r w:rsidRPr="00D93140">
        <w:rPr>
          <w:rFonts w:ascii="Times New Roman" w:hAnsi="Times New Roman"/>
          <w:bCs/>
          <w:sz w:val="28"/>
          <w:szCs w:val="28"/>
        </w:rPr>
        <w:t>esde</w:t>
      </w:r>
      <w:r w:rsidRPr="00D93140">
        <w:rPr>
          <w:rFonts w:ascii="Times New Roman" w:hAnsi="Times New Roman"/>
          <w:bCs/>
          <w:sz w:val="28"/>
          <w:szCs w:val="28"/>
        </w:rPr>
        <w:t xml:space="preserve"> sus inicios, la jurisprudencia constitucional definió </w:t>
      </w:r>
      <w:r w:rsidRPr="00D93140">
        <w:rPr>
          <w:rFonts w:ascii="Times New Roman" w:hAnsi="Times New Roman"/>
          <w:bCs/>
          <w:sz w:val="28"/>
          <w:szCs w:val="28"/>
        </w:rPr>
        <w:t>su</w:t>
      </w:r>
      <w:r w:rsidRPr="00D93140">
        <w:rPr>
          <w:rFonts w:ascii="Times New Roman" w:hAnsi="Times New Roman"/>
          <w:bCs/>
          <w:sz w:val="28"/>
          <w:szCs w:val="28"/>
        </w:rPr>
        <w:t xml:space="preserve"> naturaleza jurídica</w:t>
      </w:r>
      <w:r w:rsidRPr="00D93140">
        <w:rPr>
          <w:rFonts w:ascii="Times New Roman" w:hAnsi="Times New Roman"/>
          <w:bCs/>
          <w:sz w:val="28"/>
          <w:szCs w:val="28"/>
        </w:rPr>
        <w:t xml:space="preserve"> y e</w:t>
      </w:r>
      <w:r w:rsidRPr="00D93140">
        <w:rPr>
          <w:rFonts w:ascii="Times New Roman" w:hAnsi="Times New Roman"/>
          <w:bCs/>
          <w:sz w:val="28"/>
          <w:szCs w:val="28"/>
        </w:rPr>
        <w:t xml:space="preserve">n la </w:t>
      </w:r>
      <w:r w:rsidRPr="00D93140">
        <w:rPr>
          <w:rFonts w:ascii="Times New Roman" w:hAnsi="Times New Roman"/>
          <w:bCs/>
          <w:sz w:val="28"/>
          <w:szCs w:val="28"/>
        </w:rPr>
        <w:t>Sentencia</w:t>
      </w:r>
      <w:r w:rsidRPr="00D93140">
        <w:rPr>
          <w:rFonts w:ascii="Times New Roman" w:hAnsi="Times New Roman"/>
          <w:bCs/>
          <w:sz w:val="28"/>
          <w:szCs w:val="28"/>
        </w:rPr>
        <w:t xml:space="preserve"> C-593 de 1995 se indicó al respecto:</w:t>
      </w:r>
    </w:p>
    <w:p w:rsidR="003318B7" w:rsidRPr="00D93140" w:rsidRDefault="00D93140" w:rsidP="00E04174">
      <w:pPr>
        <w:tabs>
          <w:tab w:val="left" w:pos="567"/>
        </w:tabs>
        <w:contextualSpacing/>
        <w:jc w:val="both"/>
        <w:rPr>
          <w:rFonts w:ascii="Times New Roman" w:hAnsi="Times New Roman"/>
          <w:bCs/>
          <w:sz w:val="28"/>
          <w:szCs w:val="28"/>
        </w:rPr>
      </w:pPr>
    </w:p>
    <w:p w:rsidR="003318B7" w:rsidRPr="00D93140" w:rsidRDefault="00D93140" w:rsidP="00E04174">
      <w:pPr>
        <w:tabs>
          <w:tab w:val="left" w:pos="567"/>
        </w:tabs>
        <w:ind w:left="567"/>
        <w:contextualSpacing/>
        <w:jc w:val="both"/>
        <w:rPr>
          <w:rFonts w:ascii="Times New Roman" w:hAnsi="Times New Roman"/>
          <w:bCs/>
          <w:sz w:val="28"/>
          <w:szCs w:val="24"/>
        </w:rPr>
      </w:pPr>
      <w:r w:rsidRPr="00D93140">
        <w:rPr>
          <w:rFonts w:ascii="Times New Roman" w:hAnsi="Times New Roman"/>
          <w:bCs/>
          <w:sz w:val="28"/>
          <w:szCs w:val="24"/>
        </w:rPr>
        <w:t>“Las corporaciones autónomas regionales son entidades administrativas del orden nacional que pueden representar a la Nació</w:t>
      </w:r>
      <w:r w:rsidRPr="00D93140">
        <w:rPr>
          <w:rFonts w:ascii="Times New Roman" w:hAnsi="Times New Roman"/>
          <w:bCs/>
          <w:sz w:val="28"/>
          <w:szCs w:val="24"/>
        </w:rPr>
        <w:t>n dentro del régimen de autonomía que les garantiza el numeral 7o. de la Constitución, y están concebidas por el Constituyente para la atención y el cumplimiento autónomo de muy precisos fines asignados por la Constitución misma o por la ley, sin que estén</w:t>
      </w:r>
      <w:r w:rsidRPr="00D93140">
        <w:rPr>
          <w:rFonts w:ascii="Times New Roman" w:hAnsi="Times New Roman"/>
          <w:bCs/>
          <w:sz w:val="28"/>
          <w:szCs w:val="24"/>
        </w:rPr>
        <w:t xml:space="preserve"> adscritas ni vinculadas a ningún ministerio o departamento administrativo; además, y en la medida definida por el legislador, respetando su autonomía financiera, patrimonial, administrativa y política, pueden ser agentes del Gobierno Nacional, para cumpli</w:t>
      </w:r>
      <w:r w:rsidRPr="00D93140">
        <w:rPr>
          <w:rFonts w:ascii="Times New Roman" w:hAnsi="Times New Roman"/>
          <w:bCs/>
          <w:sz w:val="28"/>
          <w:szCs w:val="24"/>
        </w:rPr>
        <w:t>r determinadas funciones autónomas en los casos señalados por la ley. Aquellas entidades, son organismos administrativos intermedios entre la Nación y las entidades territoriales, y entre la administración central nacional y la descentralizada por servicio</w:t>
      </w:r>
      <w:r w:rsidRPr="00D93140">
        <w:rPr>
          <w:rFonts w:ascii="Times New Roman" w:hAnsi="Times New Roman"/>
          <w:bCs/>
          <w:sz w:val="28"/>
          <w:szCs w:val="24"/>
        </w:rPr>
        <w:t>s y territorialmente, que están encargados, principalmente, aun cuando no exclusivamente, de funciones policivas, de control, de fomento, reglamentarias y ejecutivas relacionadas con la preservación del ambiente y con el aprovechamiento de los recursos nat</w:t>
      </w:r>
      <w:r w:rsidRPr="00D93140">
        <w:rPr>
          <w:rFonts w:ascii="Times New Roman" w:hAnsi="Times New Roman"/>
          <w:bCs/>
          <w:sz w:val="28"/>
          <w:szCs w:val="24"/>
        </w:rPr>
        <w:t>urales renovables, lo cual, y dentro del marco de lo dispuesto por el inciso segundo del artículo 339 de la Carta Política, las autoriza para participar, en los casos señalados en la ley, como agentes del Gobierno Nacional, en los procesos de elaboración y</w:t>
      </w:r>
      <w:r w:rsidRPr="00D93140">
        <w:rPr>
          <w:rFonts w:ascii="Times New Roman" w:hAnsi="Times New Roman"/>
          <w:bCs/>
          <w:sz w:val="28"/>
          <w:szCs w:val="24"/>
        </w:rPr>
        <w:t xml:space="preserve"> adopción concertada de los planes de desarrollo de las entidades territoriales, y en la armonización de políticas y de normas regulatorias que se dicten por las distintas autoridades competentes, como en el caso del numeral 7o. del artículo 313 de la Cart</w:t>
      </w:r>
      <w:r w:rsidRPr="00D93140">
        <w:rPr>
          <w:rFonts w:ascii="Times New Roman" w:hAnsi="Times New Roman"/>
          <w:bCs/>
          <w:sz w:val="28"/>
          <w:szCs w:val="24"/>
        </w:rPr>
        <w:t>a Política, con el objeto de asegurar el uso eficiente de sus recursos y el desempeño adecuado de las funciones que les hayan sido asignadas”.</w:t>
      </w:r>
    </w:p>
    <w:p w:rsidR="003318B7" w:rsidRPr="00D93140" w:rsidRDefault="00D93140" w:rsidP="00E04174">
      <w:pPr>
        <w:tabs>
          <w:tab w:val="left" w:pos="567"/>
        </w:tabs>
        <w:contextualSpacing/>
        <w:jc w:val="both"/>
        <w:rPr>
          <w:rFonts w:ascii="Times New Roman" w:hAnsi="Times New Roman"/>
          <w:bCs/>
          <w:sz w:val="28"/>
          <w:szCs w:val="28"/>
        </w:rPr>
      </w:pPr>
    </w:p>
    <w:p w:rsidR="003318B7" w:rsidRPr="00D93140" w:rsidRDefault="00D93140" w:rsidP="00E04174">
      <w:pPr>
        <w:pStyle w:val="Prrafodelista"/>
        <w:numPr>
          <w:ilvl w:val="0"/>
          <w:numId w:val="1"/>
        </w:numPr>
        <w:tabs>
          <w:tab w:val="left" w:pos="142"/>
        </w:tabs>
        <w:ind w:left="0" w:firstLine="0"/>
        <w:jc w:val="both"/>
        <w:rPr>
          <w:rFonts w:ascii="Times New Roman" w:hAnsi="Times New Roman"/>
          <w:bCs/>
          <w:sz w:val="28"/>
          <w:szCs w:val="28"/>
        </w:rPr>
      </w:pPr>
      <w:r w:rsidRPr="00D93140">
        <w:rPr>
          <w:rFonts w:ascii="Times New Roman" w:hAnsi="Times New Roman"/>
          <w:bCs/>
          <w:sz w:val="28"/>
          <w:szCs w:val="28"/>
        </w:rPr>
        <w:t xml:space="preserve">Como el ejercicio de la función ambiental es una manifestación de la función administrativa del Estado está </w:t>
      </w:r>
      <w:r w:rsidRPr="00D93140">
        <w:rPr>
          <w:rFonts w:ascii="Times New Roman" w:hAnsi="Times New Roman"/>
          <w:bCs/>
          <w:sz w:val="28"/>
          <w:szCs w:val="28"/>
        </w:rPr>
        <w:t>sujeta a los principios de eficacia, economía, celeridad y coordinación (artículo 209 C.P.). De modo que las autoridades que ejercen competencias ambientales, incluidas las CAR, deben actuar de manera coordinada para lograr la protección eficiente, económi</w:t>
      </w:r>
      <w:r w:rsidRPr="00D93140">
        <w:rPr>
          <w:rFonts w:ascii="Times New Roman" w:hAnsi="Times New Roman"/>
          <w:bCs/>
          <w:sz w:val="28"/>
          <w:szCs w:val="28"/>
        </w:rPr>
        <w:t>ca y célere de los recursos naturales. En ese escenario, si bien la autonomía de las CAR es un rasgo definitorio de rango constitucional, esta no es absoluta. En palabras de esta Corte “la autonomía consiste en cierto grado de independencia de ejecución re</w:t>
      </w:r>
      <w:r w:rsidRPr="00D93140">
        <w:rPr>
          <w:rFonts w:ascii="Times New Roman" w:hAnsi="Times New Roman"/>
          <w:bCs/>
          <w:sz w:val="28"/>
          <w:szCs w:val="28"/>
        </w:rPr>
        <w:t>specto de disposiciones de superior jerarquía, pero siempre sujeta a límites, determinados por las competencias de los órganos superiores y por la naturaleza misma del objeto ejecutado”</w:t>
      </w:r>
      <w:r w:rsidRPr="00D93140">
        <w:rPr>
          <w:rStyle w:val="Refdenotaalpie"/>
          <w:rFonts w:ascii="Times New Roman" w:hAnsi="Times New Roman"/>
          <w:sz w:val="28"/>
          <w:szCs w:val="28"/>
        </w:rPr>
        <w:footnoteReference w:id="77"/>
      </w:r>
      <w:r w:rsidRPr="00D93140">
        <w:rPr>
          <w:rFonts w:ascii="Times New Roman" w:hAnsi="Times New Roman"/>
          <w:bCs/>
          <w:sz w:val="28"/>
          <w:szCs w:val="28"/>
        </w:rPr>
        <w:t xml:space="preserve">. Así, al respecto se indicó en </w:t>
      </w:r>
      <w:r w:rsidRPr="00D93140">
        <w:rPr>
          <w:rFonts w:ascii="Times New Roman" w:hAnsi="Times New Roman"/>
          <w:bCs/>
          <w:sz w:val="28"/>
          <w:szCs w:val="28"/>
        </w:rPr>
        <w:t>Sentencia</w:t>
      </w:r>
      <w:r w:rsidRPr="00D93140">
        <w:rPr>
          <w:rFonts w:ascii="Times New Roman" w:hAnsi="Times New Roman"/>
          <w:bCs/>
          <w:sz w:val="28"/>
          <w:szCs w:val="28"/>
        </w:rPr>
        <w:t xml:space="preserve"> C-994 de 2000 lo siguiente:</w:t>
      </w:r>
    </w:p>
    <w:p w:rsidR="003318B7" w:rsidRPr="00D93140" w:rsidRDefault="00D93140" w:rsidP="00E04174">
      <w:pPr>
        <w:tabs>
          <w:tab w:val="left" w:pos="567"/>
        </w:tabs>
        <w:contextualSpacing/>
        <w:jc w:val="both"/>
        <w:rPr>
          <w:rFonts w:ascii="Times New Roman" w:hAnsi="Times New Roman"/>
          <w:bCs/>
          <w:sz w:val="28"/>
          <w:szCs w:val="28"/>
        </w:rPr>
      </w:pPr>
    </w:p>
    <w:p w:rsidR="003318B7" w:rsidRPr="00D93140" w:rsidRDefault="00D93140" w:rsidP="00E04174">
      <w:pPr>
        <w:tabs>
          <w:tab w:val="left" w:pos="567"/>
        </w:tabs>
        <w:ind w:left="567"/>
        <w:contextualSpacing/>
        <w:jc w:val="both"/>
        <w:rPr>
          <w:rFonts w:ascii="Times New Roman" w:hAnsi="Times New Roman"/>
          <w:bCs/>
          <w:sz w:val="28"/>
          <w:szCs w:val="24"/>
        </w:rPr>
      </w:pPr>
      <w:r w:rsidRPr="00D93140">
        <w:rPr>
          <w:rFonts w:ascii="Times New Roman" w:hAnsi="Times New Roman"/>
          <w:bCs/>
          <w:sz w:val="28"/>
          <w:szCs w:val="24"/>
        </w:rPr>
        <w:t>“La autonomía de las CARs (sic) no significa obviamente que esas entidades puedan funcionar como ruedas sueltas en el Estado, ya que la gestión ecológica exige una coordinación estrecha entre las autoridades de los distintos niveles territoriales, por cua</w:t>
      </w:r>
      <w:r w:rsidRPr="00D93140">
        <w:rPr>
          <w:rFonts w:ascii="Times New Roman" w:hAnsi="Times New Roman"/>
          <w:bCs/>
          <w:sz w:val="28"/>
          <w:szCs w:val="24"/>
        </w:rPr>
        <w:t xml:space="preserve">nto el medio ambiente, debido a las complejas interrelaciones que existen entre los distintos ecosistemas, es un asunto que suele desbordar el ámbito local, tal y como esta Corte lo ha destacado en múltiples oportunidades. Por consiguiente, es natural que </w:t>
      </w:r>
      <w:r w:rsidRPr="00D93140">
        <w:rPr>
          <w:rFonts w:ascii="Times New Roman" w:hAnsi="Times New Roman"/>
          <w:bCs/>
          <w:sz w:val="28"/>
          <w:szCs w:val="24"/>
        </w:rPr>
        <w:t>deba existir una coordinación permanente entre las autoridades nacionales, las entidades territoriales y las CARs (sic) en la protección del medio ambiente”.</w:t>
      </w:r>
    </w:p>
    <w:p w:rsidR="003318B7" w:rsidRPr="00D93140" w:rsidRDefault="00D93140" w:rsidP="00E04174">
      <w:pPr>
        <w:tabs>
          <w:tab w:val="left" w:pos="567"/>
        </w:tabs>
        <w:contextualSpacing/>
        <w:jc w:val="both"/>
        <w:rPr>
          <w:rFonts w:ascii="Times New Roman" w:hAnsi="Times New Roman"/>
          <w:bCs/>
          <w:sz w:val="28"/>
          <w:szCs w:val="28"/>
        </w:rPr>
      </w:pPr>
    </w:p>
    <w:p w:rsidR="001E519E" w:rsidRPr="00D93140" w:rsidRDefault="00D93140" w:rsidP="00E04174">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Además, la jurisprudencia ha distinguido la autonomía de las CAR de la autonomía de las entidades</w:t>
      </w:r>
      <w:r w:rsidRPr="00D93140">
        <w:rPr>
          <w:rFonts w:ascii="Times New Roman" w:hAnsi="Times New Roman"/>
          <w:bCs/>
          <w:sz w:val="28"/>
          <w:szCs w:val="28"/>
        </w:rPr>
        <w:t xml:space="preserve"> territoriales. En la </w:t>
      </w:r>
      <w:r w:rsidRPr="00D93140">
        <w:rPr>
          <w:rFonts w:ascii="Times New Roman" w:hAnsi="Times New Roman"/>
          <w:bCs/>
          <w:sz w:val="28"/>
          <w:szCs w:val="28"/>
        </w:rPr>
        <w:t>Sentencia</w:t>
      </w:r>
      <w:r w:rsidRPr="00D93140">
        <w:rPr>
          <w:rFonts w:ascii="Times New Roman" w:hAnsi="Times New Roman"/>
          <w:bCs/>
          <w:sz w:val="28"/>
          <w:szCs w:val="28"/>
        </w:rPr>
        <w:t xml:space="preserve"> C-145 de 2019 la Corte señaló que “la autonomía de las entidades territoriales “se revela parecida a la de un órgano autónomo e independiente, en los términos del art. 113 de la Constitución”</w:t>
      </w:r>
      <w:r w:rsidRPr="00D93140">
        <w:rPr>
          <w:rStyle w:val="Refdenotaalpie"/>
          <w:rFonts w:ascii="Times New Roman" w:hAnsi="Times New Roman"/>
          <w:sz w:val="28"/>
          <w:szCs w:val="28"/>
        </w:rPr>
        <w:footnoteReference w:id="78"/>
      </w:r>
      <w:r w:rsidRPr="00D93140">
        <w:rPr>
          <w:rFonts w:ascii="Times New Roman" w:hAnsi="Times New Roman"/>
          <w:bCs/>
          <w:sz w:val="28"/>
          <w:szCs w:val="28"/>
        </w:rPr>
        <w:t xml:space="preserve">, es “principalmente de entidad </w:t>
      </w:r>
      <w:r w:rsidRPr="00D93140">
        <w:rPr>
          <w:rFonts w:ascii="Times New Roman" w:hAnsi="Times New Roman"/>
          <w:bCs/>
          <w:sz w:val="28"/>
          <w:szCs w:val="28"/>
        </w:rPr>
        <w:t>política”</w:t>
      </w:r>
      <w:r w:rsidRPr="00D93140">
        <w:rPr>
          <w:rStyle w:val="Refdenotaalpie"/>
          <w:rFonts w:ascii="Times New Roman" w:hAnsi="Times New Roman"/>
          <w:sz w:val="28"/>
          <w:szCs w:val="28"/>
        </w:rPr>
        <w:footnoteReference w:id="79"/>
      </w:r>
      <w:r w:rsidRPr="00D93140">
        <w:rPr>
          <w:rFonts w:ascii="Times New Roman" w:hAnsi="Times New Roman"/>
          <w:bCs/>
          <w:sz w:val="28"/>
          <w:szCs w:val="28"/>
        </w:rPr>
        <w:t xml:space="preserve"> y su núcleo fue delimitado directamente en los artículos 287, 288, 311 y 317 superiores, entre otros</w:t>
      </w:r>
      <w:r w:rsidRPr="00D93140">
        <w:rPr>
          <w:rFonts w:ascii="Times New Roman" w:hAnsi="Times New Roman"/>
          <w:sz w:val="28"/>
          <w:szCs w:val="28"/>
          <w:vertAlign w:val="superscript"/>
        </w:rPr>
        <w:footnoteReference w:id="80"/>
      </w:r>
      <w:r w:rsidRPr="00D93140">
        <w:rPr>
          <w:rFonts w:ascii="Times New Roman" w:hAnsi="Times New Roman"/>
          <w:bCs/>
          <w:sz w:val="28"/>
          <w:szCs w:val="28"/>
        </w:rPr>
        <w:t>. En cambio, la autonomía de las CAR se deriva del artículo 150.7 de la Constitución y su núcleo no fue definido por el constituyen</w:t>
      </w:r>
      <w:r w:rsidRPr="00D93140">
        <w:rPr>
          <w:rFonts w:ascii="Times New Roman" w:hAnsi="Times New Roman"/>
          <w:bCs/>
          <w:sz w:val="28"/>
          <w:szCs w:val="28"/>
        </w:rPr>
        <w:t>te. En efecto</w:t>
      </w:r>
      <w:r w:rsidRPr="00D93140">
        <w:rPr>
          <w:rFonts w:ascii="Times New Roman" w:hAnsi="Times New Roman"/>
          <w:bCs/>
          <w:sz w:val="28"/>
          <w:szCs w:val="28"/>
        </w:rPr>
        <w:t>, la Constitución ‘</w:t>
      </w:r>
      <w:r w:rsidRPr="00D93140">
        <w:rPr>
          <w:rFonts w:ascii="Times New Roman" w:hAnsi="Times New Roman"/>
          <w:bCs/>
          <w:sz w:val="28"/>
          <w:szCs w:val="28"/>
        </w:rPr>
        <w:t>no establece reglas puntuales que delimiten la esencia o el núcleo esencial de la autonomía propia de [estas] corporaciones</w:t>
      </w:r>
      <w:r w:rsidRPr="00D93140">
        <w:rPr>
          <w:rFonts w:ascii="Times New Roman" w:hAnsi="Times New Roman"/>
          <w:bCs/>
          <w:sz w:val="28"/>
          <w:szCs w:val="28"/>
        </w:rPr>
        <w:t>’</w:t>
      </w:r>
      <w:r w:rsidRPr="00D93140">
        <w:rPr>
          <w:rFonts w:ascii="Times New Roman" w:hAnsi="Times New Roman"/>
          <w:sz w:val="28"/>
          <w:szCs w:val="28"/>
          <w:vertAlign w:val="superscript"/>
        </w:rPr>
        <w:footnoteReference w:id="81"/>
      </w:r>
      <w:r w:rsidRPr="00D93140">
        <w:rPr>
          <w:rFonts w:ascii="Times New Roman" w:hAnsi="Times New Roman"/>
          <w:bCs/>
          <w:sz w:val="28"/>
          <w:szCs w:val="28"/>
        </w:rPr>
        <w:t>, y por es</w:t>
      </w:r>
      <w:r w:rsidRPr="00D93140">
        <w:rPr>
          <w:rFonts w:ascii="Times New Roman" w:hAnsi="Times New Roman"/>
          <w:bCs/>
          <w:sz w:val="28"/>
          <w:szCs w:val="28"/>
        </w:rPr>
        <w:t>ta razón, dicha autonomía está ‘</w:t>
      </w:r>
      <w:r w:rsidRPr="00D93140">
        <w:rPr>
          <w:rFonts w:ascii="Times New Roman" w:hAnsi="Times New Roman"/>
          <w:bCs/>
          <w:sz w:val="28"/>
          <w:szCs w:val="28"/>
        </w:rPr>
        <w:t>condicionada mucho más a la configuración normativa que [para el] efec</w:t>
      </w:r>
      <w:r w:rsidRPr="00D93140">
        <w:rPr>
          <w:rFonts w:ascii="Times New Roman" w:hAnsi="Times New Roman"/>
          <w:bCs/>
          <w:sz w:val="28"/>
          <w:szCs w:val="28"/>
        </w:rPr>
        <w:t>to diseñe el legislador dentro de su discrecionalidad política</w:t>
      </w:r>
      <w:r w:rsidRPr="00D93140">
        <w:rPr>
          <w:rFonts w:ascii="Times New Roman" w:hAnsi="Times New Roman"/>
          <w:bCs/>
          <w:sz w:val="28"/>
          <w:szCs w:val="28"/>
        </w:rPr>
        <w:t>’</w:t>
      </w:r>
      <w:r w:rsidRPr="00D93140">
        <w:rPr>
          <w:rFonts w:ascii="Times New Roman" w:hAnsi="Times New Roman"/>
          <w:iCs/>
          <w:sz w:val="28"/>
          <w:szCs w:val="28"/>
          <w:vertAlign w:val="superscript"/>
        </w:rPr>
        <w:footnoteReference w:id="82"/>
      </w:r>
      <w:r w:rsidRPr="00D93140">
        <w:rPr>
          <w:rFonts w:ascii="Times New Roman" w:hAnsi="Times New Roman"/>
          <w:bCs/>
          <w:sz w:val="28"/>
          <w:szCs w:val="28"/>
        </w:rPr>
        <w:t>.”</w:t>
      </w:r>
    </w:p>
    <w:p w:rsidR="001E519E" w:rsidRPr="00D93140" w:rsidRDefault="00D93140" w:rsidP="0083333C">
      <w:pPr>
        <w:pStyle w:val="Prrafodelista"/>
        <w:ind w:left="0"/>
        <w:jc w:val="both"/>
        <w:rPr>
          <w:rFonts w:ascii="Times New Roman" w:hAnsi="Times New Roman"/>
          <w:bCs/>
          <w:sz w:val="28"/>
          <w:szCs w:val="28"/>
        </w:rPr>
      </w:pPr>
    </w:p>
    <w:p w:rsidR="0083333C" w:rsidRPr="00D93140" w:rsidRDefault="00D93140" w:rsidP="00E04174">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 xml:space="preserve">Para esta </w:t>
      </w:r>
      <w:r w:rsidRPr="00D93140">
        <w:rPr>
          <w:rFonts w:ascii="Times New Roman" w:hAnsi="Times New Roman"/>
          <w:bCs/>
          <w:sz w:val="28"/>
          <w:szCs w:val="28"/>
        </w:rPr>
        <w:t>Corte la autonomía de las CAR es una “garantía institucional” que les confiere la potestad general de ejercer sus funciones con un determinado grado de libertad e independencia</w:t>
      </w:r>
      <w:r w:rsidRPr="00D93140">
        <w:rPr>
          <w:rFonts w:ascii="Times New Roman" w:hAnsi="Times New Roman"/>
          <w:bCs/>
          <w:sz w:val="28"/>
          <w:szCs w:val="28"/>
        </w:rPr>
        <w:t xml:space="preserve"> y proscribe una </w:t>
      </w:r>
      <w:r w:rsidRPr="00D93140">
        <w:rPr>
          <w:rFonts w:ascii="Times New Roman" w:hAnsi="Times New Roman"/>
          <w:bCs/>
          <w:sz w:val="28"/>
          <w:szCs w:val="28"/>
        </w:rPr>
        <w:t>injerencia desproporcionada del legislador, las autoridades nacionales y las entidades territoriales en el cumplimiento de sus competencias</w:t>
      </w:r>
      <w:r w:rsidRPr="00D93140">
        <w:rPr>
          <w:rStyle w:val="Refdenotaalpie"/>
          <w:rFonts w:ascii="Times New Roman" w:hAnsi="Times New Roman"/>
          <w:bCs/>
          <w:sz w:val="28"/>
          <w:szCs w:val="28"/>
        </w:rPr>
        <w:footnoteReference w:id="83"/>
      </w:r>
      <w:r w:rsidRPr="00D93140">
        <w:rPr>
          <w:rFonts w:ascii="Times New Roman" w:hAnsi="Times New Roman"/>
          <w:bCs/>
          <w:sz w:val="28"/>
          <w:szCs w:val="28"/>
        </w:rPr>
        <w:t>. El reconocimiento constitucional de la autonomía de las CAR</w:t>
      </w:r>
      <w:r w:rsidRPr="00D93140">
        <w:rPr>
          <w:rFonts w:ascii="Times New Roman" w:hAnsi="Times New Roman"/>
          <w:bCs/>
          <w:sz w:val="28"/>
          <w:szCs w:val="28"/>
        </w:rPr>
        <w:t>, de acuerdo con la jurisprudencia,</w:t>
      </w:r>
      <w:r w:rsidRPr="00D93140">
        <w:rPr>
          <w:rFonts w:ascii="Times New Roman" w:hAnsi="Times New Roman"/>
          <w:bCs/>
          <w:sz w:val="28"/>
          <w:szCs w:val="28"/>
        </w:rPr>
        <w:t xml:space="preserve"> tiene como propósito </w:t>
      </w:r>
      <w:r w:rsidRPr="00D93140">
        <w:rPr>
          <w:rFonts w:ascii="Times New Roman" w:hAnsi="Times New Roman"/>
          <w:bCs/>
          <w:sz w:val="28"/>
          <w:szCs w:val="28"/>
        </w:rPr>
        <w:t>“</w:t>
      </w:r>
      <w:r w:rsidRPr="00D93140">
        <w:rPr>
          <w:rFonts w:ascii="Times New Roman" w:hAnsi="Times New Roman"/>
          <w:bCs/>
          <w:sz w:val="28"/>
          <w:szCs w:val="28"/>
        </w:rPr>
        <w:t xml:space="preserve">(i) descentralizar la protección ambiental, (ii) garantizar que </w:t>
      </w:r>
      <w:r w:rsidRPr="00D93140">
        <w:rPr>
          <w:rFonts w:ascii="Times New Roman" w:hAnsi="Times New Roman"/>
          <w:bCs/>
          <w:sz w:val="28"/>
          <w:szCs w:val="28"/>
        </w:rPr>
        <w:t>‘</w:t>
      </w:r>
      <w:r w:rsidRPr="00D93140">
        <w:rPr>
          <w:rFonts w:ascii="Times New Roman" w:hAnsi="Times New Roman"/>
          <w:bCs/>
          <w:sz w:val="28"/>
          <w:szCs w:val="28"/>
        </w:rPr>
        <w:t>las regiones tengan mayor injerencia sobre sus intereses ambientales</w:t>
      </w:r>
      <w:r w:rsidRPr="00D93140">
        <w:rPr>
          <w:rFonts w:ascii="Times New Roman" w:hAnsi="Times New Roman"/>
          <w:bCs/>
          <w:sz w:val="28"/>
          <w:szCs w:val="28"/>
        </w:rPr>
        <w:t>’</w:t>
      </w:r>
      <w:r w:rsidRPr="00D93140">
        <w:rPr>
          <w:rFonts w:ascii="Times New Roman" w:hAnsi="Times New Roman"/>
          <w:bCs/>
          <w:sz w:val="28"/>
          <w:szCs w:val="28"/>
        </w:rPr>
        <w:t xml:space="preserve"> y (iii) asegurar una mayor protección al medio ambiente que se ajuste a las necesidades específica</w:t>
      </w:r>
      <w:r w:rsidRPr="00D93140">
        <w:rPr>
          <w:rFonts w:ascii="Times New Roman" w:hAnsi="Times New Roman"/>
          <w:bCs/>
          <w:sz w:val="28"/>
          <w:szCs w:val="28"/>
        </w:rPr>
        <w:t>s de las poblaciones y ecosistemas</w:t>
      </w:r>
      <w:r w:rsidRPr="00D93140">
        <w:rPr>
          <w:rFonts w:ascii="Times New Roman" w:hAnsi="Times New Roman"/>
          <w:bCs/>
          <w:sz w:val="28"/>
          <w:szCs w:val="28"/>
        </w:rPr>
        <w:t>”</w:t>
      </w:r>
      <w:r w:rsidRPr="00D93140">
        <w:rPr>
          <w:rStyle w:val="Refdenotaalpie"/>
          <w:rFonts w:ascii="Times New Roman" w:hAnsi="Times New Roman"/>
          <w:bCs/>
          <w:sz w:val="28"/>
          <w:szCs w:val="28"/>
        </w:rPr>
        <w:footnoteReference w:id="84"/>
      </w:r>
      <w:r w:rsidRPr="00D93140">
        <w:rPr>
          <w:rFonts w:ascii="Times New Roman" w:hAnsi="Times New Roman"/>
          <w:bCs/>
          <w:sz w:val="28"/>
          <w:szCs w:val="28"/>
        </w:rPr>
        <w:t xml:space="preserve">. </w:t>
      </w:r>
    </w:p>
    <w:p w:rsidR="0083333C" w:rsidRPr="00D93140" w:rsidRDefault="00D93140" w:rsidP="0083333C">
      <w:pPr>
        <w:pStyle w:val="Prrafodelista"/>
        <w:ind w:left="0"/>
        <w:jc w:val="both"/>
        <w:rPr>
          <w:rFonts w:ascii="Times New Roman" w:hAnsi="Times New Roman"/>
          <w:bCs/>
          <w:sz w:val="28"/>
          <w:szCs w:val="28"/>
        </w:rPr>
      </w:pPr>
    </w:p>
    <w:p w:rsidR="008D07C8" w:rsidRPr="00D93140" w:rsidRDefault="00D93140" w:rsidP="00747E8F">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La autonomía de las CAR se destaca principalmente en las facetas: orgánica, financiera y funcional y se constituye en una garantía institucional que “(i) impide que el legislador las despoje de aquellas facultades qu</w:t>
      </w:r>
      <w:r w:rsidRPr="00D93140">
        <w:rPr>
          <w:rFonts w:ascii="Times New Roman" w:hAnsi="Times New Roman"/>
          <w:bCs/>
          <w:sz w:val="28"/>
          <w:szCs w:val="28"/>
        </w:rPr>
        <w:t>e son esenciales para el cumplimiento de sus funciones ambientales, (ii) garantiza que estas corporaciones pueden ejercer sus competencias con un determinado grado de autonomía y libertad frente a las autoridades del orden nacional y (iii) les confiere una</w:t>
      </w:r>
      <w:r w:rsidRPr="00D93140">
        <w:rPr>
          <w:rFonts w:ascii="Times New Roman" w:hAnsi="Times New Roman"/>
          <w:bCs/>
          <w:sz w:val="28"/>
          <w:szCs w:val="28"/>
        </w:rPr>
        <w:t xml:space="preserve"> potestad de regulación que les permite precisar los lineamientos generales fijados por el Ministerio de Ambiente y Desarrollo Sostenible con el objeto de atender las particularidades de los ecosistemas que están bajo su jurisdicción”</w:t>
      </w:r>
      <w:r w:rsidRPr="00D93140">
        <w:rPr>
          <w:rFonts w:ascii="Times New Roman" w:hAnsi="Times New Roman"/>
          <w:bCs/>
          <w:sz w:val="28"/>
          <w:szCs w:val="28"/>
          <w:vertAlign w:val="superscript"/>
        </w:rPr>
        <w:footnoteReference w:id="85"/>
      </w:r>
      <w:r w:rsidRPr="00D93140">
        <w:rPr>
          <w:rFonts w:ascii="Times New Roman" w:hAnsi="Times New Roman"/>
          <w:bCs/>
          <w:sz w:val="28"/>
          <w:szCs w:val="28"/>
        </w:rPr>
        <w:t xml:space="preserve">. </w:t>
      </w:r>
    </w:p>
    <w:p w:rsidR="004C6A36" w:rsidRPr="00D93140" w:rsidRDefault="00D93140" w:rsidP="004C6A36">
      <w:pPr>
        <w:pStyle w:val="Prrafodelista"/>
        <w:ind w:left="0"/>
        <w:jc w:val="both"/>
        <w:rPr>
          <w:rFonts w:ascii="Times New Roman" w:hAnsi="Times New Roman"/>
          <w:bCs/>
          <w:sz w:val="28"/>
          <w:szCs w:val="28"/>
        </w:rPr>
      </w:pPr>
    </w:p>
    <w:p w:rsidR="008D07C8" w:rsidRPr="00D93140" w:rsidRDefault="00D93140" w:rsidP="00747E8F">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En cuanto a la ar</w:t>
      </w:r>
      <w:r w:rsidRPr="00D93140">
        <w:rPr>
          <w:rFonts w:ascii="Times New Roman" w:hAnsi="Times New Roman"/>
          <w:bCs/>
          <w:sz w:val="28"/>
          <w:szCs w:val="28"/>
        </w:rPr>
        <w:t>ticulación del ejercicio de funciones de las CAR con las autoridades ambientales la corte Constitucional ha reconocido que la función de protección del medio ambiente y, en particular, la de otorgar permisos, autorizaciones, concesiones y licencias ambient</w:t>
      </w:r>
      <w:r w:rsidRPr="00D93140">
        <w:rPr>
          <w:rFonts w:ascii="Times New Roman" w:hAnsi="Times New Roman"/>
          <w:bCs/>
          <w:sz w:val="28"/>
          <w:szCs w:val="28"/>
        </w:rPr>
        <w:t>ales, no es exclusiva de las CAR. La Carta Política prevé la protección del medio ambiente como una responsabilidad estatal</w:t>
      </w:r>
      <w:r w:rsidRPr="00D93140">
        <w:rPr>
          <w:rStyle w:val="Refdenotaalpie"/>
          <w:rFonts w:ascii="Times New Roman" w:hAnsi="Times New Roman"/>
          <w:bCs/>
          <w:sz w:val="28"/>
          <w:szCs w:val="28"/>
        </w:rPr>
        <w:footnoteReference w:id="86"/>
      </w:r>
      <w:r w:rsidRPr="00D93140">
        <w:rPr>
          <w:rFonts w:ascii="Times New Roman" w:hAnsi="Times New Roman"/>
          <w:bCs/>
          <w:sz w:val="28"/>
          <w:szCs w:val="28"/>
        </w:rPr>
        <w:t xml:space="preserve"> que debe cumplirse con la participación coordinada </w:t>
      </w:r>
      <w:r w:rsidRPr="00D93140">
        <w:rPr>
          <w:rFonts w:ascii="Times New Roman" w:hAnsi="Times New Roman"/>
          <w:bCs/>
          <w:sz w:val="28"/>
          <w:szCs w:val="28"/>
        </w:rPr>
        <w:t>de los distintos niveles de la a</w:t>
      </w:r>
      <w:r w:rsidRPr="00D93140">
        <w:rPr>
          <w:rFonts w:ascii="Times New Roman" w:hAnsi="Times New Roman"/>
          <w:bCs/>
          <w:sz w:val="28"/>
          <w:szCs w:val="28"/>
        </w:rPr>
        <w:t>dministración</w:t>
      </w:r>
      <w:r w:rsidRPr="00D93140">
        <w:rPr>
          <w:rFonts w:ascii="Times New Roman" w:hAnsi="Times New Roman"/>
          <w:bCs/>
          <w:sz w:val="28"/>
          <w:szCs w:val="28"/>
        </w:rPr>
        <w:t xml:space="preserve"> y </w:t>
      </w:r>
      <w:r w:rsidRPr="00D93140">
        <w:rPr>
          <w:rFonts w:ascii="Times New Roman" w:hAnsi="Times New Roman"/>
          <w:bCs/>
          <w:sz w:val="28"/>
          <w:szCs w:val="28"/>
        </w:rPr>
        <w:t>“establece deberes, y asigna com</w:t>
      </w:r>
      <w:r w:rsidRPr="00D93140">
        <w:rPr>
          <w:rFonts w:ascii="Times New Roman" w:hAnsi="Times New Roman"/>
          <w:bCs/>
          <w:sz w:val="28"/>
          <w:szCs w:val="28"/>
        </w:rPr>
        <w:t>petencias concurrentes a órganos del orden nacional y territorial en la protección del medio ambiente”</w:t>
      </w:r>
      <w:r w:rsidRPr="00D93140">
        <w:rPr>
          <w:rStyle w:val="Refdenotaalpie"/>
          <w:rFonts w:ascii="Times New Roman" w:hAnsi="Times New Roman"/>
          <w:bCs/>
          <w:sz w:val="28"/>
          <w:szCs w:val="28"/>
        </w:rPr>
        <w:footnoteReference w:id="87"/>
      </w:r>
      <w:r w:rsidRPr="00D93140">
        <w:rPr>
          <w:rFonts w:ascii="Times New Roman" w:hAnsi="Times New Roman"/>
          <w:bCs/>
          <w:sz w:val="28"/>
          <w:szCs w:val="28"/>
        </w:rPr>
        <w:t xml:space="preserve">. </w:t>
      </w:r>
    </w:p>
    <w:p w:rsidR="008D07C8" w:rsidRPr="00D93140" w:rsidRDefault="00D93140" w:rsidP="008D07C8">
      <w:pPr>
        <w:pStyle w:val="Prrafodelista"/>
        <w:ind w:left="0"/>
        <w:jc w:val="both"/>
        <w:rPr>
          <w:rFonts w:ascii="Times New Roman" w:hAnsi="Times New Roman"/>
          <w:bCs/>
          <w:sz w:val="28"/>
          <w:szCs w:val="28"/>
        </w:rPr>
      </w:pPr>
    </w:p>
    <w:p w:rsidR="00747E8F" w:rsidRPr="00D93140" w:rsidRDefault="00D93140" w:rsidP="00747E8F">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 xml:space="preserve">Frente al particular, así como no se observan reglas puntuales para delimitar el núcleo esencial de la autonomía de las CAR, la Constitución tampoco </w:t>
      </w:r>
      <w:r w:rsidRPr="00D93140">
        <w:rPr>
          <w:rFonts w:ascii="Times New Roman" w:hAnsi="Times New Roman"/>
          <w:bCs/>
          <w:sz w:val="28"/>
          <w:szCs w:val="28"/>
        </w:rPr>
        <w:t xml:space="preserve">prevé reglas precisas para articular las competencias de protección ambiental de las CAR con aquellas que ostentan las autoridades ambientales del sector nacional y del orden territorial. Aspecto que </w:t>
      </w:r>
      <w:r w:rsidRPr="00D93140">
        <w:rPr>
          <w:rFonts w:ascii="Times New Roman" w:hAnsi="Times New Roman"/>
          <w:bCs/>
          <w:sz w:val="28"/>
          <w:szCs w:val="28"/>
        </w:rPr>
        <w:t xml:space="preserve">implica que el legislador </w:t>
      </w:r>
      <w:r w:rsidRPr="00D93140">
        <w:rPr>
          <w:rFonts w:ascii="Times New Roman" w:hAnsi="Times New Roman"/>
          <w:bCs/>
          <w:sz w:val="28"/>
          <w:szCs w:val="28"/>
        </w:rPr>
        <w:t xml:space="preserve">cuenta con un amplio </w:t>
      </w:r>
      <w:r w:rsidRPr="00D93140">
        <w:rPr>
          <w:rFonts w:ascii="Times New Roman" w:hAnsi="Times New Roman"/>
          <w:bCs/>
          <w:sz w:val="28"/>
          <w:szCs w:val="28"/>
        </w:rPr>
        <w:t>margen de</w:t>
      </w:r>
      <w:r w:rsidRPr="00D93140">
        <w:rPr>
          <w:rFonts w:ascii="Times New Roman" w:hAnsi="Times New Roman"/>
          <w:bCs/>
          <w:sz w:val="28"/>
          <w:szCs w:val="28"/>
        </w:rPr>
        <w:t xml:space="preserve"> configuración en la materia</w:t>
      </w:r>
      <w:r w:rsidRPr="00D93140">
        <w:rPr>
          <w:rFonts w:ascii="Times New Roman" w:hAnsi="Times New Roman"/>
          <w:bCs/>
          <w:sz w:val="28"/>
          <w:szCs w:val="28"/>
        </w:rPr>
        <w:t xml:space="preserve"> más no ilimitado, pues</w:t>
      </w:r>
      <w:r w:rsidRPr="00D93140">
        <w:rPr>
          <w:rFonts w:ascii="Times New Roman" w:hAnsi="Times New Roman"/>
          <w:bCs/>
          <w:sz w:val="28"/>
          <w:szCs w:val="28"/>
        </w:rPr>
        <w:t xml:space="preserve"> la Constitución exige que las atribuciones que el legislador le confiera a las CAR </w:t>
      </w:r>
      <w:r w:rsidRPr="00D93140">
        <w:rPr>
          <w:rFonts w:ascii="Times New Roman" w:hAnsi="Times New Roman"/>
          <w:bCs/>
          <w:sz w:val="28"/>
          <w:szCs w:val="28"/>
        </w:rPr>
        <w:t>sean</w:t>
      </w:r>
      <w:r w:rsidRPr="00D93140">
        <w:rPr>
          <w:rFonts w:ascii="Times New Roman" w:hAnsi="Times New Roman"/>
          <w:bCs/>
          <w:sz w:val="28"/>
          <w:szCs w:val="28"/>
        </w:rPr>
        <w:t xml:space="preserve"> suficientes para permitir</w:t>
      </w:r>
      <w:r w:rsidRPr="00D93140">
        <w:rPr>
          <w:rFonts w:ascii="Times New Roman" w:hAnsi="Times New Roman"/>
          <w:bCs/>
          <w:sz w:val="28"/>
          <w:szCs w:val="28"/>
        </w:rPr>
        <w:t xml:space="preserve"> que ejerzan</w:t>
      </w:r>
      <w:r w:rsidRPr="00D93140">
        <w:rPr>
          <w:rFonts w:ascii="Times New Roman" w:hAnsi="Times New Roman"/>
          <w:bCs/>
          <w:sz w:val="28"/>
          <w:szCs w:val="28"/>
        </w:rPr>
        <w:t xml:space="preserve"> sus funciones de conformidad con los principios constitucionales relevantes</w:t>
      </w:r>
      <w:r w:rsidRPr="00D93140">
        <w:rPr>
          <w:rStyle w:val="Refdenotaalpie"/>
          <w:rFonts w:ascii="Times New Roman" w:hAnsi="Times New Roman"/>
          <w:bCs/>
          <w:sz w:val="28"/>
          <w:szCs w:val="28"/>
        </w:rPr>
        <w:footnoteReference w:id="88"/>
      </w:r>
      <w:r w:rsidRPr="00D93140">
        <w:rPr>
          <w:rFonts w:ascii="Times New Roman" w:hAnsi="Times New Roman"/>
          <w:bCs/>
          <w:sz w:val="28"/>
          <w:szCs w:val="28"/>
        </w:rPr>
        <w:t>.</w:t>
      </w:r>
    </w:p>
    <w:p w:rsidR="008D07C8" w:rsidRPr="00D93140" w:rsidRDefault="00D93140" w:rsidP="008D07C8">
      <w:pPr>
        <w:pStyle w:val="Prrafodelista"/>
        <w:ind w:left="0"/>
        <w:jc w:val="both"/>
        <w:rPr>
          <w:rFonts w:ascii="Times New Roman" w:hAnsi="Times New Roman"/>
          <w:bCs/>
          <w:sz w:val="28"/>
          <w:szCs w:val="28"/>
        </w:rPr>
      </w:pPr>
    </w:p>
    <w:p w:rsidR="003318B7" w:rsidRPr="00D93140" w:rsidRDefault="00D93140" w:rsidP="00E04174">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Así las cosas, las CAR están sometidas a la ley y a las decisiones de la Administración Central en materia ambiental.  En todo caso, la limitación del ámbito de su autonomía no puede llegar al punto de impedir que ejerzan plenamente sus funciones ni invad</w:t>
      </w:r>
      <w:r w:rsidRPr="00D93140">
        <w:rPr>
          <w:rFonts w:ascii="Times New Roman" w:hAnsi="Times New Roman"/>
          <w:bCs/>
          <w:sz w:val="28"/>
          <w:szCs w:val="28"/>
        </w:rPr>
        <w:t xml:space="preserve">ir los aspectos funcionales que se refieran a asuntos meramente locales. </w:t>
      </w:r>
    </w:p>
    <w:p w:rsidR="003318B7" w:rsidRPr="00D93140" w:rsidRDefault="00D93140" w:rsidP="00E04174">
      <w:pPr>
        <w:tabs>
          <w:tab w:val="left" w:pos="567"/>
        </w:tabs>
        <w:contextualSpacing/>
        <w:jc w:val="both"/>
        <w:rPr>
          <w:rFonts w:ascii="Times New Roman" w:hAnsi="Times New Roman"/>
          <w:bCs/>
          <w:sz w:val="28"/>
          <w:szCs w:val="28"/>
        </w:rPr>
      </w:pPr>
      <w:r w:rsidRPr="00D93140">
        <w:rPr>
          <w:rFonts w:ascii="Times New Roman" w:hAnsi="Times New Roman"/>
          <w:bCs/>
          <w:sz w:val="28"/>
          <w:szCs w:val="28"/>
        </w:rPr>
        <w:t xml:space="preserve"> </w:t>
      </w:r>
    </w:p>
    <w:p w:rsidR="007960F3" w:rsidRPr="00D93140" w:rsidRDefault="00D93140" w:rsidP="001C7D85">
      <w:pPr>
        <w:pStyle w:val="Ttulo3"/>
        <w:rPr>
          <w:rFonts w:ascii="Times New Roman" w:hAnsi="Times New Roman"/>
          <w:sz w:val="28"/>
          <w:szCs w:val="27"/>
        </w:rPr>
      </w:pPr>
      <w:bookmarkStart w:id="19" w:name="_Toc215735437"/>
      <w:r w:rsidRPr="00D93140">
        <w:rPr>
          <w:rFonts w:ascii="Times New Roman" w:hAnsi="Times New Roman"/>
          <w:sz w:val="28"/>
        </w:rPr>
        <w:t xml:space="preserve">4. </w:t>
      </w:r>
      <w:r w:rsidRPr="00D93140">
        <w:rPr>
          <w:rFonts w:ascii="Times New Roman" w:hAnsi="Times New Roman"/>
          <w:sz w:val="28"/>
        </w:rPr>
        <w:t xml:space="preserve">Derecho administrativo </w:t>
      </w:r>
      <w:r w:rsidRPr="00D93140">
        <w:rPr>
          <w:rFonts w:ascii="Times New Roman" w:hAnsi="Times New Roman"/>
          <w:sz w:val="28"/>
        </w:rPr>
        <w:t xml:space="preserve">sancionatorio </w:t>
      </w:r>
      <w:r w:rsidRPr="00D93140">
        <w:rPr>
          <w:rFonts w:ascii="Times New Roman" w:hAnsi="Times New Roman"/>
          <w:sz w:val="28"/>
        </w:rPr>
        <w:t>en materia ambiental.</w:t>
      </w:r>
      <w:bookmarkEnd w:id="19"/>
    </w:p>
    <w:p w:rsidR="007960F3" w:rsidRPr="00D93140" w:rsidRDefault="00D93140" w:rsidP="00E04174">
      <w:pPr>
        <w:pStyle w:val="Prrafodelista"/>
        <w:shd w:val="clear" w:color="auto" w:fill="FFFFFF"/>
        <w:ind w:left="0"/>
        <w:jc w:val="both"/>
        <w:textAlignment w:val="baseline"/>
        <w:rPr>
          <w:rFonts w:ascii="Times New Roman" w:hAnsi="Times New Roman"/>
          <w:sz w:val="28"/>
          <w:szCs w:val="27"/>
        </w:rPr>
      </w:pPr>
    </w:p>
    <w:p w:rsidR="00577801" w:rsidRPr="00D93140" w:rsidRDefault="00D93140" w:rsidP="00E04174">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 xml:space="preserve">La protección del medio ambiente tiene especial relevancia en la Constitución, a través de sus varios artículos que </w:t>
      </w:r>
      <w:r w:rsidRPr="00D93140">
        <w:rPr>
          <w:rFonts w:ascii="Times New Roman" w:hAnsi="Times New Roman"/>
          <w:sz w:val="28"/>
          <w:szCs w:val="27"/>
        </w:rPr>
        <w:t>se refieren a esta materia, de ahí que se catalogue como una Constitución ecológica</w:t>
      </w:r>
      <w:r w:rsidRPr="00D93140">
        <w:rPr>
          <w:rStyle w:val="Refdenotaalpie"/>
          <w:rFonts w:ascii="Times New Roman" w:hAnsi="Times New Roman"/>
          <w:sz w:val="28"/>
          <w:szCs w:val="27"/>
        </w:rPr>
        <w:footnoteReference w:id="89"/>
      </w:r>
      <w:r w:rsidRPr="00D93140">
        <w:rPr>
          <w:rFonts w:ascii="Times New Roman" w:hAnsi="Times New Roman"/>
          <w:sz w:val="28"/>
          <w:szCs w:val="27"/>
        </w:rPr>
        <w:t>.</w:t>
      </w:r>
      <w:r w:rsidRPr="00D93140">
        <w:rPr>
          <w:rFonts w:ascii="Times New Roman" w:hAnsi="Times New Roman"/>
          <w:sz w:val="28"/>
          <w:szCs w:val="27"/>
        </w:rPr>
        <w:t xml:space="preserve"> En este contexto, se destacan los artículos 79 y 80 de la Carta Política que contemplan el derecho a gozar de un ambiente sano y el deber prevenir y controlar los factore</w:t>
      </w:r>
      <w:r w:rsidRPr="00D93140">
        <w:rPr>
          <w:rFonts w:ascii="Times New Roman" w:hAnsi="Times New Roman"/>
          <w:sz w:val="28"/>
          <w:szCs w:val="27"/>
        </w:rPr>
        <w:t>s de deterioro ambiental, imponer las sanciones legales y exigir la reparación de los daños causados, respectivamente.</w:t>
      </w:r>
    </w:p>
    <w:p w:rsidR="005A6323" w:rsidRPr="00D93140" w:rsidRDefault="00D93140" w:rsidP="00E04174">
      <w:pPr>
        <w:pStyle w:val="Prrafodelista"/>
        <w:shd w:val="clear" w:color="auto" w:fill="FFFFFF"/>
        <w:ind w:left="0"/>
        <w:jc w:val="both"/>
        <w:textAlignment w:val="baseline"/>
        <w:rPr>
          <w:rFonts w:ascii="Times New Roman" w:hAnsi="Times New Roman"/>
          <w:sz w:val="28"/>
          <w:szCs w:val="27"/>
        </w:rPr>
      </w:pPr>
    </w:p>
    <w:p w:rsidR="00E54011" w:rsidRPr="00D93140" w:rsidRDefault="00D93140" w:rsidP="00E54011">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Así, e</w:t>
      </w:r>
      <w:r w:rsidRPr="00D93140">
        <w:rPr>
          <w:rFonts w:ascii="Times New Roman" w:hAnsi="Times New Roman"/>
          <w:sz w:val="28"/>
          <w:szCs w:val="27"/>
        </w:rPr>
        <w:t>l derecho administrativo sancionador es una especie del derecho punitivo</w:t>
      </w:r>
      <w:r w:rsidRPr="00D93140">
        <w:rPr>
          <w:rStyle w:val="Refdenotaalpie"/>
          <w:rFonts w:ascii="Times New Roman" w:hAnsi="Times New Roman"/>
          <w:sz w:val="28"/>
          <w:szCs w:val="27"/>
        </w:rPr>
        <w:footnoteReference w:id="90"/>
      </w:r>
      <w:r w:rsidRPr="00D93140">
        <w:rPr>
          <w:rFonts w:ascii="Times New Roman" w:hAnsi="Times New Roman"/>
          <w:sz w:val="28"/>
          <w:szCs w:val="27"/>
        </w:rPr>
        <w:t xml:space="preserve">, necesario para garantizar el </w:t>
      </w:r>
      <w:r w:rsidRPr="00D93140">
        <w:rPr>
          <w:rFonts w:ascii="Times New Roman" w:hAnsi="Times New Roman"/>
          <w:sz w:val="28"/>
          <w:szCs w:val="27"/>
        </w:rPr>
        <w:t xml:space="preserve">adecuado cumplimiento de </w:t>
      </w:r>
      <w:r w:rsidRPr="00D93140">
        <w:rPr>
          <w:rFonts w:ascii="Times New Roman" w:hAnsi="Times New Roman"/>
          <w:sz w:val="28"/>
          <w:szCs w:val="27"/>
        </w:rPr>
        <w:t>las funciones de la administración y la ejecución de sus fines</w:t>
      </w:r>
      <w:r w:rsidRPr="00D93140">
        <w:rPr>
          <w:rStyle w:val="Refdenotaalpie"/>
          <w:rFonts w:ascii="Times New Roman" w:hAnsi="Times New Roman"/>
          <w:sz w:val="28"/>
          <w:szCs w:val="27"/>
        </w:rPr>
        <w:footnoteReference w:id="91"/>
      </w:r>
      <w:r w:rsidRPr="00D93140">
        <w:rPr>
          <w:rFonts w:ascii="Times New Roman" w:hAnsi="Times New Roman"/>
          <w:sz w:val="28"/>
          <w:szCs w:val="27"/>
        </w:rPr>
        <w:t>.</w:t>
      </w:r>
      <w:r w:rsidRPr="00D93140">
        <w:rPr>
          <w:rFonts w:ascii="Times New Roman" w:hAnsi="Times New Roman"/>
          <w:sz w:val="28"/>
          <w:szCs w:val="27"/>
        </w:rPr>
        <w:t xml:space="preserve"> </w:t>
      </w:r>
      <w:r w:rsidRPr="00D93140">
        <w:rPr>
          <w:rFonts w:ascii="Times New Roman" w:hAnsi="Times New Roman"/>
          <w:sz w:val="28"/>
          <w:szCs w:val="27"/>
        </w:rPr>
        <w:t>En relación con sus manifestaciones, la Corte ha dicho que la potestad administrativa sancionadora suele asumir dos modalidades específicas: (i) una potestad disciplinaria, que se ejerce fren</w:t>
      </w:r>
      <w:r w:rsidRPr="00D93140">
        <w:rPr>
          <w:rFonts w:ascii="Times New Roman" w:hAnsi="Times New Roman"/>
          <w:sz w:val="28"/>
          <w:szCs w:val="27"/>
        </w:rPr>
        <w:t>te a los propios servidores públicos que desconocen los deberes y prohibiciones impuestos por el ordenamiento; y (ii) una potestad correccional, que opera para reprimir las infracciones en que incurren los particulares por desconocer las obligaciones o res</w:t>
      </w:r>
      <w:r w:rsidRPr="00D93140">
        <w:rPr>
          <w:rFonts w:ascii="Times New Roman" w:hAnsi="Times New Roman"/>
          <w:sz w:val="28"/>
          <w:szCs w:val="27"/>
        </w:rPr>
        <w:t>tricciones impuestas por las leyes</w:t>
      </w:r>
      <w:r w:rsidRPr="00D93140">
        <w:rPr>
          <w:rStyle w:val="Refdenotaalpie"/>
          <w:rFonts w:ascii="Times New Roman" w:hAnsi="Times New Roman"/>
          <w:sz w:val="28"/>
          <w:szCs w:val="27"/>
        </w:rPr>
        <w:footnoteReference w:id="92"/>
      </w:r>
      <w:r w:rsidRPr="00D93140">
        <w:rPr>
          <w:rFonts w:ascii="Times New Roman" w:hAnsi="Times New Roman"/>
          <w:sz w:val="28"/>
          <w:szCs w:val="27"/>
        </w:rPr>
        <w:t xml:space="preserve">. </w:t>
      </w:r>
      <w:r w:rsidRPr="00D93140">
        <w:rPr>
          <w:rFonts w:ascii="Times New Roman" w:hAnsi="Times New Roman"/>
          <w:sz w:val="28"/>
          <w:szCs w:val="27"/>
        </w:rPr>
        <w:t xml:space="preserve">Esta última, en palabras de la </w:t>
      </w:r>
      <w:r w:rsidRPr="00D93140">
        <w:rPr>
          <w:rFonts w:ascii="Times New Roman" w:hAnsi="Times New Roman"/>
          <w:sz w:val="28"/>
          <w:szCs w:val="27"/>
        </w:rPr>
        <w:t>Corte</w:t>
      </w:r>
      <w:r w:rsidRPr="00D93140">
        <w:rPr>
          <w:rFonts w:ascii="Times New Roman" w:hAnsi="Times New Roman"/>
          <w:sz w:val="28"/>
          <w:szCs w:val="27"/>
        </w:rPr>
        <w:t xml:space="preserve">, tiene una naturaleza jurídica </w:t>
      </w:r>
      <w:r w:rsidRPr="00D93140">
        <w:rPr>
          <w:rFonts w:ascii="Times New Roman" w:hAnsi="Times New Roman"/>
          <w:sz w:val="28"/>
          <w:szCs w:val="27"/>
        </w:rPr>
        <w:t>“indudablemente administrativa, y naturalmente difiere de la que le asigna la ley al juez para imponer la pena, con motivo de un ilícito penal”</w:t>
      </w:r>
      <w:r w:rsidRPr="00D93140">
        <w:rPr>
          <w:rStyle w:val="Refdenotaalpie"/>
          <w:rFonts w:ascii="Times New Roman" w:hAnsi="Times New Roman"/>
          <w:sz w:val="28"/>
          <w:szCs w:val="27"/>
        </w:rPr>
        <w:footnoteReference w:id="93"/>
      </w:r>
      <w:r w:rsidRPr="00D93140">
        <w:rPr>
          <w:rFonts w:ascii="Times New Roman" w:hAnsi="Times New Roman"/>
          <w:sz w:val="28"/>
          <w:szCs w:val="27"/>
        </w:rPr>
        <w:t>.</w:t>
      </w:r>
    </w:p>
    <w:p w:rsidR="00E54011" w:rsidRPr="00D93140" w:rsidRDefault="00D93140" w:rsidP="00E54011">
      <w:pPr>
        <w:rPr>
          <w:rFonts w:ascii="Times New Roman" w:hAnsi="Times New Roman"/>
          <w:sz w:val="28"/>
          <w:szCs w:val="27"/>
        </w:rPr>
      </w:pPr>
    </w:p>
    <w:p w:rsidR="00E54011" w:rsidRPr="00D93140" w:rsidRDefault="00D93140" w:rsidP="00E54011">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En c</w:t>
      </w:r>
      <w:r w:rsidRPr="00D93140">
        <w:rPr>
          <w:rFonts w:ascii="Times New Roman" w:hAnsi="Times New Roman"/>
          <w:sz w:val="28"/>
          <w:szCs w:val="27"/>
        </w:rPr>
        <w:t>uanto a los principios qu</w:t>
      </w:r>
      <w:r w:rsidRPr="00D93140">
        <w:rPr>
          <w:rFonts w:ascii="Times New Roman" w:hAnsi="Times New Roman"/>
          <w:sz w:val="28"/>
          <w:szCs w:val="27"/>
        </w:rPr>
        <w:t>e</w:t>
      </w:r>
      <w:r w:rsidRPr="00D93140">
        <w:rPr>
          <w:rFonts w:ascii="Times New Roman" w:hAnsi="Times New Roman"/>
          <w:sz w:val="28"/>
          <w:szCs w:val="27"/>
        </w:rPr>
        <w:t xml:space="preserve"> lo rigen, esta c</w:t>
      </w:r>
      <w:r w:rsidRPr="00D93140">
        <w:rPr>
          <w:rFonts w:ascii="Times New Roman" w:hAnsi="Times New Roman"/>
          <w:sz w:val="28"/>
          <w:szCs w:val="27"/>
        </w:rPr>
        <w:t xml:space="preserve">orporación ha señalado que </w:t>
      </w:r>
      <w:r w:rsidRPr="00D93140">
        <w:rPr>
          <w:rFonts w:ascii="Times New Roman" w:hAnsi="Times New Roman"/>
          <w:sz w:val="28"/>
          <w:szCs w:val="27"/>
        </w:rPr>
        <w:t xml:space="preserve">operan los principios que rigen en materia penal, </w:t>
      </w:r>
      <w:r w:rsidRPr="00D93140">
        <w:rPr>
          <w:rFonts w:ascii="Times New Roman" w:hAnsi="Times New Roman"/>
          <w:sz w:val="28"/>
          <w:szCs w:val="27"/>
        </w:rPr>
        <w:t xml:space="preserve">como los principios de legalidad, presunción de inocencia, proporcionalidad, razonabilidad, igualdad y responsabilidad por el acto </w:t>
      </w:r>
      <w:r w:rsidRPr="00D93140">
        <w:rPr>
          <w:rFonts w:ascii="Times New Roman" w:hAnsi="Times New Roman"/>
          <w:sz w:val="28"/>
          <w:szCs w:val="27"/>
        </w:rPr>
        <w:t xml:space="preserve">pero </w:t>
      </w:r>
      <w:r w:rsidRPr="00D93140">
        <w:rPr>
          <w:rFonts w:ascii="Times New Roman" w:hAnsi="Times New Roman"/>
          <w:sz w:val="28"/>
          <w:szCs w:val="27"/>
        </w:rPr>
        <w:t>con distintos alcances y matices, debido a las diferencias</w:t>
      </w:r>
      <w:r w:rsidRPr="00D93140">
        <w:rPr>
          <w:rFonts w:ascii="Times New Roman" w:hAnsi="Times New Roman"/>
          <w:sz w:val="28"/>
          <w:szCs w:val="27"/>
        </w:rPr>
        <w:t xml:space="preserve"> existentes entre ambos </w:t>
      </w:r>
      <w:r w:rsidRPr="00D93140">
        <w:rPr>
          <w:rFonts w:ascii="Times New Roman" w:hAnsi="Times New Roman"/>
          <w:sz w:val="28"/>
          <w:szCs w:val="27"/>
        </w:rPr>
        <w:t>regímenes sancionadores</w:t>
      </w:r>
      <w:r w:rsidRPr="00D93140">
        <w:rPr>
          <w:rFonts w:ascii="Times New Roman" w:hAnsi="Times New Roman"/>
          <w:sz w:val="28"/>
          <w:szCs w:val="27"/>
        </w:rPr>
        <w:t>.</w:t>
      </w:r>
      <w:r w:rsidRPr="00D93140">
        <w:rPr>
          <w:rFonts w:ascii="Times New Roman" w:hAnsi="Times New Roman"/>
          <w:sz w:val="28"/>
          <w:szCs w:val="27"/>
        </w:rPr>
        <w:t xml:space="preserve"> </w:t>
      </w:r>
      <w:r w:rsidRPr="00D93140">
        <w:rPr>
          <w:rFonts w:ascii="Times New Roman" w:hAnsi="Times New Roman"/>
          <w:sz w:val="28"/>
          <w:szCs w:val="27"/>
        </w:rPr>
        <w:t xml:space="preserve"> </w:t>
      </w:r>
    </w:p>
    <w:p w:rsidR="00E54011" w:rsidRPr="00D93140" w:rsidRDefault="00D93140" w:rsidP="00E54011">
      <w:pPr>
        <w:rPr>
          <w:rFonts w:ascii="Times New Roman" w:hAnsi="Times New Roman"/>
          <w:sz w:val="28"/>
          <w:szCs w:val="27"/>
        </w:rPr>
      </w:pPr>
    </w:p>
    <w:p w:rsidR="00A3448B" w:rsidRPr="00D93140" w:rsidRDefault="00D93140" w:rsidP="00A3448B">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 xml:space="preserve">En cuanto al principio de legalidad, </w:t>
      </w:r>
      <w:r w:rsidRPr="00D93140">
        <w:rPr>
          <w:rFonts w:ascii="Times New Roman" w:hAnsi="Times New Roman"/>
          <w:sz w:val="28"/>
          <w:szCs w:val="27"/>
        </w:rPr>
        <w:t xml:space="preserve">relevante para la solución del asunto sometido a estudio, </w:t>
      </w:r>
      <w:r w:rsidRPr="00D93140">
        <w:rPr>
          <w:rFonts w:ascii="Times New Roman" w:hAnsi="Times New Roman"/>
          <w:sz w:val="28"/>
          <w:szCs w:val="27"/>
        </w:rPr>
        <w:t xml:space="preserve">en la </w:t>
      </w:r>
      <w:r w:rsidRPr="00D93140">
        <w:rPr>
          <w:rFonts w:ascii="Times New Roman" w:hAnsi="Times New Roman"/>
          <w:sz w:val="28"/>
          <w:szCs w:val="27"/>
        </w:rPr>
        <w:t>Sentencia</w:t>
      </w:r>
      <w:r w:rsidRPr="00D93140">
        <w:rPr>
          <w:rFonts w:ascii="Times New Roman" w:hAnsi="Times New Roman"/>
          <w:sz w:val="28"/>
          <w:szCs w:val="27"/>
        </w:rPr>
        <w:t xml:space="preserve"> C-242 de 2010 la Corte explicó que </w:t>
      </w:r>
      <w:r w:rsidRPr="00D93140">
        <w:rPr>
          <w:rFonts w:ascii="Times New Roman" w:hAnsi="Times New Roman"/>
          <w:sz w:val="28"/>
          <w:szCs w:val="27"/>
        </w:rPr>
        <w:t>“se aplica de modo menos riguroso que en materia penal, por las particularidades propias de la normatividad sancionadora, por las consecuencias que se desprenden de su aplicación, de los fines que persiguen y de los efectos que producen sobre las personas.</w:t>
      </w:r>
      <w:r w:rsidRPr="00D93140">
        <w:rPr>
          <w:rFonts w:ascii="Times New Roman" w:hAnsi="Times New Roman"/>
          <w:sz w:val="28"/>
          <w:szCs w:val="27"/>
        </w:rPr>
        <w:t xml:space="preserve"> Desde esta perspectiva, el derecho administrativo sancionador suele contener normas con un grado más amplio de generalidad, lo que en sí mismo no implica un quebrantamiento del principio de legalidad si existe un marco de referencia que permita precisar l</w:t>
      </w:r>
      <w:r w:rsidRPr="00D93140">
        <w:rPr>
          <w:rFonts w:ascii="Times New Roman" w:hAnsi="Times New Roman"/>
          <w:sz w:val="28"/>
          <w:szCs w:val="27"/>
        </w:rPr>
        <w:t xml:space="preserve">a determinación de la infracción y la sanción en un asunto particular. Así, el derecho administrativo sancionador es compatible con la Carta Política si las normas que lo integran –así sean generales y denoten cierto grado de imprecisión– no dejan abierto </w:t>
      </w:r>
      <w:r w:rsidRPr="00D93140">
        <w:rPr>
          <w:rFonts w:ascii="Times New Roman" w:hAnsi="Times New Roman"/>
          <w:sz w:val="28"/>
          <w:szCs w:val="27"/>
        </w:rPr>
        <w:t>el campo para la arbitrariedad de la administración en la imposición de las sanciones o las penas”</w:t>
      </w:r>
      <w:r w:rsidRPr="00D93140">
        <w:rPr>
          <w:rFonts w:ascii="Times New Roman" w:hAnsi="Times New Roman"/>
          <w:sz w:val="28"/>
          <w:szCs w:val="27"/>
        </w:rPr>
        <w:t xml:space="preserve">. </w:t>
      </w:r>
    </w:p>
    <w:p w:rsidR="00A3448B" w:rsidRPr="00D93140" w:rsidRDefault="00D93140" w:rsidP="00A3448B">
      <w:pPr>
        <w:pStyle w:val="Prrafodelista"/>
        <w:rPr>
          <w:rFonts w:ascii="Times New Roman" w:hAnsi="Times New Roman"/>
          <w:sz w:val="28"/>
          <w:szCs w:val="27"/>
        </w:rPr>
      </w:pPr>
    </w:p>
    <w:p w:rsidR="00E54011" w:rsidRPr="00D93140" w:rsidRDefault="00D93140" w:rsidP="00A3448B">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 xml:space="preserve">Por lo tanto, la jurisprudencia ha sostenido que </w:t>
      </w:r>
      <w:r w:rsidRPr="00D93140">
        <w:rPr>
          <w:rFonts w:ascii="Times New Roman" w:hAnsi="Times New Roman"/>
          <w:sz w:val="28"/>
          <w:szCs w:val="27"/>
        </w:rPr>
        <w:t xml:space="preserve">se cumple el principio de legalidad en el ámbito del derecho administrativo sancionador cuando </w:t>
      </w:r>
      <w:r w:rsidRPr="00D93140">
        <w:rPr>
          <w:rFonts w:ascii="Times New Roman" w:hAnsi="Times New Roman"/>
          <w:sz w:val="28"/>
          <w:szCs w:val="27"/>
        </w:rPr>
        <w:t>“</w:t>
      </w:r>
      <w:r w:rsidRPr="00D93140">
        <w:rPr>
          <w:rFonts w:ascii="Times New Roman" w:hAnsi="Times New Roman"/>
          <w:sz w:val="28"/>
          <w:szCs w:val="27"/>
        </w:rPr>
        <w:t>se establ</w:t>
      </w:r>
      <w:r w:rsidRPr="00D93140">
        <w:rPr>
          <w:rFonts w:ascii="Times New Roman" w:hAnsi="Times New Roman"/>
          <w:sz w:val="28"/>
          <w:szCs w:val="27"/>
        </w:rPr>
        <w:t>ecen (i) los elementos básicos de la conducta típica que será sancionada; (ii) las remisiones normativas precisas cuando haya previsto un tipo en blanco o los criterios por medio de los cuales se pueda determinar la claridad de la conducta, y (iii) la sanc</w:t>
      </w:r>
      <w:r w:rsidRPr="00D93140">
        <w:rPr>
          <w:rFonts w:ascii="Times New Roman" w:hAnsi="Times New Roman"/>
          <w:sz w:val="28"/>
          <w:szCs w:val="27"/>
        </w:rPr>
        <w:t>ión que será impuesta o los criterios para determinarla con claridad</w:t>
      </w:r>
      <w:r w:rsidRPr="00D93140">
        <w:rPr>
          <w:rFonts w:ascii="Times New Roman" w:hAnsi="Times New Roman"/>
          <w:sz w:val="28"/>
          <w:szCs w:val="27"/>
        </w:rPr>
        <w:t>”</w:t>
      </w:r>
      <w:r w:rsidRPr="00D93140">
        <w:rPr>
          <w:rStyle w:val="Refdenotaalpie"/>
          <w:rFonts w:ascii="Times New Roman" w:hAnsi="Times New Roman"/>
          <w:sz w:val="28"/>
          <w:szCs w:val="27"/>
        </w:rPr>
        <w:footnoteReference w:id="94"/>
      </w:r>
      <w:r w:rsidRPr="00D93140">
        <w:rPr>
          <w:rFonts w:ascii="Times New Roman" w:hAnsi="Times New Roman"/>
          <w:sz w:val="28"/>
          <w:szCs w:val="27"/>
        </w:rPr>
        <w:t>.</w:t>
      </w:r>
    </w:p>
    <w:p w:rsidR="00A3448B" w:rsidRPr="00D93140" w:rsidRDefault="00D93140" w:rsidP="00A3448B">
      <w:pPr>
        <w:pStyle w:val="Prrafodelista"/>
        <w:rPr>
          <w:rFonts w:ascii="Times New Roman" w:hAnsi="Times New Roman"/>
          <w:sz w:val="28"/>
          <w:szCs w:val="27"/>
        </w:rPr>
      </w:pPr>
    </w:p>
    <w:p w:rsidR="00423F72" w:rsidRPr="00D93140" w:rsidRDefault="00D93140" w:rsidP="005043B9">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Por su parte</w:t>
      </w:r>
      <w:r w:rsidRPr="00D93140">
        <w:rPr>
          <w:rFonts w:ascii="Times New Roman" w:hAnsi="Times New Roman"/>
          <w:sz w:val="28"/>
          <w:szCs w:val="27"/>
        </w:rPr>
        <w:t xml:space="preserve"> el principio de tipicidad en el derecho administrativo sancionador se manifiesta en que la forma típica puede tener un carácter determinable y no necesariamente determina</w:t>
      </w:r>
      <w:r w:rsidRPr="00D93140">
        <w:rPr>
          <w:rFonts w:ascii="Times New Roman" w:hAnsi="Times New Roman"/>
          <w:sz w:val="28"/>
          <w:szCs w:val="27"/>
        </w:rPr>
        <w:t>do, siempre que se establezcan en el ordenamiento jurídico criterios objetivos que permitan razonablemente concretar la hipótesis normativa</w:t>
      </w:r>
      <w:r w:rsidRPr="00D93140">
        <w:rPr>
          <w:rStyle w:val="Refdenotaalpie"/>
          <w:rFonts w:ascii="Times New Roman" w:hAnsi="Times New Roman"/>
          <w:sz w:val="28"/>
          <w:szCs w:val="27"/>
        </w:rPr>
        <w:footnoteReference w:id="95"/>
      </w:r>
      <w:r w:rsidRPr="00D93140">
        <w:rPr>
          <w:rFonts w:ascii="Times New Roman" w:hAnsi="Times New Roman"/>
          <w:sz w:val="28"/>
          <w:szCs w:val="27"/>
        </w:rPr>
        <w:t>.</w:t>
      </w:r>
      <w:r w:rsidRPr="00D93140">
        <w:rPr>
          <w:rFonts w:ascii="Times New Roman" w:hAnsi="Times New Roman"/>
          <w:sz w:val="28"/>
          <w:szCs w:val="27"/>
        </w:rPr>
        <w:t xml:space="preserve"> De esta manera, para que se cumpla con el principio de tipicidad, deben concurrir los siguientes elementos: “</w:t>
      </w:r>
      <w:r w:rsidRPr="00D93140">
        <w:rPr>
          <w:rFonts w:ascii="Times New Roman" w:hAnsi="Times New Roman"/>
          <w:sz w:val="28"/>
          <w:szCs w:val="27"/>
        </w:rPr>
        <w:t xml:space="preserve">(i) </w:t>
      </w:r>
      <w:r w:rsidRPr="00D93140">
        <w:rPr>
          <w:rFonts w:ascii="Times New Roman" w:hAnsi="Times New Roman"/>
          <w:sz w:val="28"/>
          <w:szCs w:val="27"/>
        </w:rPr>
        <w:t xml:space="preserve">que la conducta sancionable esté descrita de manera específica y precisa, bien porque la misma esté determinada en el mismo cuerpo normativo o sea determinable a partir de la aplicación de otras normas jurídicas; (ii) que exista una sanción cuyo contenido </w:t>
      </w:r>
      <w:r w:rsidRPr="00D93140">
        <w:rPr>
          <w:rFonts w:ascii="Times New Roman" w:hAnsi="Times New Roman"/>
          <w:sz w:val="28"/>
          <w:szCs w:val="27"/>
        </w:rPr>
        <w:t>material esté definido en la ley, y (iii) que exista correlación entre la conducta y la sanción</w:t>
      </w:r>
      <w:r w:rsidRPr="00D93140">
        <w:rPr>
          <w:rFonts w:ascii="Times New Roman" w:hAnsi="Times New Roman"/>
          <w:sz w:val="28"/>
          <w:szCs w:val="27"/>
        </w:rPr>
        <w:t>”</w:t>
      </w:r>
      <w:r w:rsidRPr="00D93140">
        <w:rPr>
          <w:rStyle w:val="Refdenotaalpie"/>
          <w:rFonts w:ascii="Times New Roman" w:hAnsi="Times New Roman"/>
          <w:sz w:val="28"/>
          <w:szCs w:val="27"/>
        </w:rPr>
        <w:footnoteReference w:id="96"/>
      </w:r>
      <w:r w:rsidRPr="00D93140">
        <w:rPr>
          <w:rFonts w:ascii="Times New Roman" w:hAnsi="Times New Roman"/>
          <w:sz w:val="28"/>
          <w:szCs w:val="27"/>
        </w:rPr>
        <w:t>.</w:t>
      </w:r>
    </w:p>
    <w:p w:rsidR="00423F72" w:rsidRPr="00D93140" w:rsidRDefault="00D93140" w:rsidP="00423F72">
      <w:pPr>
        <w:pStyle w:val="Prrafodelista"/>
        <w:rPr>
          <w:rFonts w:ascii="Times New Roman" w:hAnsi="Times New Roman"/>
          <w:sz w:val="28"/>
          <w:szCs w:val="27"/>
        </w:rPr>
      </w:pPr>
    </w:p>
    <w:p w:rsidR="00A51A54" w:rsidRPr="00D93140" w:rsidRDefault="00D93140" w:rsidP="00A51A54">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 xml:space="preserve">En este contexto, se permite el uso “de </w:t>
      </w:r>
      <w:r w:rsidRPr="00D93140">
        <w:rPr>
          <w:rFonts w:ascii="Times New Roman" w:hAnsi="Times New Roman"/>
          <w:sz w:val="28"/>
          <w:szCs w:val="27"/>
        </w:rPr>
        <w:t xml:space="preserve">conceptos jurídicos indeterminados y de tipos en blanco, siempre y cuando sean determinables de forma razonable en </w:t>
      </w:r>
      <w:r w:rsidRPr="00D93140">
        <w:rPr>
          <w:rFonts w:ascii="Times New Roman" w:hAnsi="Times New Roman"/>
          <w:sz w:val="28"/>
          <w:szCs w:val="27"/>
        </w:rPr>
        <w:t>virtud de remisiones normativas a otras leyes o a los reglamentos, o de criterios técnicos que señalen con precisión los comportamientos prohibidos y sancionados</w:t>
      </w:r>
      <w:r w:rsidRPr="00D93140">
        <w:rPr>
          <w:rFonts w:ascii="Times New Roman" w:hAnsi="Times New Roman"/>
          <w:sz w:val="28"/>
          <w:szCs w:val="27"/>
        </w:rPr>
        <w:t>”</w:t>
      </w:r>
      <w:r w:rsidRPr="00D93140">
        <w:rPr>
          <w:rStyle w:val="Refdenotaalpie"/>
          <w:rFonts w:ascii="Times New Roman" w:hAnsi="Times New Roman"/>
          <w:sz w:val="28"/>
          <w:szCs w:val="27"/>
        </w:rPr>
        <w:footnoteReference w:id="97"/>
      </w:r>
      <w:r w:rsidRPr="00D93140">
        <w:rPr>
          <w:rFonts w:ascii="Times New Roman" w:hAnsi="Times New Roman"/>
          <w:sz w:val="28"/>
          <w:szCs w:val="27"/>
        </w:rPr>
        <w:t>.</w:t>
      </w:r>
    </w:p>
    <w:p w:rsidR="00A51A54" w:rsidRPr="00D93140" w:rsidRDefault="00D93140" w:rsidP="00A51A54">
      <w:pPr>
        <w:pStyle w:val="Prrafodelista"/>
        <w:rPr>
          <w:rFonts w:ascii="Times New Roman" w:hAnsi="Times New Roman"/>
          <w:sz w:val="28"/>
          <w:szCs w:val="27"/>
        </w:rPr>
      </w:pPr>
    </w:p>
    <w:p w:rsidR="005B0CD2" w:rsidRPr="00D93140" w:rsidRDefault="00D93140" w:rsidP="00A51A54">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sz w:val="28"/>
          <w:szCs w:val="27"/>
        </w:rPr>
        <w:t xml:space="preserve">Ahora bien, el régimen sancionatorio ambiental contenido en la Ley 1333 de 2009, </w:t>
      </w:r>
      <w:r w:rsidRPr="00D93140">
        <w:rPr>
          <w:rFonts w:ascii="Times New Roman" w:hAnsi="Times New Roman"/>
          <w:sz w:val="28"/>
          <w:szCs w:val="27"/>
        </w:rPr>
        <w:t xml:space="preserve">refiere </w:t>
      </w:r>
      <w:r w:rsidRPr="00D93140">
        <w:rPr>
          <w:rFonts w:ascii="Times New Roman" w:hAnsi="Times New Roman"/>
          <w:sz w:val="28"/>
          <w:szCs w:val="27"/>
        </w:rPr>
        <w:t>t</w:t>
      </w:r>
      <w:r w:rsidRPr="00D93140">
        <w:rPr>
          <w:rFonts w:ascii="Times New Roman" w:hAnsi="Times New Roman"/>
          <w:sz w:val="28"/>
          <w:szCs w:val="27"/>
        </w:rPr>
        <w:t xml:space="preserve">res tipos de medidas: las preventivas, las sancionatorias y las compensatorias. </w:t>
      </w:r>
      <w:r w:rsidRPr="00D93140">
        <w:rPr>
          <w:rFonts w:ascii="Times New Roman" w:hAnsi="Times New Roman"/>
          <w:sz w:val="28"/>
          <w:szCs w:val="27"/>
        </w:rPr>
        <w:t xml:space="preserve">En cuanto a las </w:t>
      </w:r>
      <w:r w:rsidRPr="00D93140">
        <w:rPr>
          <w:rFonts w:ascii="Times New Roman" w:hAnsi="Times New Roman"/>
          <w:sz w:val="28"/>
          <w:szCs w:val="27"/>
        </w:rPr>
        <w:t xml:space="preserve">medidas preventivas </w:t>
      </w:r>
      <w:r w:rsidRPr="00D93140">
        <w:rPr>
          <w:rFonts w:ascii="Times New Roman" w:hAnsi="Times New Roman"/>
          <w:sz w:val="28"/>
          <w:szCs w:val="27"/>
        </w:rPr>
        <w:t>y las</w:t>
      </w:r>
      <w:r w:rsidRPr="00D93140">
        <w:rPr>
          <w:rFonts w:ascii="Times New Roman" w:hAnsi="Times New Roman"/>
          <w:sz w:val="28"/>
          <w:szCs w:val="27"/>
        </w:rPr>
        <w:t xml:space="preserve"> compensatorias, </w:t>
      </w:r>
      <w:r w:rsidRPr="00D93140">
        <w:rPr>
          <w:rFonts w:ascii="Times New Roman" w:hAnsi="Times New Roman"/>
          <w:sz w:val="28"/>
          <w:szCs w:val="27"/>
        </w:rPr>
        <w:t>la Corte ha sostenido que no tienen una naturaleza sancionatoria</w:t>
      </w:r>
      <w:r w:rsidRPr="00D93140">
        <w:rPr>
          <w:rFonts w:ascii="Times New Roman" w:hAnsi="Times New Roman"/>
          <w:sz w:val="28"/>
          <w:szCs w:val="27"/>
        </w:rPr>
        <w:t>.</w:t>
      </w:r>
      <w:r w:rsidRPr="00D93140">
        <w:rPr>
          <w:rFonts w:ascii="Times New Roman" w:hAnsi="Times New Roman"/>
          <w:sz w:val="28"/>
          <w:szCs w:val="27"/>
        </w:rPr>
        <w:t xml:space="preserve"> En la </w:t>
      </w:r>
      <w:r w:rsidRPr="00D93140">
        <w:rPr>
          <w:rFonts w:ascii="Times New Roman" w:hAnsi="Times New Roman"/>
          <w:sz w:val="28"/>
          <w:szCs w:val="27"/>
        </w:rPr>
        <w:t>Sentencia</w:t>
      </w:r>
      <w:r w:rsidRPr="00D93140">
        <w:rPr>
          <w:rFonts w:ascii="Times New Roman" w:hAnsi="Times New Roman"/>
          <w:sz w:val="28"/>
          <w:szCs w:val="27"/>
        </w:rPr>
        <w:t xml:space="preserve"> C-632 de 2011 este Tribunal señaló a</w:t>
      </w:r>
      <w:r w:rsidRPr="00D93140">
        <w:rPr>
          <w:rFonts w:ascii="Times New Roman" w:hAnsi="Times New Roman"/>
          <w:sz w:val="28"/>
          <w:szCs w:val="27"/>
        </w:rPr>
        <w:t>l respecto:</w:t>
      </w:r>
    </w:p>
    <w:p w:rsidR="005B0CD2" w:rsidRPr="00D93140" w:rsidRDefault="00D93140" w:rsidP="005B0CD2">
      <w:pPr>
        <w:pStyle w:val="Prrafodelista"/>
        <w:rPr>
          <w:rFonts w:ascii="Times New Roman" w:hAnsi="Times New Roman"/>
          <w:sz w:val="28"/>
          <w:szCs w:val="27"/>
        </w:rPr>
      </w:pPr>
    </w:p>
    <w:p w:rsidR="00A51A54" w:rsidRPr="00D93140" w:rsidRDefault="00D93140" w:rsidP="005B0CD2">
      <w:pPr>
        <w:pStyle w:val="Prrafodelista"/>
        <w:shd w:val="clear" w:color="auto" w:fill="FFFFFF"/>
        <w:ind w:left="708"/>
        <w:jc w:val="both"/>
        <w:textAlignment w:val="baseline"/>
        <w:rPr>
          <w:rFonts w:ascii="Times New Roman" w:hAnsi="Times New Roman"/>
          <w:sz w:val="28"/>
          <w:szCs w:val="24"/>
        </w:rPr>
      </w:pPr>
      <w:r w:rsidRPr="00D93140">
        <w:rPr>
          <w:rFonts w:ascii="Times New Roman" w:hAnsi="Times New Roman"/>
          <w:color w:val="2D2D2D"/>
          <w:sz w:val="28"/>
          <w:szCs w:val="24"/>
          <w:shd w:val="clear" w:color="auto" w:fill="FFFFFF"/>
        </w:rPr>
        <w:t>“(…) las medidas preventivas encuentran fundamento en los principios de </w:t>
      </w:r>
      <w:r w:rsidRPr="00D93140">
        <w:rPr>
          <w:rFonts w:ascii="Times New Roman" w:hAnsi="Times New Roman"/>
          <w:i/>
          <w:iCs/>
          <w:color w:val="2D2D2D"/>
          <w:sz w:val="28"/>
          <w:szCs w:val="24"/>
          <w:shd w:val="clear" w:color="auto" w:fill="FFFFFF"/>
        </w:rPr>
        <w:t>“prevención”</w:t>
      </w:r>
      <w:r w:rsidRPr="00D93140">
        <w:rPr>
          <w:rFonts w:ascii="Times New Roman" w:hAnsi="Times New Roman"/>
          <w:color w:val="2D2D2D"/>
          <w:sz w:val="28"/>
          <w:szCs w:val="24"/>
          <w:shd w:val="clear" w:color="auto" w:fill="FFFFFF"/>
        </w:rPr>
        <w:t> y de </w:t>
      </w:r>
      <w:r w:rsidRPr="00D93140">
        <w:rPr>
          <w:rFonts w:ascii="Times New Roman" w:hAnsi="Times New Roman"/>
          <w:i/>
          <w:iCs/>
          <w:color w:val="2D2D2D"/>
          <w:sz w:val="28"/>
          <w:szCs w:val="24"/>
          <w:shd w:val="clear" w:color="auto" w:fill="FFFFFF"/>
        </w:rPr>
        <w:t>“precaución”</w:t>
      </w:r>
      <w:r w:rsidRPr="00D93140">
        <w:rPr>
          <w:rFonts w:ascii="Times New Roman" w:hAnsi="Times New Roman"/>
          <w:color w:val="2D2D2D"/>
          <w:sz w:val="28"/>
          <w:szCs w:val="24"/>
          <w:shd w:val="clear" w:color="auto" w:fill="FFFFFF"/>
        </w:rPr>
        <w:t>, propios del derecho internacional y recogidos por nuestra legislación interna, en virtud de los cuales se pretende que las autoridades ambientales adopten medidas anticipadas para conjurar un hecho o situación que afecte el medio ambiente o genere un rie</w:t>
      </w:r>
      <w:r w:rsidRPr="00D93140">
        <w:rPr>
          <w:rFonts w:ascii="Times New Roman" w:hAnsi="Times New Roman"/>
          <w:color w:val="2D2D2D"/>
          <w:sz w:val="28"/>
          <w:szCs w:val="24"/>
          <w:shd w:val="clear" w:color="auto" w:fill="FFFFFF"/>
        </w:rPr>
        <w:t>sgo grave que se debe prevenir. Conforme con ello, la Corte definió las medidas preventivas como aquellas que “responden a un hecho, situación o riesgo que, según el caso y de acuerdo con la valoración de la autoridad competente, afecte o amenace afectar e</w:t>
      </w:r>
      <w:r w:rsidRPr="00D93140">
        <w:rPr>
          <w:rFonts w:ascii="Times New Roman" w:hAnsi="Times New Roman"/>
          <w:color w:val="2D2D2D"/>
          <w:sz w:val="28"/>
          <w:szCs w:val="24"/>
          <w:shd w:val="clear" w:color="auto" w:fill="FFFFFF"/>
        </w:rPr>
        <w:t>l medio ambiente y que, como su nombre lo indica, su propósito consiste en concretar una primera y urgente respuesta ante la situación o el hecho de que se trate, para precaver la eventual ocurrencia de un daño irreversible o de muy difícil o costoso trata</w:t>
      </w:r>
      <w:r w:rsidRPr="00D93140">
        <w:rPr>
          <w:rFonts w:ascii="Times New Roman" w:hAnsi="Times New Roman"/>
          <w:color w:val="2D2D2D"/>
          <w:sz w:val="28"/>
          <w:szCs w:val="24"/>
          <w:shd w:val="clear" w:color="auto" w:fill="FFFFFF"/>
        </w:rPr>
        <w:t>miento que podría generarse si no se interviene oportunamente o para hacer cesar la actividad o situación causante de la afectación previamente valorada por la autoridad ambiental que adopta la medida”.</w:t>
      </w:r>
      <w:r w:rsidRPr="00D93140">
        <w:rPr>
          <w:rFonts w:ascii="Times New Roman" w:hAnsi="Times New Roman"/>
          <w:sz w:val="28"/>
          <w:szCs w:val="24"/>
        </w:rPr>
        <w:t xml:space="preserve"> </w:t>
      </w:r>
    </w:p>
    <w:p w:rsidR="005B0CD2" w:rsidRPr="00D93140" w:rsidRDefault="00D93140" w:rsidP="005B0CD2">
      <w:pPr>
        <w:shd w:val="clear" w:color="auto" w:fill="FFFFFF"/>
        <w:ind w:left="708"/>
        <w:jc w:val="both"/>
        <w:textAlignment w:val="baseline"/>
        <w:rPr>
          <w:rFonts w:ascii="Times New Roman" w:hAnsi="Times New Roman"/>
          <w:sz w:val="28"/>
          <w:szCs w:val="24"/>
        </w:rPr>
      </w:pPr>
    </w:p>
    <w:p w:rsidR="005B0CD2" w:rsidRPr="00D93140" w:rsidRDefault="00D93140" w:rsidP="005B0CD2">
      <w:pPr>
        <w:shd w:val="clear" w:color="auto" w:fill="FFFFFF"/>
        <w:ind w:left="708"/>
        <w:jc w:val="both"/>
        <w:textAlignment w:val="baseline"/>
        <w:rPr>
          <w:rFonts w:ascii="Times New Roman" w:hAnsi="Times New Roman"/>
          <w:sz w:val="28"/>
          <w:szCs w:val="24"/>
        </w:rPr>
      </w:pPr>
      <w:r w:rsidRPr="00D93140">
        <w:rPr>
          <w:rFonts w:ascii="Times New Roman" w:hAnsi="Times New Roman"/>
          <w:sz w:val="28"/>
          <w:szCs w:val="24"/>
        </w:rPr>
        <w:t xml:space="preserve">(…) </w:t>
      </w:r>
      <w:r w:rsidRPr="00D93140">
        <w:rPr>
          <w:rFonts w:ascii="Times New Roman" w:hAnsi="Times New Roman"/>
          <w:sz w:val="28"/>
          <w:szCs w:val="24"/>
        </w:rPr>
        <w:t>por medidas compensatorias se entiende el conju</w:t>
      </w:r>
      <w:r w:rsidRPr="00D93140">
        <w:rPr>
          <w:rFonts w:ascii="Times New Roman" w:hAnsi="Times New Roman"/>
          <w:sz w:val="28"/>
          <w:szCs w:val="24"/>
        </w:rPr>
        <w:t>nto de acciones ordenadas por la autoridad ambiental competente, dirigidas a lograr la recuperación, rehabilitación o restauración de los sistemas ecológicos que han sido degradados, dañados o destruidos como consecuencia de una infracción ambiental, y que</w:t>
      </w:r>
      <w:r w:rsidRPr="00D93140">
        <w:rPr>
          <w:rFonts w:ascii="Times New Roman" w:hAnsi="Times New Roman"/>
          <w:sz w:val="28"/>
          <w:szCs w:val="24"/>
        </w:rPr>
        <w:t xml:space="preserve"> le corresponde adelantar al infractor una vez ha quedado establecida su responsabilidad. En ese sentido, las medidas compensatorias están enfocadas directamente a la protección de la naturaleza, en cuanto buscan el retorno de los recursos naturales o el a</w:t>
      </w:r>
      <w:r w:rsidRPr="00D93140">
        <w:rPr>
          <w:rFonts w:ascii="Times New Roman" w:hAnsi="Times New Roman"/>
          <w:sz w:val="28"/>
          <w:szCs w:val="24"/>
        </w:rPr>
        <w:t>mbiente a la situación previa al impacto ambiental, o en su defecto, a lograr que tales bienes o su entorno sean mejorados o recuperados sustancialmente.</w:t>
      </w:r>
    </w:p>
    <w:p w:rsidR="005B0CD2" w:rsidRPr="00D93140" w:rsidRDefault="00D93140" w:rsidP="00A51A54">
      <w:pPr>
        <w:shd w:val="clear" w:color="auto" w:fill="FFFFFF"/>
        <w:jc w:val="both"/>
        <w:textAlignment w:val="baseline"/>
        <w:rPr>
          <w:rFonts w:ascii="Times New Roman" w:hAnsi="Times New Roman"/>
          <w:sz w:val="28"/>
          <w:szCs w:val="27"/>
        </w:rPr>
      </w:pPr>
    </w:p>
    <w:p w:rsidR="00651E4C" w:rsidRPr="00D93140" w:rsidRDefault="00D93140" w:rsidP="0072294A">
      <w:pPr>
        <w:pStyle w:val="Prrafodelista"/>
        <w:numPr>
          <w:ilvl w:val="0"/>
          <w:numId w:val="1"/>
        </w:numPr>
        <w:shd w:val="clear" w:color="auto" w:fill="FFFFFF"/>
        <w:ind w:left="0" w:firstLine="0"/>
        <w:jc w:val="both"/>
        <w:textAlignment w:val="baseline"/>
        <w:rPr>
          <w:rFonts w:ascii="Times New Roman" w:hAnsi="Times New Roman"/>
          <w:sz w:val="28"/>
          <w:szCs w:val="27"/>
        </w:rPr>
      </w:pPr>
      <w:r w:rsidRPr="00D93140">
        <w:rPr>
          <w:rFonts w:ascii="Times New Roman" w:hAnsi="Times New Roman"/>
          <w:color w:val="2D2D2D"/>
          <w:sz w:val="28"/>
          <w:szCs w:val="27"/>
          <w:shd w:val="clear" w:color="auto" w:fill="FFFFFF"/>
        </w:rPr>
        <w:t xml:space="preserve">Así las cosas, </w:t>
      </w:r>
      <w:r w:rsidRPr="00D93140">
        <w:rPr>
          <w:rFonts w:ascii="Times New Roman" w:hAnsi="Times New Roman"/>
          <w:color w:val="2D2D2D"/>
          <w:sz w:val="28"/>
          <w:szCs w:val="27"/>
          <w:shd w:val="clear" w:color="auto" w:fill="FFFFFF"/>
        </w:rPr>
        <w:t>en ejercicio del ius puniendi del Estado y con el respeto de</w:t>
      </w:r>
      <w:r w:rsidRPr="00D93140">
        <w:rPr>
          <w:rFonts w:ascii="Times New Roman" w:hAnsi="Times New Roman"/>
          <w:color w:val="2D2D2D"/>
          <w:sz w:val="28"/>
          <w:szCs w:val="27"/>
          <w:shd w:val="clear" w:color="auto" w:fill="FFFFFF"/>
        </w:rPr>
        <w:t xml:space="preserve"> </w:t>
      </w:r>
      <w:r w:rsidRPr="00D93140">
        <w:rPr>
          <w:rFonts w:ascii="Times New Roman" w:hAnsi="Times New Roman"/>
          <w:color w:val="2D2D2D"/>
          <w:sz w:val="28"/>
          <w:szCs w:val="27"/>
          <w:shd w:val="clear" w:color="auto" w:fill="FFFFFF"/>
        </w:rPr>
        <w:t>las garantías procesales, las autoridades administrativas se encuentran plenamente habilitadas para adoptar medidas represivas, contra los administrados y contra los mismos servidores públicos, cuando aquellos adopten conductas que resulten contrarias al o</w:t>
      </w:r>
      <w:r w:rsidRPr="00D93140">
        <w:rPr>
          <w:rFonts w:ascii="Times New Roman" w:hAnsi="Times New Roman"/>
          <w:color w:val="2D2D2D"/>
          <w:sz w:val="28"/>
          <w:szCs w:val="27"/>
          <w:shd w:val="clear" w:color="auto" w:fill="FFFFFF"/>
        </w:rPr>
        <w:t xml:space="preserve">rden jurídico preestablecido. Esta </w:t>
      </w:r>
      <w:r w:rsidRPr="00D93140">
        <w:rPr>
          <w:rFonts w:ascii="Times New Roman" w:hAnsi="Times New Roman"/>
          <w:color w:val="2D2D2D"/>
          <w:sz w:val="28"/>
          <w:szCs w:val="27"/>
          <w:shd w:val="clear" w:color="auto" w:fill="FFFFFF"/>
        </w:rPr>
        <w:t>potestad sancionadora de la administración hace parte de un amplísimo género, dentro del cual también está comprendido</w:t>
      </w:r>
      <w:r w:rsidRPr="00D93140">
        <w:rPr>
          <w:rFonts w:ascii="Times New Roman" w:hAnsi="Times New Roman"/>
          <w:color w:val="2D2D2D"/>
          <w:sz w:val="28"/>
          <w:szCs w:val="27"/>
          <w:shd w:val="clear" w:color="auto" w:fill="FFFFFF"/>
        </w:rPr>
        <w:t xml:space="preserve"> </w:t>
      </w:r>
      <w:r w:rsidRPr="00D93140">
        <w:rPr>
          <w:rFonts w:ascii="Times New Roman" w:hAnsi="Times New Roman"/>
          <w:color w:val="2D2D2D"/>
          <w:sz w:val="28"/>
          <w:szCs w:val="27"/>
          <w:shd w:val="clear" w:color="auto" w:fill="FFFFFF"/>
        </w:rPr>
        <w:t xml:space="preserve">el derecho penal, cuya influencia </w:t>
      </w:r>
      <w:r w:rsidRPr="00D93140">
        <w:rPr>
          <w:rFonts w:ascii="Times New Roman" w:hAnsi="Times New Roman"/>
          <w:color w:val="2D2D2D"/>
          <w:sz w:val="28"/>
          <w:szCs w:val="27"/>
          <w:shd w:val="clear" w:color="auto" w:fill="FFFFFF"/>
        </w:rPr>
        <w:t>es evidente. Así mismo, aunque rigen los mismos principios rectores,</w:t>
      </w:r>
      <w:r w:rsidRPr="00D93140">
        <w:rPr>
          <w:rFonts w:ascii="Times New Roman" w:hAnsi="Times New Roman"/>
          <w:color w:val="2D2D2D"/>
          <w:sz w:val="28"/>
          <w:szCs w:val="27"/>
          <w:shd w:val="clear" w:color="auto" w:fill="FFFFFF"/>
        </w:rPr>
        <w:t xml:space="preserve"> los mismos operan de forma más flexible</w:t>
      </w:r>
      <w:r w:rsidRPr="00D93140">
        <w:rPr>
          <w:rFonts w:ascii="Times New Roman" w:hAnsi="Times New Roman"/>
          <w:sz w:val="28"/>
          <w:szCs w:val="27"/>
        </w:rPr>
        <w:t xml:space="preserve">, debido a las diferencias existentes entre ambos regímenes sancionadores. </w:t>
      </w:r>
      <w:r w:rsidRPr="00D93140">
        <w:rPr>
          <w:rFonts w:ascii="Times New Roman" w:hAnsi="Times New Roman"/>
          <w:sz w:val="28"/>
          <w:szCs w:val="27"/>
        </w:rPr>
        <w:t>Finalmente, debe recordarse que la naturaleza jurídica de las medidas adoptadas en materia ambiental, está determinada por la finalidad perse</w:t>
      </w:r>
      <w:r w:rsidRPr="00D93140">
        <w:rPr>
          <w:rFonts w:ascii="Times New Roman" w:hAnsi="Times New Roman"/>
          <w:sz w:val="28"/>
          <w:szCs w:val="27"/>
        </w:rPr>
        <w:t>guida con las mismas y no por su gravedad o nivel de intensidad, ni por las consecuencias que de ellas se pudieran derivar.</w:t>
      </w:r>
    </w:p>
    <w:p w:rsidR="00651E4C" w:rsidRPr="00D93140" w:rsidRDefault="00D93140" w:rsidP="00E04174">
      <w:pPr>
        <w:pStyle w:val="Prrafodelista"/>
        <w:shd w:val="clear" w:color="auto" w:fill="FFFFFF"/>
        <w:ind w:left="0"/>
        <w:jc w:val="both"/>
        <w:textAlignment w:val="baseline"/>
        <w:rPr>
          <w:rFonts w:ascii="Times New Roman" w:hAnsi="Times New Roman"/>
          <w:sz w:val="28"/>
          <w:szCs w:val="27"/>
        </w:rPr>
      </w:pPr>
    </w:p>
    <w:p w:rsidR="003A7821" w:rsidRPr="00D93140" w:rsidRDefault="00D93140" w:rsidP="001C7D85">
      <w:pPr>
        <w:pStyle w:val="Ttulo3"/>
        <w:rPr>
          <w:rFonts w:ascii="Times New Roman" w:hAnsi="Times New Roman"/>
          <w:sz w:val="28"/>
          <w:szCs w:val="27"/>
        </w:rPr>
      </w:pPr>
      <w:bookmarkStart w:id="20" w:name="_Toc215735438"/>
      <w:r w:rsidRPr="00D93140">
        <w:rPr>
          <w:rFonts w:ascii="Times New Roman" w:hAnsi="Times New Roman"/>
          <w:color w:val="2D2D2D"/>
          <w:sz w:val="28"/>
        </w:rPr>
        <w:t xml:space="preserve">5. </w:t>
      </w:r>
      <w:r w:rsidRPr="00D93140">
        <w:rPr>
          <w:rFonts w:ascii="Times New Roman" w:hAnsi="Times New Roman"/>
          <w:color w:val="2D2D2D"/>
          <w:sz w:val="28"/>
        </w:rPr>
        <w:t>A</w:t>
      </w:r>
      <w:r w:rsidRPr="00D93140">
        <w:rPr>
          <w:rFonts w:ascii="Times New Roman" w:hAnsi="Times New Roman"/>
          <w:sz w:val="28"/>
        </w:rPr>
        <w:t>nálisis de los problemas jurídicos</w:t>
      </w:r>
      <w:bookmarkEnd w:id="20"/>
      <w:r w:rsidRPr="00D93140">
        <w:rPr>
          <w:rFonts w:ascii="Times New Roman" w:hAnsi="Times New Roman"/>
          <w:sz w:val="28"/>
        </w:rPr>
        <w:t xml:space="preserve"> </w:t>
      </w:r>
    </w:p>
    <w:p w:rsidR="003A7821" w:rsidRPr="00D93140" w:rsidRDefault="00D93140" w:rsidP="00E04174">
      <w:pPr>
        <w:tabs>
          <w:tab w:val="left" w:pos="567"/>
        </w:tabs>
        <w:contextualSpacing/>
        <w:jc w:val="both"/>
        <w:rPr>
          <w:rFonts w:ascii="Times New Roman" w:hAnsi="Times New Roman"/>
          <w:b/>
          <w:bCs/>
          <w:sz w:val="28"/>
          <w:szCs w:val="28"/>
        </w:rPr>
      </w:pPr>
    </w:p>
    <w:p w:rsidR="00F20CCC" w:rsidRPr="00D93140" w:rsidRDefault="00D93140" w:rsidP="007E084C">
      <w:pPr>
        <w:pStyle w:val="Ttulo4"/>
        <w:rPr>
          <w:rFonts w:ascii="Times New Roman" w:hAnsi="Times New Roman"/>
          <w:sz w:val="28"/>
          <w:lang w:eastAsia="es-MX"/>
        </w:rPr>
      </w:pPr>
      <w:r w:rsidRPr="00D93140">
        <w:rPr>
          <w:rFonts w:ascii="Times New Roman" w:hAnsi="Times New Roman"/>
          <w:sz w:val="28"/>
          <w:u w:color="000000"/>
          <w:bdr w:val="nil"/>
        </w:rPr>
        <w:t>5</w:t>
      </w:r>
      <w:r w:rsidRPr="00D93140">
        <w:rPr>
          <w:rFonts w:ascii="Times New Roman" w:hAnsi="Times New Roman"/>
          <w:sz w:val="28"/>
          <w:u w:color="000000"/>
          <w:bdr w:val="nil"/>
        </w:rPr>
        <w:t>.</w:t>
      </w:r>
      <w:r w:rsidRPr="00D93140">
        <w:rPr>
          <w:rFonts w:ascii="Times New Roman" w:hAnsi="Times New Roman"/>
          <w:sz w:val="28"/>
          <w:u w:color="000000"/>
          <w:bdr w:val="nil"/>
        </w:rPr>
        <w:t>1</w:t>
      </w:r>
      <w:r w:rsidRPr="00D93140">
        <w:rPr>
          <w:rFonts w:ascii="Times New Roman" w:hAnsi="Times New Roman"/>
          <w:sz w:val="28"/>
          <w:u w:color="000000"/>
          <w:bdr w:val="nil"/>
        </w:rPr>
        <w:t xml:space="preserve">. Análisis del cargo relacionado </w:t>
      </w:r>
      <w:r w:rsidRPr="00D93140">
        <w:rPr>
          <w:rFonts w:ascii="Times New Roman" w:hAnsi="Times New Roman"/>
          <w:sz w:val="28"/>
          <w:u w:color="000000"/>
          <w:bdr w:val="nil"/>
        </w:rPr>
        <w:t xml:space="preserve">con </w:t>
      </w:r>
      <w:r w:rsidRPr="00D93140">
        <w:rPr>
          <w:rFonts w:ascii="Times New Roman" w:hAnsi="Times New Roman"/>
          <w:sz w:val="28"/>
          <w:u w:color="000000"/>
          <w:bdr w:val="nil"/>
        </w:rPr>
        <w:t xml:space="preserve">la presunta vulneración del </w:t>
      </w:r>
      <w:r w:rsidRPr="00D93140">
        <w:rPr>
          <w:rFonts w:ascii="Times New Roman" w:hAnsi="Times New Roman"/>
          <w:sz w:val="28"/>
          <w:lang w:eastAsia="es-MX"/>
        </w:rPr>
        <w:t xml:space="preserve">artículo 1 de la Constitución </w:t>
      </w:r>
    </w:p>
    <w:p w:rsidR="00F20CCC" w:rsidRPr="00D93140" w:rsidRDefault="00D93140" w:rsidP="00E04174">
      <w:pPr>
        <w:jc w:val="both"/>
        <w:rPr>
          <w:rFonts w:ascii="Times New Roman" w:hAnsi="Times New Roman"/>
          <w:sz w:val="28"/>
          <w:szCs w:val="28"/>
          <w:lang w:eastAsia="es-MX"/>
        </w:rPr>
      </w:pPr>
    </w:p>
    <w:p w:rsidR="00B04AEF"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El accionante considera que e</w:t>
      </w:r>
      <w:r w:rsidRPr="00D93140">
        <w:rPr>
          <w:rFonts w:ascii="Times New Roman" w:hAnsi="Times New Roman"/>
          <w:sz w:val="28"/>
          <w:szCs w:val="28"/>
          <w:u w:color="000000"/>
          <w:bdr w:val="nil"/>
        </w:rPr>
        <w:t xml:space="preserve">l artículo 2 del Decreto 1275 de 2024 </w:t>
      </w:r>
      <w:r w:rsidRPr="00D93140">
        <w:rPr>
          <w:rFonts w:ascii="Times New Roman" w:hAnsi="Times New Roman"/>
          <w:sz w:val="28"/>
          <w:szCs w:val="28"/>
          <w:u w:color="000000"/>
          <w:bdr w:val="nil"/>
        </w:rPr>
        <w:t xml:space="preserve">vulnera </w:t>
      </w:r>
      <w:r w:rsidRPr="00D93140">
        <w:rPr>
          <w:rFonts w:ascii="Times New Roman" w:hAnsi="Times New Roman"/>
          <w:sz w:val="28"/>
          <w:szCs w:val="28"/>
          <w:u w:color="000000"/>
          <w:bdr w:val="nil"/>
        </w:rPr>
        <w:t xml:space="preserve">el artículo 1 de la Constitución Política, </w:t>
      </w:r>
      <w:r w:rsidRPr="00D93140">
        <w:rPr>
          <w:rFonts w:ascii="Times New Roman" w:hAnsi="Times New Roman"/>
          <w:sz w:val="28"/>
          <w:szCs w:val="28"/>
          <w:u w:color="000000"/>
          <w:bdr w:val="nil"/>
        </w:rPr>
        <w:t xml:space="preserve">al enunciar una definición </w:t>
      </w:r>
      <w:r w:rsidRPr="00D93140">
        <w:rPr>
          <w:rFonts w:ascii="Times New Roman" w:hAnsi="Times New Roman"/>
          <w:sz w:val="28"/>
          <w:szCs w:val="28"/>
          <w:u w:color="000000"/>
          <w:bdr w:val="nil"/>
        </w:rPr>
        <w:t>alternativ</w:t>
      </w:r>
      <w:r w:rsidRPr="00D93140">
        <w:rPr>
          <w:rFonts w:ascii="Times New Roman" w:hAnsi="Times New Roman"/>
          <w:sz w:val="28"/>
          <w:szCs w:val="28"/>
          <w:u w:color="000000"/>
          <w:bdr w:val="nil"/>
        </w:rPr>
        <w:t>a</w:t>
      </w:r>
      <w:r w:rsidRPr="00D93140">
        <w:rPr>
          <w:rFonts w:ascii="Times New Roman" w:hAnsi="Times New Roman"/>
          <w:sz w:val="28"/>
          <w:szCs w:val="28"/>
          <w:u w:color="000000"/>
          <w:bdr w:val="nil"/>
        </w:rPr>
        <w:t xml:space="preserve"> del interés general</w:t>
      </w:r>
      <w:r w:rsidRPr="00D93140">
        <w:rPr>
          <w:rFonts w:ascii="Times New Roman" w:hAnsi="Times New Roman"/>
          <w:sz w:val="28"/>
          <w:szCs w:val="28"/>
          <w:u w:color="000000"/>
          <w:bdr w:val="nil"/>
        </w:rPr>
        <w:t>, en la que prevalecen los intereses particulare</w:t>
      </w:r>
      <w:r w:rsidRPr="00D93140">
        <w:rPr>
          <w:rFonts w:ascii="Times New Roman" w:hAnsi="Times New Roman"/>
          <w:sz w:val="28"/>
          <w:szCs w:val="28"/>
          <w:u w:color="000000"/>
          <w:bdr w:val="nil"/>
        </w:rPr>
        <w:t>s de las comunidades indígenas</w:t>
      </w:r>
      <w:r w:rsidRPr="00D93140">
        <w:rPr>
          <w:rFonts w:ascii="Times New Roman" w:hAnsi="Times New Roman"/>
          <w:sz w:val="28"/>
          <w:szCs w:val="28"/>
          <w:u w:color="000000"/>
          <w:bdr w:val="nil"/>
        </w:rPr>
        <w:t xml:space="preserve">. </w:t>
      </w:r>
    </w:p>
    <w:p w:rsidR="00357BCE" w:rsidRPr="00D93140" w:rsidRDefault="00D93140" w:rsidP="00E04174">
      <w:pPr>
        <w:pStyle w:val="Prrafodelista"/>
        <w:ind w:left="0"/>
        <w:jc w:val="both"/>
        <w:rPr>
          <w:rFonts w:ascii="Times New Roman" w:hAnsi="Times New Roman"/>
          <w:sz w:val="28"/>
          <w:szCs w:val="28"/>
          <w:u w:color="000000"/>
          <w:bdr w:val="nil"/>
        </w:rPr>
      </w:pPr>
    </w:p>
    <w:p w:rsidR="00E3500E" w:rsidRPr="00D93140" w:rsidRDefault="00D93140" w:rsidP="00E04174">
      <w:pPr>
        <w:pStyle w:val="Prrafodelista"/>
        <w:numPr>
          <w:ilvl w:val="0"/>
          <w:numId w:val="1"/>
        </w:numPr>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E</w:t>
      </w:r>
      <w:r w:rsidRPr="00D93140">
        <w:rPr>
          <w:rFonts w:ascii="Times New Roman" w:hAnsi="Times New Roman"/>
          <w:sz w:val="28"/>
          <w:szCs w:val="28"/>
          <w:u w:color="000000"/>
          <w:bdr w:val="nil"/>
        </w:rPr>
        <w:t xml:space="preserve">l artículo </w:t>
      </w:r>
      <w:r w:rsidRPr="00D93140">
        <w:rPr>
          <w:rFonts w:ascii="Times New Roman" w:hAnsi="Times New Roman"/>
          <w:sz w:val="28"/>
          <w:szCs w:val="28"/>
          <w:u w:color="000000"/>
          <w:bdr w:val="nil"/>
        </w:rPr>
        <w:t>cuestionado señala que “[p]ara los efectos del presente Decreto, el interés general será entendido como la prevalencia de las disposiciones constitucionales tendientes al reconocimiento y protección de la diver</w:t>
      </w:r>
      <w:r w:rsidRPr="00D93140">
        <w:rPr>
          <w:rFonts w:ascii="Times New Roman" w:hAnsi="Times New Roman"/>
          <w:sz w:val="28"/>
          <w:szCs w:val="28"/>
          <w:u w:color="000000"/>
          <w:bdr w:val="nil"/>
        </w:rPr>
        <w:t>sidad étnica cultural y aquellas que propendan por garantizar la conservación, preservación, restauración, cuidado y protección del ambiente, en atención al principio de maximización de la autonomía de los pueblos indígenas</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w:t>
      </w:r>
    </w:p>
    <w:p w:rsidR="00E3500E" w:rsidRPr="00D93140" w:rsidRDefault="00D93140" w:rsidP="00E04174">
      <w:pPr>
        <w:pStyle w:val="Prrafodelista"/>
        <w:ind w:left="0"/>
        <w:jc w:val="both"/>
        <w:rPr>
          <w:rFonts w:ascii="Times New Roman" w:hAnsi="Times New Roman"/>
          <w:sz w:val="28"/>
          <w:szCs w:val="28"/>
          <w:u w:color="000000"/>
          <w:bdr w:val="nil"/>
        </w:rPr>
      </w:pPr>
    </w:p>
    <w:p w:rsidR="00B12C93"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u w:color="000000"/>
          <w:bdr w:val="nil"/>
        </w:rPr>
        <w:t xml:space="preserve">Es importante recordar que </w:t>
      </w:r>
      <w:r w:rsidRPr="00D93140">
        <w:rPr>
          <w:rFonts w:ascii="Times New Roman" w:hAnsi="Times New Roman"/>
          <w:sz w:val="28"/>
          <w:szCs w:val="28"/>
          <w:u w:color="000000"/>
          <w:bdr w:val="nil"/>
        </w:rPr>
        <w:t>nuestra Constitución Política señal</w:t>
      </w:r>
      <w:r w:rsidRPr="00D93140">
        <w:rPr>
          <w:rFonts w:ascii="Times New Roman" w:hAnsi="Times New Roman"/>
          <w:sz w:val="28"/>
          <w:szCs w:val="28"/>
          <w:u w:color="000000"/>
          <w:bdr w:val="nil"/>
        </w:rPr>
        <w:t>a</w:t>
      </w:r>
      <w:r w:rsidRPr="00D93140">
        <w:rPr>
          <w:rFonts w:ascii="Times New Roman" w:hAnsi="Times New Roman"/>
          <w:sz w:val="28"/>
          <w:szCs w:val="28"/>
          <w:u w:color="000000"/>
          <w:bdr w:val="nil"/>
        </w:rPr>
        <w:t xml:space="preserve"> que Colombia </w:t>
      </w:r>
      <w:r w:rsidRPr="00D93140">
        <w:rPr>
          <w:rFonts w:ascii="Times New Roman" w:hAnsi="Times New Roman"/>
          <w:sz w:val="28"/>
          <w:szCs w:val="28"/>
          <w:u w:color="000000"/>
          <w:bdr w:val="nil"/>
        </w:rPr>
        <w:t xml:space="preserve">es </w:t>
      </w:r>
      <w:r w:rsidRPr="00D93140">
        <w:rPr>
          <w:rFonts w:ascii="Times New Roman" w:hAnsi="Times New Roman"/>
          <w:sz w:val="28"/>
          <w:szCs w:val="28"/>
          <w:u w:color="000000"/>
          <w:bdr w:val="nil"/>
        </w:rPr>
        <w:t>un Estado Social de derecho, plur</w:t>
      </w:r>
      <w:r w:rsidRPr="00D93140">
        <w:rPr>
          <w:rFonts w:ascii="Times New Roman" w:hAnsi="Times New Roman"/>
          <w:sz w:val="28"/>
          <w:szCs w:val="28"/>
          <w:u w:color="000000"/>
          <w:bdr w:val="nil"/>
        </w:rPr>
        <w:t>alista que reconoce y protege la diversidad étnica y cultural</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También, c</w:t>
      </w:r>
      <w:r w:rsidRPr="00D93140">
        <w:rPr>
          <w:rFonts w:ascii="Times New Roman" w:hAnsi="Times New Roman"/>
          <w:sz w:val="28"/>
          <w:szCs w:val="28"/>
        </w:rPr>
        <w:t xml:space="preserve">omo se indicó previamente, </w:t>
      </w:r>
      <w:r w:rsidRPr="00D93140">
        <w:rPr>
          <w:rFonts w:ascii="Times New Roman" w:hAnsi="Times New Roman"/>
          <w:sz w:val="28"/>
          <w:szCs w:val="28"/>
        </w:rPr>
        <w:t xml:space="preserve">que </w:t>
      </w:r>
      <w:r w:rsidRPr="00D93140">
        <w:rPr>
          <w:rFonts w:ascii="Times New Roman" w:hAnsi="Times New Roman"/>
          <w:sz w:val="28"/>
          <w:szCs w:val="28"/>
        </w:rPr>
        <w:t xml:space="preserve">el concepto de </w:t>
      </w:r>
      <w:r w:rsidRPr="00D93140">
        <w:rPr>
          <w:rFonts w:ascii="Times New Roman" w:hAnsi="Times New Roman"/>
          <w:sz w:val="28"/>
          <w:szCs w:val="28"/>
        </w:rPr>
        <w:t>interés general es indeterminado y su contenido deb</w:t>
      </w:r>
      <w:r w:rsidRPr="00D93140">
        <w:rPr>
          <w:rFonts w:ascii="Times New Roman" w:hAnsi="Times New Roman"/>
          <w:sz w:val="28"/>
          <w:szCs w:val="28"/>
        </w:rPr>
        <w:t>e hacerse explícito en cada caso concreto</w:t>
      </w:r>
      <w:r w:rsidRPr="00D93140">
        <w:rPr>
          <w:rFonts w:ascii="Times New Roman" w:hAnsi="Times New Roman"/>
          <w:sz w:val="28"/>
          <w:szCs w:val="28"/>
        </w:rPr>
        <w:t xml:space="preserve">. Por lo tanto, </w:t>
      </w:r>
      <w:r w:rsidRPr="00D93140">
        <w:rPr>
          <w:rFonts w:ascii="Times New Roman" w:hAnsi="Times New Roman"/>
          <w:sz w:val="28"/>
          <w:szCs w:val="28"/>
        </w:rPr>
        <w:t xml:space="preserve">no reviste un carácter absoluto ni es </w:t>
      </w:r>
      <w:r w:rsidRPr="00D93140">
        <w:rPr>
          <w:rFonts w:ascii="Times New Roman" w:hAnsi="Times New Roman"/>
          <w:sz w:val="28"/>
          <w:szCs w:val="28"/>
        </w:rPr>
        <w:t xml:space="preserve">susceptible de aplicación inmediata </w:t>
      </w:r>
      <w:r w:rsidRPr="00D93140">
        <w:rPr>
          <w:rFonts w:ascii="Times New Roman" w:hAnsi="Times New Roman"/>
          <w:sz w:val="28"/>
          <w:szCs w:val="28"/>
        </w:rPr>
        <w:t xml:space="preserve">en cualquier evento. </w:t>
      </w:r>
      <w:r w:rsidRPr="00D93140">
        <w:rPr>
          <w:rFonts w:ascii="Times New Roman" w:hAnsi="Times New Roman"/>
          <w:sz w:val="28"/>
          <w:szCs w:val="28"/>
        </w:rPr>
        <w:t xml:space="preserve">Igualmente, </w:t>
      </w:r>
      <w:r w:rsidRPr="00D93140">
        <w:rPr>
          <w:rFonts w:ascii="Times New Roman" w:hAnsi="Times New Roman"/>
          <w:sz w:val="28"/>
          <w:szCs w:val="28"/>
        </w:rPr>
        <w:t xml:space="preserve">debe tenerse en cuenta </w:t>
      </w:r>
      <w:r w:rsidRPr="00D93140">
        <w:rPr>
          <w:rFonts w:ascii="Times New Roman" w:hAnsi="Times New Roman"/>
          <w:sz w:val="28"/>
          <w:szCs w:val="28"/>
        </w:rPr>
        <w:t>que</w:t>
      </w:r>
      <w:r w:rsidRPr="00D93140">
        <w:rPr>
          <w:rFonts w:ascii="Times New Roman" w:hAnsi="Times New Roman"/>
          <w:sz w:val="28"/>
          <w:szCs w:val="28"/>
        </w:rPr>
        <w:t>, de conformidad con la jurisprudencia,</w:t>
      </w:r>
      <w:r w:rsidRPr="00D93140">
        <w:rPr>
          <w:rFonts w:ascii="Times New Roman" w:hAnsi="Times New Roman"/>
          <w:sz w:val="28"/>
          <w:szCs w:val="28"/>
        </w:rPr>
        <w:t xml:space="preserve"> la protección de los valor</w:t>
      </w:r>
      <w:r w:rsidRPr="00D93140">
        <w:rPr>
          <w:rFonts w:ascii="Times New Roman" w:hAnsi="Times New Roman"/>
          <w:sz w:val="28"/>
          <w:szCs w:val="28"/>
        </w:rPr>
        <w:t>es culturales sociales y económicos como forma de reconocimiento de la diversidad étnica, es un asunto de interés general.</w:t>
      </w:r>
    </w:p>
    <w:p w:rsidR="00B12C93" w:rsidRPr="00D93140" w:rsidRDefault="00D93140" w:rsidP="00E04174">
      <w:pPr>
        <w:pStyle w:val="Prrafodelista"/>
        <w:tabs>
          <w:tab w:val="left" w:pos="284"/>
        </w:tabs>
        <w:ind w:left="0"/>
        <w:jc w:val="both"/>
        <w:rPr>
          <w:rFonts w:ascii="Times New Roman" w:hAnsi="Times New Roman"/>
          <w:sz w:val="28"/>
          <w:szCs w:val="28"/>
        </w:rPr>
      </w:pPr>
    </w:p>
    <w:p w:rsidR="00823047" w:rsidRPr="00D93140" w:rsidRDefault="00D93140" w:rsidP="00E04174">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En este contexto, no se advierte contradicción alguna entre el artículo cuestionado y la norma constitucional. Lo anterior</w:t>
      </w:r>
      <w:r w:rsidRPr="00D93140">
        <w:rPr>
          <w:rFonts w:ascii="Times New Roman" w:hAnsi="Times New Roman"/>
          <w:sz w:val="28"/>
          <w:szCs w:val="28"/>
        </w:rPr>
        <w:t>,</w:t>
      </w:r>
      <w:r w:rsidRPr="00D93140">
        <w:rPr>
          <w:rFonts w:ascii="Times New Roman" w:hAnsi="Times New Roman"/>
          <w:sz w:val="28"/>
          <w:szCs w:val="28"/>
        </w:rPr>
        <w:t xml:space="preserve"> porque en este caso no puede desconocerse la literalidad del artículo 2 del Decreto 1275 de 2024 que delimita este interés general </w:t>
      </w:r>
      <w:r w:rsidRPr="00D93140">
        <w:rPr>
          <w:rFonts w:ascii="Times New Roman" w:hAnsi="Times New Roman"/>
          <w:sz w:val="28"/>
          <w:szCs w:val="28"/>
        </w:rPr>
        <w:t xml:space="preserve">a </w:t>
      </w:r>
      <w:r w:rsidRPr="00D93140">
        <w:rPr>
          <w:rFonts w:ascii="Times New Roman" w:hAnsi="Times New Roman"/>
          <w:sz w:val="28"/>
          <w:szCs w:val="28"/>
        </w:rPr>
        <w:t>un ámbito espacial</w:t>
      </w:r>
      <w:r w:rsidRPr="00D93140">
        <w:rPr>
          <w:rFonts w:ascii="Times New Roman" w:hAnsi="Times New Roman"/>
          <w:sz w:val="28"/>
          <w:szCs w:val="28"/>
        </w:rPr>
        <w:t xml:space="preserve">, es decir, que ésta visión se aplicará únicamente </w:t>
      </w:r>
      <w:r w:rsidRPr="00D93140">
        <w:rPr>
          <w:rFonts w:ascii="Times New Roman" w:hAnsi="Times New Roman"/>
          <w:sz w:val="28"/>
          <w:szCs w:val="28"/>
        </w:rPr>
        <w:t>sobre</w:t>
      </w:r>
      <w:r w:rsidRPr="00D93140">
        <w:rPr>
          <w:rFonts w:ascii="Times New Roman" w:hAnsi="Times New Roman"/>
          <w:sz w:val="28"/>
          <w:szCs w:val="28"/>
        </w:rPr>
        <w:t xml:space="preserve"> medidas adoptadas en virtud de las facultades a</w:t>
      </w:r>
      <w:r w:rsidRPr="00D93140">
        <w:rPr>
          <w:rFonts w:ascii="Times New Roman" w:hAnsi="Times New Roman"/>
          <w:sz w:val="28"/>
          <w:szCs w:val="28"/>
        </w:rPr>
        <w:t>mbientales que el decreto otorga a las autoridades indígenas y</w:t>
      </w:r>
      <w:r w:rsidRPr="00D93140">
        <w:rPr>
          <w:rFonts w:ascii="Times New Roman" w:hAnsi="Times New Roman"/>
          <w:sz w:val="28"/>
          <w:szCs w:val="28"/>
        </w:rPr>
        <w:t xml:space="preserve">, </w:t>
      </w:r>
      <w:r w:rsidRPr="00D93140">
        <w:rPr>
          <w:rFonts w:ascii="Times New Roman" w:hAnsi="Times New Roman"/>
          <w:sz w:val="28"/>
          <w:szCs w:val="28"/>
        </w:rPr>
        <w:t xml:space="preserve">en aquellos casos que involucre los territorios señalados en el artículo 4, bajo el condicionamiento previamente establecido. </w:t>
      </w:r>
    </w:p>
    <w:p w:rsidR="00823047" w:rsidRPr="00D93140" w:rsidRDefault="00D93140" w:rsidP="00E04174">
      <w:pPr>
        <w:pStyle w:val="Prrafodelista"/>
        <w:tabs>
          <w:tab w:val="left" w:pos="284"/>
        </w:tabs>
        <w:ind w:left="0"/>
        <w:jc w:val="both"/>
        <w:rPr>
          <w:rFonts w:ascii="Times New Roman" w:hAnsi="Times New Roman"/>
          <w:sz w:val="28"/>
          <w:szCs w:val="28"/>
        </w:rPr>
      </w:pPr>
    </w:p>
    <w:p w:rsidR="00783780" w:rsidRPr="00D93140" w:rsidRDefault="00D93140" w:rsidP="00E04174">
      <w:pPr>
        <w:pStyle w:val="Prrafodelista"/>
        <w:numPr>
          <w:ilvl w:val="0"/>
          <w:numId w:val="1"/>
        </w:numPr>
        <w:tabs>
          <w:tab w:val="left" w:pos="284"/>
        </w:tabs>
        <w:ind w:left="0" w:firstLine="0"/>
        <w:jc w:val="both"/>
        <w:rPr>
          <w:rFonts w:ascii="Times New Roman" w:hAnsi="Times New Roman"/>
          <w:color w:val="2D2D2D"/>
          <w:sz w:val="28"/>
          <w:szCs w:val="28"/>
        </w:rPr>
      </w:pPr>
      <w:r w:rsidRPr="00D93140">
        <w:rPr>
          <w:rFonts w:ascii="Times New Roman" w:hAnsi="Times New Roman"/>
          <w:sz w:val="28"/>
          <w:szCs w:val="28"/>
        </w:rPr>
        <w:t xml:space="preserve">Con ello, el decreto </w:t>
      </w:r>
      <w:r w:rsidRPr="00D93140">
        <w:rPr>
          <w:rFonts w:ascii="Times New Roman" w:hAnsi="Times New Roman"/>
          <w:sz w:val="28"/>
          <w:szCs w:val="28"/>
        </w:rPr>
        <w:t>acusado</w:t>
      </w:r>
      <w:r w:rsidRPr="00D93140">
        <w:rPr>
          <w:rFonts w:ascii="Times New Roman" w:hAnsi="Times New Roman"/>
          <w:sz w:val="28"/>
          <w:szCs w:val="28"/>
        </w:rPr>
        <w:t xml:space="preserve"> </w:t>
      </w:r>
      <w:r w:rsidRPr="00D93140">
        <w:rPr>
          <w:rFonts w:ascii="Times New Roman" w:hAnsi="Times New Roman"/>
          <w:sz w:val="28"/>
          <w:szCs w:val="28"/>
        </w:rPr>
        <w:t>persigue armonizar los mandatos con</w:t>
      </w:r>
      <w:r w:rsidRPr="00D93140">
        <w:rPr>
          <w:rFonts w:ascii="Times New Roman" w:hAnsi="Times New Roman"/>
          <w:sz w:val="28"/>
          <w:szCs w:val="28"/>
        </w:rPr>
        <w:t>stitucionales de protección de</w:t>
      </w:r>
      <w:r w:rsidRPr="00D93140">
        <w:rPr>
          <w:rFonts w:ascii="Times New Roman" w:hAnsi="Times New Roman"/>
          <w:sz w:val="28"/>
          <w:szCs w:val="28"/>
        </w:rPr>
        <w:t xml:space="preserve">l derecho a la autodeterminación </w:t>
      </w:r>
      <w:r w:rsidRPr="00D93140">
        <w:rPr>
          <w:rFonts w:ascii="Times New Roman" w:hAnsi="Times New Roman"/>
          <w:sz w:val="28"/>
          <w:szCs w:val="28"/>
        </w:rPr>
        <w:t>de las comunidades indígenas dentro de sus territorios</w:t>
      </w:r>
      <w:r w:rsidRPr="00D93140">
        <w:rPr>
          <w:rFonts w:ascii="Times New Roman" w:hAnsi="Times New Roman"/>
          <w:sz w:val="28"/>
          <w:szCs w:val="28"/>
        </w:rPr>
        <w:t xml:space="preserve">, que además de ser un asunto de interés general es un derecho fundamental de conformidad con los artículos </w:t>
      </w:r>
      <w:r w:rsidRPr="00D93140">
        <w:rPr>
          <w:rFonts w:ascii="Times New Roman" w:hAnsi="Times New Roman"/>
          <w:color w:val="2D2D2D"/>
          <w:sz w:val="28"/>
          <w:szCs w:val="28"/>
        </w:rPr>
        <w:t>7 y 246 de la Constitución Polí</w:t>
      </w:r>
      <w:r w:rsidRPr="00D93140">
        <w:rPr>
          <w:rFonts w:ascii="Times New Roman" w:hAnsi="Times New Roman"/>
          <w:color w:val="2D2D2D"/>
          <w:sz w:val="28"/>
          <w:szCs w:val="28"/>
        </w:rPr>
        <w:t>tica y el Convenio No. 169 de la OIT</w:t>
      </w:r>
      <w:r w:rsidRPr="00D93140">
        <w:rPr>
          <w:rFonts w:ascii="Times New Roman" w:hAnsi="Times New Roman"/>
          <w:sz w:val="28"/>
          <w:szCs w:val="28"/>
        </w:rPr>
        <w:t xml:space="preserve">. </w:t>
      </w:r>
      <w:r w:rsidRPr="00D93140">
        <w:rPr>
          <w:rFonts w:ascii="Times New Roman" w:hAnsi="Times New Roman"/>
          <w:sz w:val="28"/>
          <w:szCs w:val="28"/>
        </w:rPr>
        <w:t>Con esta definición, el decreto también busca que, frente al ámbito de aplicación del mismo, las disposiciones constitucionales que persiguen la conservación, preservación, restauración, cuidado y protección del ambien</w:t>
      </w:r>
      <w:r w:rsidRPr="00D93140">
        <w:rPr>
          <w:rFonts w:ascii="Times New Roman" w:hAnsi="Times New Roman"/>
          <w:sz w:val="28"/>
          <w:szCs w:val="28"/>
        </w:rPr>
        <w:t xml:space="preserve">te prevalezcan, ello, dada la especial relación que existe entre las comunidades indígenas y el territorio, como se explicó previamente. </w:t>
      </w:r>
    </w:p>
    <w:p w:rsidR="00783780" w:rsidRPr="00D93140" w:rsidRDefault="00D93140" w:rsidP="00E04174">
      <w:pPr>
        <w:pStyle w:val="Prrafodelista"/>
        <w:tabs>
          <w:tab w:val="left" w:pos="284"/>
        </w:tabs>
        <w:ind w:left="0"/>
        <w:jc w:val="both"/>
        <w:rPr>
          <w:rFonts w:ascii="Times New Roman" w:hAnsi="Times New Roman"/>
          <w:color w:val="2D2D2D"/>
          <w:sz w:val="28"/>
          <w:szCs w:val="28"/>
        </w:rPr>
      </w:pPr>
    </w:p>
    <w:p w:rsidR="00783780" w:rsidRPr="00D93140" w:rsidRDefault="00D93140" w:rsidP="00E04174">
      <w:pPr>
        <w:pStyle w:val="Prrafodelista"/>
        <w:numPr>
          <w:ilvl w:val="0"/>
          <w:numId w:val="1"/>
        </w:numPr>
        <w:tabs>
          <w:tab w:val="left" w:pos="284"/>
        </w:tabs>
        <w:ind w:left="0" w:firstLine="0"/>
        <w:jc w:val="both"/>
        <w:rPr>
          <w:rFonts w:ascii="Times New Roman" w:hAnsi="Times New Roman"/>
          <w:color w:val="2D2D2D"/>
          <w:sz w:val="28"/>
          <w:szCs w:val="28"/>
        </w:rPr>
      </w:pPr>
      <w:r w:rsidRPr="00D93140">
        <w:rPr>
          <w:rFonts w:ascii="Times New Roman" w:hAnsi="Times New Roman"/>
          <w:sz w:val="28"/>
          <w:szCs w:val="28"/>
        </w:rPr>
        <w:t>En este contexto, el artículo 2 del decreto analizado no puede leerse en un sentido amplio y descontextualizado, toda</w:t>
      </w:r>
      <w:r w:rsidRPr="00D93140">
        <w:rPr>
          <w:rFonts w:ascii="Times New Roman" w:hAnsi="Times New Roman"/>
          <w:sz w:val="28"/>
          <w:szCs w:val="28"/>
        </w:rPr>
        <w:t xml:space="preserve"> vez que no implica de manera arbitraria la prelación de intereses de una comunidad indígena en particular. Por el contrario, se insiste, lo que se persigue con el artículo ahora demandado es la armonización de medidas ambientales con sus conocimientos y p</w:t>
      </w:r>
      <w:r w:rsidRPr="00D93140">
        <w:rPr>
          <w:rFonts w:ascii="Times New Roman" w:hAnsi="Times New Roman"/>
          <w:sz w:val="28"/>
          <w:szCs w:val="28"/>
        </w:rPr>
        <w:t>rácticas ancestrales en dicha materia</w:t>
      </w:r>
      <w:r w:rsidRPr="00D93140">
        <w:rPr>
          <w:rFonts w:ascii="Times New Roman" w:hAnsi="Times New Roman"/>
          <w:sz w:val="28"/>
          <w:szCs w:val="28"/>
        </w:rPr>
        <w:t xml:space="preserve"> y las normas constitucionales de protección del ambiente</w:t>
      </w:r>
      <w:r w:rsidRPr="00D93140">
        <w:rPr>
          <w:rFonts w:ascii="Times New Roman" w:hAnsi="Times New Roman"/>
          <w:sz w:val="28"/>
          <w:szCs w:val="28"/>
        </w:rPr>
        <w:t xml:space="preserve">.  </w:t>
      </w:r>
    </w:p>
    <w:p w:rsidR="00D639CB" w:rsidRPr="00D93140" w:rsidRDefault="00D93140" w:rsidP="00E04174">
      <w:pPr>
        <w:pStyle w:val="Prrafodelista"/>
        <w:tabs>
          <w:tab w:val="left" w:pos="284"/>
        </w:tabs>
        <w:ind w:left="0"/>
        <w:jc w:val="both"/>
        <w:rPr>
          <w:rFonts w:ascii="Times New Roman" w:hAnsi="Times New Roman"/>
          <w:color w:val="2D2D2D"/>
          <w:sz w:val="28"/>
          <w:szCs w:val="28"/>
        </w:rPr>
      </w:pPr>
    </w:p>
    <w:p w:rsidR="00D639CB" w:rsidRPr="00D93140" w:rsidRDefault="00D93140" w:rsidP="00E04174">
      <w:pPr>
        <w:pStyle w:val="Prrafodelista"/>
        <w:numPr>
          <w:ilvl w:val="0"/>
          <w:numId w:val="1"/>
        </w:numPr>
        <w:tabs>
          <w:tab w:val="left" w:pos="284"/>
        </w:tabs>
        <w:ind w:left="0" w:firstLine="0"/>
        <w:jc w:val="both"/>
        <w:rPr>
          <w:rFonts w:ascii="Times New Roman" w:hAnsi="Times New Roman"/>
          <w:color w:val="2D2D2D"/>
          <w:sz w:val="28"/>
          <w:szCs w:val="28"/>
        </w:rPr>
      </w:pPr>
      <w:r w:rsidRPr="00D93140">
        <w:rPr>
          <w:rFonts w:ascii="Times New Roman" w:hAnsi="Times New Roman"/>
          <w:sz w:val="28"/>
          <w:szCs w:val="28"/>
        </w:rPr>
        <w:t xml:space="preserve">De otra parte, </w:t>
      </w:r>
      <w:r w:rsidRPr="00D93140">
        <w:rPr>
          <w:rFonts w:ascii="Times New Roman" w:hAnsi="Times New Roman"/>
          <w:sz w:val="28"/>
          <w:szCs w:val="28"/>
        </w:rPr>
        <w:t xml:space="preserve">es pertinente establecer que </w:t>
      </w:r>
      <w:r w:rsidRPr="00D93140">
        <w:rPr>
          <w:rFonts w:ascii="Times New Roman" w:hAnsi="Times New Roman"/>
          <w:sz w:val="28"/>
          <w:szCs w:val="28"/>
        </w:rPr>
        <w:t xml:space="preserve">la definición contenida en este artículo 2 no contradice disposiciones constitucionales ni legales que reconocen </w:t>
      </w:r>
      <w:r w:rsidRPr="00D93140">
        <w:rPr>
          <w:rFonts w:ascii="Times New Roman" w:hAnsi="Times New Roman"/>
          <w:sz w:val="28"/>
          <w:szCs w:val="28"/>
        </w:rPr>
        <w:t>la importancia del territorio para las comunidades indígenas y que, ordenan no solo la coordinación de las autoridades ambientales nacionales con los territorios indígenas y sus autoridades para adoptar medidas que los afecten sino la realización de una co</w:t>
      </w:r>
      <w:r w:rsidRPr="00D93140">
        <w:rPr>
          <w:rFonts w:ascii="Times New Roman" w:hAnsi="Times New Roman"/>
          <w:sz w:val="28"/>
          <w:szCs w:val="28"/>
        </w:rPr>
        <w:t xml:space="preserve">nsulta previa frente a cualquier disposición administrativa o legislativa que afecte directamente a estos pueblos. </w:t>
      </w:r>
    </w:p>
    <w:p w:rsidR="00D639CB" w:rsidRPr="00D93140" w:rsidRDefault="00D93140" w:rsidP="00E04174">
      <w:pPr>
        <w:pStyle w:val="Prrafodelista"/>
        <w:tabs>
          <w:tab w:val="left" w:pos="284"/>
        </w:tabs>
        <w:ind w:left="0"/>
        <w:jc w:val="both"/>
        <w:rPr>
          <w:rFonts w:ascii="Times New Roman" w:hAnsi="Times New Roman"/>
          <w:color w:val="2D2D2D"/>
          <w:sz w:val="28"/>
          <w:szCs w:val="28"/>
        </w:rPr>
      </w:pPr>
    </w:p>
    <w:p w:rsidR="007163D4" w:rsidRPr="00D93140" w:rsidRDefault="00D93140" w:rsidP="00E04174">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 xml:space="preserve">Sin perjuicio de lo anterior, de presentarse </w:t>
      </w:r>
      <w:r w:rsidRPr="00D93140">
        <w:rPr>
          <w:rFonts w:ascii="Times New Roman" w:hAnsi="Times New Roman"/>
          <w:sz w:val="28"/>
          <w:szCs w:val="28"/>
        </w:rPr>
        <w:t xml:space="preserve">un conflicto en el que se enfrente el interés general señalado en el artículo 2 del Decreto 1275 de 2024 con otro asunto que </w:t>
      </w:r>
      <w:r w:rsidRPr="00D93140">
        <w:rPr>
          <w:rFonts w:ascii="Times New Roman" w:hAnsi="Times New Roman"/>
          <w:sz w:val="28"/>
          <w:szCs w:val="28"/>
        </w:rPr>
        <w:t xml:space="preserve">también </w:t>
      </w:r>
      <w:r w:rsidRPr="00D93140">
        <w:rPr>
          <w:rFonts w:ascii="Times New Roman" w:hAnsi="Times New Roman"/>
          <w:sz w:val="28"/>
          <w:szCs w:val="28"/>
        </w:rPr>
        <w:t>comporte interés general para el Estado</w:t>
      </w:r>
      <w:r w:rsidRPr="00D93140">
        <w:rPr>
          <w:rFonts w:ascii="Times New Roman" w:hAnsi="Times New Roman"/>
          <w:sz w:val="28"/>
          <w:szCs w:val="28"/>
        </w:rPr>
        <w:t>, la autoridad competente</w:t>
      </w:r>
      <w:r w:rsidRPr="00D93140">
        <w:rPr>
          <w:rFonts w:ascii="Times New Roman" w:hAnsi="Times New Roman"/>
          <w:sz w:val="28"/>
          <w:szCs w:val="28"/>
        </w:rPr>
        <w:t xml:space="preserve"> </w:t>
      </w:r>
      <w:r w:rsidRPr="00D93140">
        <w:rPr>
          <w:rFonts w:ascii="Times New Roman" w:hAnsi="Times New Roman"/>
          <w:sz w:val="28"/>
          <w:u w:color="000000"/>
          <w:bdr w:val="nil"/>
        </w:rPr>
        <w:t>deberá analizar cada caso en particular de manera diferenciada y con aplicación de los principios de razonabilidad y proporcionalidad, buscando una</w:t>
      </w:r>
      <w:r w:rsidRPr="00D93140">
        <w:rPr>
          <w:rFonts w:ascii="Times New Roman" w:hAnsi="Times New Roman"/>
          <w:sz w:val="28"/>
          <w:szCs w:val="28"/>
        </w:rPr>
        <w:t xml:space="preserve"> solución</w:t>
      </w:r>
      <w:r w:rsidRPr="00D93140">
        <w:rPr>
          <w:rFonts w:ascii="Times New Roman" w:hAnsi="Times New Roman"/>
          <w:sz w:val="28"/>
          <w:szCs w:val="28"/>
        </w:rPr>
        <w:t xml:space="preserve"> que</w:t>
      </w:r>
      <w:r w:rsidRPr="00D93140">
        <w:rPr>
          <w:rFonts w:ascii="Times New Roman" w:hAnsi="Times New Roman"/>
          <w:sz w:val="28"/>
          <w:szCs w:val="28"/>
        </w:rPr>
        <w:t xml:space="preserve"> </w:t>
      </w:r>
      <w:r w:rsidRPr="00D93140">
        <w:rPr>
          <w:rFonts w:ascii="Times New Roman" w:hAnsi="Times New Roman"/>
          <w:sz w:val="28"/>
          <w:szCs w:val="28"/>
        </w:rPr>
        <w:t xml:space="preserve">logre </w:t>
      </w:r>
      <w:r w:rsidRPr="00D93140">
        <w:rPr>
          <w:rFonts w:ascii="Times New Roman" w:hAnsi="Times New Roman"/>
          <w:sz w:val="28"/>
          <w:szCs w:val="28"/>
        </w:rPr>
        <w:t>maximi</w:t>
      </w:r>
      <w:r w:rsidRPr="00D93140">
        <w:rPr>
          <w:rFonts w:ascii="Times New Roman" w:hAnsi="Times New Roman"/>
          <w:sz w:val="28"/>
          <w:szCs w:val="28"/>
        </w:rPr>
        <w:t>zar lo</w:t>
      </w:r>
      <w:r w:rsidRPr="00D93140">
        <w:rPr>
          <w:rFonts w:ascii="Times New Roman" w:hAnsi="Times New Roman"/>
          <w:sz w:val="28"/>
          <w:szCs w:val="28"/>
        </w:rPr>
        <w:t xml:space="preserve">s extremos </w:t>
      </w:r>
      <w:r w:rsidRPr="00D93140">
        <w:rPr>
          <w:rFonts w:ascii="Times New Roman" w:hAnsi="Times New Roman"/>
          <w:sz w:val="28"/>
          <w:szCs w:val="28"/>
        </w:rPr>
        <w:t>en</w:t>
      </w:r>
      <w:r w:rsidRPr="00D93140">
        <w:rPr>
          <w:rFonts w:ascii="Times New Roman" w:hAnsi="Times New Roman"/>
          <w:sz w:val="28"/>
          <w:szCs w:val="28"/>
        </w:rPr>
        <w:t xml:space="preserve"> tensión</w:t>
      </w:r>
      <w:r w:rsidRPr="00D93140">
        <w:rPr>
          <w:rFonts w:ascii="Times New Roman" w:hAnsi="Times New Roman"/>
          <w:sz w:val="28"/>
          <w:szCs w:val="28"/>
        </w:rPr>
        <w:t>.</w:t>
      </w:r>
    </w:p>
    <w:p w:rsidR="007163D4" w:rsidRPr="00D93140" w:rsidRDefault="00D93140" w:rsidP="00E04174">
      <w:pPr>
        <w:pStyle w:val="Prrafodelista"/>
        <w:tabs>
          <w:tab w:val="left" w:pos="284"/>
        </w:tabs>
        <w:ind w:left="0"/>
        <w:jc w:val="both"/>
        <w:rPr>
          <w:rFonts w:ascii="Times New Roman" w:hAnsi="Times New Roman"/>
          <w:sz w:val="28"/>
          <w:szCs w:val="28"/>
        </w:rPr>
      </w:pPr>
    </w:p>
    <w:p w:rsidR="007163D4" w:rsidRPr="00D93140" w:rsidRDefault="00D93140" w:rsidP="00E04174">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En tal virtud y por las razones expuestas, se declara</w:t>
      </w:r>
      <w:r w:rsidRPr="00D93140">
        <w:rPr>
          <w:rFonts w:ascii="Times New Roman" w:hAnsi="Times New Roman"/>
          <w:sz w:val="28"/>
          <w:szCs w:val="28"/>
        </w:rPr>
        <w:t>rá exequible el artículo 2 del Decreto 1275 de 2024.</w:t>
      </w:r>
    </w:p>
    <w:p w:rsidR="00603009" w:rsidRPr="00D93140" w:rsidRDefault="00D93140" w:rsidP="00E04174">
      <w:pPr>
        <w:pStyle w:val="Prrafodelista"/>
        <w:tabs>
          <w:tab w:val="left" w:pos="284"/>
        </w:tabs>
        <w:ind w:left="0"/>
        <w:jc w:val="both"/>
        <w:rPr>
          <w:rFonts w:ascii="Times New Roman" w:hAnsi="Times New Roman"/>
          <w:sz w:val="28"/>
          <w:szCs w:val="28"/>
        </w:rPr>
      </w:pPr>
    </w:p>
    <w:p w:rsidR="00603009" w:rsidRPr="00D93140" w:rsidRDefault="00D93140" w:rsidP="007E084C">
      <w:pPr>
        <w:pStyle w:val="Ttulo4"/>
        <w:rPr>
          <w:rFonts w:ascii="Times New Roman" w:hAnsi="Times New Roman"/>
          <w:sz w:val="28"/>
          <w:lang w:eastAsia="es-MX"/>
        </w:rPr>
      </w:pPr>
      <w:r w:rsidRPr="00D93140">
        <w:rPr>
          <w:rFonts w:ascii="Times New Roman" w:hAnsi="Times New Roman"/>
          <w:sz w:val="28"/>
          <w:lang w:eastAsia="es-MX"/>
        </w:rPr>
        <w:t>5</w:t>
      </w:r>
      <w:r w:rsidRPr="00D93140">
        <w:rPr>
          <w:rFonts w:ascii="Times New Roman" w:hAnsi="Times New Roman"/>
          <w:sz w:val="28"/>
          <w:lang w:eastAsia="es-MX"/>
        </w:rPr>
        <w:t>.</w:t>
      </w:r>
      <w:r w:rsidRPr="00D93140">
        <w:rPr>
          <w:rFonts w:ascii="Times New Roman" w:hAnsi="Times New Roman"/>
          <w:sz w:val="28"/>
          <w:lang w:eastAsia="es-MX"/>
        </w:rPr>
        <w:t>2</w:t>
      </w:r>
      <w:r w:rsidRPr="00D93140">
        <w:rPr>
          <w:rFonts w:ascii="Times New Roman" w:hAnsi="Times New Roman"/>
          <w:sz w:val="28"/>
          <w:lang w:eastAsia="es-MX"/>
        </w:rPr>
        <w:t xml:space="preserve">. Análisis del cargo por presunta vulneración del artículo 29 de la Constitución al otorgar potestades sancionatorias a las autoridades indígenas impongan sanciones respecto de personas que no hacen </w:t>
      </w:r>
      <w:r w:rsidRPr="00D93140">
        <w:rPr>
          <w:rFonts w:ascii="Times New Roman" w:hAnsi="Times New Roman"/>
          <w:sz w:val="28"/>
          <w:lang w:eastAsia="es-MX"/>
        </w:rPr>
        <w:t>parte de sus comunidades</w:t>
      </w:r>
    </w:p>
    <w:p w:rsidR="00603009" w:rsidRPr="00D93140" w:rsidRDefault="00D93140" w:rsidP="00E04174">
      <w:pPr>
        <w:pStyle w:val="Prrafodelista"/>
        <w:tabs>
          <w:tab w:val="left" w:pos="284"/>
        </w:tabs>
        <w:ind w:left="0"/>
        <w:jc w:val="both"/>
        <w:rPr>
          <w:rFonts w:ascii="Times New Roman" w:hAnsi="Times New Roman"/>
          <w:sz w:val="28"/>
          <w:szCs w:val="28"/>
        </w:rPr>
      </w:pPr>
    </w:p>
    <w:p w:rsidR="00D639CB" w:rsidRPr="00D93140" w:rsidRDefault="00D93140" w:rsidP="00E04174">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 xml:space="preserve">Los demandantes coinciden en señalar que el </w:t>
      </w:r>
      <w:r w:rsidRPr="00D93140">
        <w:rPr>
          <w:rFonts w:ascii="Times New Roman" w:hAnsi="Times New Roman"/>
          <w:sz w:val="28"/>
          <w:szCs w:val="28"/>
        </w:rPr>
        <w:t xml:space="preserve">numeral 3 del </w:t>
      </w:r>
      <w:r w:rsidRPr="00D93140">
        <w:rPr>
          <w:rFonts w:ascii="Times New Roman" w:hAnsi="Times New Roman"/>
          <w:sz w:val="28"/>
          <w:szCs w:val="28"/>
        </w:rPr>
        <w:t>artículo 6 del Decreto 1275 de 2024 desconoce el derecho al debido proceso al otorgar una facultad sancionatoria a las autoridades indígenas</w:t>
      </w:r>
      <w:r w:rsidRPr="00D93140">
        <w:rPr>
          <w:rFonts w:ascii="Times New Roman" w:hAnsi="Times New Roman"/>
          <w:sz w:val="28"/>
          <w:szCs w:val="28"/>
        </w:rPr>
        <w:t xml:space="preserve"> en caso de infracciones por par</w:t>
      </w:r>
      <w:r w:rsidRPr="00D93140">
        <w:rPr>
          <w:rFonts w:ascii="Times New Roman" w:hAnsi="Times New Roman"/>
          <w:sz w:val="28"/>
          <w:szCs w:val="28"/>
        </w:rPr>
        <w:t>te de personas que</w:t>
      </w:r>
      <w:r w:rsidRPr="00D93140">
        <w:rPr>
          <w:rFonts w:ascii="Times New Roman" w:hAnsi="Times New Roman"/>
          <w:sz w:val="28"/>
          <w:szCs w:val="28"/>
        </w:rPr>
        <w:t xml:space="preserve"> pertenecen a sus comunidades y </w:t>
      </w:r>
      <w:r w:rsidRPr="00D93140">
        <w:rPr>
          <w:rFonts w:ascii="Times New Roman" w:hAnsi="Times New Roman"/>
          <w:sz w:val="28"/>
          <w:szCs w:val="28"/>
        </w:rPr>
        <w:t xml:space="preserve">de aquellas </w:t>
      </w:r>
      <w:r w:rsidRPr="00D93140">
        <w:rPr>
          <w:rFonts w:ascii="Times New Roman" w:hAnsi="Times New Roman"/>
          <w:sz w:val="28"/>
          <w:szCs w:val="28"/>
        </w:rPr>
        <w:t>que</w:t>
      </w:r>
      <w:r w:rsidRPr="00D93140">
        <w:rPr>
          <w:rFonts w:ascii="Times New Roman" w:hAnsi="Times New Roman"/>
          <w:sz w:val="28"/>
          <w:szCs w:val="28"/>
        </w:rPr>
        <w:t xml:space="preserve"> no</w:t>
      </w:r>
      <w:r w:rsidRPr="00D93140">
        <w:rPr>
          <w:rFonts w:ascii="Times New Roman" w:hAnsi="Times New Roman"/>
          <w:sz w:val="28"/>
          <w:szCs w:val="28"/>
        </w:rPr>
        <w:t xml:space="preserve">. </w:t>
      </w:r>
    </w:p>
    <w:p w:rsidR="009731EB" w:rsidRPr="00D93140" w:rsidRDefault="00D93140" w:rsidP="00E04174">
      <w:pPr>
        <w:pStyle w:val="Prrafodelista"/>
        <w:tabs>
          <w:tab w:val="left" w:pos="284"/>
        </w:tabs>
        <w:ind w:left="0"/>
        <w:jc w:val="both"/>
        <w:rPr>
          <w:rFonts w:ascii="Times New Roman" w:hAnsi="Times New Roman"/>
          <w:sz w:val="28"/>
          <w:szCs w:val="28"/>
        </w:rPr>
      </w:pPr>
    </w:p>
    <w:p w:rsidR="002623A3" w:rsidRPr="00D93140" w:rsidRDefault="00D93140" w:rsidP="00237FFC">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En e</w:t>
      </w:r>
      <w:r w:rsidRPr="00D93140">
        <w:rPr>
          <w:rFonts w:ascii="Times New Roman" w:hAnsi="Times New Roman"/>
          <w:sz w:val="28"/>
          <w:szCs w:val="28"/>
        </w:rPr>
        <w:t>fecto</w:t>
      </w:r>
      <w:r w:rsidRPr="00D93140">
        <w:rPr>
          <w:rFonts w:ascii="Times New Roman" w:hAnsi="Times New Roman"/>
          <w:sz w:val="28"/>
          <w:szCs w:val="28"/>
        </w:rPr>
        <w:t xml:space="preserve">, </w:t>
      </w:r>
      <w:r w:rsidRPr="00D93140">
        <w:rPr>
          <w:rFonts w:ascii="Times New Roman" w:hAnsi="Times New Roman"/>
          <w:sz w:val="28"/>
          <w:szCs w:val="28"/>
        </w:rPr>
        <w:t xml:space="preserve">debe resaltarse que el numeral 3 del artículo 6 del decreto cuestionado </w:t>
      </w:r>
      <w:r w:rsidRPr="00D93140">
        <w:rPr>
          <w:rFonts w:ascii="Times New Roman" w:hAnsi="Times New Roman"/>
          <w:sz w:val="28"/>
          <w:szCs w:val="28"/>
        </w:rPr>
        <w:t xml:space="preserve">confiere, por un lado, una facultad sancionatoria a las autoridades indígenas a los miembros de su comunidad, en el marco de su jurisdicción especial, de conformidad con lo dispuesto en el artículo 246 de la Constitución. </w:t>
      </w:r>
      <w:r w:rsidRPr="00D93140">
        <w:rPr>
          <w:rFonts w:ascii="Times New Roman" w:hAnsi="Times New Roman"/>
          <w:sz w:val="28"/>
          <w:szCs w:val="28"/>
        </w:rPr>
        <w:t>De otro lado, consagra e</w:t>
      </w:r>
      <w:r w:rsidRPr="00D93140">
        <w:rPr>
          <w:rFonts w:ascii="Times New Roman" w:hAnsi="Times New Roman"/>
          <w:sz w:val="28"/>
          <w:szCs w:val="28"/>
        </w:rPr>
        <w:t>l deber de</w:t>
      </w:r>
      <w:r w:rsidRPr="00D93140">
        <w:rPr>
          <w:rFonts w:ascii="Times New Roman" w:hAnsi="Times New Roman"/>
          <w:sz w:val="28"/>
          <w:szCs w:val="28"/>
        </w:rPr>
        <w:t xml:space="preserve"> coordinación </w:t>
      </w:r>
      <w:r w:rsidRPr="00D93140">
        <w:rPr>
          <w:rFonts w:ascii="Times New Roman" w:hAnsi="Times New Roman"/>
          <w:sz w:val="28"/>
          <w:szCs w:val="28"/>
        </w:rPr>
        <w:t>de</w:t>
      </w:r>
      <w:r w:rsidRPr="00D93140">
        <w:rPr>
          <w:rFonts w:ascii="Times New Roman" w:hAnsi="Times New Roman"/>
          <w:sz w:val="28"/>
          <w:szCs w:val="28"/>
        </w:rPr>
        <w:t xml:space="preserve"> la autoridad ambiental estatal</w:t>
      </w:r>
      <w:r w:rsidRPr="00D93140">
        <w:rPr>
          <w:rFonts w:ascii="Times New Roman" w:hAnsi="Times New Roman"/>
          <w:sz w:val="28"/>
          <w:szCs w:val="28"/>
        </w:rPr>
        <w:t xml:space="preserve"> con la autoridad indígena</w:t>
      </w:r>
      <w:r w:rsidRPr="00D93140">
        <w:rPr>
          <w:rFonts w:ascii="Times New Roman" w:hAnsi="Times New Roman"/>
          <w:sz w:val="28"/>
          <w:szCs w:val="28"/>
        </w:rPr>
        <w:t>, para sancionar</w:t>
      </w:r>
      <w:r w:rsidRPr="00D93140">
        <w:rPr>
          <w:rFonts w:ascii="Times New Roman" w:hAnsi="Times New Roman"/>
          <w:sz w:val="28"/>
          <w:szCs w:val="28"/>
        </w:rPr>
        <w:t xml:space="preserve"> respecto de las infracciones cometidas por personas que no pertenecen a la comunidad.</w:t>
      </w:r>
    </w:p>
    <w:p w:rsidR="002623A3" w:rsidRPr="00D93140" w:rsidRDefault="00D93140" w:rsidP="002623A3">
      <w:pPr>
        <w:pStyle w:val="Prrafodelista"/>
        <w:tabs>
          <w:tab w:val="left" w:pos="284"/>
        </w:tabs>
        <w:ind w:left="0"/>
        <w:jc w:val="both"/>
        <w:rPr>
          <w:rFonts w:ascii="Times New Roman" w:hAnsi="Times New Roman"/>
          <w:sz w:val="28"/>
          <w:szCs w:val="28"/>
        </w:rPr>
      </w:pPr>
    </w:p>
    <w:p w:rsidR="00237FFC" w:rsidRPr="00D93140" w:rsidRDefault="00D93140" w:rsidP="00237FFC">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En cuanto a</w:t>
      </w:r>
      <w:r w:rsidRPr="00D93140">
        <w:rPr>
          <w:rFonts w:ascii="Times New Roman" w:hAnsi="Times New Roman"/>
          <w:sz w:val="28"/>
          <w:szCs w:val="28"/>
        </w:rPr>
        <w:t xml:space="preserve"> </w:t>
      </w:r>
      <w:r w:rsidRPr="00D93140">
        <w:rPr>
          <w:rFonts w:ascii="Times New Roman" w:hAnsi="Times New Roman"/>
          <w:sz w:val="28"/>
          <w:szCs w:val="28"/>
        </w:rPr>
        <w:t xml:space="preserve">las primeras, </w:t>
      </w:r>
      <w:r w:rsidRPr="00D93140">
        <w:rPr>
          <w:rFonts w:ascii="Times New Roman" w:hAnsi="Times New Roman"/>
          <w:bCs/>
          <w:sz w:val="28"/>
          <w:szCs w:val="28"/>
          <w:lang w:val="es-ES"/>
        </w:rPr>
        <w:t>las personas indígenas también son titulares del dere</w:t>
      </w:r>
      <w:r w:rsidRPr="00D93140">
        <w:rPr>
          <w:rFonts w:ascii="Times New Roman" w:hAnsi="Times New Roman"/>
          <w:bCs/>
          <w:sz w:val="28"/>
          <w:szCs w:val="28"/>
          <w:lang w:val="es-ES"/>
        </w:rPr>
        <w:t xml:space="preserve">cho fundamental al debido proceso administrativo sancionatorio, y sus garantías constitutivas deben ser respetadas igualmente por las autoridades ambientales indígenas. Así, </w:t>
      </w:r>
      <w:r w:rsidRPr="00D93140">
        <w:rPr>
          <w:rFonts w:ascii="Times New Roman" w:hAnsi="Times New Roman"/>
          <w:sz w:val="28"/>
          <w:szCs w:val="28"/>
        </w:rPr>
        <w:t xml:space="preserve">una interpretación sistemática con otros artículos del Decreto 1275 de 2024 </w:t>
      </w:r>
      <w:r w:rsidRPr="00D93140">
        <w:rPr>
          <w:rFonts w:ascii="Times New Roman" w:hAnsi="Times New Roman"/>
          <w:sz w:val="28"/>
          <w:szCs w:val="28"/>
        </w:rPr>
        <w:t>permite concluir que la autoridad ambiental indígena deberá tener en cuenta también la Constitución y la ley para desarrollar sus actividades, así como las reglas derivadas de la jurisprudencia. Al respecto, el artículo 3 del Derecho 1275 de 2024 dispone q</w:t>
      </w:r>
      <w:r w:rsidRPr="00D93140">
        <w:rPr>
          <w:rFonts w:ascii="Times New Roman" w:hAnsi="Times New Roman"/>
          <w:sz w:val="28"/>
          <w:szCs w:val="28"/>
        </w:rPr>
        <w:t xml:space="preserve">ue su interpretación “tendrá como fundamento los principios establecidos en el artículo 10 del Decreto Ley 1953 de 2014”, entre otras disposiciones. Asimismo, el literal j y el parágrafo del artículo 3 del Decreto 1275 de 2024 indican que “para efectos de </w:t>
      </w:r>
      <w:r w:rsidRPr="00D93140">
        <w:rPr>
          <w:rFonts w:ascii="Times New Roman" w:hAnsi="Times New Roman"/>
          <w:sz w:val="28"/>
          <w:szCs w:val="28"/>
        </w:rPr>
        <w:t xml:space="preserve">lo dispuesto en este Decreto, en el diálogo entre las autoridades ambientales primarán la coordinación, complementariedad e interdependencia; en todo caso, se aplicarán de preferencia los sistemas normativos propios de los pueblos, así como los principios </w:t>
      </w:r>
      <w:r w:rsidRPr="00D93140">
        <w:rPr>
          <w:rFonts w:ascii="Times New Roman" w:hAnsi="Times New Roman"/>
          <w:sz w:val="28"/>
          <w:szCs w:val="28"/>
        </w:rPr>
        <w:t xml:space="preserve">establecidos en la Constitución y las reglas derivadas de la jurisprudencia nacional e internacional respecto a los derechos de los pueblos indígenas y su rol como autoridades políticas, administrativas, ambientales y jurisdiccionales, en el ámbito de sus </w:t>
      </w:r>
      <w:r w:rsidRPr="00D93140">
        <w:rPr>
          <w:rFonts w:ascii="Times New Roman" w:hAnsi="Times New Roman"/>
          <w:sz w:val="28"/>
          <w:szCs w:val="28"/>
        </w:rPr>
        <w:t>competencias”.</w:t>
      </w:r>
    </w:p>
    <w:p w:rsidR="00237FFC" w:rsidRPr="00D93140" w:rsidRDefault="00D93140" w:rsidP="00237FFC">
      <w:pPr>
        <w:pStyle w:val="Prrafodelista"/>
        <w:tabs>
          <w:tab w:val="left" w:pos="284"/>
        </w:tabs>
        <w:ind w:left="0"/>
        <w:jc w:val="both"/>
        <w:rPr>
          <w:rFonts w:ascii="Times New Roman" w:hAnsi="Times New Roman"/>
          <w:sz w:val="28"/>
          <w:szCs w:val="28"/>
        </w:rPr>
      </w:pPr>
    </w:p>
    <w:p w:rsidR="00237FFC" w:rsidRPr="00D93140" w:rsidRDefault="00D93140" w:rsidP="00237FFC">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 xml:space="preserve">Respecto de </w:t>
      </w:r>
      <w:r w:rsidRPr="00D93140">
        <w:rPr>
          <w:rFonts w:ascii="Times New Roman" w:hAnsi="Times New Roman"/>
          <w:sz w:val="28"/>
          <w:szCs w:val="28"/>
        </w:rPr>
        <w:t>los terceros</w:t>
      </w:r>
      <w:r w:rsidRPr="00D93140">
        <w:rPr>
          <w:rFonts w:ascii="Times New Roman" w:hAnsi="Times New Roman"/>
          <w:sz w:val="28"/>
          <w:szCs w:val="28"/>
        </w:rPr>
        <w:t>, la Corte advierte que efectivamente les asiste razón a los demandantes, a algunos intervinientes y al Procurador General ya que es posible entender que, en virtud del deber de coordinación, las autoridades indígena</w:t>
      </w:r>
      <w:r w:rsidRPr="00D93140">
        <w:rPr>
          <w:rFonts w:ascii="Times New Roman" w:hAnsi="Times New Roman"/>
          <w:sz w:val="28"/>
          <w:szCs w:val="28"/>
        </w:rPr>
        <w:t xml:space="preserve">s quedan facultadas para sancionar a terceros que no hacen parte de sus comunidades, afectando el debido proceso de estos. No obstante, es necesario precisar, como bien lo anotó la Universidad </w:t>
      </w:r>
      <w:r w:rsidRPr="00D93140">
        <w:rPr>
          <w:rFonts w:ascii="Times New Roman" w:hAnsi="Times New Roman"/>
          <w:sz w:val="28"/>
          <w:szCs w:val="28"/>
        </w:rPr>
        <w:t>de Antioquia</w:t>
      </w:r>
      <w:r w:rsidRPr="00D93140">
        <w:rPr>
          <w:rFonts w:ascii="Times New Roman" w:hAnsi="Times New Roman"/>
          <w:sz w:val="28"/>
          <w:szCs w:val="28"/>
        </w:rPr>
        <w:t xml:space="preserve"> en su intervención, que el Decreto Ley 1275 de 202</w:t>
      </w:r>
      <w:r w:rsidRPr="00D93140">
        <w:rPr>
          <w:rFonts w:ascii="Times New Roman" w:hAnsi="Times New Roman"/>
          <w:sz w:val="28"/>
          <w:szCs w:val="28"/>
        </w:rPr>
        <w:t>4 no puede entenderse de forma aislada, sino en unidad con el resto de las normas que conforman el Sistema Nacional Ambiental SINA y los sistemas propios de las comunidades.</w:t>
      </w:r>
    </w:p>
    <w:p w:rsidR="006C45DC" w:rsidRPr="00D93140" w:rsidRDefault="00D93140" w:rsidP="006C45DC">
      <w:pPr>
        <w:pStyle w:val="Prrafodelista"/>
        <w:tabs>
          <w:tab w:val="left" w:pos="284"/>
        </w:tabs>
        <w:ind w:left="0"/>
        <w:jc w:val="both"/>
        <w:rPr>
          <w:rFonts w:ascii="Times New Roman" w:hAnsi="Times New Roman"/>
          <w:sz w:val="28"/>
          <w:szCs w:val="28"/>
        </w:rPr>
      </w:pPr>
    </w:p>
    <w:p w:rsidR="006C45DC" w:rsidRPr="00D93140" w:rsidRDefault="00D93140" w:rsidP="00472002">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E</w:t>
      </w:r>
      <w:r w:rsidRPr="00D93140">
        <w:rPr>
          <w:rFonts w:ascii="Times New Roman" w:hAnsi="Times New Roman"/>
          <w:sz w:val="28"/>
          <w:szCs w:val="28"/>
        </w:rPr>
        <w:t>s cierto que el artículo no señala las conductas objeto de sanción ni cuáles serán las sanciones a imponer, no obstante, ello no implica per sé una afectación o desconocimiento del debido proceso de las personas a investigar. En efecto, la norma acusada no</w:t>
      </w:r>
      <w:r w:rsidRPr="00D93140">
        <w:rPr>
          <w:rFonts w:ascii="Times New Roman" w:hAnsi="Times New Roman"/>
          <w:sz w:val="28"/>
          <w:szCs w:val="28"/>
        </w:rPr>
        <w:t xml:space="preserve"> es un estatuto sancionatorio y las competencias en ella otorgadas, como se indicó previamente, deben leerse en armonía con el ordenamiento jurídico y</w:t>
      </w:r>
      <w:r w:rsidRPr="00D93140">
        <w:rPr>
          <w:rFonts w:ascii="Times New Roman" w:hAnsi="Times New Roman"/>
          <w:sz w:val="28"/>
          <w:szCs w:val="28"/>
        </w:rPr>
        <w:t>,</w:t>
      </w:r>
      <w:r w:rsidRPr="00D93140">
        <w:rPr>
          <w:rFonts w:ascii="Times New Roman" w:hAnsi="Times New Roman"/>
          <w:sz w:val="28"/>
          <w:szCs w:val="28"/>
        </w:rPr>
        <w:t xml:space="preserve"> por tanto, seguirse por las normas sancionatorias ambientales como la Ley 1333 de 2009</w:t>
      </w:r>
      <w:r w:rsidRPr="00D93140">
        <w:rPr>
          <w:rFonts w:ascii="Times New Roman" w:hAnsi="Times New Roman"/>
          <w:sz w:val="28"/>
          <w:szCs w:val="28"/>
        </w:rPr>
        <w:t xml:space="preserve"> y la Ley 2387 de </w:t>
      </w:r>
      <w:r w:rsidRPr="00D93140">
        <w:rPr>
          <w:rFonts w:ascii="Times New Roman" w:hAnsi="Times New Roman"/>
          <w:sz w:val="28"/>
          <w:szCs w:val="28"/>
        </w:rPr>
        <w:t>2024 entre otras.</w:t>
      </w:r>
    </w:p>
    <w:p w:rsidR="006979C9" w:rsidRPr="00D93140" w:rsidRDefault="00D93140" w:rsidP="006C45DC">
      <w:pPr>
        <w:pStyle w:val="Prrafodelista"/>
        <w:tabs>
          <w:tab w:val="left" w:pos="284"/>
        </w:tabs>
        <w:ind w:left="0"/>
        <w:jc w:val="both"/>
        <w:rPr>
          <w:rFonts w:ascii="Times New Roman" w:hAnsi="Times New Roman"/>
          <w:sz w:val="28"/>
          <w:szCs w:val="28"/>
        </w:rPr>
      </w:pPr>
    </w:p>
    <w:p w:rsidR="00716441" w:rsidRPr="00D93140" w:rsidRDefault="00D93140" w:rsidP="00472002">
      <w:pPr>
        <w:pStyle w:val="Prrafodelista"/>
        <w:numPr>
          <w:ilvl w:val="0"/>
          <w:numId w:val="1"/>
        </w:numPr>
        <w:tabs>
          <w:tab w:val="left" w:pos="284"/>
        </w:tabs>
        <w:ind w:left="0" w:firstLine="0"/>
        <w:jc w:val="both"/>
        <w:rPr>
          <w:rFonts w:ascii="Times New Roman" w:hAnsi="Times New Roman"/>
          <w:sz w:val="28"/>
          <w:szCs w:val="28"/>
        </w:rPr>
      </w:pPr>
      <w:r w:rsidRPr="00D93140">
        <w:rPr>
          <w:rFonts w:ascii="Times New Roman" w:hAnsi="Times New Roman"/>
          <w:sz w:val="28"/>
          <w:szCs w:val="28"/>
        </w:rPr>
        <w:t xml:space="preserve">Ahora, en cuando a la posibilidad de que las autoridades indígenas puedan sancionar a personas que no hacen parte de sus comunidades, la Corte considera necesario </w:t>
      </w:r>
      <w:r w:rsidRPr="00D93140">
        <w:rPr>
          <w:rFonts w:ascii="Times New Roman" w:hAnsi="Times New Roman"/>
          <w:sz w:val="28"/>
          <w:szCs w:val="28"/>
        </w:rPr>
        <w:t xml:space="preserve">establecer que el deber de coordinación </w:t>
      </w:r>
      <w:r w:rsidRPr="00D93140">
        <w:rPr>
          <w:rFonts w:ascii="Times New Roman" w:hAnsi="Times New Roman"/>
          <w:sz w:val="28"/>
        </w:rPr>
        <w:t>no altera el régimen sancionatorio</w:t>
      </w:r>
      <w:r w:rsidRPr="00D93140">
        <w:rPr>
          <w:rFonts w:ascii="Times New Roman" w:hAnsi="Times New Roman"/>
          <w:sz w:val="28"/>
        </w:rPr>
        <w:t xml:space="preserve"> ambiental previsto en la legislación nacional</w:t>
      </w:r>
      <w:r w:rsidRPr="00D93140">
        <w:rPr>
          <w:rFonts w:ascii="Times New Roman" w:hAnsi="Times New Roman"/>
          <w:sz w:val="28"/>
        </w:rPr>
        <w:t>, no despoja a la autoridad ambiental estatal de sus facultades sancionatorias,</w:t>
      </w:r>
      <w:r w:rsidRPr="00D93140">
        <w:rPr>
          <w:rFonts w:ascii="Times New Roman" w:hAnsi="Times New Roman"/>
          <w:sz w:val="28"/>
        </w:rPr>
        <w:t xml:space="preserve"> ni transfiere competencias exclusivas a las autoridades indígenas para imponer sanciones ambientales por fuera de su competencia</w:t>
      </w:r>
      <w:r w:rsidRPr="00D93140">
        <w:rPr>
          <w:rFonts w:ascii="Times New Roman" w:hAnsi="Times New Roman"/>
          <w:sz w:val="28"/>
        </w:rPr>
        <w:t xml:space="preserve">, </w:t>
      </w:r>
      <w:r w:rsidRPr="00D93140">
        <w:rPr>
          <w:rFonts w:ascii="Times New Roman" w:hAnsi="Times New Roman"/>
          <w:sz w:val="28"/>
        </w:rPr>
        <w:t>sino que permite</w:t>
      </w:r>
      <w:r w:rsidRPr="00D93140">
        <w:rPr>
          <w:rFonts w:ascii="Times New Roman" w:hAnsi="Times New Roman"/>
          <w:sz w:val="28"/>
          <w:szCs w:val="28"/>
        </w:rPr>
        <w:t xml:space="preserve"> la articulación entre las autoridades ambientales y las autoridades indígenas en los casos en que las afectaciones al medio ambiente tengan incidencia directa sobre territorios indígenas en concordancia con lo dispuesto en el literal f del</w:t>
      </w:r>
      <w:r w:rsidRPr="00D93140">
        <w:rPr>
          <w:rFonts w:ascii="Times New Roman" w:hAnsi="Times New Roman"/>
          <w:sz w:val="28"/>
          <w:szCs w:val="28"/>
        </w:rPr>
        <w:t xml:space="preserve"> artículo 3 del Decreto 1275 de 2024.</w:t>
      </w:r>
    </w:p>
    <w:p w:rsidR="007049B6" w:rsidRPr="00D93140" w:rsidRDefault="00D93140" w:rsidP="007049B6">
      <w:pPr>
        <w:pStyle w:val="Prrafodelista"/>
        <w:tabs>
          <w:tab w:val="left" w:pos="284"/>
        </w:tabs>
        <w:ind w:left="0"/>
        <w:jc w:val="both"/>
        <w:rPr>
          <w:rFonts w:ascii="Times New Roman" w:hAnsi="Times New Roman"/>
          <w:sz w:val="28"/>
          <w:szCs w:val="28"/>
        </w:rPr>
      </w:pPr>
    </w:p>
    <w:p w:rsidR="003D5830" w:rsidRPr="00D93140" w:rsidRDefault="00D93140" w:rsidP="00472002">
      <w:pPr>
        <w:pStyle w:val="Prrafodelista"/>
        <w:numPr>
          <w:ilvl w:val="0"/>
          <w:numId w:val="1"/>
        </w:numPr>
        <w:tabs>
          <w:tab w:val="left" w:pos="284"/>
        </w:tabs>
        <w:ind w:left="0" w:firstLine="0"/>
        <w:jc w:val="both"/>
        <w:rPr>
          <w:rFonts w:ascii="Times New Roman" w:hAnsi="Times New Roman"/>
          <w:sz w:val="28"/>
          <w:szCs w:val="28"/>
          <w:u w:color="000000"/>
          <w:bdr w:val="nil"/>
        </w:rPr>
      </w:pPr>
      <w:r w:rsidRPr="00D93140">
        <w:rPr>
          <w:rFonts w:ascii="Times New Roman" w:hAnsi="Times New Roman"/>
          <w:sz w:val="28"/>
          <w:szCs w:val="28"/>
        </w:rPr>
        <w:t xml:space="preserve">En </w:t>
      </w:r>
      <w:r w:rsidRPr="00D93140">
        <w:rPr>
          <w:rFonts w:ascii="Times New Roman" w:hAnsi="Times New Roman"/>
          <w:sz w:val="28"/>
          <w:szCs w:val="28"/>
        </w:rPr>
        <w:t xml:space="preserve">este escenario, </w:t>
      </w:r>
      <w:r w:rsidRPr="00D93140">
        <w:rPr>
          <w:rFonts w:ascii="Times New Roman" w:hAnsi="Times New Roman"/>
          <w:sz w:val="28"/>
          <w:szCs w:val="28"/>
        </w:rPr>
        <w:t xml:space="preserve">la expresión “sanciones y” contenida en la norma objeto de estudio </w:t>
      </w:r>
      <w:r w:rsidRPr="00D93140">
        <w:rPr>
          <w:rFonts w:ascii="Times New Roman" w:hAnsi="Times New Roman"/>
          <w:sz w:val="28"/>
          <w:szCs w:val="28"/>
        </w:rPr>
        <w:t xml:space="preserve">debe entenderse </w:t>
      </w:r>
      <w:r w:rsidRPr="00D93140">
        <w:rPr>
          <w:rFonts w:ascii="Times New Roman" w:hAnsi="Times New Roman"/>
          <w:sz w:val="28"/>
          <w:szCs w:val="28"/>
        </w:rPr>
        <w:t xml:space="preserve">en el sentido en que </w:t>
      </w:r>
      <w:r w:rsidRPr="00D93140">
        <w:rPr>
          <w:rFonts w:ascii="Times New Roman" w:hAnsi="Times New Roman"/>
          <w:sz w:val="28"/>
          <w:szCs w:val="28"/>
        </w:rPr>
        <w:t xml:space="preserve">serán </w:t>
      </w:r>
      <w:r w:rsidRPr="00D93140">
        <w:rPr>
          <w:rFonts w:ascii="Times New Roman" w:hAnsi="Times New Roman"/>
          <w:sz w:val="28"/>
          <w:szCs w:val="28"/>
          <w:u w:color="000000"/>
          <w:bdr w:val="nil"/>
        </w:rPr>
        <w:t xml:space="preserve">las autoridades ambientales, distintas a las indígenas, las facultadas para adelantar todo el procedimiento sancionatorio ambiental y sancionar a </w:t>
      </w:r>
      <w:r w:rsidRPr="00D93140">
        <w:rPr>
          <w:rFonts w:ascii="Times New Roman" w:hAnsi="Times New Roman"/>
          <w:sz w:val="28"/>
          <w:szCs w:val="28"/>
          <w:u w:color="000000"/>
          <w:bdr w:val="nil"/>
        </w:rPr>
        <w:t xml:space="preserve">aquellos infractores que no hagan parte de las comunidades indígenas, garantizando así el respeto por el juez </w:t>
      </w:r>
      <w:r w:rsidRPr="00D93140">
        <w:rPr>
          <w:rFonts w:ascii="Times New Roman" w:hAnsi="Times New Roman"/>
          <w:sz w:val="28"/>
          <w:szCs w:val="28"/>
          <w:u w:color="000000"/>
          <w:bdr w:val="nil"/>
        </w:rPr>
        <w:t xml:space="preserve">natural. </w:t>
      </w:r>
      <w:r w:rsidRPr="00D93140">
        <w:rPr>
          <w:rFonts w:ascii="Times New Roman" w:hAnsi="Times New Roman"/>
          <w:sz w:val="28"/>
          <w:szCs w:val="28"/>
          <w:u w:color="000000"/>
          <w:bdr w:val="nil"/>
        </w:rPr>
        <w:t xml:space="preserve">Así mismo, para garantizar </w:t>
      </w:r>
      <w:r w:rsidRPr="00D93140">
        <w:rPr>
          <w:rFonts w:ascii="Times New Roman" w:hAnsi="Times New Roman"/>
          <w:sz w:val="28"/>
          <w:szCs w:val="28"/>
          <w:u w:color="000000"/>
          <w:bdr w:val="nil"/>
        </w:rPr>
        <w:t>la participación de las autoridades indígenas y el desarrollo del principio de coordinación entre autoridades</w:t>
      </w:r>
      <w:r w:rsidRPr="00D93140">
        <w:rPr>
          <w:rFonts w:ascii="Times New Roman" w:hAnsi="Times New Roman"/>
          <w:sz w:val="28"/>
          <w:szCs w:val="28"/>
          <w:u w:color="000000"/>
          <w:bdr w:val="nil"/>
        </w:rPr>
        <w:t>, las autoridades ambientales competentes al proceder a la imposición de la respectiva sanción o medida compens</w:t>
      </w:r>
      <w:r w:rsidRPr="00D93140">
        <w:rPr>
          <w:rFonts w:ascii="Times New Roman" w:hAnsi="Times New Roman"/>
          <w:sz w:val="28"/>
          <w:szCs w:val="28"/>
          <w:u w:color="000000"/>
          <w:bdr w:val="nil"/>
        </w:rPr>
        <w:t>atoria a que haya lugar, previa coordinación con las autoridades indígenas respectivas, deberán regirse por las disposiciones legales que regulan el régimen sancionatorio ambiental previsto en el ordenamiento jurídico.</w:t>
      </w:r>
      <w:r w:rsidRPr="00D93140">
        <w:rPr>
          <w:rFonts w:ascii="Times New Roman" w:hAnsi="Times New Roman"/>
          <w:sz w:val="28"/>
          <w:szCs w:val="28"/>
          <w:u w:color="000000"/>
          <w:bdr w:val="nil"/>
        </w:rPr>
        <w:t xml:space="preserve"> </w:t>
      </w:r>
    </w:p>
    <w:p w:rsidR="003D5830" w:rsidRPr="00D93140" w:rsidRDefault="00D93140" w:rsidP="003D5830">
      <w:pPr>
        <w:pStyle w:val="Prrafodelista"/>
        <w:tabs>
          <w:tab w:val="left" w:pos="284"/>
        </w:tabs>
        <w:ind w:left="0"/>
        <w:jc w:val="both"/>
        <w:rPr>
          <w:rFonts w:ascii="Times New Roman" w:hAnsi="Times New Roman"/>
          <w:sz w:val="28"/>
          <w:szCs w:val="28"/>
          <w:u w:color="000000"/>
          <w:bdr w:val="nil"/>
        </w:rPr>
      </w:pPr>
    </w:p>
    <w:p w:rsidR="008A4483" w:rsidRPr="00D93140" w:rsidRDefault="00D93140" w:rsidP="00472002">
      <w:pPr>
        <w:pStyle w:val="Prrafodelista"/>
        <w:numPr>
          <w:ilvl w:val="0"/>
          <w:numId w:val="1"/>
        </w:numPr>
        <w:tabs>
          <w:tab w:val="left" w:pos="284"/>
        </w:tabs>
        <w:ind w:left="0" w:firstLine="0"/>
        <w:jc w:val="both"/>
        <w:rPr>
          <w:rFonts w:ascii="Times New Roman" w:hAnsi="Times New Roman"/>
          <w:sz w:val="28"/>
          <w:szCs w:val="28"/>
          <w:u w:color="000000"/>
          <w:bdr w:val="nil"/>
        </w:rPr>
      </w:pPr>
      <w:r w:rsidRPr="00D93140">
        <w:rPr>
          <w:rFonts w:ascii="Times New Roman" w:hAnsi="Times New Roman"/>
          <w:sz w:val="28"/>
          <w:szCs w:val="28"/>
          <w:u w:color="000000"/>
          <w:bdr w:val="nil"/>
        </w:rPr>
        <w:t xml:space="preserve">En consecuencia, </w:t>
      </w:r>
      <w:r w:rsidRPr="00D93140">
        <w:rPr>
          <w:rFonts w:ascii="Times New Roman" w:hAnsi="Times New Roman"/>
          <w:sz w:val="28"/>
          <w:szCs w:val="28"/>
          <w:u w:color="000000"/>
          <w:bdr w:val="nil"/>
        </w:rPr>
        <w:t>ante las distintas</w:t>
      </w:r>
      <w:r w:rsidRPr="00D93140">
        <w:rPr>
          <w:rFonts w:ascii="Times New Roman" w:hAnsi="Times New Roman"/>
          <w:sz w:val="28"/>
          <w:szCs w:val="28"/>
          <w:u w:color="000000"/>
          <w:bdr w:val="nil"/>
        </w:rPr>
        <w:t xml:space="preserve"> lecturas que pueden derivarse de la redacción de norma y </w:t>
      </w:r>
      <w:r w:rsidRPr="00D93140">
        <w:rPr>
          <w:rFonts w:ascii="Times New Roman" w:hAnsi="Times New Roman"/>
          <w:sz w:val="28"/>
          <w:szCs w:val="28"/>
          <w:u w:color="000000"/>
          <w:bdr w:val="nil"/>
        </w:rPr>
        <w:t xml:space="preserve">para lograr armonizar la disposición cuestionada con el ordenamiento constitucional </w:t>
      </w:r>
      <w:r w:rsidRPr="00D93140">
        <w:rPr>
          <w:rFonts w:ascii="Times New Roman" w:hAnsi="Times New Roman"/>
          <w:sz w:val="28"/>
          <w:szCs w:val="28"/>
          <w:u w:color="000000"/>
          <w:bdr w:val="nil"/>
        </w:rPr>
        <w:t xml:space="preserve">la Sala Plena declarará exequible la expresión “sanciones y” contenida en el numeral 3 del artículo 6 del Decreto 1275 de 2024 </w:t>
      </w:r>
      <w:r w:rsidRPr="00D93140">
        <w:rPr>
          <w:rFonts w:ascii="Times New Roman" w:hAnsi="Times New Roman"/>
          <w:sz w:val="28"/>
          <w:szCs w:val="28"/>
          <w:u w:color="000000"/>
          <w:bdr w:val="nil"/>
        </w:rPr>
        <w:t xml:space="preserve">en el entendido que </w:t>
      </w:r>
      <w:r w:rsidRPr="00D93140">
        <w:rPr>
          <w:rFonts w:ascii="Times New Roman" w:hAnsi="Times New Roman"/>
          <w:sz w:val="28"/>
          <w:szCs w:val="28"/>
          <w:u w:color="000000"/>
          <w:bdr w:val="nil"/>
        </w:rPr>
        <w:t>i) las autoridades indígenas no podrán imponer sanciones a personas que no integran sus comunidades y ii) que</w:t>
      </w:r>
      <w:r w:rsidRPr="00D93140">
        <w:rPr>
          <w:rFonts w:ascii="Times New Roman" w:hAnsi="Times New Roman"/>
          <w:sz w:val="28"/>
          <w:szCs w:val="28"/>
          <w:u w:color="000000"/>
          <w:bdr w:val="nil"/>
        </w:rPr>
        <w:t xml:space="preserve"> las autoridades ambientales competentes al proceder a su imposición, previa coordinación con las autoridades indígenas respectivas, deberán regirse por las disposiciones legales que regulan el régimen sancionatorio ambiental.</w:t>
      </w:r>
    </w:p>
    <w:p w:rsidR="003A059D" w:rsidRPr="00D93140" w:rsidRDefault="00D93140" w:rsidP="003A059D">
      <w:pPr>
        <w:pStyle w:val="Prrafodelista"/>
        <w:tabs>
          <w:tab w:val="left" w:pos="284"/>
        </w:tabs>
        <w:ind w:left="0"/>
        <w:jc w:val="both"/>
        <w:rPr>
          <w:rFonts w:ascii="Times New Roman" w:hAnsi="Times New Roman"/>
          <w:sz w:val="28"/>
          <w:szCs w:val="28"/>
          <w:u w:color="000000"/>
          <w:bdr w:val="nil"/>
        </w:rPr>
      </w:pPr>
    </w:p>
    <w:p w:rsidR="004636ED" w:rsidRPr="00D93140" w:rsidRDefault="00D93140" w:rsidP="007E084C">
      <w:pPr>
        <w:pStyle w:val="Ttulo4"/>
        <w:rPr>
          <w:rFonts w:ascii="Times New Roman" w:hAnsi="Times New Roman"/>
          <w:sz w:val="28"/>
          <w:u w:color="000000"/>
          <w:bdr w:val="nil"/>
        </w:rPr>
      </w:pPr>
      <w:r w:rsidRPr="00D93140">
        <w:rPr>
          <w:rFonts w:ascii="Times New Roman" w:hAnsi="Times New Roman"/>
          <w:sz w:val="28"/>
          <w:u w:color="000000"/>
          <w:bdr w:val="nil"/>
        </w:rPr>
        <w:t>5</w:t>
      </w:r>
      <w:r w:rsidRPr="00D93140">
        <w:rPr>
          <w:rFonts w:ascii="Times New Roman" w:hAnsi="Times New Roman"/>
          <w:sz w:val="28"/>
          <w:u w:color="000000"/>
          <w:bdr w:val="nil"/>
        </w:rPr>
        <w:t xml:space="preserve">.4. Análisis del cargo por </w:t>
      </w:r>
      <w:r w:rsidRPr="00D93140">
        <w:rPr>
          <w:rFonts w:ascii="Times New Roman" w:hAnsi="Times New Roman"/>
          <w:sz w:val="28"/>
          <w:u w:color="000000"/>
          <w:bdr w:val="nil"/>
        </w:rPr>
        <w:t>la presunta vulneración de los artículos 150.7, 325 y 331 de la Constitución Política, por desconocimiento del régimen de autonomía de las Corporaciones Autónomas Regionales</w:t>
      </w:r>
    </w:p>
    <w:p w:rsidR="004636ED" w:rsidRPr="00D93140" w:rsidRDefault="00D93140" w:rsidP="00E04174">
      <w:pPr>
        <w:jc w:val="both"/>
        <w:rPr>
          <w:rFonts w:ascii="Times New Roman" w:hAnsi="Times New Roman"/>
          <w:sz w:val="28"/>
          <w:szCs w:val="28"/>
          <w:u w:color="000000"/>
          <w:bdr w:val="nil"/>
        </w:rPr>
      </w:pPr>
    </w:p>
    <w:p w:rsidR="00284BAC"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El accionante considera que el artículo 5 del Decreto 1275 de 2024 desconoce el r</w:t>
      </w:r>
      <w:r w:rsidRPr="00D93140">
        <w:rPr>
          <w:rFonts w:ascii="Times New Roman" w:hAnsi="Times New Roman"/>
          <w:sz w:val="28"/>
          <w:szCs w:val="28"/>
        </w:rPr>
        <w:t>égimen de autonomía de las Corporaciones Autónomas Regionales</w:t>
      </w:r>
      <w:r w:rsidRPr="00D93140">
        <w:rPr>
          <w:rFonts w:ascii="Times New Roman" w:hAnsi="Times New Roman"/>
          <w:sz w:val="28"/>
          <w:szCs w:val="28"/>
        </w:rPr>
        <w:t xml:space="preserve"> al otorgarle competencias exclusivas y excluyentes a las autoridades indígenas dentro </w:t>
      </w:r>
      <w:r w:rsidRPr="00D93140">
        <w:rPr>
          <w:rFonts w:ascii="Times New Roman" w:hAnsi="Times New Roman"/>
          <w:sz w:val="28"/>
          <w:szCs w:val="28"/>
        </w:rPr>
        <w:t xml:space="preserve">y fuera </w:t>
      </w:r>
      <w:r w:rsidRPr="00D93140">
        <w:rPr>
          <w:rFonts w:ascii="Times New Roman" w:hAnsi="Times New Roman"/>
          <w:sz w:val="28"/>
          <w:szCs w:val="28"/>
        </w:rPr>
        <w:t xml:space="preserve">de sus territorios, dejando los mecanismos de coordinación para aquellos casos en los que se supere </w:t>
      </w:r>
      <w:r w:rsidRPr="00D93140">
        <w:rPr>
          <w:rFonts w:ascii="Times New Roman" w:hAnsi="Times New Roman"/>
          <w:sz w:val="28"/>
          <w:szCs w:val="28"/>
        </w:rPr>
        <w:t>el ámbito de aplicación fijado en el decreto.</w:t>
      </w:r>
    </w:p>
    <w:p w:rsidR="001932CE" w:rsidRPr="00D93140" w:rsidRDefault="00D93140" w:rsidP="00E04174">
      <w:pPr>
        <w:pStyle w:val="Prrafodelista"/>
        <w:ind w:left="0"/>
        <w:jc w:val="both"/>
        <w:rPr>
          <w:rFonts w:ascii="Times New Roman" w:hAnsi="Times New Roman"/>
          <w:sz w:val="28"/>
          <w:szCs w:val="28"/>
        </w:rPr>
      </w:pPr>
    </w:p>
    <w:p w:rsidR="001932CE" w:rsidRPr="00D93140" w:rsidRDefault="00D93140" w:rsidP="00F06121">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En este caso, resulta evidente que la norma efectivamente cercena la posibilidad de actuación de las CAR dentro </w:t>
      </w:r>
      <w:r w:rsidRPr="00D93140">
        <w:rPr>
          <w:rFonts w:ascii="Times New Roman" w:hAnsi="Times New Roman"/>
          <w:sz w:val="28"/>
          <w:szCs w:val="28"/>
        </w:rPr>
        <w:t xml:space="preserve">y fuera </w:t>
      </w:r>
      <w:r w:rsidRPr="00D93140">
        <w:rPr>
          <w:rFonts w:ascii="Times New Roman" w:hAnsi="Times New Roman"/>
          <w:sz w:val="28"/>
          <w:szCs w:val="28"/>
        </w:rPr>
        <w:t>de los territorios indígenas señalados en el artículo 4 del decreto.</w:t>
      </w:r>
      <w:r w:rsidRPr="00D93140">
        <w:rPr>
          <w:rFonts w:ascii="Times New Roman" w:hAnsi="Times New Roman"/>
          <w:sz w:val="28"/>
          <w:szCs w:val="28"/>
        </w:rPr>
        <w:t xml:space="preserve"> La redacción de la norma permite comprender que la determinación de mecanismos directos que permitan la aplicación de los principios de coordinación, concurrencia, complementariedad y subsidiariedad para garantizar la protección de los ecosistemas y terri</w:t>
      </w:r>
      <w:r w:rsidRPr="00D93140">
        <w:rPr>
          <w:rFonts w:ascii="Times New Roman" w:hAnsi="Times New Roman"/>
          <w:sz w:val="28"/>
          <w:szCs w:val="28"/>
        </w:rPr>
        <w:t>torios solo resulta procedente en los casos en los que se supere el ámbito de aplicación del Decreto 1275 de 2024 y concurran competencias ambientales</w:t>
      </w:r>
      <w:r w:rsidRPr="00D93140">
        <w:rPr>
          <w:rFonts w:ascii="Times New Roman" w:hAnsi="Times New Roman"/>
          <w:sz w:val="28"/>
          <w:szCs w:val="28"/>
        </w:rPr>
        <w:t>, es decir, por fuera de dichos territorios</w:t>
      </w:r>
      <w:r w:rsidRPr="00D93140">
        <w:rPr>
          <w:rFonts w:ascii="Times New Roman" w:hAnsi="Times New Roman"/>
          <w:sz w:val="28"/>
          <w:szCs w:val="28"/>
        </w:rPr>
        <w:t xml:space="preserve">. En consecuencia, en los territorios indígenas en los que </w:t>
      </w:r>
      <w:r w:rsidRPr="00D93140">
        <w:rPr>
          <w:rFonts w:ascii="Times New Roman" w:hAnsi="Times New Roman"/>
          <w:sz w:val="28"/>
          <w:szCs w:val="28"/>
        </w:rPr>
        <w:t>opere dicho decreto no intervienen las autoridades ambientales distintas a las indígenas, entre ellas, las CAR.</w:t>
      </w:r>
    </w:p>
    <w:p w:rsidR="00284BAC" w:rsidRPr="00D93140" w:rsidRDefault="00D93140" w:rsidP="00E04174">
      <w:pPr>
        <w:pStyle w:val="Prrafodelista"/>
        <w:ind w:left="0"/>
        <w:jc w:val="both"/>
        <w:rPr>
          <w:rFonts w:ascii="Times New Roman" w:hAnsi="Times New Roman"/>
          <w:sz w:val="28"/>
          <w:szCs w:val="28"/>
        </w:rPr>
      </w:pPr>
    </w:p>
    <w:p w:rsidR="003F658A" w:rsidRPr="00D93140" w:rsidRDefault="00D93140" w:rsidP="003F658A">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E</w:t>
      </w:r>
      <w:r w:rsidRPr="00D93140">
        <w:rPr>
          <w:rFonts w:ascii="Times New Roman" w:hAnsi="Times New Roman"/>
          <w:bCs/>
          <w:sz w:val="28"/>
          <w:szCs w:val="28"/>
        </w:rPr>
        <w:t xml:space="preserve">n </w:t>
      </w:r>
      <w:r w:rsidRPr="00D93140">
        <w:rPr>
          <w:rFonts w:ascii="Times New Roman" w:hAnsi="Times New Roman"/>
          <w:bCs/>
          <w:sz w:val="28"/>
          <w:szCs w:val="28"/>
        </w:rPr>
        <w:t>materia de protección ambiental, como se indicó anteriormente</w:t>
      </w:r>
      <w:r w:rsidRPr="00D93140">
        <w:rPr>
          <w:rStyle w:val="Refdenotaalpie"/>
          <w:rFonts w:ascii="Times New Roman" w:hAnsi="Times New Roman"/>
          <w:bCs/>
          <w:sz w:val="28"/>
          <w:szCs w:val="28"/>
        </w:rPr>
        <w:footnoteReference w:id="98"/>
      </w:r>
      <w:r w:rsidRPr="00D93140">
        <w:rPr>
          <w:rFonts w:ascii="Times New Roman" w:hAnsi="Times New Roman"/>
          <w:bCs/>
          <w:sz w:val="28"/>
          <w:szCs w:val="28"/>
        </w:rPr>
        <w:t xml:space="preserve">, </w:t>
      </w:r>
      <w:r w:rsidRPr="00D93140">
        <w:rPr>
          <w:rFonts w:ascii="Times New Roman" w:hAnsi="Times New Roman"/>
          <w:bCs/>
          <w:sz w:val="28"/>
          <w:szCs w:val="28"/>
        </w:rPr>
        <w:t>existen competencias normativas concurrentes entre el poder central y las au</w:t>
      </w:r>
      <w:r w:rsidRPr="00D93140">
        <w:rPr>
          <w:rFonts w:ascii="Times New Roman" w:hAnsi="Times New Roman"/>
          <w:bCs/>
          <w:sz w:val="28"/>
          <w:szCs w:val="28"/>
        </w:rPr>
        <w:t xml:space="preserve">toridades locales de modo que la competencia de los municipios y </w:t>
      </w:r>
      <w:r w:rsidRPr="00D93140">
        <w:rPr>
          <w:rFonts w:ascii="Times New Roman" w:hAnsi="Times New Roman"/>
          <w:bCs/>
          <w:sz w:val="28"/>
          <w:szCs w:val="28"/>
        </w:rPr>
        <w:t xml:space="preserve">de </w:t>
      </w:r>
      <w:r w:rsidRPr="00D93140">
        <w:rPr>
          <w:rFonts w:ascii="Times New Roman" w:hAnsi="Times New Roman"/>
          <w:bCs/>
          <w:sz w:val="28"/>
          <w:szCs w:val="28"/>
        </w:rPr>
        <w:t>las autoridades indígenas en relación con el patrimonio ecológico local no es exclusiva sino concurrente con la normatividad nacional, es decir, que las competencias autónomas de las entid</w:t>
      </w:r>
      <w:r w:rsidRPr="00D93140">
        <w:rPr>
          <w:rFonts w:ascii="Times New Roman" w:hAnsi="Times New Roman"/>
          <w:bCs/>
          <w:sz w:val="28"/>
          <w:szCs w:val="28"/>
        </w:rPr>
        <w:t>ades territoriales y de los territorios indígenas deben ejercerse dentro de los límites de la ley.</w:t>
      </w:r>
    </w:p>
    <w:p w:rsidR="003F658A" w:rsidRPr="00D93140" w:rsidRDefault="00D93140" w:rsidP="003F658A">
      <w:pPr>
        <w:pStyle w:val="Prrafodelista"/>
        <w:ind w:left="0"/>
        <w:jc w:val="both"/>
        <w:rPr>
          <w:rFonts w:ascii="Times New Roman" w:hAnsi="Times New Roman"/>
          <w:bCs/>
          <w:sz w:val="28"/>
          <w:szCs w:val="28"/>
        </w:rPr>
      </w:pPr>
    </w:p>
    <w:p w:rsidR="00F34A34" w:rsidRPr="00D93140" w:rsidRDefault="00D93140" w:rsidP="008F4CBF">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Con excepción de la Corporación Autónoma Regional del Rio Grande de la Magdalena, se reitera que el régimen de autonomía previsto para las Corporaciones Aut</w:t>
      </w:r>
      <w:r w:rsidRPr="00D93140">
        <w:rPr>
          <w:rFonts w:ascii="Times New Roman" w:hAnsi="Times New Roman"/>
          <w:bCs/>
          <w:sz w:val="28"/>
          <w:szCs w:val="28"/>
        </w:rPr>
        <w:t xml:space="preserve">ónomas Regionales creadas por mandato legal se deriva del artículo 150.7 de la Constitución, que delegó en el legislador el contenido del núcleo esencial de su autonomía. En ese contexto, el marco de actuación de estas entidades </w:t>
      </w:r>
      <w:r w:rsidRPr="00D93140">
        <w:rPr>
          <w:rFonts w:ascii="Times New Roman" w:hAnsi="Times New Roman"/>
          <w:bCs/>
          <w:sz w:val="28"/>
          <w:szCs w:val="28"/>
        </w:rPr>
        <w:t>se halla sujeto al amplio m</w:t>
      </w:r>
      <w:r w:rsidRPr="00D93140">
        <w:rPr>
          <w:rFonts w:ascii="Times New Roman" w:hAnsi="Times New Roman"/>
          <w:bCs/>
          <w:sz w:val="28"/>
          <w:szCs w:val="28"/>
        </w:rPr>
        <w:t xml:space="preserve">argen de configuración del Legislador, </w:t>
      </w:r>
      <w:r w:rsidRPr="00D93140">
        <w:rPr>
          <w:rFonts w:ascii="Times New Roman" w:hAnsi="Times New Roman"/>
          <w:bCs/>
          <w:sz w:val="28"/>
          <w:szCs w:val="28"/>
        </w:rPr>
        <w:t>quien,</w:t>
      </w:r>
      <w:r w:rsidRPr="00D93140">
        <w:rPr>
          <w:rFonts w:ascii="Times New Roman" w:hAnsi="Times New Roman"/>
          <w:bCs/>
          <w:sz w:val="28"/>
          <w:szCs w:val="28"/>
        </w:rPr>
        <w:t xml:space="preserve"> en aras de armonizar las funciones de las autoridades ambientales, puede </w:t>
      </w:r>
      <w:r w:rsidRPr="00D93140">
        <w:rPr>
          <w:rFonts w:ascii="Times New Roman" w:hAnsi="Times New Roman"/>
          <w:bCs/>
          <w:sz w:val="28"/>
          <w:szCs w:val="28"/>
        </w:rPr>
        <w:t>“</w:t>
      </w:r>
      <w:r w:rsidRPr="00D93140">
        <w:rPr>
          <w:rFonts w:ascii="Times New Roman" w:hAnsi="Times New Roman"/>
          <w:bCs/>
          <w:sz w:val="28"/>
          <w:szCs w:val="28"/>
        </w:rPr>
        <w:t>(i) limitar la facultad de las corporaciones de expedir regulaciones ambientales complementarias aplicables a su jurisdicción y (ii) ado</w:t>
      </w:r>
      <w:r w:rsidRPr="00D93140">
        <w:rPr>
          <w:rFonts w:ascii="Times New Roman" w:hAnsi="Times New Roman"/>
          <w:bCs/>
          <w:sz w:val="28"/>
          <w:szCs w:val="28"/>
        </w:rPr>
        <w:t>ptar pautas o reglas generales a las que deben sujetarse estos entes corporativos para el desarrollo de sus atribuciones</w:t>
      </w:r>
      <w:r w:rsidRPr="00D93140">
        <w:rPr>
          <w:rFonts w:ascii="Times New Roman" w:hAnsi="Times New Roman"/>
          <w:bCs/>
          <w:sz w:val="28"/>
          <w:szCs w:val="28"/>
        </w:rPr>
        <w:t>”</w:t>
      </w:r>
      <w:r w:rsidRPr="00D93140">
        <w:rPr>
          <w:rStyle w:val="Refdenotaalpie"/>
          <w:rFonts w:ascii="Times New Roman" w:hAnsi="Times New Roman"/>
          <w:bCs/>
          <w:sz w:val="28"/>
          <w:szCs w:val="28"/>
        </w:rPr>
        <w:footnoteReference w:id="99"/>
      </w:r>
      <w:r w:rsidRPr="00D93140">
        <w:rPr>
          <w:rFonts w:ascii="Times New Roman" w:hAnsi="Times New Roman"/>
          <w:bCs/>
          <w:sz w:val="28"/>
          <w:szCs w:val="28"/>
        </w:rPr>
        <w:t>.</w:t>
      </w:r>
    </w:p>
    <w:p w:rsidR="00F34A34" w:rsidRPr="00D93140" w:rsidRDefault="00D93140" w:rsidP="00F34A34">
      <w:pPr>
        <w:pStyle w:val="Prrafodelista"/>
        <w:ind w:left="0"/>
        <w:jc w:val="both"/>
        <w:rPr>
          <w:rFonts w:ascii="Times New Roman" w:hAnsi="Times New Roman"/>
          <w:bCs/>
          <w:sz w:val="28"/>
          <w:szCs w:val="28"/>
        </w:rPr>
      </w:pPr>
    </w:p>
    <w:p w:rsidR="008F4CBF" w:rsidRPr="00D93140" w:rsidRDefault="00D93140" w:rsidP="008F4CBF">
      <w:pPr>
        <w:pStyle w:val="Prrafodelista"/>
        <w:numPr>
          <w:ilvl w:val="0"/>
          <w:numId w:val="1"/>
        </w:numPr>
        <w:ind w:left="0" w:firstLine="0"/>
        <w:jc w:val="both"/>
        <w:rPr>
          <w:rFonts w:ascii="Times New Roman" w:hAnsi="Times New Roman"/>
          <w:bCs/>
          <w:sz w:val="28"/>
          <w:szCs w:val="28"/>
        </w:rPr>
      </w:pPr>
      <w:r w:rsidRPr="00D93140">
        <w:rPr>
          <w:rFonts w:ascii="Times New Roman" w:hAnsi="Times New Roman"/>
          <w:bCs/>
          <w:sz w:val="28"/>
          <w:szCs w:val="28"/>
        </w:rPr>
        <w:t xml:space="preserve">Sin </w:t>
      </w:r>
      <w:r w:rsidRPr="00D93140">
        <w:rPr>
          <w:rFonts w:ascii="Times New Roman" w:hAnsi="Times New Roman"/>
          <w:bCs/>
          <w:sz w:val="28"/>
          <w:szCs w:val="28"/>
        </w:rPr>
        <w:t>perjuicio de lo expuesto, la jurisprudencia ha señalado que este p</w:t>
      </w:r>
      <w:r w:rsidRPr="00D93140">
        <w:rPr>
          <w:rFonts w:ascii="Times New Roman" w:hAnsi="Times New Roman"/>
          <w:bCs/>
          <w:sz w:val="28"/>
          <w:szCs w:val="28"/>
        </w:rPr>
        <w:t>oder de configuración no es ilimitado, por lo que más allá de</w:t>
      </w:r>
      <w:r w:rsidRPr="00D93140">
        <w:rPr>
          <w:rFonts w:ascii="Times New Roman" w:hAnsi="Times New Roman"/>
          <w:bCs/>
          <w:sz w:val="28"/>
          <w:szCs w:val="28"/>
        </w:rPr>
        <w:t xml:space="preserve">l examen de las restricciones que se impongan conforme con el juicio de proporcionalidad, la articulación de las funciones de las corporaciones y de las autoridades ambientales del orden nacional </w:t>
      </w:r>
      <w:r w:rsidRPr="00D93140">
        <w:rPr>
          <w:rFonts w:ascii="Times New Roman" w:hAnsi="Times New Roman"/>
          <w:bCs/>
          <w:sz w:val="28"/>
          <w:szCs w:val="28"/>
        </w:rPr>
        <w:t>“</w:t>
      </w:r>
      <w:r w:rsidRPr="00D93140">
        <w:rPr>
          <w:rFonts w:ascii="Times New Roman" w:hAnsi="Times New Roman"/>
          <w:bCs/>
          <w:sz w:val="28"/>
          <w:szCs w:val="28"/>
        </w:rPr>
        <w:t>(a) no puede anular la función constitucional de protección</w:t>
      </w:r>
      <w:r w:rsidRPr="00D93140">
        <w:rPr>
          <w:rFonts w:ascii="Times New Roman" w:hAnsi="Times New Roman"/>
          <w:bCs/>
          <w:sz w:val="28"/>
          <w:szCs w:val="28"/>
        </w:rPr>
        <w:t xml:space="preserve"> ambienta</w:t>
      </w:r>
      <w:r w:rsidRPr="00D93140">
        <w:rPr>
          <w:rFonts w:ascii="Times New Roman" w:hAnsi="Times New Roman"/>
          <w:bCs/>
          <w:sz w:val="28"/>
          <w:szCs w:val="28"/>
        </w:rPr>
        <w:t>l a cargo de dichos entes; (b) ‘</w:t>
      </w:r>
      <w:r w:rsidRPr="00D93140">
        <w:rPr>
          <w:rFonts w:ascii="Times New Roman" w:hAnsi="Times New Roman"/>
          <w:bCs/>
          <w:sz w:val="28"/>
          <w:szCs w:val="28"/>
        </w:rPr>
        <w:t>debe respetar un mínimo de autonomía en el ejercicio de las funciones legales de las corporaciones</w:t>
      </w:r>
      <w:r w:rsidRPr="00D93140">
        <w:rPr>
          <w:rFonts w:ascii="Times New Roman" w:hAnsi="Times New Roman"/>
          <w:bCs/>
          <w:sz w:val="28"/>
          <w:szCs w:val="28"/>
        </w:rPr>
        <w:t xml:space="preserve">’; y (c) </w:t>
      </w:r>
      <w:r w:rsidRPr="00D93140">
        <w:rPr>
          <w:rFonts w:ascii="Times New Roman" w:hAnsi="Times New Roman"/>
          <w:bCs/>
          <w:sz w:val="28"/>
          <w:szCs w:val="28"/>
        </w:rPr>
        <w:t>no puede implicar una desmejora en la salvaguarda de los ecosistemas que estén bajo la jurisdicción de estas</w:t>
      </w:r>
      <w:r w:rsidRPr="00D93140">
        <w:rPr>
          <w:rFonts w:ascii="Times New Roman" w:hAnsi="Times New Roman"/>
          <w:bCs/>
          <w:sz w:val="28"/>
          <w:szCs w:val="28"/>
        </w:rPr>
        <w:t xml:space="preserve"> entidades</w:t>
      </w:r>
      <w:r w:rsidRPr="00D93140">
        <w:rPr>
          <w:rFonts w:ascii="Times New Roman" w:hAnsi="Times New Roman"/>
          <w:bCs/>
          <w:sz w:val="28"/>
          <w:szCs w:val="28"/>
        </w:rPr>
        <w:t>’</w:t>
      </w:r>
      <w:r w:rsidRPr="00D93140">
        <w:rPr>
          <w:rStyle w:val="Refdenotaalpie"/>
          <w:rFonts w:ascii="Times New Roman" w:hAnsi="Times New Roman"/>
          <w:bCs/>
          <w:sz w:val="28"/>
          <w:szCs w:val="28"/>
        </w:rPr>
        <w:footnoteReference w:id="100"/>
      </w:r>
      <w:r w:rsidRPr="00D93140">
        <w:rPr>
          <w:rFonts w:ascii="Times New Roman" w:hAnsi="Times New Roman"/>
          <w:bCs/>
          <w:sz w:val="28"/>
          <w:szCs w:val="28"/>
        </w:rPr>
        <w:t>.</w:t>
      </w:r>
    </w:p>
    <w:p w:rsidR="008F4CBF" w:rsidRPr="00D93140" w:rsidRDefault="00D93140" w:rsidP="00E04174">
      <w:pPr>
        <w:pStyle w:val="Prrafodelista"/>
        <w:ind w:left="0"/>
        <w:jc w:val="both"/>
        <w:rPr>
          <w:rFonts w:ascii="Times New Roman" w:hAnsi="Times New Roman"/>
          <w:bCs/>
          <w:sz w:val="28"/>
          <w:szCs w:val="28"/>
        </w:rPr>
      </w:pPr>
    </w:p>
    <w:p w:rsidR="002B536E" w:rsidRPr="00D93140" w:rsidRDefault="00D93140" w:rsidP="002B536E">
      <w:pPr>
        <w:pStyle w:val="Prrafodelista"/>
        <w:numPr>
          <w:ilvl w:val="0"/>
          <w:numId w:val="1"/>
        </w:numPr>
        <w:tabs>
          <w:tab w:val="left" w:pos="567"/>
        </w:tabs>
        <w:ind w:left="0" w:firstLine="0"/>
        <w:jc w:val="both"/>
        <w:rPr>
          <w:rFonts w:ascii="Times New Roman" w:hAnsi="Times New Roman"/>
          <w:sz w:val="28"/>
          <w:szCs w:val="28"/>
        </w:rPr>
      </w:pPr>
      <w:r w:rsidRPr="00D93140">
        <w:rPr>
          <w:rFonts w:ascii="Times New Roman" w:hAnsi="Times New Roman"/>
          <w:bCs/>
          <w:sz w:val="28"/>
          <w:szCs w:val="28"/>
        </w:rPr>
        <w:t xml:space="preserve">Ahora, si bien las CAR son la máxima autoridad en materia ambiental y gozan de autonomía de conformidad con lo dispuesto en el artículo 23 de la Ley 99 de 1993, tampoco tienen potestades absolutas y, al igual que las entidades territoriales </w:t>
      </w:r>
      <w:r w:rsidRPr="00D93140">
        <w:rPr>
          <w:rFonts w:ascii="Times New Roman" w:hAnsi="Times New Roman"/>
          <w:bCs/>
          <w:sz w:val="28"/>
          <w:szCs w:val="28"/>
        </w:rPr>
        <w:t>y los territorios indígenas, deben actuar de manera coordinada. De conformidad con el artículo 31 de la Ley 99 de 1993, l</w:t>
      </w:r>
      <w:r w:rsidRPr="00D93140">
        <w:rPr>
          <w:rFonts w:ascii="Times New Roman" w:hAnsi="Times New Roman"/>
          <w:sz w:val="28"/>
          <w:szCs w:val="28"/>
          <w:shd w:val="clear" w:color="auto" w:fill="FFFFFF"/>
          <w:lang w:val="es-ES"/>
        </w:rPr>
        <w:t>as CAR tienen como función específica la de “[a]delantar en coordinación con las autoridades de las comunidades indígenas y con las aut</w:t>
      </w:r>
      <w:r w:rsidRPr="00D93140">
        <w:rPr>
          <w:rFonts w:ascii="Times New Roman" w:hAnsi="Times New Roman"/>
          <w:sz w:val="28"/>
          <w:szCs w:val="28"/>
          <w:shd w:val="clear" w:color="auto" w:fill="FFFFFF"/>
          <w:lang w:val="es-ES"/>
        </w:rPr>
        <w:t xml:space="preserve">oridades de las tierras habitadas tradicionalmente por comunidades negras, a que se refiere la Ley 70 de 1993, programas y proyectos de desarrollo sostenible y de manejo, aprovechamiento, uso y conservación de los recursos naturales renovables y del medio </w:t>
      </w:r>
      <w:r w:rsidRPr="00D93140">
        <w:rPr>
          <w:rFonts w:ascii="Times New Roman" w:hAnsi="Times New Roman"/>
          <w:sz w:val="28"/>
          <w:szCs w:val="28"/>
          <w:shd w:val="clear" w:color="auto" w:fill="FFFFFF"/>
          <w:lang w:val="es-ES"/>
        </w:rPr>
        <w:t>ambiente”</w:t>
      </w:r>
      <w:r w:rsidRPr="00D93140">
        <w:rPr>
          <w:rStyle w:val="Refdenotaalpie"/>
          <w:rFonts w:ascii="Times New Roman" w:hAnsi="Times New Roman"/>
          <w:sz w:val="28"/>
          <w:szCs w:val="28"/>
          <w:shd w:val="clear" w:color="auto" w:fill="FFFFFF"/>
          <w:lang w:val="es-ES"/>
        </w:rPr>
        <w:footnoteReference w:id="101"/>
      </w:r>
      <w:r w:rsidRPr="00D93140">
        <w:rPr>
          <w:rFonts w:ascii="Times New Roman" w:hAnsi="Times New Roman"/>
          <w:sz w:val="28"/>
          <w:szCs w:val="28"/>
          <w:shd w:val="clear" w:color="auto" w:fill="FFFFFF"/>
          <w:lang w:val="es-ES"/>
        </w:rPr>
        <w:t>. Además, “imponer y ejecutar a prevención y sin perjuicio de las competencias atribuidas por la ley a otras autoridades</w:t>
      </w:r>
      <w:r w:rsidRPr="00D93140">
        <w:rPr>
          <w:rFonts w:ascii="Times New Roman" w:hAnsi="Times New Roman"/>
          <w:i/>
          <w:iCs/>
          <w:sz w:val="28"/>
          <w:szCs w:val="28"/>
          <w:shd w:val="clear" w:color="auto" w:fill="FFFFFF"/>
          <w:lang w:val="es-ES"/>
        </w:rPr>
        <w:t>,</w:t>
      </w:r>
      <w:r w:rsidRPr="00D93140">
        <w:rPr>
          <w:rFonts w:ascii="Times New Roman" w:hAnsi="Times New Roman"/>
          <w:sz w:val="28"/>
          <w:szCs w:val="28"/>
          <w:shd w:val="clear" w:color="auto" w:fill="FFFFFF"/>
          <w:lang w:val="es-ES"/>
        </w:rPr>
        <w:t xml:space="preserve"> las medidas de policía y las sanciones previstas en la ley, en caso de violación a las normas de protección ambiental y de m</w:t>
      </w:r>
      <w:r w:rsidRPr="00D93140">
        <w:rPr>
          <w:rFonts w:ascii="Times New Roman" w:hAnsi="Times New Roman"/>
          <w:sz w:val="28"/>
          <w:szCs w:val="28"/>
          <w:shd w:val="clear" w:color="auto" w:fill="FFFFFF"/>
          <w:lang w:val="es-ES"/>
        </w:rPr>
        <w:t>anejo de recursos naturales renovables”</w:t>
      </w:r>
      <w:r w:rsidRPr="00D93140">
        <w:rPr>
          <w:rStyle w:val="Refdenotaalpie"/>
          <w:rFonts w:ascii="Times New Roman" w:hAnsi="Times New Roman"/>
          <w:sz w:val="28"/>
          <w:szCs w:val="28"/>
          <w:shd w:val="clear" w:color="auto" w:fill="FFFFFF"/>
          <w:lang w:val="es-ES"/>
        </w:rPr>
        <w:footnoteReference w:id="102"/>
      </w:r>
      <w:r w:rsidRPr="00D93140">
        <w:rPr>
          <w:rFonts w:ascii="Times New Roman" w:hAnsi="Times New Roman"/>
          <w:sz w:val="28"/>
          <w:szCs w:val="28"/>
          <w:shd w:val="clear" w:color="auto" w:fill="FFFFFF"/>
          <w:lang w:val="es-ES"/>
        </w:rPr>
        <w:t>.</w:t>
      </w:r>
    </w:p>
    <w:p w:rsidR="002B536E" w:rsidRPr="00D93140" w:rsidRDefault="00D93140" w:rsidP="002B536E">
      <w:pPr>
        <w:pStyle w:val="Prrafodelista"/>
        <w:tabs>
          <w:tab w:val="left" w:pos="567"/>
        </w:tabs>
        <w:ind w:left="0"/>
        <w:jc w:val="both"/>
        <w:rPr>
          <w:rFonts w:ascii="Times New Roman" w:hAnsi="Times New Roman"/>
          <w:sz w:val="28"/>
          <w:szCs w:val="28"/>
        </w:rPr>
      </w:pPr>
    </w:p>
    <w:p w:rsidR="004C53C4" w:rsidRPr="00D93140" w:rsidRDefault="00D93140" w:rsidP="002B536E">
      <w:pPr>
        <w:pStyle w:val="Prrafodelista"/>
        <w:numPr>
          <w:ilvl w:val="0"/>
          <w:numId w:val="1"/>
        </w:numPr>
        <w:tabs>
          <w:tab w:val="left" w:pos="567"/>
        </w:tabs>
        <w:ind w:left="0" w:firstLine="0"/>
        <w:jc w:val="both"/>
        <w:rPr>
          <w:rFonts w:ascii="Times New Roman" w:hAnsi="Times New Roman"/>
          <w:sz w:val="28"/>
          <w:szCs w:val="28"/>
        </w:rPr>
      </w:pPr>
      <w:r w:rsidRPr="00D93140">
        <w:rPr>
          <w:rFonts w:ascii="Times New Roman" w:hAnsi="Times New Roman"/>
          <w:sz w:val="28"/>
          <w:szCs w:val="28"/>
          <w:shd w:val="clear" w:color="auto" w:fill="FFFFFF"/>
          <w:lang w:val="es-ES"/>
        </w:rPr>
        <w:t xml:space="preserve">Bajo dicho contexto, la Sala </w:t>
      </w:r>
      <w:r w:rsidRPr="00D93140">
        <w:rPr>
          <w:rFonts w:ascii="Times New Roman" w:hAnsi="Times New Roman"/>
          <w:sz w:val="28"/>
          <w:szCs w:val="28"/>
          <w:shd w:val="clear" w:color="auto" w:fill="FFFFFF"/>
          <w:lang w:val="es-ES"/>
        </w:rPr>
        <w:t xml:space="preserve">analizará </w:t>
      </w:r>
      <w:r w:rsidRPr="00D93140">
        <w:rPr>
          <w:rFonts w:ascii="Times New Roman" w:hAnsi="Times New Roman"/>
          <w:sz w:val="28"/>
          <w:szCs w:val="28"/>
          <w:shd w:val="clear" w:color="auto" w:fill="FFFFFF"/>
          <w:lang w:val="es-ES"/>
        </w:rPr>
        <w:t xml:space="preserve">si la limitación impuesta por la norma cuestionada resulta desproporcionada, bajo un juicio </w:t>
      </w:r>
      <w:r w:rsidRPr="00D93140">
        <w:rPr>
          <w:rFonts w:ascii="Times New Roman" w:hAnsi="Times New Roman"/>
          <w:sz w:val="28"/>
          <w:szCs w:val="28"/>
          <w:shd w:val="clear" w:color="auto" w:fill="FFFFFF"/>
          <w:lang w:val="es-ES"/>
        </w:rPr>
        <w:t xml:space="preserve">de proporcionalidad </w:t>
      </w:r>
      <w:r w:rsidRPr="00D93140">
        <w:rPr>
          <w:rFonts w:ascii="Times New Roman" w:hAnsi="Times New Roman"/>
          <w:sz w:val="28"/>
          <w:szCs w:val="28"/>
          <w:shd w:val="clear" w:color="auto" w:fill="FFFFFF"/>
          <w:lang w:val="es-ES"/>
        </w:rPr>
        <w:t xml:space="preserve">intermedio, toda vez que en esta materia </w:t>
      </w:r>
      <w:r w:rsidRPr="00D93140">
        <w:rPr>
          <w:rFonts w:ascii="Times New Roman" w:hAnsi="Times New Roman"/>
          <w:sz w:val="28"/>
          <w:szCs w:val="28"/>
          <w:shd w:val="clear" w:color="auto" w:fill="FFFFFF"/>
          <w:lang w:val="es-ES"/>
        </w:rPr>
        <w:t xml:space="preserve">y </w:t>
      </w:r>
      <w:r w:rsidRPr="00D93140">
        <w:rPr>
          <w:rFonts w:ascii="Times New Roman" w:hAnsi="Times New Roman"/>
          <w:color w:val="000000"/>
          <w:sz w:val="28"/>
          <w:szCs w:val="27"/>
          <w:shd w:val="clear" w:color="auto" w:fill="FFFFFF"/>
        </w:rPr>
        <w:t>en atención a la im</w:t>
      </w:r>
      <w:r w:rsidRPr="00D93140">
        <w:rPr>
          <w:rFonts w:ascii="Times New Roman" w:hAnsi="Times New Roman"/>
          <w:color w:val="000000"/>
          <w:sz w:val="28"/>
          <w:szCs w:val="27"/>
          <w:shd w:val="clear" w:color="auto" w:fill="FFFFFF"/>
        </w:rPr>
        <w:t>portancia constitucional de la función limitada y la relación que esta tiene con la protección de otros intereses constitucionales, el margen de configuración del legislador en esta materia es moderado</w:t>
      </w:r>
      <w:r w:rsidRPr="00D93140">
        <w:rPr>
          <w:rStyle w:val="Refdenotaalpie"/>
          <w:rFonts w:ascii="Times New Roman" w:hAnsi="Times New Roman"/>
          <w:color w:val="000000"/>
          <w:sz w:val="28"/>
          <w:szCs w:val="27"/>
          <w:shd w:val="clear" w:color="auto" w:fill="FFFFFF"/>
        </w:rPr>
        <w:footnoteReference w:id="103"/>
      </w:r>
      <w:r w:rsidRPr="00D93140">
        <w:rPr>
          <w:rFonts w:ascii="Times New Roman" w:hAnsi="Times New Roman"/>
          <w:color w:val="000000"/>
          <w:sz w:val="28"/>
          <w:szCs w:val="27"/>
          <w:shd w:val="clear" w:color="auto" w:fill="FFFFFF"/>
        </w:rPr>
        <w:t xml:space="preserve">. </w:t>
      </w:r>
      <w:r w:rsidRPr="00D93140">
        <w:rPr>
          <w:rFonts w:ascii="Times New Roman" w:hAnsi="Times New Roman"/>
          <w:color w:val="000000"/>
          <w:sz w:val="28"/>
          <w:szCs w:val="27"/>
          <w:shd w:val="clear" w:color="auto" w:fill="FFFFFF"/>
        </w:rPr>
        <w:t xml:space="preserve">Por consiguiente, </w:t>
      </w:r>
      <w:r w:rsidRPr="00D93140">
        <w:rPr>
          <w:rFonts w:ascii="Times New Roman" w:hAnsi="Times New Roman"/>
          <w:color w:val="000000"/>
          <w:sz w:val="28"/>
          <w:szCs w:val="27"/>
          <w:shd w:val="clear" w:color="auto" w:fill="FFFFFF"/>
        </w:rPr>
        <w:t>evaluará si la norma demandada</w:t>
      </w:r>
      <w:r w:rsidRPr="00D93140">
        <w:rPr>
          <w:rFonts w:ascii="Times New Roman" w:hAnsi="Times New Roman"/>
          <w:color w:val="000000"/>
          <w:sz w:val="28"/>
          <w:szCs w:val="27"/>
          <w:shd w:val="clear" w:color="auto" w:fill="FFFFFF"/>
        </w:rPr>
        <w:t xml:space="preserve"> </w:t>
      </w:r>
      <w:r w:rsidRPr="00D93140">
        <w:rPr>
          <w:rFonts w:ascii="Times New Roman" w:hAnsi="Times New Roman"/>
          <w:sz w:val="28"/>
          <w:szCs w:val="28"/>
        </w:rPr>
        <w:t>que</w:t>
      </w:r>
      <w:r w:rsidRPr="00D93140">
        <w:rPr>
          <w:rFonts w:ascii="Times New Roman" w:hAnsi="Times New Roman"/>
          <w:sz w:val="28"/>
          <w:szCs w:val="28"/>
        </w:rPr>
        <w:t xml:space="preserve"> comprende dos elementos: de un lado, el fortalecimiento de la autonomía indígena en materia ambiental y por otro, la restricción de la aplicación de los principios de coordinación, concurrencia, complementariedad y subsidiariedad respecto de las CAR en lo</w:t>
      </w:r>
      <w:r w:rsidRPr="00D93140">
        <w:rPr>
          <w:rFonts w:ascii="Times New Roman" w:hAnsi="Times New Roman"/>
          <w:sz w:val="28"/>
          <w:szCs w:val="28"/>
        </w:rPr>
        <w:t>s territorios indígenas</w:t>
      </w:r>
      <w:r w:rsidRPr="00D93140">
        <w:rPr>
          <w:rFonts w:ascii="Times New Roman" w:hAnsi="Times New Roman"/>
          <w:i/>
          <w:iCs/>
          <w:color w:val="2D2D2D"/>
          <w:sz w:val="28"/>
          <w:szCs w:val="27"/>
          <w:shd w:val="clear" w:color="auto" w:fill="FFFFFF"/>
        </w:rPr>
        <w:t xml:space="preserve"> </w:t>
      </w:r>
      <w:r w:rsidRPr="00D93140">
        <w:rPr>
          <w:rFonts w:ascii="Times New Roman" w:hAnsi="Times New Roman"/>
          <w:i/>
          <w:iCs/>
          <w:color w:val="2D2D2D"/>
          <w:sz w:val="28"/>
          <w:szCs w:val="27"/>
          <w:shd w:val="clear" w:color="auto" w:fill="FFFFFF"/>
        </w:rPr>
        <w:t>(i)</w:t>
      </w:r>
      <w:r w:rsidRPr="00D93140">
        <w:rPr>
          <w:rFonts w:ascii="Times New Roman" w:hAnsi="Times New Roman"/>
          <w:i/>
          <w:iCs/>
          <w:color w:val="2D2D2D"/>
          <w:sz w:val="28"/>
          <w:szCs w:val="27"/>
          <w:shd w:val="clear" w:color="auto" w:fill="FFFFFF"/>
        </w:rPr>
        <w:t xml:space="preserve"> </w:t>
      </w:r>
      <w:r w:rsidRPr="00D93140">
        <w:rPr>
          <w:rFonts w:ascii="Times New Roman" w:hAnsi="Times New Roman"/>
          <w:color w:val="000000"/>
          <w:sz w:val="28"/>
          <w:szCs w:val="27"/>
          <w:shd w:val="clear" w:color="auto" w:fill="FFFFFF"/>
        </w:rPr>
        <w:t>persigue finalidades constitucionalmente importantes;</w:t>
      </w:r>
      <w:r w:rsidRPr="00D93140">
        <w:rPr>
          <w:rFonts w:ascii="Times New Roman" w:hAnsi="Times New Roman"/>
          <w:color w:val="000000"/>
          <w:sz w:val="28"/>
          <w:szCs w:val="27"/>
          <w:shd w:val="clear" w:color="auto" w:fill="FFFFFF"/>
        </w:rPr>
        <w:t xml:space="preserve"> </w:t>
      </w:r>
      <w:r w:rsidRPr="00D93140">
        <w:rPr>
          <w:rFonts w:ascii="Times New Roman" w:hAnsi="Times New Roman"/>
          <w:i/>
          <w:iCs/>
          <w:color w:val="2D2D2D"/>
          <w:sz w:val="28"/>
          <w:szCs w:val="27"/>
          <w:shd w:val="clear" w:color="auto" w:fill="FFFFFF"/>
        </w:rPr>
        <w:t>(ii)</w:t>
      </w:r>
      <w:r w:rsidRPr="00D93140">
        <w:rPr>
          <w:rFonts w:ascii="Times New Roman" w:hAnsi="Times New Roman"/>
          <w:color w:val="000000"/>
          <w:sz w:val="28"/>
          <w:szCs w:val="27"/>
          <w:shd w:val="clear" w:color="auto" w:fill="FFFFFF"/>
        </w:rPr>
        <w:t xml:space="preserve"> </w:t>
      </w:r>
      <w:r w:rsidRPr="00D93140">
        <w:rPr>
          <w:rFonts w:ascii="Times New Roman" w:hAnsi="Times New Roman"/>
          <w:color w:val="000000"/>
          <w:sz w:val="28"/>
          <w:szCs w:val="27"/>
          <w:shd w:val="clear" w:color="auto" w:fill="FFFFFF"/>
        </w:rPr>
        <w:t>el medio que emplean es efectivamente conducente para alcanzarlas y</w:t>
      </w:r>
      <w:r w:rsidRPr="00D93140">
        <w:rPr>
          <w:rFonts w:ascii="Times New Roman" w:hAnsi="Times New Roman"/>
          <w:color w:val="000000"/>
          <w:sz w:val="28"/>
          <w:szCs w:val="27"/>
          <w:shd w:val="clear" w:color="auto" w:fill="FFFFFF"/>
        </w:rPr>
        <w:t xml:space="preserve"> </w:t>
      </w:r>
      <w:r w:rsidRPr="00D93140">
        <w:rPr>
          <w:rFonts w:ascii="Times New Roman" w:hAnsi="Times New Roman"/>
          <w:i/>
          <w:iCs/>
          <w:color w:val="2D2D2D"/>
          <w:sz w:val="28"/>
          <w:szCs w:val="27"/>
          <w:shd w:val="clear" w:color="auto" w:fill="FFFFFF"/>
        </w:rPr>
        <w:t>(iii)</w:t>
      </w:r>
      <w:r w:rsidRPr="00D93140">
        <w:rPr>
          <w:rFonts w:ascii="Times New Roman" w:hAnsi="Times New Roman"/>
          <w:i/>
          <w:iCs/>
          <w:color w:val="2D2D2D"/>
          <w:sz w:val="28"/>
          <w:szCs w:val="27"/>
          <w:shd w:val="clear" w:color="auto" w:fill="FFFFFF"/>
        </w:rPr>
        <w:t xml:space="preserve"> </w:t>
      </w:r>
      <w:r w:rsidRPr="00D93140">
        <w:rPr>
          <w:rFonts w:ascii="Times New Roman" w:hAnsi="Times New Roman"/>
          <w:color w:val="000000"/>
          <w:sz w:val="28"/>
          <w:szCs w:val="27"/>
          <w:shd w:val="clear" w:color="auto" w:fill="FFFFFF"/>
        </w:rPr>
        <w:t>no causan restricciones evidentemente desproporcionadas</w:t>
      </w:r>
      <w:r w:rsidRPr="00D93140">
        <w:rPr>
          <w:rFonts w:ascii="Times New Roman" w:hAnsi="Times New Roman"/>
          <w:color w:val="000000"/>
          <w:sz w:val="28"/>
          <w:szCs w:val="27"/>
          <w:shd w:val="clear" w:color="auto" w:fill="FFFFFF"/>
        </w:rPr>
        <w:t>.</w:t>
      </w:r>
    </w:p>
    <w:p w:rsidR="00104B6E" w:rsidRPr="00D93140" w:rsidRDefault="00D93140" w:rsidP="00104B6E">
      <w:pPr>
        <w:pStyle w:val="Prrafodelista"/>
        <w:tabs>
          <w:tab w:val="left" w:pos="567"/>
        </w:tabs>
        <w:ind w:left="0"/>
        <w:jc w:val="both"/>
        <w:rPr>
          <w:rFonts w:ascii="Times New Roman" w:hAnsi="Times New Roman"/>
          <w:sz w:val="28"/>
          <w:szCs w:val="28"/>
        </w:rPr>
      </w:pPr>
    </w:p>
    <w:p w:rsidR="00983183" w:rsidRPr="00D93140" w:rsidRDefault="00D93140" w:rsidP="00472002">
      <w:pPr>
        <w:pStyle w:val="Prrafodelista"/>
        <w:numPr>
          <w:ilvl w:val="0"/>
          <w:numId w:val="1"/>
        </w:numPr>
        <w:tabs>
          <w:tab w:val="left" w:pos="567"/>
        </w:tabs>
        <w:ind w:left="0" w:firstLine="0"/>
        <w:jc w:val="both"/>
        <w:rPr>
          <w:rFonts w:ascii="Times New Roman" w:hAnsi="Times New Roman"/>
          <w:bCs/>
          <w:sz w:val="28"/>
          <w:szCs w:val="28"/>
        </w:rPr>
      </w:pPr>
      <w:r w:rsidRPr="00D93140">
        <w:rPr>
          <w:rFonts w:ascii="Times New Roman" w:hAnsi="Times New Roman"/>
          <w:color w:val="000000"/>
          <w:sz w:val="28"/>
          <w:szCs w:val="27"/>
          <w:shd w:val="clear" w:color="auto" w:fill="FFFFFF"/>
        </w:rPr>
        <w:t xml:space="preserve">Respecto de las finalidades de la norma, la Sala resalta que aquella es constitucionalmente importante en la medida </w:t>
      </w:r>
      <w:r w:rsidRPr="00D93140">
        <w:rPr>
          <w:rFonts w:ascii="Times New Roman" w:hAnsi="Times New Roman"/>
          <w:color w:val="000000"/>
          <w:sz w:val="28"/>
          <w:szCs w:val="27"/>
          <w:shd w:val="clear" w:color="auto" w:fill="FFFFFF"/>
        </w:rPr>
        <w:t>busca afianzar y reforzar la relación que tienen las comunidades indígenas con sus territorios y los recursos naturales que en ellos se encu</w:t>
      </w:r>
      <w:r w:rsidRPr="00D93140">
        <w:rPr>
          <w:rFonts w:ascii="Times New Roman" w:hAnsi="Times New Roman"/>
          <w:color w:val="000000"/>
          <w:sz w:val="28"/>
          <w:szCs w:val="27"/>
          <w:shd w:val="clear" w:color="auto" w:fill="FFFFFF"/>
        </w:rPr>
        <w:t xml:space="preserve">entran, aspectos relacionados con la autonomía de estos pueblos. En efecto, </w:t>
      </w:r>
      <w:r w:rsidRPr="00D93140">
        <w:rPr>
          <w:rFonts w:ascii="Times New Roman" w:hAnsi="Times New Roman"/>
          <w:color w:val="000000"/>
          <w:sz w:val="28"/>
          <w:szCs w:val="27"/>
          <w:shd w:val="clear" w:color="auto" w:fill="FFFFFF"/>
        </w:rPr>
        <w:t>de co</w:t>
      </w:r>
      <w:r w:rsidRPr="00D93140">
        <w:rPr>
          <w:rFonts w:ascii="Times New Roman" w:hAnsi="Times New Roman"/>
          <w:bCs/>
          <w:sz w:val="28"/>
          <w:szCs w:val="28"/>
        </w:rPr>
        <w:t>nformidad con la Constitución y la jurisprudencia expuesta, es claro el deber de protección ambiental que recae sobre los pueblos indígenas debido a la conexión que tienen con</w:t>
      </w:r>
      <w:r w:rsidRPr="00D93140">
        <w:rPr>
          <w:rFonts w:ascii="Times New Roman" w:hAnsi="Times New Roman"/>
          <w:bCs/>
          <w:sz w:val="28"/>
          <w:szCs w:val="28"/>
        </w:rPr>
        <w:t xml:space="preserve"> sus territorios, lo que ha permitido reconocer su carácter de autoridades ambientales dada la importancia del conocimiento que tienen sobre la diversidad biológica, el medio ambiente y la gestión sostenible de recursos. Ello, también ha llevado a reconoce</w:t>
      </w:r>
      <w:r w:rsidRPr="00D93140">
        <w:rPr>
          <w:rFonts w:ascii="Times New Roman" w:hAnsi="Times New Roman"/>
          <w:bCs/>
          <w:sz w:val="28"/>
          <w:szCs w:val="28"/>
        </w:rPr>
        <w:t xml:space="preserve">r la autonomía de las comunidades indígenas en materia ambiental que se ha entendido </w:t>
      </w:r>
      <w:r w:rsidRPr="00D93140">
        <w:rPr>
          <w:rFonts w:ascii="Times New Roman" w:hAnsi="Times New Roman"/>
          <w:sz w:val="28"/>
          <w:szCs w:val="28"/>
          <w:shd w:val="clear" w:color="auto" w:fill="FFFFFF"/>
          <w:lang w:val="es-ES"/>
        </w:rPr>
        <w:t xml:space="preserve">como “el derecho que tienen a decidir sobre los asuntos culturales, espirituales, políticos y jurídicos de la comunidad, de conformidad con sus referentes culturales y </w:t>
      </w:r>
      <w:r w:rsidRPr="00D93140">
        <w:rPr>
          <w:rFonts w:ascii="Times New Roman" w:hAnsi="Times New Roman"/>
          <w:sz w:val="28"/>
          <w:szCs w:val="28"/>
          <w:shd w:val="clear" w:color="auto" w:fill="FFFFFF"/>
          <w:lang w:val="es-ES"/>
        </w:rPr>
        <w:t>cosmovisión”</w:t>
      </w:r>
      <w:r w:rsidRPr="00D93140">
        <w:rPr>
          <w:rStyle w:val="Refdenotaalpie"/>
          <w:rFonts w:ascii="Times New Roman" w:hAnsi="Times New Roman"/>
          <w:sz w:val="28"/>
          <w:szCs w:val="28"/>
          <w:shd w:val="clear" w:color="auto" w:fill="FFFFFF"/>
          <w:lang w:val="es-ES"/>
        </w:rPr>
        <w:footnoteReference w:id="104"/>
      </w:r>
      <w:r w:rsidRPr="00D93140">
        <w:rPr>
          <w:rFonts w:ascii="Times New Roman" w:hAnsi="Times New Roman"/>
          <w:sz w:val="28"/>
          <w:szCs w:val="28"/>
          <w:shd w:val="clear" w:color="auto" w:fill="FFFFFF"/>
          <w:lang w:val="es-ES"/>
        </w:rPr>
        <w:t xml:space="preserve"> y que propende por la menor interferencia por parte de la cultura mayoritaria de cara a la garantía de preservación de los rasgos y valores distintivos.</w:t>
      </w:r>
      <w:r w:rsidRPr="00D93140">
        <w:rPr>
          <w:rStyle w:val="Refdenotaalpie"/>
          <w:rFonts w:ascii="Times New Roman" w:hAnsi="Times New Roman"/>
          <w:sz w:val="28"/>
          <w:szCs w:val="28"/>
          <w:shd w:val="clear" w:color="auto" w:fill="FFFFFF"/>
          <w:lang w:val="es-ES"/>
        </w:rPr>
        <w:footnoteReference w:id="105"/>
      </w:r>
    </w:p>
    <w:p w:rsidR="00104B6E" w:rsidRPr="00D93140" w:rsidRDefault="00D93140" w:rsidP="00104B6E">
      <w:pPr>
        <w:pStyle w:val="Prrafodelista"/>
        <w:tabs>
          <w:tab w:val="left" w:pos="567"/>
        </w:tabs>
        <w:ind w:left="0"/>
        <w:jc w:val="both"/>
        <w:rPr>
          <w:rFonts w:ascii="Times New Roman" w:hAnsi="Times New Roman"/>
          <w:bCs/>
          <w:sz w:val="28"/>
          <w:szCs w:val="28"/>
        </w:rPr>
      </w:pPr>
    </w:p>
    <w:p w:rsidR="00051CB1" w:rsidRPr="00D93140" w:rsidRDefault="00D93140" w:rsidP="00472002">
      <w:pPr>
        <w:pStyle w:val="Prrafodelista"/>
        <w:numPr>
          <w:ilvl w:val="0"/>
          <w:numId w:val="1"/>
        </w:numPr>
        <w:tabs>
          <w:tab w:val="left" w:pos="567"/>
        </w:tabs>
        <w:ind w:left="0" w:firstLine="0"/>
        <w:jc w:val="both"/>
        <w:rPr>
          <w:rFonts w:ascii="Times New Roman" w:hAnsi="Times New Roman"/>
          <w:bCs/>
          <w:sz w:val="28"/>
          <w:szCs w:val="28"/>
        </w:rPr>
      </w:pPr>
      <w:r w:rsidRPr="00D93140">
        <w:rPr>
          <w:rFonts w:ascii="Times New Roman" w:hAnsi="Times New Roman"/>
          <w:sz w:val="28"/>
          <w:szCs w:val="28"/>
          <w:shd w:val="clear" w:color="auto" w:fill="FFFFFF"/>
          <w:lang w:val="es-ES"/>
        </w:rPr>
        <w:t>En cuanto a la conducencia de la medida podría decirse que dar prevalencia al conocimie</w:t>
      </w:r>
      <w:r w:rsidRPr="00D93140">
        <w:rPr>
          <w:rFonts w:ascii="Times New Roman" w:hAnsi="Times New Roman"/>
          <w:sz w:val="28"/>
          <w:szCs w:val="28"/>
          <w:shd w:val="clear" w:color="auto" w:fill="FFFFFF"/>
          <w:lang w:val="es-ES"/>
        </w:rPr>
        <w:t>nto</w:t>
      </w:r>
      <w:r w:rsidRPr="00D93140">
        <w:rPr>
          <w:rFonts w:ascii="Times New Roman" w:hAnsi="Times New Roman"/>
          <w:sz w:val="28"/>
          <w:szCs w:val="28"/>
          <w:shd w:val="clear" w:color="auto" w:fill="FFFFFF"/>
          <w:lang w:val="es-ES"/>
        </w:rPr>
        <w:t xml:space="preserve"> y a los </w:t>
      </w:r>
      <w:r w:rsidRPr="00D93140">
        <w:rPr>
          <w:rFonts w:ascii="Times New Roman" w:hAnsi="Times New Roman"/>
          <w:bCs/>
          <w:sz w:val="28"/>
          <w:szCs w:val="28"/>
        </w:rPr>
        <w:t>sistemas normativos propios de los pueblos</w:t>
      </w:r>
      <w:r w:rsidRPr="00D93140">
        <w:rPr>
          <w:rFonts w:ascii="Times New Roman" w:hAnsi="Times New Roman"/>
          <w:bCs/>
          <w:sz w:val="28"/>
          <w:szCs w:val="28"/>
        </w:rPr>
        <w:t xml:space="preserve"> en materia de ordenamiento ambiental territorial, determinación de los mecanismos regulatorios, de gestión y gobierno con fines de preservación, conservación, restauración, protección, cuidado, uso y m</w:t>
      </w:r>
      <w:r w:rsidRPr="00D93140">
        <w:rPr>
          <w:rFonts w:ascii="Times New Roman" w:hAnsi="Times New Roman"/>
          <w:bCs/>
          <w:sz w:val="28"/>
          <w:szCs w:val="28"/>
        </w:rPr>
        <w:t>anejo de los recursos naturales</w:t>
      </w:r>
      <w:r w:rsidRPr="00D93140">
        <w:rPr>
          <w:rFonts w:ascii="Times New Roman" w:hAnsi="Times New Roman"/>
          <w:bCs/>
          <w:sz w:val="28"/>
          <w:szCs w:val="28"/>
        </w:rPr>
        <w:t xml:space="preserve">, resulta adecuado para la finalidad </w:t>
      </w:r>
      <w:r w:rsidRPr="00D93140">
        <w:rPr>
          <w:rFonts w:ascii="Times New Roman" w:hAnsi="Times New Roman"/>
          <w:bCs/>
          <w:sz w:val="28"/>
          <w:szCs w:val="28"/>
        </w:rPr>
        <w:t>antes señalada</w:t>
      </w:r>
      <w:r w:rsidRPr="00D93140">
        <w:rPr>
          <w:rFonts w:ascii="Times New Roman" w:hAnsi="Times New Roman"/>
          <w:bCs/>
          <w:sz w:val="28"/>
          <w:szCs w:val="28"/>
        </w:rPr>
        <w:t>.</w:t>
      </w:r>
      <w:r w:rsidRPr="00D93140">
        <w:rPr>
          <w:rFonts w:ascii="Times New Roman" w:hAnsi="Times New Roman"/>
          <w:bCs/>
          <w:sz w:val="28"/>
          <w:szCs w:val="28"/>
        </w:rPr>
        <w:t> </w:t>
      </w:r>
    </w:p>
    <w:p w:rsidR="00051CB1" w:rsidRPr="00D93140" w:rsidRDefault="00D93140" w:rsidP="00E04174">
      <w:pPr>
        <w:pStyle w:val="Prrafodelista"/>
        <w:ind w:left="0"/>
        <w:jc w:val="both"/>
        <w:rPr>
          <w:rFonts w:ascii="Times New Roman" w:hAnsi="Times New Roman"/>
          <w:bCs/>
          <w:sz w:val="28"/>
          <w:szCs w:val="28"/>
        </w:rPr>
      </w:pPr>
    </w:p>
    <w:p w:rsidR="0046770A" w:rsidRPr="00D93140" w:rsidRDefault="00D93140" w:rsidP="0046770A">
      <w:pPr>
        <w:pStyle w:val="Prrafodelista"/>
        <w:numPr>
          <w:ilvl w:val="0"/>
          <w:numId w:val="1"/>
        </w:numPr>
        <w:tabs>
          <w:tab w:val="left" w:pos="567"/>
        </w:tabs>
        <w:ind w:left="0" w:firstLine="0"/>
        <w:jc w:val="both"/>
        <w:rPr>
          <w:rFonts w:ascii="Times New Roman" w:hAnsi="Times New Roman"/>
          <w:sz w:val="28"/>
          <w:szCs w:val="28"/>
        </w:rPr>
      </w:pPr>
      <w:r w:rsidRPr="00D93140">
        <w:rPr>
          <w:rFonts w:ascii="Times New Roman" w:hAnsi="Times New Roman"/>
          <w:sz w:val="28"/>
          <w:szCs w:val="28"/>
        </w:rPr>
        <w:t>No obstante, la medida resulta desproporcionada</w:t>
      </w:r>
      <w:r w:rsidRPr="00D93140">
        <w:rPr>
          <w:rFonts w:ascii="Times New Roman" w:hAnsi="Times New Roman"/>
          <w:sz w:val="28"/>
          <w:szCs w:val="28"/>
        </w:rPr>
        <w:t xml:space="preserve"> </w:t>
      </w:r>
      <w:r w:rsidRPr="00D93140">
        <w:rPr>
          <w:rFonts w:ascii="Times New Roman" w:hAnsi="Times New Roman"/>
          <w:sz w:val="28"/>
          <w:szCs w:val="28"/>
          <w:lang w:val="es-ES_tradnl"/>
        </w:rPr>
        <w:t>al anular la función constitucional de protección ambiental a cargo de las CAR</w:t>
      </w:r>
      <w:r w:rsidRPr="00D93140">
        <w:rPr>
          <w:rFonts w:ascii="Times New Roman" w:hAnsi="Times New Roman"/>
          <w:sz w:val="28"/>
          <w:szCs w:val="28"/>
          <w:lang w:val="es-ES_tradnl"/>
        </w:rPr>
        <w:t xml:space="preserve"> en estas zonas delimitadas por el artículo </w:t>
      </w:r>
      <w:r w:rsidRPr="00D93140">
        <w:rPr>
          <w:rFonts w:ascii="Times New Roman" w:hAnsi="Times New Roman"/>
          <w:sz w:val="28"/>
          <w:szCs w:val="28"/>
          <w:lang w:val="es-ES_tradnl"/>
        </w:rPr>
        <w:t>5 del Decreto y, por tanto, g</w:t>
      </w:r>
      <w:r w:rsidRPr="00D93140">
        <w:rPr>
          <w:rFonts w:ascii="Times New Roman" w:hAnsi="Times New Roman"/>
          <w:sz w:val="28"/>
          <w:szCs w:val="28"/>
        </w:rPr>
        <w:t>enera</w:t>
      </w:r>
      <w:r w:rsidRPr="00D93140">
        <w:rPr>
          <w:rFonts w:ascii="Times New Roman" w:hAnsi="Times New Roman"/>
          <w:sz w:val="28"/>
          <w:szCs w:val="28"/>
        </w:rPr>
        <w:t>r</w:t>
      </w:r>
      <w:r w:rsidRPr="00D93140">
        <w:rPr>
          <w:rFonts w:ascii="Times New Roman" w:hAnsi="Times New Roman"/>
          <w:sz w:val="28"/>
          <w:szCs w:val="28"/>
        </w:rPr>
        <w:t xml:space="preserve"> una afectación excesivamente gravosa a su autonomía funcional</w:t>
      </w:r>
      <w:r w:rsidRPr="00D93140">
        <w:rPr>
          <w:rFonts w:ascii="Times New Roman" w:hAnsi="Times New Roman"/>
          <w:sz w:val="28"/>
          <w:szCs w:val="28"/>
        </w:rPr>
        <w:t xml:space="preserve">. </w:t>
      </w:r>
      <w:r w:rsidRPr="00D93140">
        <w:rPr>
          <w:rFonts w:ascii="Times New Roman" w:hAnsi="Times New Roman"/>
          <w:sz w:val="28"/>
          <w:szCs w:val="28"/>
        </w:rPr>
        <w:t>P</w:t>
      </w:r>
      <w:r w:rsidRPr="00D93140">
        <w:rPr>
          <w:rFonts w:ascii="Times New Roman" w:hAnsi="Times New Roman"/>
          <w:sz w:val="28"/>
          <w:szCs w:val="28"/>
        </w:rPr>
        <w:t>ara la Sala, l</w:t>
      </w:r>
      <w:r w:rsidRPr="00D93140">
        <w:rPr>
          <w:rFonts w:ascii="Times New Roman" w:hAnsi="Times New Roman"/>
          <w:sz w:val="28"/>
          <w:szCs w:val="28"/>
        </w:rPr>
        <w:t xml:space="preserve">imitar la facultad de coordinación a las zonas que no hacen parte de los territorios indígenas es incompatible con el modelo de gestión </w:t>
      </w:r>
      <w:r w:rsidRPr="00D93140">
        <w:rPr>
          <w:rFonts w:ascii="Times New Roman" w:hAnsi="Times New Roman"/>
          <w:sz w:val="28"/>
          <w:szCs w:val="28"/>
        </w:rPr>
        <w:t>ambiental participativa, concurrente y articulada que ha construido el ordenamiento jurídico colombiano.</w:t>
      </w:r>
    </w:p>
    <w:p w:rsidR="0046770A" w:rsidRPr="00D93140" w:rsidRDefault="00D93140" w:rsidP="004F04AD">
      <w:pPr>
        <w:pStyle w:val="Prrafodelista"/>
        <w:tabs>
          <w:tab w:val="left" w:pos="567"/>
        </w:tabs>
        <w:ind w:left="0"/>
        <w:jc w:val="both"/>
        <w:rPr>
          <w:rFonts w:ascii="Times New Roman" w:hAnsi="Times New Roman"/>
          <w:sz w:val="28"/>
          <w:szCs w:val="28"/>
        </w:rPr>
      </w:pPr>
    </w:p>
    <w:p w:rsidR="00284BAC" w:rsidRPr="00D93140" w:rsidRDefault="00D93140" w:rsidP="00E04174">
      <w:pPr>
        <w:pStyle w:val="Prrafodelista"/>
        <w:numPr>
          <w:ilvl w:val="0"/>
          <w:numId w:val="1"/>
        </w:numPr>
        <w:tabs>
          <w:tab w:val="left" w:pos="567"/>
        </w:tabs>
        <w:ind w:left="0" w:firstLine="0"/>
        <w:jc w:val="both"/>
        <w:rPr>
          <w:rFonts w:ascii="Times New Roman" w:hAnsi="Times New Roman"/>
          <w:sz w:val="28"/>
          <w:szCs w:val="28"/>
        </w:rPr>
      </w:pPr>
      <w:r w:rsidRPr="00D93140">
        <w:rPr>
          <w:rFonts w:ascii="Times New Roman" w:hAnsi="Times New Roman"/>
          <w:sz w:val="28"/>
          <w:szCs w:val="28"/>
        </w:rPr>
        <w:t xml:space="preserve">En </w:t>
      </w:r>
      <w:r w:rsidRPr="00D93140">
        <w:rPr>
          <w:rFonts w:ascii="Times New Roman" w:hAnsi="Times New Roman"/>
          <w:sz w:val="28"/>
          <w:szCs w:val="28"/>
        </w:rPr>
        <w:t>este escenario,</w:t>
      </w:r>
      <w:r w:rsidRPr="00D93140">
        <w:rPr>
          <w:rFonts w:ascii="Times New Roman" w:hAnsi="Times New Roman"/>
          <w:sz w:val="28"/>
          <w:szCs w:val="28"/>
        </w:rPr>
        <w:t xml:space="preserve"> y como lo </w:t>
      </w:r>
      <w:r w:rsidRPr="00D93140">
        <w:rPr>
          <w:rFonts w:ascii="Times New Roman" w:hAnsi="Times New Roman"/>
          <w:sz w:val="28"/>
          <w:szCs w:val="28"/>
        </w:rPr>
        <w:t>señala</w:t>
      </w:r>
      <w:r w:rsidRPr="00D93140">
        <w:rPr>
          <w:rFonts w:ascii="Times New Roman" w:hAnsi="Times New Roman"/>
          <w:sz w:val="28"/>
          <w:szCs w:val="28"/>
        </w:rPr>
        <w:t xml:space="preserve"> el ar</w:t>
      </w:r>
      <w:r w:rsidRPr="00D93140">
        <w:rPr>
          <w:rFonts w:ascii="Times New Roman" w:hAnsi="Times New Roman"/>
          <w:sz w:val="28"/>
          <w:szCs w:val="28"/>
        </w:rPr>
        <w:t xml:space="preserve">tículo 63 de la Ley 99 de 1993, </w:t>
      </w:r>
      <w:r w:rsidRPr="00D93140">
        <w:rPr>
          <w:rFonts w:ascii="Times New Roman" w:hAnsi="Times New Roman"/>
          <w:sz w:val="28"/>
          <w:szCs w:val="28"/>
        </w:rPr>
        <w:t>para conseguir la protección del medio ambiente y garantizar el manejo armóni</w:t>
      </w:r>
      <w:r w:rsidRPr="00D93140">
        <w:rPr>
          <w:rFonts w:ascii="Times New Roman" w:hAnsi="Times New Roman"/>
          <w:sz w:val="28"/>
          <w:szCs w:val="28"/>
        </w:rPr>
        <w:t>co y la integridad del patrimonio natural de la Nación, el ejercicio de las funciones ambientales por parte de las entidades territoriales y de los territorios indígenas</w:t>
      </w:r>
      <w:r w:rsidRPr="00D93140">
        <w:rPr>
          <w:rStyle w:val="Refdenotaalpie"/>
          <w:rFonts w:ascii="Times New Roman" w:hAnsi="Times New Roman"/>
          <w:sz w:val="28"/>
          <w:szCs w:val="28"/>
        </w:rPr>
        <w:footnoteReference w:id="106"/>
      </w:r>
      <w:r w:rsidRPr="00D93140">
        <w:rPr>
          <w:rFonts w:ascii="Times New Roman" w:hAnsi="Times New Roman"/>
          <w:sz w:val="28"/>
          <w:szCs w:val="28"/>
        </w:rPr>
        <w:t>, debe sujetarse a los principios de armonía regional, gradación normativa y rigor sub</w:t>
      </w:r>
      <w:r w:rsidRPr="00D93140">
        <w:rPr>
          <w:rFonts w:ascii="Times New Roman" w:hAnsi="Times New Roman"/>
          <w:sz w:val="28"/>
          <w:szCs w:val="28"/>
        </w:rPr>
        <w:t xml:space="preserve">sidiario.  </w:t>
      </w:r>
      <w:r w:rsidRPr="00D93140">
        <w:rPr>
          <w:rFonts w:ascii="Times New Roman" w:hAnsi="Times New Roman"/>
          <w:sz w:val="28"/>
          <w:szCs w:val="28"/>
        </w:rPr>
        <w:t xml:space="preserve">Sin que con ello se entienda que </w:t>
      </w:r>
      <w:r w:rsidRPr="00D93140">
        <w:rPr>
          <w:rFonts w:ascii="Times New Roman" w:hAnsi="Times New Roman"/>
          <w:sz w:val="28"/>
          <w:szCs w:val="28"/>
        </w:rPr>
        <w:t xml:space="preserve">la potestad reglamentaria de los territorios indígenas pueda ser vaciada de contenido por la ley nacional ya que ello </w:t>
      </w:r>
      <w:r w:rsidRPr="00D93140">
        <w:rPr>
          <w:rFonts w:ascii="Times New Roman" w:hAnsi="Times New Roman"/>
          <w:sz w:val="28"/>
          <w:szCs w:val="28"/>
        </w:rPr>
        <w:t>desconocería la garantía institucional de la autonomía territorial.</w:t>
      </w:r>
      <w:r w:rsidRPr="00D93140">
        <w:rPr>
          <w:rFonts w:ascii="Times New Roman" w:hAnsi="Times New Roman"/>
          <w:sz w:val="28"/>
          <w:szCs w:val="28"/>
        </w:rPr>
        <w:t xml:space="preserve"> </w:t>
      </w:r>
    </w:p>
    <w:p w:rsidR="000E0F38" w:rsidRPr="00D93140" w:rsidRDefault="00D93140" w:rsidP="00E04174">
      <w:pPr>
        <w:pStyle w:val="Prrafodelista"/>
        <w:tabs>
          <w:tab w:val="left" w:pos="567"/>
        </w:tabs>
        <w:ind w:left="0"/>
        <w:jc w:val="both"/>
        <w:rPr>
          <w:rFonts w:ascii="Times New Roman" w:hAnsi="Times New Roman"/>
          <w:sz w:val="28"/>
          <w:szCs w:val="28"/>
        </w:rPr>
      </w:pPr>
    </w:p>
    <w:p w:rsidR="005E708F" w:rsidRPr="00D93140" w:rsidRDefault="00D93140" w:rsidP="00E04174">
      <w:pPr>
        <w:pStyle w:val="Prrafodelista"/>
        <w:numPr>
          <w:ilvl w:val="0"/>
          <w:numId w:val="1"/>
        </w:numPr>
        <w:tabs>
          <w:tab w:val="left" w:pos="567"/>
        </w:tabs>
        <w:ind w:left="0" w:firstLine="0"/>
        <w:jc w:val="both"/>
        <w:rPr>
          <w:rFonts w:ascii="Times New Roman" w:hAnsi="Times New Roman"/>
          <w:sz w:val="28"/>
          <w:szCs w:val="28"/>
        </w:rPr>
      </w:pPr>
      <w:r w:rsidRPr="00D93140">
        <w:rPr>
          <w:rFonts w:ascii="Times New Roman" w:hAnsi="Times New Roman"/>
          <w:bCs/>
          <w:sz w:val="28"/>
          <w:szCs w:val="28"/>
        </w:rPr>
        <w:t>Además, f</w:t>
      </w:r>
      <w:r w:rsidRPr="00D93140">
        <w:rPr>
          <w:rFonts w:ascii="Times New Roman" w:hAnsi="Times New Roman"/>
          <w:bCs/>
          <w:sz w:val="28"/>
          <w:szCs w:val="28"/>
        </w:rPr>
        <w:t>rente al ejerci</w:t>
      </w:r>
      <w:r w:rsidRPr="00D93140">
        <w:rPr>
          <w:rFonts w:ascii="Times New Roman" w:hAnsi="Times New Roman"/>
          <w:bCs/>
          <w:sz w:val="28"/>
          <w:szCs w:val="28"/>
        </w:rPr>
        <w:t>cio de las funciones públicas de los territorios indígenas, dentro de las que se encuentran las ambientales</w:t>
      </w:r>
      <w:r w:rsidRPr="00D93140">
        <w:rPr>
          <w:rFonts w:ascii="Times New Roman" w:hAnsi="Times New Roman"/>
          <w:bCs/>
          <w:sz w:val="28"/>
          <w:szCs w:val="28"/>
        </w:rPr>
        <w:t xml:space="preserve">, </w:t>
      </w:r>
      <w:r w:rsidRPr="00D93140">
        <w:rPr>
          <w:rFonts w:ascii="Times New Roman" w:hAnsi="Times New Roman"/>
          <w:bCs/>
          <w:sz w:val="28"/>
          <w:szCs w:val="28"/>
        </w:rPr>
        <w:t xml:space="preserve">el artículo 67 de la Ley 99 de 1993 señala que serán las mismas definidas para los municipio y, </w:t>
      </w:r>
      <w:r w:rsidRPr="00D93140">
        <w:rPr>
          <w:rFonts w:ascii="Times New Roman" w:hAnsi="Times New Roman"/>
          <w:bCs/>
          <w:sz w:val="28"/>
          <w:szCs w:val="28"/>
        </w:rPr>
        <w:t xml:space="preserve">el </w:t>
      </w:r>
      <w:r w:rsidRPr="00D93140">
        <w:rPr>
          <w:rFonts w:ascii="Times New Roman" w:hAnsi="Times New Roman"/>
          <w:sz w:val="28"/>
          <w:szCs w:val="28"/>
          <w:shd w:val="clear" w:color="auto" w:fill="FFFFFF"/>
          <w:lang w:val="es-ES"/>
        </w:rPr>
        <w:t xml:space="preserve">Decreto 1953 de 2014, </w:t>
      </w:r>
      <w:r w:rsidRPr="00D93140">
        <w:rPr>
          <w:rFonts w:ascii="Times New Roman" w:hAnsi="Times New Roman"/>
          <w:sz w:val="28"/>
          <w:szCs w:val="28"/>
          <w:shd w:val="clear" w:color="auto" w:fill="FFFFFF"/>
          <w:lang w:val="es-ES"/>
        </w:rPr>
        <w:t xml:space="preserve">dispone en su artículo 10 </w:t>
      </w:r>
      <w:r w:rsidRPr="00D93140">
        <w:rPr>
          <w:rFonts w:ascii="Times New Roman" w:hAnsi="Times New Roman"/>
          <w:sz w:val="28"/>
          <w:szCs w:val="28"/>
          <w:shd w:val="clear" w:color="auto" w:fill="FFFFFF"/>
          <w:lang w:val="es-ES"/>
        </w:rPr>
        <w:t xml:space="preserve">por un lado </w:t>
      </w:r>
      <w:r w:rsidRPr="00D93140">
        <w:rPr>
          <w:rFonts w:ascii="Times New Roman" w:hAnsi="Times New Roman"/>
          <w:sz w:val="28"/>
          <w:szCs w:val="28"/>
          <w:shd w:val="clear" w:color="auto" w:fill="FFFFFF"/>
          <w:lang w:val="es-ES"/>
        </w:rPr>
        <w:t xml:space="preserve">que el ejercicio de la autonomía y la autodeterminación se hará en el marco de la Constitución y la Ley y, </w:t>
      </w:r>
      <w:r w:rsidRPr="00D93140">
        <w:rPr>
          <w:rFonts w:ascii="Times New Roman" w:hAnsi="Times New Roman"/>
          <w:sz w:val="28"/>
          <w:szCs w:val="28"/>
          <w:shd w:val="clear" w:color="auto" w:fill="FFFFFF"/>
          <w:lang w:val="es-ES"/>
        </w:rPr>
        <w:t>por el otro</w:t>
      </w:r>
      <w:r w:rsidRPr="00D93140">
        <w:rPr>
          <w:rFonts w:ascii="Times New Roman" w:hAnsi="Times New Roman"/>
          <w:sz w:val="28"/>
          <w:szCs w:val="28"/>
          <w:shd w:val="clear" w:color="auto" w:fill="FFFFFF"/>
          <w:lang w:val="es-ES"/>
        </w:rPr>
        <w:t xml:space="preserve">, que el </w:t>
      </w:r>
      <w:r w:rsidRPr="00D93140">
        <w:rPr>
          <w:rFonts w:ascii="Times New Roman" w:hAnsi="Times New Roman"/>
          <w:sz w:val="28"/>
          <w:szCs w:val="28"/>
          <w:shd w:val="clear" w:color="auto" w:fill="FFFFFF"/>
        </w:rPr>
        <w:t>cumplimiento de las funciones públicas propias se hará de manera coordinada, concurrente y subsidiaria.</w:t>
      </w:r>
    </w:p>
    <w:p w:rsidR="00E24D7E" w:rsidRPr="00D93140" w:rsidRDefault="00D93140" w:rsidP="00E04174">
      <w:pPr>
        <w:pStyle w:val="Prrafodelista"/>
        <w:tabs>
          <w:tab w:val="left" w:pos="567"/>
        </w:tabs>
        <w:ind w:left="0"/>
        <w:jc w:val="both"/>
        <w:rPr>
          <w:rFonts w:ascii="Times New Roman" w:hAnsi="Times New Roman"/>
          <w:sz w:val="28"/>
          <w:szCs w:val="28"/>
        </w:rPr>
      </w:pPr>
    </w:p>
    <w:p w:rsidR="004F04AD" w:rsidRPr="00D93140" w:rsidRDefault="00D93140" w:rsidP="0072294A">
      <w:pPr>
        <w:pStyle w:val="Prrafodelista"/>
        <w:numPr>
          <w:ilvl w:val="0"/>
          <w:numId w:val="1"/>
        </w:numPr>
        <w:tabs>
          <w:tab w:val="left" w:pos="567"/>
        </w:tabs>
        <w:ind w:left="0" w:firstLine="0"/>
        <w:jc w:val="both"/>
        <w:rPr>
          <w:rFonts w:ascii="Times New Roman" w:hAnsi="Times New Roman"/>
          <w:sz w:val="28"/>
          <w:szCs w:val="28"/>
        </w:rPr>
      </w:pPr>
      <w:r w:rsidRPr="00D93140">
        <w:rPr>
          <w:rFonts w:ascii="Times New Roman" w:hAnsi="Times New Roman"/>
          <w:bCs/>
          <w:sz w:val="28"/>
          <w:szCs w:val="28"/>
        </w:rPr>
        <w:t xml:space="preserve">Así, </w:t>
      </w:r>
      <w:r w:rsidRPr="00D93140">
        <w:rPr>
          <w:rFonts w:ascii="Times New Roman" w:hAnsi="Times New Roman"/>
          <w:sz w:val="28"/>
          <w:szCs w:val="28"/>
        </w:rPr>
        <w:t>s</w:t>
      </w:r>
      <w:r w:rsidRPr="00D93140">
        <w:rPr>
          <w:rFonts w:ascii="Times New Roman" w:hAnsi="Times New Roman"/>
          <w:sz w:val="28"/>
          <w:szCs w:val="28"/>
        </w:rPr>
        <w:t xml:space="preserve">e entiende que </w:t>
      </w:r>
      <w:r w:rsidRPr="00D93140">
        <w:rPr>
          <w:rFonts w:ascii="Times New Roman" w:hAnsi="Times New Roman"/>
          <w:sz w:val="28"/>
          <w:szCs w:val="28"/>
        </w:rPr>
        <w:t>el deber de coordinación opera también dentro de los territorios indígenas de conformidad con lo señalado</w:t>
      </w:r>
      <w:r w:rsidRPr="00D93140">
        <w:rPr>
          <w:rFonts w:ascii="Times New Roman" w:hAnsi="Times New Roman"/>
          <w:sz w:val="28"/>
          <w:szCs w:val="28"/>
        </w:rPr>
        <w:t>. Ahora,</w:t>
      </w:r>
      <w:r w:rsidRPr="00D93140">
        <w:rPr>
          <w:rFonts w:ascii="Times New Roman" w:hAnsi="Times New Roman"/>
          <w:sz w:val="28"/>
          <w:szCs w:val="28"/>
        </w:rPr>
        <w:t xml:space="preserve"> resulta pertinente aclarar que en estos espacios rige el principio de autonomía de los pueblos indígenas, conforme a la jurispr</w:t>
      </w:r>
      <w:r w:rsidRPr="00D93140">
        <w:rPr>
          <w:rFonts w:ascii="Times New Roman" w:hAnsi="Times New Roman"/>
          <w:sz w:val="28"/>
          <w:szCs w:val="28"/>
        </w:rPr>
        <w:t>udencia reiterada de esta Corporación. Lo anterior conlleva que la coordinación no puede traducirse en subordinación o desconocimiento del gobierno propio, y que, dentro de los territorios indígenas, se debe otorgar prevalencia a los intereses y decisiones</w:t>
      </w:r>
      <w:r w:rsidRPr="00D93140">
        <w:rPr>
          <w:rFonts w:ascii="Times New Roman" w:hAnsi="Times New Roman"/>
          <w:sz w:val="28"/>
          <w:szCs w:val="28"/>
        </w:rPr>
        <w:t xml:space="preserve"> de las comunidades que los habitan.</w:t>
      </w:r>
    </w:p>
    <w:p w:rsidR="004F04AD" w:rsidRPr="00D93140" w:rsidRDefault="00D93140" w:rsidP="004F04AD">
      <w:pPr>
        <w:pStyle w:val="Prrafodelista"/>
        <w:tabs>
          <w:tab w:val="left" w:pos="567"/>
        </w:tabs>
        <w:ind w:left="0"/>
        <w:jc w:val="both"/>
        <w:rPr>
          <w:rFonts w:ascii="Times New Roman" w:hAnsi="Times New Roman"/>
          <w:sz w:val="28"/>
          <w:szCs w:val="28"/>
        </w:rPr>
      </w:pPr>
    </w:p>
    <w:p w:rsidR="005E708F" w:rsidRPr="00D93140" w:rsidRDefault="00D93140" w:rsidP="00E04174">
      <w:pPr>
        <w:pStyle w:val="Prrafodelista"/>
        <w:numPr>
          <w:ilvl w:val="0"/>
          <w:numId w:val="1"/>
        </w:numPr>
        <w:tabs>
          <w:tab w:val="left" w:pos="567"/>
        </w:tabs>
        <w:ind w:left="0" w:firstLine="0"/>
        <w:jc w:val="both"/>
        <w:rPr>
          <w:rFonts w:ascii="Times New Roman" w:hAnsi="Times New Roman"/>
          <w:sz w:val="28"/>
          <w:szCs w:val="28"/>
        </w:rPr>
      </w:pPr>
      <w:r w:rsidRPr="00D93140">
        <w:rPr>
          <w:rFonts w:ascii="Times New Roman" w:hAnsi="Times New Roman"/>
          <w:sz w:val="28"/>
          <w:szCs w:val="28"/>
        </w:rPr>
        <w:t xml:space="preserve">En </w:t>
      </w:r>
      <w:r w:rsidRPr="00D93140">
        <w:rPr>
          <w:rFonts w:ascii="Times New Roman" w:hAnsi="Times New Roman"/>
          <w:sz w:val="28"/>
          <w:szCs w:val="28"/>
        </w:rPr>
        <w:t>consecuencia</w:t>
      </w:r>
      <w:r w:rsidRPr="00D93140">
        <w:rPr>
          <w:rFonts w:ascii="Times New Roman" w:hAnsi="Times New Roman"/>
          <w:sz w:val="28"/>
          <w:szCs w:val="28"/>
        </w:rPr>
        <w:t xml:space="preserve"> y con el fin de garantizar</w:t>
      </w:r>
      <w:r w:rsidRPr="00D93140">
        <w:rPr>
          <w:rFonts w:ascii="Times New Roman" w:hAnsi="Times New Roman"/>
          <w:sz w:val="28"/>
          <w:szCs w:val="28"/>
        </w:rPr>
        <w:t>, por un lado,</w:t>
      </w:r>
      <w:r w:rsidRPr="00D93140">
        <w:rPr>
          <w:rFonts w:ascii="Times New Roman" w:hAnsi="Times New Roman"/>
          <w:sz w:val="28"/>
          <w:szCs w:val="28"/>
        </w:rPr>
        <w:t xml:space="preserve"> el ejercicio de las autonomías tanto de las comunidades indígenas y de las CAR y</w:t>
      </w:r>
      <w:r w:rsidRPr="00D93140">
        <w:rPr>
          <w:rFonts w:ascii="Times New Roman" w:hAnsi="Times New Roman"/>
          <w:sz w:val="28"/>
          <w:szCs w:val="28"/>
        </w:rPr>
        <w:t xml:space="preserve">, por el otro, de fortalecer los principios de complementariedad y coordinación, </w:t>
      </w:r>
      <w:r w:rsidRPr="00D93140">
        <w:rPr>
          <w:rFonts w:ascii="Times New Roman" w:hAnsi="Times New Roman"/>
          <w:sz w:val="28"/>
          <w:szCs w:val="28"/>
        </w:rPr>
        <w:t>y no un modelo de exclusión o sustitución de competencias de las</w:t>
      </w:r>
      <w:r w:rsidRPr="00D93140">
        <w:rPr>
          <w:rFonts w:ascii="Times New Roman" w:hAnsi="Times New Roman"/>
          <w:sz w:val="28"/>
          <w:szCs w:val="28"/>
        </w:rPr>
        <w:t xml:space="preserve"> autoridades ambientales, se declarará inexequible la expresión “en los casos en los que se supere el ámbito de aplicación del presente Decreto y concurran competencias ambientales” contenida </w:t>
      </w:r>
      <w:r w:rsidRPr="00D93140">
        <w:rPr>
          <w:rFonts w:ascii="Times New Roman" w:hAnsi="Times New Roman"/>
          <w:sz w:val="28"/>
          <w:szCs w:val="28"/>
        </w:rPr>
        <w:t>en el artículo 5 del Decreto 1275 de 2024.</w:t>
      </w:r>
    </w:p>
    <w:p w:rsidR="0074358E" w:rsidRPr="00D93140" w:rsidRDefault="00D93140" w:rsidP="00E04174">
      <w:pPr>
        <w:pStyle w:val="Prrafodelista"/>
        <w:tabs>
          <w:tab w:val="left" w:pos="567"/>
        </w:tabs>
        <w:ind w:left="0"/>
        <w:jc w:val="both"/>
        <w:rPr>
          <w:rFonts w:ascii="Times New Roman" w:hAnsi="Times New Roman"/>
          <w:sz w:val="28"/>
          <w:szCs w:val="28"/>
        </w:rPr>
      </w:pPr>
    </w:p>
    <w:p w:rsidR="00C6306E" w:rsidRPr="00D93140" w:rsidRDefault="00D93140" w:rsidP="007E084C">
      <w:pPr>
        <w:pStyle w:val="Ttulo4"/>
        <w:rPr>
          <w:rFonts w:ascii="Times New Roman" w:hAnsi="Times New Roman"/>
          <w:sz w:val="28"/>
        </w:rPr>
      </w:pPr>
      <w:r w:rsidRPr="00D93140">
        <w:rPr>
          <w:rFonts w:ascii="Times New Roman" w:hAnsi="Times New Roman"/>
          <w:sz w:val="28"/>
          <w:lang w:eastAsia="es-MX"/>
        </w:rPr>
        <w:t>5</w:t>
      </w:r>
      <w:r w:rsidRPr="00D93140">
        <w:rPr>
          <w:rFonts w:ascii="Times New Roman" w:hAnsi="Times New Roman"/>
          <w:sz w:val="28"/>
          <w:lang w:eastAsia="es-MX"/>
        </w:rPr>
        <w:t xml:space="preserve">.5. Análisis del cargo por presunta vulneración del artículo 229 de la Constitución </w:t>
      </w:r>
    </w:p>
    <w:p w:rsidR="00583FC0" w:rsidRPr="00D93140" w:rsidRDefault="00D93140" w:rsidP="00E04174">
      <w:pPr>
        <w:pStyle w:val="Prrafodelista"/>
        <w:ind w:left="0"/>
        <w:jc w:val="both"/>
        <w:rPr>
          <w:rFonts w:ascii="Times New Roman" w:hAnsi="Times New Roman"/>
          <w:sz w:val="28"/>
          <w:szCs w:val="28"/>
        </w:rPr>
      </w:pPr>
    </w:p>
    <w:p w:rsidR="00E72DB3"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Para el accionante los artículos 5 y 6 del Decreto 1275 de 2024 atribuyen a las autoridades indígenas una serie de funciones </w:t>
      </w:r>
      <w:r w:rsidRPr="00D93140">
        <w:rPr>
          <w:rFonts w:ascii="Times New Roman" w:hAnsi="Times New Roman"/>
          <w:sz w:val="28"/>
          <w:szCs w:val="28"/>
        </w:rPr>
        <w:t>que contemplan la expedición de actos generales y actos particulares, sin especificar si estos actos son actos administrativos, ni indicar si estos actos se sujetan a la Constitución y la ley, ni señalar si estos son susceptibles de control jurisdiccional</w:t>
      </w:r>
      <w:r w:rsidRPr="00D93140">
        <w:rPr>
          <w:rFonts w:ascii="Times New Roman" w:hAnsi="Times New Roman"/>
          <w:sz w:val="28"/>
          <w:szCs w:val="28"/>
        </w:rPr>
        <w:t>,</w:t>
      </w:r>
      <w:r w:rsidRPr="00D93140">
        <w:rPr>
          <w:rFonts w:ascii="Times New Roman" w:hAnsi="Times New Roman"/>
          <w:sz w:val="28"/>
          <w:szCs w:val="28"/>
        </w:rPr>
        <w:t xml:space="preserve"> al no señalar las </w:t>
      </w:r>
      <w:r w:rsidRPr="00D93140">
        <w:rPr>
          <w:rFonts w:ascii="Times New Roman" w:hAnsi="Times New Roman"/>
          <w:sz w:val="28"/>
          <w:szCs w:val="28"/>
        </w:rPr>
        <w:t>acciones judiciales que pueden proceder contra las determinaciones de las autoridades indígenas</w:t>
      </w:r>
      <w:r w:rsidRPr="00D93140">
        <w:rPr>
          <w:rFonts w:ascii="Times New Roman" w:hAnsi="Times New Roman"/>
          <w:sz w:val="28"/>
          <w:szCs w:val="28"/>
        </w:rPr>
        <w:t xml:space="preserve"> o</w:t>
      </w:r>
      <w:r w:rsidRPr="00D93140">
        <w:rPr>
          <w:rFonts w:ascii="Times New Roman" w:hAnsi="Times New Roman"/>
          <w:sz w:val="28"/>
          <w:szCs w:val="28"/>
        </w:rPr>
        <w:t xml:space="preserve"> el procedimiento administrativ</w:t>
      </w:r>
      <w:r w:rsidRPr="00D93140">
        <w:rPr>
          <w:rFonts w:ascii="Times New Roman" w:hAnsi="Times New Roman"/>
          <w:sz w:val="28"/>
          <w:szCs w:val="28"/>
        </w:rPr>
        <w:t>o</w:t>
      </w:r>
      <w:r w:rsidRPr="00D93140">
        <w:rPr>
          <w:rFonts w:ascii="Times New Roman" w:hAnsi="Times New Roman"/>
          <w:sz w:val="28"/>
          <w:szCs w:val="28"/>
        </w:rPr>
        <w:t xml:space="preserve"> aplicable</w:t>
      </w:r>
      <w:r w:rsidRPr="00D93140">
        <w:rPr>
          <w:rFonts w:ascii="Times New Roman" w:hAnsi="Times New Roman"/>
          <w:sz w:val="28"/>
          <w:szCs w:val="28"/>
        </w:rPr>
        <w:t>.</w:t>
      </w:r>
    </w:p>
    <w:p w:rsidR="00E72DB3" w:rsidRPr="00D93140" w:rsidRDefault="00D93140" w:rsidP="00E04174">
      <w:pPr>
        <w:pStyle w:val="Prrafodelista"/>
        <w:ind w:left="0"/>
        <w:jc w:val="both"/>
        <w:rPr>
          <w:rFonts w:ascii="Times New Roman" w:hAnsi="Times New Roman"/>
          <w:sz w:val="28"/>
          <w:szCs w:val="28"/>
        </w:rPr>
      </w:pPr>
    </w:p>
    <w:p w:rsidR="004808D9"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En criterio del accionante, como las citadas normas atribuyen potestades ambientales que no tie</w:t>
      </w:r>
      <w:r w:rsidRPr="00D93140">
        <w:rPr>
          <w:rFonts w:ascii="Times New Roman" w:hAnsi="Times New Roman"/>
          <w:sz w:val="28"/>
          <w:szCs w:val="28"/>
        </w:rPr>
        <w:t>nen un ámbito de aplicación definido y pueden afectar a terceros que no hacen parte de las comunidades indígenas en virtud de la facultad sancionatoria, las mismas serían inexequible</w:t>
      </w:r>
      <w:r w:rsidRPr="00D93140">
        <w:rPr>
          <w:rFonts w:ascii="Times New Roman" w:hAnsi="Times New Roman"/>
          <w:sz w:val="28"/>
          <w:szCs w:val="28"/>
        </w:rPr>
        <w:t>s</w:t>
      </w:r>
      <w:r w:rsidRPr="00D93140">
        <w:rPr>
          <w:rFonts w:ascii="Times New Roman" w:hAnsi="Times New Roman"/>
          <w:sz w:val="28"/>
          <w:szCs w:val="28"/>
        </w:rPr>
        <w:t xml:space="preserve">. </w:t>
      </w:r>
      <w:r w:rsidRPr="00D93140">
        <w:rPr>
          <w:rFonts w:ascii="Times New Roman" w:hAnsi="Times New Roman"/>
          <w:sz w:val="28"/>
          <w:szCs w:val="28"/>
        </w:rPr>
        <w:t xml:space="preserve"> </w:t>
      </w:r>
    </w:p>
    <w:p w:rsidR="00E72DB3" w:rsidRPr="00D93140" w:rsidRDefault="00D93140" w:rsidP="00E04174">
      <w:pPr>
        <w:pStyle w:val="Prrafodelista"/>
        <w:ind w:left="0"/>
        <w:jc w:val="both"/>
        <w:rPr>
          <w:rFonts w:ascii="Times New Roman" w:hAnsi="Times New Roman"/>
          <w:sz w:val="28"/>
          <w:szCs w:val="28"/>
        </w:rPr>
      </w:pPr>
    </w:p>
    <w:p w:rsidR="004808D9"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Al respecto, </w:t>
      </w:r>
      <w:r w:rsidRPr="00D93140">
        <w:rPr>
          <w:rFonts w:ascii="Times New Roman" w:hAnsi="Times New Roman"/>
          <w:sz w:val="28"/>
          <w:szCs w:val="28"/>
        </w:rPr>
        <w:t>coincide la Sala con algunos intervinientes en el sentido de precisar que de conformidad con el artículo 246 superior, las autoridades indígenas pueden ejercer funciones jurisdiccionales dentro de sus territorios, de acuerdo con sus normas y procedimientos</w:t>
      </w:r>
      <w:r w:rsidRPr="00D93140">
        <w:rPr>
          <w:rFonts w:ascii="Times New Roman" w:hAnsi="Times New Roman"/>
          <w:sz w:val="28"/>
          <w:szCs w:val="28"/>
        </w:rPr>
        <w:t xml:space="preserve">, siempre que no sean contrarios a la Constitución y a la ley. </w:t>
      </w:r>
    </w:p>
    <w:p w:rsidR="0004160F" w:rsidRPr="00D93140" w:rsidRDefault="00D93140" w:rsidP="00E04174">
      <w:pPr>
        <w:pStyle w:val="Prrafodelista"/>
        <w:ind w:left="0"/>
        <w:jc w:val="both"/>
        <w:rPr>
          <w:rFonts w:ascii="Times New Roman" w:hAnsi="Times New Roman"/>
          <w:sz w:val="28"/>
          <w:szCs w:val="28"/>
        </w:rPr>
      </w:pPr>
    </w:p>
    <w:p w:rsidR="00C1513E"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Así</w:t>
      </w:r>
      <w:r w:rsidRPr="00D93140">
        <w:rPr>
          <w:rFonts w:ascii="Times New Roman" w:hAnsi="Times New Roman"/>
          <w:sz w:val="28"/>
          <w:szCs w:val="28"/>
        </w:rPr>
        <w:t xml:space="preserve">, </w:t>
      </w:r>
      <w:r w:rsidRPr="00D93140">
        <w:rPr>
          <w:rFonts w:ascii="Times New Roman" w:hAnsi="Times New Roman"/>
          <w:sz w:val="28"/>
          <w:szCs w:val="28"/>
        </w:rPr>
        <w:t>afirmar</w:t>
      </w:r>
      <w:r w:rsidRPr="00D93140">
        <w:rPr>
          <w:rFonts w:ascii="Times New Roman" w:hAnsi="Times New Roman"/>
          <w:sz w:val="28"/>
          <w:szCs w:val="28"/>
        </w:rPr>
        <w:t xml:space="preserve"> </w:t>
      </w:r>
      <w:r w:rsidRPr="00D93140">
        <w:rPr>
          <w:rFonts w:ascii="Times New Roman" w:hAnsi="Times New Roman"/>
          <w:sz w:val="28"/>
          <w:szCs w:val="28"/>
        </w:rPr>
        <w:t xml:space="preserve">que </w:t>
      </w:r>
      <w:r w:rsidRPr="00D93140">
        <w:rPr>
          <w:rFonts w:ascii="Times New Roman" w:hAnsi="Times New Roman"/>
          <w:sz w:val="28"/>
          <w:szCs w:val="28"/>
        </w:rPr>
        <w:t>los actos proferidos por las autoridades ambientales no t</w:t>
      </w:r>
      <w:r w:rsidRPr="00D93140">
        <w:rPr>
          <w:rFonts w:ascii="Times New Roman" w:hAnsi="Times New Roman"/>
          <w:sz w:val="28"/>
          <w:szCs w:val="28"/>
        </w:rPr>
        <w:t>iene</w:t>
      </w:r>
      <w:r w:rsidRPr="00D93140">
        <w:rPr>
          <w:rFonts w:ascii="Times New Roman" w:hAnsi="Times New Roman"/>
          <w:sz w:val="28"/>
          <w:szCs w:val="28"/>
        </w:rPr>
        <w:t>n un procedimiento o un control dentro de sus propias normas sería des</w:t>
      </w:r>
      <w:r w:rsidRPr="00D93140">
        <w:rPr>
          <w:rFonts w:ascii="Times New Roman" w:hAnsi="Times New Roman"/>
          <w:sz w:val="28"/>
          <w:szCs w:val="28"/>
        </w:rPr>
        <w:t>conocer los elementos propios d</w:t>
      </w:r>
      <w:r w:rsidRPr="00D93140">
        <w:rPr>
          <w:rFonts w:ascii="Times New Roman" w:hAnsi="Times New Roman"/>
          <w:sz w:val="28"/>
          <w:szCs w:val="28"/>
        </w:rPr>
        <w:t>e</w:t>
      </w:r>
      <w:r w:rsidRPr="00D93140">
        <w:rPr>
          <w:rFonts w:ascii="Times New Roman" w:hAnsi="Times New Roman"/>
          <w:sz w:val="28"/>
          <w:szCs w:val="28"/>
        </w:rPr>
        <w:t xml:space="preserve"> </w:t>
      </w:r>
      <w:r w:rsidRPr="00D93140">
        <w:rPr>
          <w:rFonts w:ascii="Times New Roman" w:hAnsi="Times New Roman"/>
          <w:sz w:val="28"/>
          <w:szCs w:val="28"/>
        </w:rPr>
        <w:t>la jurisdi</w:t>
      </w:r>
      <w:r w:rsidRPr="00D93140">
        <w:rPr>
          <w:rFonts w:ascii="Times New Roman" w:hAnsi="Times New Roman"/>
          <w:sz w:val="28"/>
          <w:szCs w:val="28"/>
        </w:rPr>
        <w:t>cción especial indígena, ampliamente estudiada por la jurisprudencia constitucional.</w:t>
      </w:r>
      <w:r w:rsidRPr="00D93140">
        <w:rPr>
          <w:rFonts w:ascii="Times New Roman" w:hAnsi="Times New Roman"/>
          <w:sz w:val="28"/>
          <w:szCs w:val="28"/>
        </w:rPr>
        <w:t xml:space="preserve"> En efecto, esta Corte ha sido enfática en señalar que no es exigible a las comunidades la acreditación de normas escritas o códigos similares a los del ordenamiento jurídi</w:t>
      </w:r>
      <w:r w:rsidRPr="00D93140">
        <w:rPr>
          <w:rFonts w:ascii="Times New Roman" w:hAnsi="Times New Roman"/>
          <w:sz w:val="28"/>
          <w:szCs w:val="28"/>
        </w:rPr>
        <w:t xml:space="preserve">co </w:t>
      </w:r>
      <w:r w:rsidRPr="00D93140">
        <w:rPr>
          <w:rFonts w:ascii="Times New Roman" w:hAnsi="Times New Roman"/>
          <w:sz w:val="28"/>
          <w:szCs w:val="28"/>
        </w:rPr>
        <w:t>nacional</w:t>
      </w:r>
      <w:r w:rsidRPr="00D93140">
        <w:rPr>
          <w:rFonts w:ascii="Times New Roman" w:hAnsi="Times New Roman"/>
          <w:sz w:val="28"/>
          <w:szCs w:val="28"/>
        </w:rPr>
        <w:t>, ya que ello sería desconocer su autonomía jurisdiccional</w:t>
      </w:r>
      <w:r w:rsidRPr="00D93140">
        <w:rPr>
          <w:rStyle w:val="Refdenotaalpie"/>
          <w:rFonts w:ascii="Times New Roman" w:hAnsi="Times New Roman"/>
          <w:sz w:val="28"/>
          <w:szCs w:val="28"/>
        </w:rPr>
        <w:footnoteReference w:id="107"/>
      </w:r>
      <w:r w:rsidRPr="00D93140">
        <w:rPr>
          <w:rFonts w:ascii="Times New Roman" w:hAnsi="Times New Roman"/>
          <w:sz w:val="28"/>
          <w:szCs w:val="28"/>
        </w:rPr>
        <w:t xml:space="preserve">, sin que ello implique la </w:t>
      </w:r>
      <w:r w:rsidRPr="00D93140">
        <w:rPr>
          <w:rFonts w:ascii="Times New Roman" w:hAnsi="Times New Roman"/>
          <w:sz w:val="28"/>
          <w:szCs w:val="28"/>
        </w:rPr>
        <w:t>inobservancia</w:t>
      </w:r>
      <w:r w:rsidRPr="00D93140">
        <w:rPr>
          <w:rFonts w:ascii="Times New Roman" w:hAnsi="Times New Roman"/>
          <w:sz w:val="28"/>
          <w:szCs w:val="28"/>
        </w:rPr>
        <w:t xml:space="preserve"> de principios fundamentales como el debido proceso</w:t>
      </w:r>
      <w:r w:rsidRPr="00D93140">
        <w:rPr>
          <w:rFonts w:ascii="Times New Roman" w:hAnsi="Times New Roman"/>
          <w:sz w:val="28"/>
          <w:szCs w:val="28"/>
        </w:rPr>
        <w:t>.</w:t>
      </w:r>
    </w:p>
    <w:p w:rsidR="00C1513E" w:rsidRPr="00D93140" w:rsidRDefault="00D93140" w:rsidP="00E04174">
      <w:pPr>
        <w:pStyle w:val="Prrafodelista"/>
        <w:ind w:left="0"/>
        <w:jc w:val="both"/>
        <w:rPr>
          <w:rFonts w:ascii="Times New Roman" w:hAnsi="Times New Roman"/>
          <w:sz w:val="28"/>
          <w:szCs w:val="28"/>
        </w:rPr>
      </w:pPr>
    </w:p>
    <w:p w:rsidR="00921423" w:rsidRPr="00D93140" w:rsidRDefault="00D93140" w:rsidP="00921423">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Bajo este contexto, </w:t>
      </w:r>
      <w:r w:rsidRPr="00D93140">
        <w:rPr>
          <w:rFonts w:ascii="Times New Roman" w:hAnsi="Times New Roman"/>
          <w:sz w:val="28"/>
          <w:szCs w:val="28"/>
        </w:rPr>
        <w:t>debe tenerse en cuenta que el ejercicio de la jurisdicción especial indí</w:t>
      </w:r>
      <w:r w:rsidRPr="00D93140">
        <w:rPr>
          <w:rFonts w:ascii="Times New Roman" w:hAnsi="Times New Roman"/>
          <w:sz w:val="28"/>
          <w:szCs w:val="28"/>
        </w:rPr>
        <w:t>gena no es absoluto y sus decisiones, aunque vinculantes, “deben acompasarse con las de otras autoridades y entidades públicas, ser razonables y proporcionales, es decir, respetar los derechos fundamentales”</w:t>
      </w:r>
      <w:r w:rsidRPr="00D93140">
        <w:rPr>
          <w:rStyle w:val="Refdenotaalpie"/>
          <w:rFonts w:ascii="Times New Roman" w:hAnsi="Times New Roman"/>
          <w:sz w:val="28"/>
          <w:szCs w:val="28"/>
        </w:rPr>
        <w:footnoteReference w:id="108"/>
      </w:r>
      <w:r w:rsidRPr="00D93140">
        <w:rPr>
          <w:rFonts w:ascii="Times New Roman" w:hAnsi="Times New Roman"/>
          <w:sz w:val="28"/>
          <w:szCs w:val="28"/>
        </w:rPr>
        <w:t xml:space="preserve">. </w:t>
      </w:r>
    </w:p>
    <w:p w:rsidR="00921423" w:rsidRPr="00D93140" w:rsidRDefault="00D93140" w:rsidP="00921423">
      <w:pPr>
        <w:pStyle w:val="Prrafodelista"/>
        <w:ind w:left="0"/>
        <w:jc w:val="both"/>
        <w:rPr>
          <w:rFonts w:ascii="Times New Roman" w:hAnsi="Times New Roman"/>
          <w:sz w:val="28"/>
          <w:szCs w:val="28"/>
        </w:rPr>
      </w:pPr>
    </w:p>
    <w:p w:rsidR="00921423" w:rsidRPr="00D93140" w:rsidRDefault="00D93140" w:rsidP="00921423">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Ahora, </w:t>
      </w:r>
      <w:r w:rsidRPr="00D93140">
        <w:rPr>
          <w:rFonts w:ascii="Times New Roman" w:hAnsi="Times New Roman"/>
          <w:sz w:val="28"/>
          <w:szCs w:val="28"/>
        </w:rPr>
        <w:t xml:space="preserve">teniendo en cuenta el modelo de </w:t>
      </w:r>
      <w:r w:rsidRPr="00D93140">
        <w:rPr>
          <w:rFonts w:ascii="Times New Roman" w:hAnsi="Times New Roman"/>
          <w:sz w:val="28"/>
          <w:szCs w:val="28"/>
        </w:rPr>
        <w:t>gestión ambiental participativa, concurrente y articulada que ha construido el ordenamiento jurídico colombiano,</w:t>
      </w:r>
      <w:r w:rsidRPr="00D93140">
        <w:rPr>
          <w:rFonts w:ascii="Times New Roman" w:hAnsi="Times New Roman"/>
          <w:sz w:val="28"/>
          <w:szCs w:val="28"/>
        </w:rPr>
        <w:t xml:space="preserve"> las autoridades indígenas también son autoridades ambientales</w:t>
      </w:r>
      <w:r w:rsidRPr="00D93140">
        <w:rPr>
          <w:rFonts w:ascii="Times New Roman" w:hAnsi="Times New Roman"/>
          <w:sz w:val="28"/>
          <w:szCs w:val="28"/>
        </w:rPr>
        <w:t xml:space="preserve"> y</w:t>
      </w:r>
      <w:r w:rsidRPr="00D93140">
        <w:rPr>
          <w:rFonts w:ascii="Times New Roman" w:hAnsi="Times New Roman"/>
          <w:sz w:val="28"/>
          <w:szCs w:val="28"/>
        </w:rPr>
        <w:t xml:space="preserve"> los artículos demandados permiten que </w:t>
      </w:r>
      <w:r w:rsidRPr="00D93140">
        <w:rPr>
          <w:rFonts w:ascii="Times New Roman" w:hAnsi="Times New Roman"/>
          <w:sz w:val="28"/>
          <w:szCs w:val="28"/>
        </w:rPr>
        <w:t>emit</w:t>
      </w:r>
      <w:r w:rsidRPr="00D93140">
        <w:rPr>
          <w:rFonts w:ascii="Times New Roman" w:hAnsi="Times New Roman"/>
          <w:sz w:val="28"/>
          <w:szCs w:val="28"/>
        </w:rPr>
        <w:t>an</w:t>
      </w:r>
      <w:r w:rsidRPr="00D93140">
        <w:rPr>
          <w:rFonts w:ascii="Times New Roman" w:hAnsi="Times New Roman"/>
          <w:sz w:val="28"/>
          <w:szCs w:val="28"/>
        </w:rPr>
        <w:t xml:space="preserve"> resoluciones y actos administrativ</w:t>
      </w:r>
      <w:r w:rsidRPr="00D93140">
        <w:rPr>
          <w:rFonts w:ascii="Times New Roman" w:hAnsi="Times New Roman"/>
          <w:sz w:val="28"/>
          <w:szCs w:val="28"/>
        </w:rPr>
        <w:t xml:space="preserve">os en coordinación con otras autoridades ambientales estatales que </w:t>
      </w:r>
      <w:r w:rsidRPr="00D93140">
        <w:rPr>
          <w:rFonts w:ascii="Times New Roman" w:hAnsi="Times New Roman"/>
          <w:sz w:val="28"/>
          <w:szCs w:val="28"/>
        </w:rPr>
        <w:t xml:space="preserve">cobijen </w:t>
      </w:r>
      <w:r w:rsidRPr="00D93140">
        <w:rPr>
          <w:rFonts w:ascii="Times New Roman" w:hAnsi="Times New Roman"/>
          <w:sz w:val="28"/>
          <w:szCs w:val="28"/>
          <w:lang w:val="es-ES" w:eastAsia="es-MX"/>
        </w:rPr>
        <w:t xml:space="preserve">territorios o espacios en los que no solo habitan miembros de la comunidad a la que representan. En ese escenario </w:t>
      </w:r>
      <w:r w:rsidRPr="00D93140">
        <w:rPr>
          <w:rFonts w:ascii="Times New Roman" w:hAnsi="Times New Roman"/>
          <w:sz w:val="28"/>
          <w:szCs w:val="28"/>
        </w:rPr>
        <w:t>y según el caso</w:t>
      </w:r>
      <w:r w:rsidRPr="00D93140">
        <w:rPr>
          <w:rFonts w:ascii="Times New Roman" w:hAnsi="Times New Roman"/>
          <w:sz w:val="28"/>
          <w:szCs w:val="28"/>
        </w:rPr>
        <w:t>, podr</w:t>
      </w:r>
      <w:r w:rsidRPr="00D93140">
        <w:rPr>
          <w:rFonts w:ascii="Times New Roman" w:hAnsi="Times New Roman"/>
          <w:sz w:val="28"/>
          <w:szCs w:val="28"/>
        </w:rPr>
        <w:t>á</w:t>
      </w:r>
      <w:r w:rsidRPr="00D93140">
        <w:rPr>
          <w:rFonts w:ascii="Times New Roman" w:hAnsi="Times New Roman"/>
          <w:sz w:val="28"/>
          <w:szCs w:val="28"/>
        </w:rPr>
        <w:t xml:space="preserve">n ser demandados ante la jurisdicción </w:t>
      </w:r>
      <w:r w:rsidRPr="00D93140">
        <w:rPr>
          <w:rFonts w:ascii="Times New Roman" w:hAnsi="Times New Roman"/>
          <w:sz w:val="28"/>
          <w:szCs w:val="28"/>
        </w:rPr>
        <w:t>ordinar</w:t>
      </w:r>
      <w:r w:rsidRPr="00D93140">
        <w:rPr>
          <w:rFonts w:ascii="Times New Roman" w:hAnsi="Times New Roman"/>
          <w:sz w:val="28"/>
          <w:szCs w:val="28"/>
        </w:rPr>
        <w:t xml:space="preserve">ia o </w:t>
      </w:r>
      <w:r w:rsidRPr="00D93140">
        <w:rPr>
          <w:rFonts w:ascii="Times New Roman" w:hAnsi="Times New Roman"/>
          <w:sz w:val="28"/>
          <w:szCs w:val="28"/>
        </w:rPr>
        <w:t xml:space="preserve">de lo contencioso administrativo. Además, cuando estas actuaciones trasgredan derechos fundamentales, incluso dentro de sus territorios, también cabría la acción de tutela. </w:t>
      </w:r>
    </w:p>
    <w:p w:rsidR="00921423" w:rsidRPr="00D93140" w:rsidRDefault="00D93140" w:rsidP="00921423">
      <w:pPr>
        <w:pStyle w:val="Prrafodelista"/>
        <w:ind w:left="0"/>
        <w:jc w:val="both"/>
        <w:rPr>
          <w:rFonts w:ascii="Times New Roman" w:hAnsi="Times New Roman"/>
          <w:sz w:val="28"/>
          <w:szCs w:val="28"/>
        </w:rPr>
      </w:pPr>
    </w:p>
    <w:p w:rsidR="000445AC" w:rsidRPr="00D93140" w:rsidRDefault="00D93140" w:rsidP="00472002">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 xml:space="preserve">Así las cosas, contrario a lo afirmado por el actor, las actuaciones de las </w:t>
      </w:r>
      <w:r w:rsidRPr="00D93140">
        <w:rPr>
          <w:rFonts w:ascii="Times New Roman" w:hAnsi="Times New Roman"/>
          <w:sz w:val="28"/>
          <w:szCs w:val="28"/>
        </w:rPr>
        <w:t>autoridades indígenas en materia ambiental proferidas en virtud de las competencias otorgadas en el Decreto</w:t>
      </w:r>
      <w:r w:rsidRPr="00D93140">
        <w:rPr>
          <w:rFonts w:ascii="Times New Roman" w:hAnsi="Times New Roman"/>
          <w:sz w:val="28"/>
          <w:szCs w:val="28"/>
        </w:rPr>
        <w:t>, se</w:t>
      </w:r>
      <w:r w:rsidRPr="00D93140">
        <w:rPr>
          <w:rFonts w:ascii="Times New Roman" w:hAnsi="Times New Roman"/>
          <w:sz w:val="28"/>
          <w:szCs w:val="28"/>
        </w:rPr>
        <w:t xml:space="preserve">gún el caso, se </w:t>
      </w:r>
      <w:r w:rsidRPr="00D93140">
        <w:rPr>
          <w:rFonts w:ascii="Times New Roman" w:hAnsi="Times New Roman"/>
          <w:sz w:val="28"/>
          <w:szCs w:val="28"/>
        </w:rPr>
        <w:t>encontrarán</w:t>
      </w:r>
      <w:r w:rsidRPr="00D93140">
        <w:rPr>
          <w:rFonts w:ascii="Times New Roman" w:hAnsi="Times New Roman"/>
          <w:sz w:val="28"/>
          <w:szCs w:val="28"/>
        </w:rPr>
        <w:t xml:space="preserve"> sujetas a un control interno o al de la jurisdicción ordinaria, incluso a través de la acción de tutela</w:t>
      </w:r>
      <w:r w:rsidRPr="00D93140">
        <w:rPr>
          <w:rStyle w:val="Refdenotaalpie"/>
          <w:rFonts w:ascii="Times New Roman" w:hAnsi="Times New Roman"/>
          <w:sz w:val="28"/>
          <w:szCs w:val="28"/>
        </w:rPr>
        <w:footnoteReference w:id="109"/>
      </w:r>
      <w:r w:rsidRPr="00D93140">
        <w:rPr>
          <w:rFonts w:ascii="Times New Roman" w:hAnsi="Times New Roman"/>
          <w:sz w:val="28"/>
          <w:szCs w:val="28"/>
        </w:rPr>
        <w:t>.</w:t>
      </w:r>
      <w:r w:rsidRPr="00D93140">
        <w:rPr>
          <w:rFonts w:ascii="Times New Roman" w:hAnsi="Times New Roman"/>
          <w:sz w:val="28"/>
          <w:szCs w:val="28"/>
        </w:rPr>
        <w:t xml:space="preserve"> No sobra aclarar que, </w:t>
      </w:r>
      <w:r w:rsidRPr="00D93140">
        <w:rPr>
          <w:rFonts w:ascii="Times New Roman" w:hAnsi="Times New Roman"/>
          <w:sz w:val="28"/>
          <w:szCs w:val="28"/>
        </w:rPr>
        <w:t>en caso de decisiones que afecten a terceros que no hacen parte de la comunidad se acudirá al análisis de los elementos exigidos para establecer si procede o no la activación de la jurisdicción especial indígena. De no activarse, est</w:t>
      </w:r>
      <w:r w:rsidRPr="00D93140">
        <w:rPr>
          <w:rFonts w:ascii="Times New Roman" w:hAnsi="Times New Roman"/>
          <w:sz w:val="28"/>
          <w:szCs w:val="28"/>
        </w:rPr>
        <w:t xml:space="preserve">os actos tendrán el control correspondiente ante la jurisdicción ordinaria o contencioso administrativa según corresponda. </w:t>
      </w:r>
    </w:p>
    <w:p w:rsidR="000445AC" w:rsidRPr="00D93140" w:rsidRDefault="00D93140" w:rsidP="000445AC">
      <w:pPr>
        <w:jc w:val="both"/>
        <w:rPr>
          <w:rFonts w:ascii="Times New Roman" w:hAnsi="Times New Roman"/>
          <w:sz w:val="28"/>
          <w:szCs w:val="28"/>
        </w:rPr>
      </w:pPr>
    </w:p>
    <w:p w:rsidR="001F32D8" w:rsidRPr="00D93140" w:rsidRDefault="00D93140" w:rsidP="00E04174">
      <w:pPr>
        <w:pStyle w:val="Prrafodelista"/>
        <w:numPr>
          <w:ilvl w:val="0"/>
          <w:numId w:val="1"/>
        </w:numPr>
        <w:ind w:left="0" w:firstLine="0"/>
        <w:jc w:val="both"/>
        <w:rPr>
          <w:rFonts w:ascii="Times New Roman" w:hAnsi="Times New Roman"/>
          <w:sz w:val="28"/>
          <w:szCs w:val="28"/>
        </w:rPr>
      </w:pPr>
      <w:r w:rsidRPr="00D93140">
        <w:rPr>
          <w:rFonts w:ascii="Times New Roman" w:hAnsi="Times New Roman"/>
          <w:sz w:val="28"/>
          <w:szCs w:val="28"/>
        </w:rPr>
        <w:t>De esta manera, los artículos 5 y 6 del Decreto 1275 de 2024 s</w:t>
      </w:r>
      <w:r w:rsidRPr="00D93140">
        <w:rPr>
          <w:rFonts w:ascii="Times New Roman" w:hAnsi="Times New Roman"/>
          <w:sz w:val="28"/>
          <w:szCs w:val="28"/>
        </w:rPr>
        <w:t>o</w:t>
      </w:r>
      <w:r w:rsidRPr="00D93140">
        <w:rPr>
          <w:rFonts w:ascii="Times New Roman" w:hAnsi="Times New Roman"/>
          <w:sz w:val="28"/>
          <w:szCs w:val="28"/>
        </w:rPr>
        <w:t>n</w:t>
      </w:r>
      <w:r w:rsidRPr="00D93140">
        <w:rPr>
          <w:rFonts w:ascii="Times New Roman" w:hAnsi="Times New Roman"/>
          <w:sz w:val="28"/>
          <w:szCs w:val="28"/>
        </w:rPr>
        <w:t xml:space="preserve"> exequibles, </w:t>
      </w:r>
      <w:r w:rsidRPr="00D93140">
        <w:rPr>
          <w:rFonts w:ascii="Times New Roman" w:hAnsi="Times New Roman"/>
          <w:sz w:val="28"/>
          <w:szCs w:val="28"/>
        </w:rPr>
        <w:t>en el entendido de que las personas que no pertenezcan</w:t>
      </w:r>
      <w:r w:rsidRPr="00D93140">
        <w:rPr>
          <w:rFonts w:ascii="Times New Roman" w:hAnsi="Times New Roman"/>
          <w:sz w:val="28"/>
          <w:szCs w:val="28"/>
        </w:rPr>
        <w:t xml:space="preserve"> a las comunidades indígenas que resulten afectadas por las decisiones que tomen sus autoridades en materia ambiental podrán acudir a los mecanismos judiciales ordinarios.</w:t>
      </w:r>
    </w:p>
    <w:p w:rsidR="001F32D8" w:rsidRPr="00D93140" w:rsidRDefault="00D93140" w:rsidP="00E04174">
      <w:pPr>
        <w:jc w:val="both"/>
        <w:rPr>
          <w:rFonts w:ascii="Times New Roman" w:hAnsi="Times New Roman"/>
          <w:sz w:val="28"/>
          <w:szCs w:val="28"/>
        </w:rPr>
      </w:pPr>
    </w:p>
    <w:p w:rsidR="00CE2247" w:rsidRPr="00D93140" w:rsidRDefault="00D93140" w:rsidP="00E04174">
      <w:pPr>
        <w:pStyle w:val="Prrafodelista"/>
        <w:numPr>
          <w:ilvl w:val="0"/>
          <w:numId w:val="1"/>
        </w:numPr>
        <w:ind w:left="0" w:firstLine="0"/>
        <w:jc w:val="both"/>
        <w:rPr>
          <w:rFonts w:ascii="Times New Roman" w:hAnsi="Times New Roman"/>
          <w:sz w:val="28"/>
          <w:szCs w:val="28"/>
          <w:u w:val="single"/>
        </w:rPr>
      </w:pPr>
      <w:r w:rsidRPr="00D93140">
        <w:rPr>
          <w:rFonts w:ascii="Times New Roman" w:hAnsi="Times New Roman"/>
          <w:sz w:val="28"/>
          <w:szCs w:val="28"/>
        </w:rPr>
        <w:t xml:space="preserve">En mérito de lo expuesto, la </w:t>
      </w:r>
      <w:r w:rsidRPr="00D93140">
        <w:rPr>
          <w:rFonts w:ascii="Times New Roman" w:hAnsi="Times New Roman"/>
          <w:sz w:val="28"/>
          <w:szCs w:val="28"/>
        </w:rPr>
        <w:t>Sala Plena</w:t>
      </w:r>
      <w:r w:rsidRPr="00D93140">
        <w:rPr>
          <w:rFonts w:ascii="Times New Roman" w:hAnsi="Times New Roman"/>
          <w:sz w:val="28"/>
          <w:szCs w:val="28"/>
        </w:rPr>
        <w:t xml:space="preserve"> de la Corte Constitucional</w:t>
      </w:r>
      <w:r w:rsidRPr="00D93140">
        <w:rPr>
          <w:rFonts w:ascii="Times New Roman" w:hAnsi="Times New Roman"/>
          <w:sz w:val="28"/>
          <w:szCs w:val="28"/>
        </w:rPr>
        <w:t>,</w:t>
      </w:r>
    </w:p>
    <w:p w:rsidR="00CE2247" w:rsidRPr="00D93140" w:rsidRDefault="00D93140" w:rsidP="00E04174">
      <w:pPr>
        <w:pStyle w:val="Prrafodelista"/>
        <w:rPr>
          <w:rFonts w:ascii="Times New Roman" w:hAnsi="Times New Roman"/>
          <w:sz w:val="28"/>
          <w:szCs w:val="28"/>
          <w:u w:val="single"/>
        </w:rPr>
      </w:pPr>
    </w:p>
    <w:p w:rsidR="00CE2247" w:rsidRPr="00D93140" w:rsidRDefault="00D93140" w:rsidP="007E084C">
      <w:pPr>
        <w:pStyle w:val="Ttulo1"/>
        <w:jc w:val="center"/>
        <w:rPr>
          <w:rFonts w:ascii="Times New Roman" w:hAnsi="Times New Roman"/>
          <w:sz w:val="28"/>
        </w:rPr>
      </w:pPr>
      <w:bookmarkStart w:id="21" w:name="_Toc215735439"/>
      <w:r w:rsidRPr="00D93140">
        <w:rPr>
          <w:rFonts w:ascii="Times New Roman" w:hAnsi="Times New Roman"/>
          <w:sz w:val="28"/>
        </w:rPr>
        <w:t>RESUELVE</w:t>
      </w:r>
      <w:bookmarkEnd w:id="21"/>
    </w:p>
    <w:p w:rsidR="00CE2247" w:rsidRPr="00D93140" w:rsidRDefault="00D93140" w:rsidP="00E04174">
      <w:pPr>
        <w:pStyle w:val="Prrafodelista"/>
        <w:ind w:left="0"/>
        <w:jc w:val="center"/>
        <w:rPr>
          <w:rFonts w:ascii="Times New Roman" w:hAnsi="Times New Roman"/>
          <w:b/>
          <w:bCs/>
          <w:sz w:val="28"/>
          <w:szCs w:val="28"/>
        </w:rPr>
      </w:pPr>
    </w:p>
    <w:p w:rsidR="008958A8" w:rsidRPr="00D93140" w:rsidRDefault="00D93140" w:rsidP="00E04174">
      <w:pPr>
        <w:pStyle w:val="Prrafodelista"/>
        <w:ind w:left="0"/>
        <w:jc w:val="both"/>
        <w:rPr>
          <w:rFonts w:ascii="Times New Roman" w:hAnsi="Times New Roman"/>
          <w:bCs/>
          <w:sz w:val="28"/>
          <w:szCs w:val="28"/>
        </w:rPr>
      </w:pPr>
      <w:r w:rsidRPr="00D93140">
        <w:rPr>
          <w:rFonts w:ascii="Times New Roman" w:hAnsi="Times New Roman"/>
          <w:b/>
          <w:bCs/>
          <w:sz w:val="28"/>
          <w:szCs w:val="28"/>
        </w:rPr>
        <w:t>PRIM</w:t>
      </w:r>
      <w:r w:rsidRPr="00D93140">
        <w:rPr>
          <w:rFonts w:ascii="Times New Roman" w:hAnsi="Times New Roman"/>
          <w:b/>
          <w:bCs/>
          <w:sz w:val="28"/>
          <w:szCs w:val="28"/>
        </w:rPr>
        <w:t xml:space="preserve">ERO. </w:t>
      </w:r>
      <w:r w:rsidRPr="00D93140">
        <w:rPr>
          <w:rFonts w:ascii="Times New Roman" w:hAnsi="Times New Roman"/>
          <w:bCs/>
          <w:sz w:val="28"/>
          <w:szCs w:val="28"/>
        </w:rPr>
        <w:t>Declararse INHIBIDA respecto de los cargos</w:t>
      </w:r>
      <w:r w:rsidRPr="00D93140">
        <w:rPr>
          <w:rFonts w:ascii="Times New Roman" w:hAnsi="Times New Roman"/>
          <w:bCs/>
          <w:sz w:val="28"/>
          <w:szCs w:val="28"/>
        </w:rPr>
        <w:t xml:space="preserve"> presentados en los expedientes D-16345 y D-16396</w:t>
      </w:r>
      <w:r w:rsidRPr="00D93140">
        <w:rPr>
          <w:rFonts w:ascii="Times New Roman" w:hAnsi="Times New Roman"/>
          <w:bCs/>
          <w:sz w:val="28"/>
          <w:szCs w:val="28"/>
        </w:rPr>
        <w:t xml:space="preserve"> relacionados con la vulneración de</w:t>
      </w:r>
      <w:r w:rsidRPr="00D93140">
        <w:rPr>
          <w:rFonts w:ascii="Times New Roman" w:hAnsi="Times New Roman"/>
          <w:bCs/>
          <w:sz w:val="28"/>
          <w:szCs w:val="28"/>
        </w:rPr>
        <w:t xml:space="preserve"> los </w:t>
      </w:r>
      <w:r w:rsidRPr="00D93140">
        <w:rPr>
          <w:rFonts w:ascii="Times New Roman" w:hAnsi="Times New Roman"/>
          <w:bCs/>
          <w:sz w:val="28"/>
          <w:szCs w:val="28"/>
        </w:rPr>
        <w:t>artículo</w:t>
      </w:r>
      <w:r w:rsidRPr="00D93140">
        <w:rPr>
          <w:rFonts w:ascii="Times New Roman" w:hAnsi="Times New Roman"/>
          <w:bCs/>
          <w:sz w:val="28"/>
          <w:szCs w:val="28"/>
        </w:rPr>
        <w:t>s 123, 151, 210, 288, 330, 334, y</w:t>
      </w:r>
      <w:r w:rsidRPr="00D93140">
        <w:rPr>
          <w:rFonts w:ascii="Times New Roman" w:hAnsi="Times New Roman"/>
          <w:bCs/>
          <w:sz w:val="28"/>
          <w:szCs w:val="28"/>
        </w:rPr>
        <w:t xml:space="preserve"> 56 transitorio de la Constitución</w:t>
      </w:r>
      <w:r w:rsidRPr="00D93140">
        <w:rPr>
          <w:rFonts w:ascii="Times New Roman" w:hAnsi="Times New Roman"/>
          <w:bCs/>
          <w:sz w:val="28"/>
          <w:szCs w:val="28"/>
        </w:rPr>
        <w:t xml:space="preserve">, así como respecto del artículo 6 del </w:t>
      </w:r>
      <w:r w:rsidRPr="00D93140">
        <w:rPr>
          <w:rFonts w:ascii="Times New Roman" w:hAnsi="Times New Roman"/>
          <w:bCs/>
          <w:sz w:val="28"/>
          <w:szCs w:val="28"/>
        </w:rPr>
        <w:t>Convenio 169 de la OIT</w:t>
      </w:r>
      <w:r w:rsidRPr="00D93140">
        <w:rPr>
          <w:rFonts w:ascii="Times New Roman" w:hAnsi="Times New Roman"/>
          <w:bCs/>
          <w:sz w:val="28"/>
          <w:szCs w:val="28"/>
        </w:rPr>
        <w:t xml:space="preserve"> </w:t>
      </w:r>
      <w:r w:rsidRPr="00D93140">
        <w:rPr>
          <w:rFonts w:ascii="Times New Roman" w:hAnsi="Times New Roman"/>
          <w:bCs/>
          <w:sz w:val="28"/>
          <w:szCs w:val="28"/>
        </w:rPr>
        <w:t>por las razones expuestas en la presente decisión</w:t>
      </w:r>
      <w:r w:rsidRPr="00D93140">
        <w:rPr>
          <w:rFonts w:ascii="Times New Roman" w:hAnsi="Times New Roman"/>
          <w:bCs/>
          <w:sz w:val="28"/>
          <w:szCs w:val="28"/>
        </w:rPr>
        <w:t>.</w:t>
      </w:r>
    </w:p>
    <w:p w:rsidR="008958A8" w:rsidRPr="00D93140" w:rsidRDefault="00D93140" w:rsidP="00E04174">
      <w:pPr>
        <w:pStyle w:val="Prrafodelista"/>
        <w:ind w:left="0"/>
        <w:jc w:val="both"/>
        <w:rPr>
          <w:rFonts w:ascii="Times New Roman" w:hAnsi="Times New Roman"/>
          <w:b/>
          <w:bCs/>
          <w:sz w:val="28"/>
          <w:szCs w:val="28"/>
        </w:rPr>
      </w:pPr>
    </w:p>
    <w:p w:rsidR="008958A8" w:rsidRPr="00D93140" w:rsidRDefault="00D93140" w:rsidP="00E04174">
      <w:pPr>
        <w:pStyle w:val="Prrafodelista"/>
        <w:ind w:left="0"/>
        <w:jc w:val="both"/>
        <w:rPr>
          <w:rFonts w:ascii="Times New Roman" w:hAnsi="Times New Roman"/>
          <w:sz w:val="28"/>
          <w:szCs w:val="28"/>
          <w:u w:color="000000"/>
          <w:bdr w:val="nil"/>
        </w:rPr>
      </w:pPr>
      <w:r w:rsidRPr="00D93140">
        <w:rPr>
          <w:rFonts w:ascii="Times New Roman" w:hAnsi="Times New Roman"/>
          <w:b/>
          <w:bCs/>
          <w:sz w:val="28"/>
          <w:szCs w:val="28"/>
        </w:rPr>
        <w:t xml:space="preserve">SEGUNDO. </w:t>
      </w:r>
      <w:r w:rsidRPr="00D93140">
        <w:rPr>
          <w:rFonts w:ascii="Times New Roman" w:hAnsi="Times New Roman"/>
          <w:sz w:val="28"/>
          <w:szCs w:val="28"/>
          <w:u w:color="000000"/>
          <w:bdr w:val="nil"/>
        </w:rPr>
        <w:t xml:space="preserve">Declarar </w:t>
      </w:r>
      <w:r w:rsidRPr="00D93140">
        <w:rPr>
          <w:rFonts w:ascii="Times New Roman" w:hAnsi="Times New Roman"/>
          <w:b/>
          <w:sz w:val="28"/>
          <w:szCs w:val="28"/>
          <w:u w:color="000000"/>
          <w:bdr w:val="nil"/>
        </w:rPr>
        <w:t>EXEQUIBLE</w:t>
      </w:r>
      <w:r w:rsidRPr="00D93140">
        <w:rPr>
          <w:rFonts w:ascii="Times New Roman" w:hAnsi="Times New Roman"/>
          <w:sz w:val="28"/>
          <w:szCs w:val="28"/>
          <w:u w:color="000000"/>
          <w:bdr w:val="nil"/>
        </w:rPr>
        <w:t xml:space="preserve"> el artículo 2 del Decreto 1275 de 2024, por las razones expuestas en la presente providencia.</w:t>
      </w:r>
    </w:p>
    <w:p w:rsidR="007163D4" w:rsidRPr="00D93140" w:rsidRDefault="00D93140" w:rsidP="00E04174">
      <w:pPr>
        <w:pStyle w:val="Prrafodelista"/>
        <w:ind w:left="0"/>
        <w:jc w:val="both"/>
        <w:rPr>
          <w:rFonts w:ascii="Times New Roman" w:hAnsi="Times New Roman"/>
          <w:sz w:val="28"/>
          <w:szCs w:val="28"/>
          <w:u w:color="000000"/>
          <w:bdr w:val="nil"/>
        </w:rPr>
      </w:pPr>
    </w:p>
    <w:p w:rsidR="007163D4" w:rsidRPr="00D93140" w:rsidRDefault="00D93140" w:rsidP="00E04174">
      <w:pPr>
        <w:pStyle w:val="Prrafodelista"/>
        <w:ind w:left="0"/>
        <w:jc w:val="both"/>
        <w:rPr>
          <w:rFonts w:ascii="Times New Roman" w:hAnsi="Times New Roman"/>
          <w:sz w:val="28"/>
          <w:szCs w:val="28"/>
          <w:u w:color="000000"/>
          <w:bdr w:val="nil"/>
        </w:rPr>
      </w:pPr>
      <w:r w:rsidRPr="00D93140">
        <w:rPr>
          <w:rFonts w:ascii="Times New Roman" w:hAnsi="Times New Roman"/>
          <w:b/>
          <w:sz w:val="28"/>
          <w:szCs w:val="28"/>
          <w:u w:color="000000"/>
          <w:bdr w:val="nil"/>
        </w:rPr>
        <w:t>TERCERO</w:t>
      </w:r>
      <w:r w:rsidRPr="00D93140">
        <w:rPr>
          <w:rFonts w:ascii="Times New Roman" w:hAnsi="Times New Roman"/>
          <w:sz w:val="28"/>
          <w:szCs w:val="28"/>
          <w:u w:color="000000"/>
          <w:bdr w:val="nil"/>
        </w:rPr>
        <w:t xml:space="preserve">. </w:t>
      </w:r>
      <w:r w:rsidRPr="00D93140">
        <w:rPr>
          <w:rFonts w:ascii="Times New Roman" w:hAnsi="Times New Roman"/>
          <w:sz w:val="28"/>
          <w:szCs w:val="28"/>
          <w:u w:color="000000"/>
          <w:bdr w:val="nil"/>
        </w:rPr>
        <w:t xml:space="preserve">Declarar </w:t>
      </w:r>
      <w:r w:rsidRPr="00D93140">
        <w:rPr>
          <w:rFonts w:ascii="Times New Roman" w:hAnsi="Times New Roman"/>
          <w:b/>
          <w:sz w:val="28"/>
          <w:szCs w:val="28"/>
          <w:u w:color="000000"/>
          <w:bdr w:val="nil"/>
        </w:rPr>
        <w:t>EXEQUIBLE</w:t>
      </w:r>
      <w:r w:rsidRPr="00D93140">
        <w:rPr>
          <w:rFonts w:ascii="Times New Roman" w:hAnsi="Times New Roman"/>
          <w:sz w:val="28"/>
          <w:szCs w:val="28"/>
          <w:u w:color="000000"/>
          <w:bdr w:val="nil"/>
        </w:rPr>
        <w:t xml:space="preserve"> la expresión “</w:t>
      </w:r>
      <w:r w:rsidRPr="00D93140">
        <w:rPr>
          <w:rFonts w:ascii="Times New Roman" w:hAnsi="Times New Roman"/>
          <w:i/>
          <w:sz w:val="28"/>
          <w:szCs w:val="28"/>
          <w:u w:color="000000"/>
          <w:bdr w:val="nil"/>
        </w:rPr>
        <w:t>sanciones y</w:t>
      </w:r>
      <w:r w:rsidRPr="00D93140">
        <w:rPr>
          <w:rFonts w:ascii="Times New Roman" w:hAnsi="Times New Roman"/>
          <w:sz w:val="28"/>
          <w:szCs w:val="28"/>
          <w:u w:color="000000"/>
          <w:bdr w:val="nil"/>
        </w:rPr>
        <w:t>” con</w:t>
      </w:r>
      <w:r w:rsidRPr="00D93140">
        <w:rPr>
          <w:rFonts w:ascii="Times New Roman" w:hAnsi="Times New Roman"/>
          <w:sz w:val="28"/>
          <w:szCs w:val="28"/>
          <w:u w:color="000000"/>
          <w:bdr w:val="nil"/>
        </w:rPr>
        <w:t>tenida en el numeral 3 del artículo 6 del Decreto 1275 de 2024 en el entendido de que: i) las autoridades indígenas no podrán imponer sanciones a personas que no integran sus comunidades y ii) que las autoridades ambientales competentes al proceder a su im</w:t>
      </w:r>
      <w:r w:rsidRPr="00D93140">
        <w:rPr>
          <w:rFonts w:ascii="Times New Roman" w:hAnsi="Times New Roman"/>
          <w:sz w:val="28"/>
          <w:szCs w:val="28"/>
          <w:u w:color="000000"/>
          <w:bdr w:val="nil"/>
        </w:rPr>
        <w:t>posición, previa coordinación con las autoridades indígenas respectivas, deberán regirse por las disposiciones legales que regulan el régimen sancionatorio ambiental.</w:t>
      </w:r>
    </w:p>
    <w:p w:rsidR="001C12B7" w:rsidRPr="00D93140" w:rsidRDefault="00D93140" w:rsidP="00E04174">
      <w:pPr>
        <w:pStyle w:val="Prrafodelista"/>
        <w:ind w:left="0"/>
        <w:jc w:val="both"/>
        <w:rPr>
          <w:rFonts w:ascii="Times New Roman" w:hAnsi="Times New Roman"/>
          <w:sz w:val="28"/>
          <w:szCs w:val="28"/>
          <w:u w:color="000000"/>
          <w:bdr w:val="nil"/>
        </w:rPr>
      </w:pPr>
    </w:p>
    <w:p w:rsidR="001C12B7" w:rsidRPr="00D93140" w:rsidRDefault="00D93140" w:rsidP="00E04174">
      <w:pPr>
        <w:pStyle w:val="Prrafodelista"/>
        <w:ind w:left="0"/>
        <w:jc w:val="both"/>
        <w:rPr>
          <w:rFonts w:ascii="Times New Roman" w:hAnsi="Times New Roman"/>
          <w:sz w:val="28"/>
          <w:szCs w:val="28"/>
          <w:u w:color="000000"/>
          <w:bdr w:val="nil"/>
        </w:rPr>
      </w:pPr>
      <w:r w:rsidRPr="00D93140">
        <w:rPr>
          <w:rFonts w:ascii="Times New Roman" w:hAnsi="Times New Roman"/>
          <w:b/>
          <w:sz w:val="28"/>
          <w:szCs w:val="28"/>
          <w:u w:color="000000"/>
          <w:bdr w:val="nil"/>
        </w:rPr>
        <w:t>CUARTO</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Declarar </w:t>
      </w:r>
      <w:r w:rsidRPr="00D93140">
        <w:rPr>
          <w:rFonts w:ascii="Times New Roman" w:hAnsi="Times New Roman"/>
          <w:b/>
          <w:sz w:val="28"/>
          <w:szCs w:val="28"/>
          <w:u w:color="000000"/>
          <w:bdr w:val="nil"/>
        </w:rPr>
        <w:t>INEXEQUIBLE</w:t>
      </w:r>
      <w:r w:rsidRPr="00D93140">
        <w:rPr>
          <w:rFonts w:ascii="Times New Roman" w:hAnsi="Times New Roman"/>
          <w:sz w:val="28"/>
          <w:szCs w:val="28"/>
          <w:u w:color="000000"/>
          <w:bdr w:val="nil"/>
        </w:rPr>
        <w:t xml:space="preserve"> la expresión “en los casos en los que se supere el ámbito de aplicación del presente Decreto y concurran competencias ambientales” contenida en el artículo 5 del Decreto 1275 de 2024 por las razones expuestas en la presente providencia</w:t>
      </w:r>
    </w:p>
    <w:p w:rsidR="0074358E" w:rsidRPr="00D93140" w:rsidRDefault="00D93140" w:rsidP="00E04174">
      <w:pPr>
        <w:pStyle w:val="Prrafodelista"/>
        <w:ind w:left="0"/>
        <w:jc w:val="both"/>
        <w:rPr>
          <w:rFonts w:ascii="Times New Roman" w:hAnsi="Times New Roman"/>
          <w:sz w:val="28"/>
          <w:szCs w:val="28"/>
          <w:u w:color="000000"/>
          <w:bdr w:val="nil"/>
        </w:rPr>
      </w:pPr>
    </w:p>
    <w:p w:rsidR="0074358E" w:rsidRPr="00D93140" w:rsidRDefault="00D93140" w:rsidP="00E04174">
      <w:pPr>
        <w:pStyle w:val="Prrafodelista"/>
        <w:ind w:left="0"/>
        <w:jc w:val="both"/>
        <w:rPr>
          <w:rFonts w:ascii="Times New Roman" w:hAnsi="Times New Roman"/>
          <w:sz w:val="28"/>
          <w:szCs w:val="28"/>
          <w:u w:color="000000"/>
          <w:bdr w:val="nil"/>
        </w:rPr>
      </w:pPr>
      <w:r w:rsidRPr="00D93140">
        <w:rPr>
          <w:rFonts w:ascii="Times New Roman" w:hAnsi="Times New Roman"/>
          <w:b/>
          <w:sz w:val="28"/>
          <w:szCs w:val="28"/>
          <w:u w:color="000000"/>
          <w:bdr w:val="nil"/>
        </w:rPr>
        <w:t>QUINTO</w:t>
      </w:r>
      <w:r w:rsidRPr="00D93140">
        <w:rPr>
          <w:rFonts w:ascii="Times New Roman" w:hAnsi="Times New Roman"/>
          <w:sz w:val="28"/>
          <w:szCs w:val="28"/>
          <w:u w:color="000000"/>
          <w:bdr w:val="nil"/>
        </w:rPr>
        <w:t>.</w:t>
      </w:r>
      <w:r w:rsidRPr="00D93140">
        <w:rPr>
          <w:rFonts w:ascii="Times New Roman" w:hAnsi="Times New Roman"/>
          <w:sz w:val="28"/>
          <w:szCs w:val="28"/>
          <w:u w:color="000000"/>
          <w:bdr w:val="nil"/>
        </w:rPr>
        <w:t xml:space="preserve"> Declarar </w:t>
      </w:r>
      <w:r w:rsidRPr="00D93140">
        <w:rPr>
          <w:rFonts w:ascii="Times New Roman" w:hAnsi="Times New Roman"/>
          <w:b/>
          <w:sz w:val="28"/>
          <w:szCs w:val="28"/>
        </w:rPr>
        <w:t>E</w:t>
      </w:r>
      <w:r w:rsidRPr="00D93140">
        <w:rPr>
          <w:rFonts w:ascii="Times New Roman" w:hAnsi="Times New Roman"/>
          <w:b/>
          <w:sz w:val="28"/>
          <w:szCs w:val="28"/>
        </w:rPr>
        <w:t>XEQUIBLE</w:t>
      </w:r>
      <w:r w:rsidRPr="00D93140">
        <w:rPr>
          <w:rFonts w:ascii="Times New Roman" w:hAnsi="Times New Roman"/>
          <w:sz w:val="28"/>
          <w:szCs w:val="28"/>
        </w:rPr>
        <w:t xml:space="preserve"> los artículos 5 y 6 </w:t>
      </w:r>
      <w:r w:rsidRPr="00D93140">
        <w:rPr>
          <w:rFonts w:ascii="Times New Roman" w:hAnsi="Times New Roman"/>
          <w:sz w:val="28"/>
          <w:szCs w:val="28"/>
          <w:u w:color="000000"/>
          <w:bdr w:val="nil"/>
        </w:rPr>
        <w:t xml:space="preserve">del Decreto 1275 de 2024 </w:t>
      </w:r>
      <w:r w:rsidRPr="00D93140">
        <w:rPr>
          <w:rFonts w:ascii="Times New Roman" w:hAnsi="Times New Roman"/>
          <w:sz w:val="28"/>
          <w:szCs w:val="28"/>
        </w:rPr>
        <w:t>en el entendido de que las personas que no pertenezcan a las comunidades indígenas que resulten afectadas por las decisiones que tomen sus autoridades en materia ambiental podrán acudir a los mecanismos</w:t>
      </w:r>
      <w:r w:rsidRPr="00D93140">
        <w:rPr>
          <w:rFonts w:ascii="Times New Roman" w:hAnsi="Times New Roman"/>
          <w:sz w:val="28"/>
          <w:szCs w:val="28"/>
        </w:rPr>
        <w:t xml:space="preserve"> judiciales ordinarios.</w:t>
      </w:r>
    </w:p>
    <w:p w:rsidR="001224AF" w:rsidRPr="00D93140" w:rsidRDefault="00D93140" w:rsidP="00E04174">
      <w:pPr>
        <w:pStyle w:val="Prrafodelista"/>
        <w:ind w:left="0"/>
        <w:jc w:val="both"/>
        <w:rPr>
          <w:rFonts w:ascii="Times New Roman" w:hAnsi="Times New Roman"/>
          <w:sz w:val="28"/>
          <w:szCs w:val="28"/>
          <w:u w:color="000000"/>
          <w:bdr w:val="nil"/>
        </w:rPr>
      </w:pPr>
    </w:p>
    <w:p w:rsidR="005935A5" w:rsidRPr="00D93140" w:rsidRDefault="00D93140" w:rsidP="00E04174">
      <w:pPr>
        <w:pStyle w:val="Prrafodelista"/>
        <w:ind w:left="0"/>
        <w:jc w:val="both"/>
        <w:rPr>
          <w:rFonts w:ascii="Times New Roman" w:hAnsi="Times New Roman"/>
          <w:sz w:val="28"/>
          <w:szCs w:val="28"/>
          <w:u w:color="000000"/>
          <w:bdr w:val="nil"/>
        </w:rPr>
      </w:pPr>
    </w:p>
    <w:p w:rsidR="005935A5" w:rsidRPr="00D93140" w:rsidRDefault="00D93140" w:rsidP="00E04174">
      <w:pPr>
        <w:pStyle w:val="Prrafodelista"/>
        <w:ind w:left="0"/>
        <w:jc w:val="both"/>
        <w:rPr>
          <w:rFonts w:ascii="Times New Roman" w:hAnsi="Times New Roman"/>
          <w:sz w:val="28"/>
          <w:szCs w:val="28"/>
          <w:u w:color="000000"/>
          <w:bdr w:val="ni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JORGE ENRIQUE IBÁÑEZ NAJAR</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Presidente</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Con aclaración de voto</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NATALIA ÁNGEL CABO</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Magistrada</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CARLOS CAMARGO ASSIS</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Magistrado</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HECTOR ALFONSO CARVAJAL LONDOÑO</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Magistrado</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JUAN CARLOS CORTÉS GONZÁLEZ</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Magistrado</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 xml:space="preserve">Ausente con </w:t>
      </w:r>
      <w:r w:rsidRPr="00D93140">
        <w:rPr>
          <w:rFonts w:ascii="Times New Roman" w:hAnsi="Times New Roman"/>
          <w:color w:val="000000"/>
          <w:sz w:val="28"/>
          <w:szCs w:val="28"/>
          <w:lang w:val="es-ES_tradnl"/>
        </w:rPr>
        <w:t>comisión</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LINA MARCELA ESCOBAR MARTÍNEZ</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Magistrada</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VLADIMIR FERNÁNDEZ ANDRADE</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Magistrado</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Aclaración de voto</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PAOLA ANDREA MENESES MOSQUERA</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Magistrada</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MIGUEL POLO ROSERO</w:t>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Magistrado</w:t>
      </w: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5935A5"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ANDREA LILIANA ROMERO LOPEZ</w:t>
      </w:r>
    </w:p>
    <w:p w:rsidR="00CD1EAC"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t>Secretaria General</w:t>
      </w:r>
    </w:p>
    <w:p w:rsidR="00CD1EAC" w:rsidRPr="00D93140" w:rsidRDefault="00D93140">
      <w:pP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br w:type="page"/>
      </w:r>
    </w:p>
    <w:p w:rsidR="00CD1EAC" w:rsidRPr="00D93140" w:rsidRDefault="00D93140">
      <w:pPr>
        <w:rPr>
          <w:rFonts w:ascii="Times New Roman" w:hAnsi="Times New Roman"/>
          <w:color w:val="000000"/>
          <w:sz w:val="28"/>
          <w:szCs w:val="28"/>
          <w:lang w:val="es-ES_tradnl"/>
        </w:rPr>
      </w:pPr>
      <w:r w:rsidRPr="00D93140">
        <w:rPr>
          <w:rFonts w:ascii="Times New Roman" w:hAnsi="Times New Roman"/>
          <w:color w:val="000000"/>
          <w:sz w:val="28"/>
          <w:szCs w:val="28"/>
          <w:lang w:val="es-ES_tradnl"/>
        </w:rPr>
        <w:br w:type="page"/>
      </w:r>
    </w:p>
    <w:p w:rsidR="009312AF" w:rsidRPr="00D93140" w:rsidRDefault="00D93140" w:rsidP="009312AF">
      <w:pPr>
        <w:kinsoku w:val="0"/>
        <w:overflowPunct w:val="0"/>
        <w:autoSpaceDE w:val="0"/>
        <w:autoSpaceDN w:val="0"/>
        <w:adjustRightInd w:val="0"/>
        <w:ind w:right="49"/>
        <w:jc w:val="center"/>
        <w:rPr>
          <w:rFonts w:ascii="Times New Roman" w:hAnsi="Times New Roman"/>
          <w:color w:val="000000"/>
          <w:sz w:val="28"/>
          <w:szCs w:val="28"/>
          <w:lang w:val="es-ES_tradnl"/>
        </w:rPr>
      </w:pPr>
    </w:p>
    <w:p w:rsidR="001869F6" w:rsidRPr="00D93140" w:rsidRDefault="00D93140" w:rsidP="00B018DC">
      <w:pPr>
        <w:spacing w:after="0" w:line="240" w:lineRule="auto"/>
        <w:jc w:val="center"/>
        <w:rPr>
          <w:rFonts w:ascii="Times New Roman" w:hAnsi="Times New Roman"/>
          <w:b/>
          <w:sz w:val="28"/>
          <w:szCs w:val="28"/>
        </w:rPr>
      </w:pPr>
      <w:r w:rsidRPr="00D93140">
        <w:rPr>
          <w:rFonts w:ascii="Times New Roman" w:hAnsi="Times New Roman"/>
          <w:b/>
          <w:sz w:val="28"/>
          <w:szCs w:val="28"/>
        </w:rPr>
        <w:t>ANEXO I</w:t>
      </w:r>
    </w:p>
    <w:p w:rsidR="00B018DC" w:rsidRPr="00D93140" w:rsidRDefault="00D93140" w:rsidP="00B018DC">
      <w:pPr>
        <w:spacing w:after="0" w:line="240" w:lineRule="auto"/>
        <w:jc w:val="center"/>
        <w:rPr>
          <w:rFonts w:ascii="Times New Roman" w:hAnsi="Times New Roman"/>
          <w:b/>
          <w:sz w:val="28"/>
          <w:szCs w:val="28"/>
        </w:rPr>
      </w:pPr>
      <w:r w:rsidRPr="00D93140">
        <w:rPr>
          <w:rFonts w:ascii="Times New Roman" w:hAnsi="Times New Roman"/>
          <w:b/>
          <w:sz w:val="28"/>
          <w:szCs w:val="28"/>
        </w:rPr>
        <w:t>NORMA</w:t>
      </w:r>
      <w:r w:rsidRPr="00D93140">
        <w:rPr>
          <w:rFonts w:ascii="Times New Roman" w:hAnsi="Times New Roman"/>
          <w:b/>
          <w:sz w:val="28"/>
          <w:szCs w:val="28"/>
        </w:rPr>
        <w:t xml:space="preserve"> DEMANDADA</w:t>
      </w:r>
    </w:p>
    <w:p w:rsidR="00B018DC" w:rsidRPr="00D93140" w:rsidRDefault="00D93140" w:rsidP="00B018DC">
      <w:pPr>
        <w:spacing w:after="0" w:line="240" w:lineRule="auto"/>
        <w:jc w:val="center"/>
        <w:rPr>
          <w:rFonts w:ascii="Times New Roman" w:hAnsi="Times New Roman"/>
          <w:b/>
          <w:sz w:val="28"/>
          <w:szCs w:val="28"/>
        </w:rPr>
      </w:pPr>
    </w:p>
    <w:p w:rsidR="00B018DC" w:rsidRPr="00D93140" w:rsidRDefault="00D93140" w:rsidP="00B018DC">
      <w:pPr>
        <w:spacing w:after="0" w:line="240" w:lineRule="auto"/>
        <w:jc w:val="center"/>
        <w:rPr>
          <w:rFonts w:ascii="Times New Roman" w:hAnsi="Times New Roman"/>
          <w:b/>
          <w:bCs/>
          <w:sz w:val="28"/>
          <w:szCs w:val="28"/>
        </w:rPr>
      </w:pPr>
      <w:r w:rsidRPr="00D93140">
        <w:rPr>
          <w:rFonts w:ascii="Times New Roman" w:hAnsi="Times New Roman"/>
          <w:b/>
          <w:bCs/>
          <w:sz w:val="28"/>
          <w:szCs w:val="28"/>
          <w:lang w:val="es-MX"/>
        </w:rPr>
        <w:t>DECRETO 1275 DE 2024</w:t>
      </w:r>
    </w:p>
    <w:p w:rsidR="00B018DC" w:rsidRPr="00D93140" w:rsidRDefault="00D93140" w:rsidP="00B018DC">
      <w:pPr>
        <w:spacing w:after="0" w:line="240" w:lineRule="auto"/>
        <w:jc w:val="center"/>
        <w:rPr>
          <w:rFonts w:ascii="Times New Roman" w:hAnsi="Times New Roman"/>
          <w:b/>
          <w:bCs/>
          <w:sz w:val="28"/>
          <w:szCs w:val="28"/>
        </w:rPr>
      </w:pPr>
      <w:r w:rsidRPr="00D93140">
        <w:rPr>
          <w:rFonts w:ascii="Times New Roman" w:hAnsi="Times New Roman"/>
          <w:b/>
          <w:bCs/>
          <w:sz w:val="28"/>
          <w:szCs w:val="28"/>
          <w:lang w:val="es-MX"/>
        </w:rPr>
        <w:t>(Octubre 15)</w:t>
      </w:r>
    </w:p>
    <w:p w:rsidR="00B018DC" w:rsidRPr="00D93140" w:rsidRDefault="00D93140" w:rsidP="00B018DC">
      <w:pPr>
        <w:spacing w:after="0" w:line="240" w:lineRule="auto"/>
        <w:jc w:val="both"/>
        <w:rPr>
          <w:rFonts w:ascii="Times New Roman" w:hAnsi="Times New Roman"/>
          <w:b/>
          <w:bCs/>
          <w:sz w:val="28"/>
          <w:szCs w:val="28"/>
        </w:rPr>
      </w:pPr>
      <w:r w:rsidRPr="00D93140">
        <w:rPr>
          <w:rFonts w:ascii="Times New Roman" w:hAnsi="Times New Roman"/>
          <w:b/>
          <w:bCs/>
          <w:sz w:val="28"/>
          <w:szCs w:val="28"/>
          <w:lang w:val="es-MX"/>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i/>
          <w:iCs/>
          <w:sz w:val="28"/>
          <w:szCs w:val="28"/>
        </w:rPr>
        <w:t xml:space="preserve">Por el cual se establecen las normas requeridas para el funcionamiento de los territorios indígenas en materia ambiental y el desarrollo de las competencias ambientales de las autoridades indígenas y su </w:t>
      </w:r>
      <w:r w:rsidRPr="00D93140">
        <w:rPr>
          <w:rFonts w:ascii="Times New Roman" w:hAnsi="Times New Roman"/>
          <w:bCs/>
          <w:i/>
          <w:iCs/>
          <w:sz w:val="28"/>
          <w:szCs w:val="28"/>
        </w:rPr>
        <w:t>coordinación efectiva con las demás autoridades y/o entidades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EL PRESIDENTE DE LA REPÚBLICA DE COLOMBIA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En uso de sus facultades constitucionales y legales, en especial la conferida por el artículo 56, transitorio, en concordancia con el artículo 330 d</w:t>
      </w:r>
      <w:r w:rsidRPr="00D93140">
        <w:rPr>
          <w:rFonts w:ascii="Times New Roman" w:hAnsi="Times New Roman"/>
          <w:bCs/>
          <w:sz w:val="28"/>
          <w:szCs w:val="28"/>
        </w:rPr>
        <w:t>e la Constitución Política y el artículo 4 de la Ley 21 de 1991, y</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CONSIDERANDO:</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el artículo </w:t>
      </w:r>
      <w:hyperlink r:id="rId23" w:anchor="56.A.T" w:history="1">
        <w:r w:rsidRPr="00D93140">
          <w:rPr>
            <w:rStyle w:val="Hipervnculo"/>
            <w:rFonts w:ascii="Times New Roman" w:hAnsi="Times New Roman"/>
            <w:bCs/>
            <w:sz w:val="28"/>
            <w:szCs w:val="28"/>
          </w:rPr>
          <w:t>56</w:t>
        </w:r>
      </w:hyperlink>
      <w:r w:rsidRPr="00D93140">
        <w:rPr>
          <w:rFonts w:ascii="Times New Roman" w:hAnsi="Times New Roman"/>
          <w:bCs/>
          <w:sz w:val="28"/>
          <w:szCs w:val="28"/>
        </w:rPr>
        <w:t> transitorio de la Constitución Política otorga al Gobierno</w:t>
      </w:r>
      <w:r w:rsidRPr="00D93140">
        <w:rPr>
          <w:rFonts w:ascii="Times New Roman" w:hAnsi="Times New Roman"/>
          <w:bCs/>
          <w:sz w:val="28"/>
          <w:szCs w:val="28"/>
        </w:rPr>
        <w:t xml:space="preserve"> la facultad para dictar las normas fiscales necesarias y las demás relativas al funcionamiento de los Territorios Indígenas ya su coordinación con las demás entidades territoriales, mientras que el Congreso expide la ley a que se refiere el artículo </w:t>
      </w:r>
      <w:hyperlink r:id="rId24" w:anchor="329" w:history="1">
        <w:r w:rsidRPr="00D93140">
          <w:rPr>
            <w:rStyle w:val="Hipervnculo"/>
            <w:rFonts w:ascii="Times New Roman" w:hAnsi="Times New Roman"/>
            <w:bCs/>
            <w:sz w:val="28"/>
            <w:szCs w:val="28"/>
          </w:rPr>
          <w:t>329</w:t>
        </w:r>
      </w:hyperlink>
      <w:r w:rsidRPr="00D93140">
        <w:rPr>
          <w:rFonts w:ascii="Times New Roman" w:hAnsi="Times New Roman"/>
          <w:bCs/>
          <w:sz w:val="28"/>
          <w:szCs w:val="28"/>
        </w:rPr>
        <w:t> de la Carta.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el artículo </w:t>
      </w:r>
      <w:hyperlink r:id="rId25" w:anchor="330" w:history="1">
        <w:r w:rsidRPr="00D93140">
          <w:rPr>
            <w:rStyle w:val="Hipervnculo"/>
            <w:rFonts w:ascii="Times New Roman" w:hAnsi="Times New Roman"/>
            <w:bCs/>
            <w:sz w:val="28"/>
            <w:szCs w:val="28"/>
          </w:rPr>
          <w:t>330</w:t>
        </w:r>
      </w:hyperlink>
      <w:r w:rsidRPr="00D93140">
        <w:rPr>
          <w:rFonts w:ascii="Times New Roman" w:hAnsi="Times New Roman"/>
          <w:bCs/>
          <w:sz w:val="28"/>
          <w:szCs w:val="28"/>
        </w:rPr>
        <w:t> de la Constitución Política establece en</w:t>
      </w:r>
      <w:r w:rsidRPr="00D93140">
        <w:rPr>
          <w:rFonts w:ascii="Times New Roman" w:hAnsi="Times New Roman"/>
          <w:bCs/>
          <w:sz w:val="28"/>
          <w:szCs w:val="28"/>
        </w:rPr>
        <w:t xml:space="preserve"> su numeral </w:t>
      </w:r>
      <w:hyperlink r:id="rId26" w:anchor="330.n.5" w:history="1">
        <w:r w:rsidRPr="00D93140">
          <w:rPr>
            <w:rStyle w:val="Hipervnculo"/>
            <w:rFonts w:ascii="Times New Roman" w:hAnsi="Times New Roman"/>
            <w:bCs/>
            <w:sz w:val="28"/>
            <w:szCs w:val="28"/>
          </w:rPr>
          <w:t>5°</w:t>
        </w:r>
      </w:hyperlink>
      <w:r w:rsidRPr="00D93140">
        <w:rPr>
          <w:rFonts w:ascii="Times New Roman" w:hAnsi="Times New Roman"/>
          <w:bCs/>
          <w:sz w:val="28"/>
          <w:szCs w:val="28"/>
        </w:rPr>
        <w:t> que los territorios indígenas tienen la función de </w:t>
      </w:r>
      <w:r w:rsidRPr="00D93140">
        <w:rPr>
          <w:rFonts w:ascii="Times New Roman" w:hAnsi="Times New Roman"/>
          <w:bCs/>
          <w:i/>
          <w:iCs/>
          <w:sz w:val="28"/>
          <w:szCs w:val="28"/>
        </w:rPr>
        <w:t>"Velar por la preservación de los recursos naturales"</w:t>
      </w:r>
      <w:r w:rsidRPr="00D93140">
        <w:rPr>
          <w:rFonts w:ascii="Times New Roman" w:hAnsi="Times New Roman"/>
          <w:bCs/>
          <w:sz w:val="28"/>
          <w:szCs w:val="28"/>
        </w:rPr>
        <w:t> según sus usos y costumbres y que su pará</w:t>
      </w:r>
      <w:r w:rsidRPr="00D93140">
        <w:rPr>
          <w:rFonts w:ascii="Times New Roman" w:hAnsi="Times New Roman"/>
          <w:bCs/>
          <w:sz w:val="28"/>
          <w:szCs w:val="28"/>
        </w:rPr>
        <w:t>grafo establece que </w:t>
      </w:r>
      <w:r w:rsidRPr="00D93140">
        <w:rPr>
          <w:rFonts w:ascii="Times New Roman" w:hAnsi="Times New Roman"/>
          <w:bCs/>
          <w:i/>
          <w:iCs/>
          <w:sz w:val="28"/>
          <w:szCs w:val="28"/>
        </w:rPr>
        <w:t>"La explotación de los recursos naturales en los territorios indígenas se hará sin desmedro de la integridad cultural, social y económica de las comunidades indígenas. En las decisiones que se adopten respecto de dicha explotación, el G</w:t>
      </w:r>
      <w:r w:rsidRPr="00D93140">
        <w:rPr>
          <w:rFonts w:ascii="Times New Roman" w:hAnsi="Times New Roman"/>
          <w:bCs/>
          <w:i/>
          <w:iCs/>
          <w:sz w:val="28"/>
          <w:szCs w:val="28"/>
        </w:rPr>
        <w:t>obierno propiciará la participación de los representantes de las respectivas comunidades"</w:t>
      </w:r>
      <w:r w:rsidRPr="00D93140">
        <w:rPr>
          <w:rFonts w:ascii="Times New Roman" w:hAnsi="Times New Roman"/>
          <w:bCs/>
          <w:sz w:val="28"/>
          <w:szCs w:val="28"/>
        </w:rPr>
        <w:t>.</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el numeral </w:t>
      </w:r>
      <w:hyperlink r:id="rId27" w:anchor="15.n.1" w:history="1">
        <w:r w:rsidRPr="00D93140">
          <w:rPr>
            <w:rStyle w:val="Hipervnculo"/>
            <w:rFonts w:ascii="Times New Roman" w:hAnsi="Times New Roman"/>
            <w:bCs/>
            <w:sz w:val="28"/>
            <w:szCs w:val="28"/>
          </w:rPr>
          <w:t>1</w:t>
        </w:r>
      </w:hyperlink>
      <w:r w:rsidRPr="00D93140">
        <w:rPr>
          <w:rFonts w:ascii="Times New Roman" w:hAnsi="Times New Roman"/>
          <w:bCs/>
          <w:sz w:val="28"/>
          <w:szCs w:val="28"/>
        </w:rPr>
        <w:t> del artículo 15 de la Ley 21 de 1991 establece que </w:t>
      </w:r>
      <w:r w:rsidRPr="00D93140">
        <w:rPr>
          <w:rFonts w:ascii="Times New Roman" w:hAnsi="Times New Roman"/>
          <w:bCs/>
          <w:i/>
          <w:iCs/>
          <w:sz w:val="28"/>
          <w:szCs w:val="28"/>
        </w:rPr>
        <w:t>"Los derechos de los pueblos interesados a los recursos naturales existentes en sus tierras deberán protegerse especialmente. Estos derechos comprenden el derecho de esos pueblos a participar en la utilización, administración y conservación de dichos recur</w:t>
      </w:r>
      <w:r w:rsidRPr="00D93140">
        <w:rPr>
          <w:rFonts w:ascii="Times New Roman" w:hAnsi="Times New Roman"/>
          <w:bCs/>
          <w:i/>
          <w:iCs/>
          <w:sz w:val="28"/>
          <w:szCs w:val="28"/>
        </w:rPr>
        <w:t>sos"</w:t>
      </w:r>
      <w:r w:rsidRPr="00D93140">
        <w:rPr>
          <w:rFonts w:ascii="Times New Roman" w:hAnsi="Times New Roman"/>
          <w:bCs/>
          <w:sz w:val="28"/>
          <w:szCs w:val="28"/>
        </w:rPr>
        <w:t>.</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la Ley </w:t>
      </w:r>
      <w:hyperlink r:id="rId28" w:history="1">
        <w:r w:rsidRPr="00D93140">
          <w:rPr>
            <w:rStyle w:val="Hipervnculo"/>
            <w:rFonts w:ascii="Times New Roman" w:hAnsi="Times New Roman"/>
            <w:bCs/>
            <w:sz w:val="28"/>
            <w:szCs w:val="28"/>
          </w:rPr>
          <w:t>165</w:t>
        </w:r>
      </w:hyperlink>
      <w:r w:rsidRPr="00D93140">
        <w:rPr>
          <w:rFonts w:ascii="Times New Roman" w:hAnsi="Times New Roman"/>
          <w:bCs/>
          <w:sz w:val="28"/>
          <w:szCs w:val="28"/>
        </w:rPr>
        <w:t> de 1994, por la cual se ratifica el Convenio de Diversidad Biológica, en su artículo 8, literal </w:t>
      </w:r>
      <w:hyperlink r:id="rId29" w:anchor="8.l.j" w:history="1">
        <w:r w:rsidRPr="00D93140">
          <w:rPr>
            <w:rStyle w:val="Hipervnculo"/>
            <w:rFonts w:ascii="Times New Roman" w:hAnsi="Times New Roman"/>
            <w:bCs/>
            <w:sz w:val="28"/>
            <w:szCs w:val="28"/>
          </w:rPr>
          <w:t>j</w:t>
        </w:r>
      </w:hyperlink>
      <w:r w:rsidRPr="00D93140">
        <w:rPr>
          <w:rFonts w:ascii="Times New Roman" w:hAnsi="Times New Roman"/>
          <w:bCs/>
          <w:sz w:val="28"/>
          <w:szCs w:val="28"/>
        </w:rPr>
        <w:t>, en lo referente a la conservación in situ, establece que: </w:t>
      </w:r>
      <w:r w:rsidRPr="00D93140">
        <w:rPr>
          <w:rFonts w:ascii="Times New Roman" w:hAnsi="Times New Roman"/>
          <w:bCs/>
          <w:i/>
          <w:iCs/>
          <w:sz w:val="28"/>
          <w:szCs w:val="28"/>
        </w:rPr>
        <w:t>"cada Parte Contratante, en la medida de lo posible y según proceda: (...) j) Con arreglo a su legislac</w:t>
      </w:r>
      <w:r w:rsidRPr="00D93140">
        <w:rPr>
          <w:rFonts w:ascii="Times New Roman" w:hAnsi="Times New Roman"/>
          <w:bCs/>
          <w:i/>
          <w:iCs/>
          <w:sz w:val="28"/>
          <w:szCs w:val="28"/>
        </w:rPr>
        <w:t>ión nacional, respetará, preservará y mantendrá los conocimientos, las innovaciones y las prácticas de las comunidades indígenas y locales que entrañen estilos tradicionales de vida pertinentes para la conservación y la utilización sostenible de la diversi</w:t>
      </w:r>
      <w:r w:rsidRPr="00D93140">
        <w:rPr>
          <w:rFonts w:ascii="Times New Roman" w:hAnsi="Times New Roman"/>
          <w:bCs/>
          <w:i/>
          <w:iCs/>
          <w:sz w:val="28"/>
          <w:szCs w:val="28"/>
        </w:rPr>
        <w:t>dad biológica y promoverá su aplicación más amplia, con la aprobación y la participación de quienes posean esos conocimientos, innovaciones y prácticas, y fomentará que los beneficios derivados de la utilización de esos conocimientos, innovaciones y prácti</w:t>
      </w:r>
      <w:r w:rsidRPr="00D93140">
        <w:rPr>
          <w:rFonts w:ascii="Times New Roman" w:hAnsi="Times New Roman"/>
          <w:bCs/>
          <w:i/>
          <w:iCs/>
          <w:sz w:val="28"/>
          <w:szCs w:val="28"/>
        </w:rPr>
        <w:t>cas se compartan equitativamente".</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Que el Pacto de Derechos Civiles y Políticos, el Pacto de Derechos Sociales; Económicos y Culturales; la Convención Internacional sobre la Eliminación de todas las Formas de Discriminación Racial; el Convenio 169 de la </w:t>
      </w:r>
      <w:r w:rsidRPr="00D93140">
        <w:rPr>
          <w:rFonts w:ascii="Times New Roman" w:hAnsi="Times New Roman"/>
          <w:bCs/>
          <w:sz w:val="28"/>
          <w:szCs w:val="28"/>
        </w:rPr>
        <w:t>OIT y la jurisprudencia y acciones de vigilancia y aplicación de los comités de los tratados internacionales, hacen parte del Bloque de Constitucionalidad en Colombia.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en sentencia del caso Saramaka vs. Surinam del 28 de noviembre de 2007, en su párr</w:t>
      </w:r>
      <w:r w:rsidRPr="00D93140">
        <w:rPr>
          <w:rFonts w:ascii="Times New Roman" w:hAnsi="Times New Roman"/>
          <w:bCs/>
          <w:sz w:val="28"/>
          <w:szCs w:val="28"/>
        </w:rPr>
        <w:t>afo 93, la Corte Interamericana de Derechos Humanos ha considerado que: </w:t>
      </w:r>
      <w:r w:rsidRPr="00D93140">
        <w:rPr>
          <w:rFonts w:ascii="Times New Roman" w:hAnsi="Times New Roman"/>
          <w:bCs/>
          <w:i/>
          <w:iCs/>
          <w:sz w:val="28"/>
          <w:szCs w:val="28"/>
        </w:rPr>
        <w:t>“El Comité sobre Derechos Económicos, Sociales y Culturales, que es el organismo de expertos independientes que supervisa la implementación del PIDESC por parte de los Estados Parte, h</w:t>
      </w:r>
      <w:r w:rsidRPr="00D93140">
        <w:rPr>
          <w:rFonts w:ascii="Times New Roman" w:hAnsi="Times New Roman"/>
          <w:bCs/>
          <w:i/>
          <w:iCs/>
          <w:sz w:val="28"/>
          <w:szCs w:val="28"/>
        </w:rPr>
        <w:t>a interpretado el artículo 1 en común de dichos pactos como aplicable a los pueblos indígenas. Al respecto, en virtud del derecho a la autodeterminación de los pueblos indígenas conforme a dicho artículo 1, los pueblos podrán “provee[r] a su desarrollo eco</w:t>
      </w:r>
      <w:r w:rsidRPr="00D93140">
        <w:rPr>
          <w:rFonts w:ascii="Times New Roman" w:hAnsi="Times New Roman"/>
          <w:bCs/>
          <w:i/>
          <w:iCs/>
          <w:sz w:val="28"/>
          <w:szCs w:val="28"/>
        </w:rPr>
        <w:t>nómico, social y cultural” y pueden “disponer libremente de sus riquezas y recursos naturales” para que no se los prive de “sus propios medios de subsistencia”.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Además, que este mismo tribunal ha considerado en el caso de la Comunidad Indígena Sawhoyamax</w:t>
      </w:r>
      <w:r w:rsidRPr="00D93140">
        <w:rPr>
          <w:rFonts w:ascii="Times New Roman" w:hAnsi="Times New Roman"/>
          <w:bCs/>
          <w:sz w:val="28"/>
          <w:szCs w:val="28"/>
        </w:rPr>
        <w:t>a y también en el caso de la comunidad Indígena Yakye Axa que “</w:t>
      </w:r>
      <w:r w:rsidRPr="00D93140">
        <w:rPr>
          <w:rFonts w:ascii="Times New Roman" w:hAnsi="Times New Roman"/>
          <w:bCs/>
          <w:i/>
          <w:iCs/>
          <w:sz w:val="28"/>
          <w:szCs w:val="28"/>
        </w:rPr>
        <w:t>la estrecha vinculación de los pueblos indígenas con sus tierras tradicionales y los recursos naturales ligados a su cultura que ahí se encuentren, así como los elementos incorporales que se de</w:t>
      </w:r>
      <w:r w:rsidRPr="00D93140">
        <w:rPr>
          <w:rFonts w:ascii="Times New Roman" w:hAnsi="Times New Roman"/>
          <w:bCs/>
          <w:i/>
          <w:iCs/>
          <w:sz w:val="28"/>
          <w:szCs w:val="28"/>
        </w:rPr>
        <w:t>sprendan de ellos, deben ser salvaguardados por el artículo 21 de la Convención Americana”</w:t>
      </w:r>
      <w:r w:rsidRPr="00D93140">
        <w:rPr>
          <w:rFonts w:ascii="Times New Roman" w:hAnsi="Times New Roman"/>
          <w:bCs/>
          <w:sz w:val="28"/>
          <w:szCs w:val="28"/>
        </w:rPr>
        <w:t>.</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por Decreto Ley </w:t>
      </w:r>
      <w:hyperlink r:id="rId30" w:history="1">
        <w:r w:rsidRPr="00D93140">
          <w:rPr>
            <w:rStyle w:val="Hipervnculo"/>
            <w:rFonts w:ascii="Times New Roman" w:hAnsi="Times New Roman"/>
            <w:bCs/>
            <w:sz w:val="28"/>
            <w:szCs w:val="28"/>
          </w:rPr>
          <w:t>1953</w:t>
        </w:r>
      </w:hyperlink>
      <w:r w:rsidRPr="00D93140">
        <w:rPr>
          <w:rFonts w:ascii="Times New Roman" w:hAnsi="Times New Roman"/>
          <w:bCs/>
          <w:sz w:val="28"/>
          <w:szCs w:val="28"/>
        </w:rPr>
        <w:t> del 7 de octubre de 2014, el Gobierno Nacional creó un</w:t>
      </w:r>
      <w:r w:rsidRPr="00D93140">
        <w:rPr>
          <w:rFonts w:ascii="Times New Roman" w:hAnsi="Times New Roman"/>
          <w:bCs/>
          <w:sz w:val="28"/>
          <w:szCs w:val="28"/>
        </w:rPr>
        <w:t xml:space="preserve"> régimen especial con el fin de poner en funcionamiento los Territorios Indígenas respecto de la administración de los sistemas propios de los pueblos indígenas hasta que el Congreso expida la ley de que trata el artículo </w:t>
      </w:r>
      <w:hyperlink r:id="rId31" w:anchor="329" w:history="1">
        <w:r w:rsidRPr="00D93140">
          <w:rPr>
            <w:rStyle w:val="Hipervnculo"/>
            <w:rFonts w:ascii="Times New Roman" w:hAnsi="Times New Roman"/>
            <w:bCs/>
            <w:sz w:val="28"/>
            <w:szCs w:val="28"/>
          </w:rPr>
          <w:t>329</w:t>
        </w:r>
      </w:hyperlink>
      <w:r w:rsidRPr="00D93140">
        <w:rPr>
          <w:rFonts w:ascii="Times New Roman" w:hAnsi="Times New Roman"/>
          <w:bCs/>
          <w:sz w:val="28"/>
          <w:szCs w:val="28"/>
        </w:rPr>
        <w:t> de la Constitución Política.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el numeral </w:t>
      </w:r>
      <w:hyperlink r:id="rId32" w:anchor="13.n.3" w:history="1">
        <w:r w:rsidRPr="00D93140">
          <w:rPr>
            <w:rStyle w:val="Hipervnculo"/>
            <w:rFonts w:ascii="Times New Roman" w:hAnsi="Times New Roman"/>
            <w:bCs/>
            <w:sz w:val="28"/>
            <w:szCs w:val="28"/>
          </w:rPr>
          <w:t>3</w:t>
        </w:r>
      </w:hyperlink>
      <w:r w:rsidRPr="00D93140">
        <w:rPr>
          <w:rFonts w:ascii="Times New Roman" w:hAnsi="Times New Roman"/>
          <w:bCs/>
          <w:sz w:val="28"/>
          <w:szCs w:val="28"/>
        </w:rPr>
        <w:t> del artículo 13 del Decreto Ley 1953 de 2014 y el nu</w:t>
      </w:r>
      <w:r w:rsidRPr="00D93140">
        <w:rPr>
          <w:rFonts w:ascii="Times New Roman" w:hAnsi="Times New Roman"/>
          <w:bCs/>
          <w:sz w:val="28"/>
          <w:szCs w:val="28"/>
        </w:rPr>
        <w:t>meral 3 del artículo 5 del Decreto Ley 632 de 2018, establecieron como una de las Competencias Generales de los Territorios Indígenas, las cuales ejercerán en el marco de los planes de vida, la de definir, ejecutar y evaluar las políticas económicas, socia</w:t>
      </w:r>
      <w:r w:rsidRPr="00D93140">
        <w:rPr>
          <w:rFonts w:ascii="Times New Roman" w:hAnsi="Times New Roman"/>
          <w:bCs/>
          <w:sz w:val="28"/>
          <w:szCs w:val="28"/>
        </w:rPr>
        <w:t>les, ambientales y culturales propias en los respectivos territorios dentro del marco de la legislación nacional y conforme a los principios de coordinación, concurrencia y subsidiariedad.</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Qué por Decreto Ley 632 de 2018 el Gobierno Nacional estableció e</w:t>
      </w:r>
      <w:r w:rsidRPr="00D93140">
        <w:rPr>
          <w:rFonts w:ascii="Times New Roman" w:hAnsi="Times New Roman"/>
          <w:bCs/>
          <w:sz w:val="28"/>
          <w:szCs w:val="28"/>
        </w:rPr>
        <w:t>l régimen especial para la puesta en funcionamiento de los Territorios Indígenas en las áreas no municipalizadas de los Departamentos de Amazonas, Guainía y Vaupés, en cuyos considerandos es claro que dicha normatividad tiene, entre otras razones, fortalec</w:t>
      </w:r>
      <w:r w:rsidRPr="00D93140">
        <w:rPr>
          <w:rFonts w:ascii="Times New Roman" w:hAnsi="Times New Roman"/>
          <w:bCs/>
          <w:sz w:val="28"/>
          <w:szCs w:val="28"/>
        </w:rPr>
        <w:t>er los procesos que han desarrollado los pueblos indígenas </w:t>
      </w:r>
      <w:r w:rsidRPr="00D93140">
        <w:rPr>
          <w:rFonts w:ascii="Times New Roman" w:hAnsi="Times New Roman"/>
          <w:bCs/>
          <w:i/>
          <w:iCs/>
          <w:sz w:val="28"/>
          <w:szCs w:val="28"/>
        </w:rPr>
        <w:t>“(...) con pertinencia étnica y cultural como condición fundamental para garantizar la eficiencia que se requiere en la administración y conservación cultural y ambiental de esos territorios”.</w:t>
      </w:r>
      <w:r w:rsidRPr="00D93140">
        <w:rPr>
          <w:rFonts w:ascii="Times New Roman" w:hAnsi="Times New Roman"/>
          <w:bCs/>
          <w:sz w:val="28"/>
          <w:szCs w:val="28"/>
        </w:rPr>
        <w:t xml:space="preserve"> Sin </w:t>
      </w:r>
      <w:r w:rsidRPr="00D93140">
        <w:rPr>
          <w:rFonts w:ascii="Times New Roman" w:hAnsi="Times New Roman"/>
          <w:bCs/>
          <w:sz w:val="28"/>
          <w:szCs w:val="28"/>
        </w:rPr>
        <w:t>embargo, en dicha norma no se precisó lo referente a la coordinación en materia ambiental.</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de conformidad con lo establecido en el artículo </w:t>
      </w:r>
      <w:hyperlink r:id="rId33" w:anchor="330" w:history="1">
        <w:r w:rsidRPr="00D93140">
          <w:rPr>
            <w:rStyle w:val="Hipervnculo"/>
            <w:rFonts w:ascii="Times New Roman" w:hAnsi="Times New Roman"/>
            <w:bCs/>
            <w:sz w:val="28"/>
            <w:szCs w:val="28"/>
          </w:rPr>
          <w:t>330</w:t>
        </w:r>
      </w:hyperlink>
      <w:r w:rsidRPr="00D93140">
        <w:rPr>
          <w:rFonts w:ascii="Times New Roman" w:hAnsi="Times New Roman"/>
          <w:bCs/>
          <w:sz w:val="28"/>
          <w:szCs w:val="28"/>
        </w:rPr>
        <w:t xml:space="preserve"> de la </w:t>
      </w:r>
      <w:r w:rsidRPr="00D93140">
        <w:rPr>
          <w:rFonts w:ascii="Times New Roman" w:hAnsi="Times New Roman"/>
          <w:bCs/>
          <w:sz w:val="28"/>
          <w:szCs w:val="28"/>
        </w:rPr>
        <w:t>Constitución Política, los territorios indígenas estarán gobernados por Consejos conformados y reglamentados según los usos y costumbres, lo que implica el reconocimiento los sistemas de conocimiento, Derecho Mayor, Derecho Propio, Ley de Origen, Ley Natur</w:t>
      </w:r>
      <w:r w:rsidRPr="00D93140">
        <w:rPr>
          <w:rFonts w:ascii="Times New Roman" w:hAnsi="Times New Roman"/>
          <w:bCs/>
          <w:sz w:val="28"/>
          <w:szCs w:val="28"/>
        </w:rPr>
        <w:t>al, Palabra de Vida de los Pueblos Indígenas y sus comunidades.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En la interpretación e implementación del Acuerdo Final para la Terminación del Conflicto y la Construcción de una Paz Estable y Duradera en Colombia, con enfoque étnico se tendrá en cuenta </w:t>
      </w:r>
      <w:r w:rsidRPr="00D93140">
        <w:rPr>
          <w:rFonts w:ascii="Times New Roman" w:hAnsi="Times New Roman"/>
          <w:bCs/>
          <w:sz w:val="28"/>
          <w:szCs w:val="28"/>
        </w:rPr>
        <w:t>entre otros los siguientes principios a la libre determinación, la autonomía y el gobierno propio, a la participación, la consulta y el consentimiento previo libre e informado; a la identidad e integridad social económica y cultural, a los derechos sobre s</w:t>
      </w:r>
      <w:r w:rsidRPr="00D93140">
        <w:rPr>
          <w:rFonts w:ascii="Times New Roman" w:hAnsi="Times New Roman"/>
          <w:bCs/>
          <w:sz w:val="28"/>
          <w:szCs w:val="28"/>
        </w:rPr>
        <w:t>us tierras, territorios y recursos, que implican el reconocimiento de sus prácticas territoriales ancestrales, el derecho a la restitución y fortalecimiento de su territorialidad, los mecanismos vigentes para la protección y seguridad jurídica de las tierr</w:t>
      </w:r>
      <w:r w:rsidRPr="00D93140">
        <w:rPr>
          <w:rFonts w:ascii="Times New Roman" w:hAnsi="Times New Roman"/>
          <w:bCs/>
          <w:sz w:val="28"/>
          <w:szCs w:val="28"/>
        </w:rPr>
        <w:t>as y territorios ocupados o poseídos ancestralmente y/o tradicionalmente.</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la honorable Corte Constitucional, en la Sentencia </w:t>
      </w:r>
      <w:hyperlink r:id="rId34" w:history="1">
        <w:r w:rsidRPr="00D93140">
          <w:rPr>
            <w:rStyle w:val="Hipervnculo"/>
            <w:rFonts w:ascii="Times New Roman" w:hAnsi="Times New Roman"/>
            <w:bCs/>
            <w:sz w:val="28"/>
            <w:szCs w:val="28"/>
          </w:rPr>
          <w:t>C-617</w:t>
        </w:r>
      </w:hyperlink>
      <w:r w:rsidRPr="00D93140">
        <w:rPr>
          <w:rFonts w:ascii="Times New Roman" w:hAnsi="Times New Roman"/>
          <w:bCs/>
          <w:sz w:val="28"/>
          <w:szCs w:val="28"/>
        </w:rPr>
        <w:t> de 2015, con ocasión de la constituc</w:t>
      </w:r>
      <w:r w:rsidRPr="00D93140">
        <w:rPr>
          <w:rFonts w:ascii="Times New Roman" w:hAnsi="Times New Roman"/>
          <w:bCs/>
          <w:sz w:val="28"/>
          <w:szCs w:val="28"/>
        </w:rPr>
        <w:t>ionalidad del Decreto </w:t>
      </w:r>
      <w:hyperlink r:id="rId35" w:history="1">
        <w:r w:rsidRPr="00D93140">
          <w:rPr>
            <w:rStyle w:val="Hipervnculo"/>
            <w:rFonts w:ascii="Times New Roman" w:hAnsi="Times New Roman"/>
            <w:bCs/>
            <w:sz w:val="28"/>
            <w:szCs w:val="28"/>
          </w:rPr>
          <w:t>1953</w:t>
        </w:r>
      </w:hyperlink>
      <w:r w:rsidRPr="00D93140">
        <w:rPr>
          <w:rFonts w:ascii="Times New Roman" w:hAnsi="Times New Roman"/>
          <w:bCs/>
          <w:sz w:val="28"/>
          <w:szCs w:val="28"/>
        </w:rPr>
        <w:t> de 2014, precisó que el artículo </w:t>
      </w:r>
      <w:hyperlink r:id="rId36" w:anchor="56.A.T" w:history="1">
        <w:r w:rsidRPr="00D93140">
          <w:rPr>
            <w:rStyle w:val="Hipervnculo"/>
            <w:rFonts w:ascii="Times New Roman" w:hAnsi="Times New Roman"/>
            <w:bCs/>
            <w:sz w:val="28"/>
            <w:szCs w:val="28"/>
          </w:rPr>
          <w:t>56</w:t>
        </w:r>
      </w:hyperlink>
      <w:r w:rsidRPr="00D93140">
        <w:rPr>
          <w:rFonts w:ascii="Times New Roman" w:hAnsi="Times New Roman"/>
          <w:bCs/>
          <w:sz w:val="28"/>
          <w:szCs w:val="28"/>
        </w:rPr>
        <w:t> transitorio cons</w:t>
      </w:r>
      <w:r w:rsidRPr="00D93140">
        <w:rPr>
          <w:rFonts w:ascii="Times New Roman" w:hAnsi="Times New Roman"/>
          <w:bCs/>
          <w:sz w:val="28"/>
          <w:szCs w:val="28"/>
        </w:rPr>
        <w:t>titucional establece una competencia cualificada, dado que las normas que se expiden en el ejercicio de lo dispuesto en el mencionado artículo tienen naturaleza legislativa y por regla general, sólo perderán su vigencia, cuando sea expedida la ley a la que</w:t>
      </w:r>
      <w:r w:rsidRPr="00D93140">
        <w:rPr>
          <w:rFonts w:ascii="Times New Roman" w:hAnsi="Times New Roman"/>
          <w:bCs/>
          <w:sz w:val="28"/>
          <w:szCs w:val="28"/>
        </w:rPr>
        <w:t xml:space="preserve"> se refiere el artículo </w:t>
      </w:r>
      <w:hyperlink r:id="rId37" w:anchor="329" w:history="1">
        <w:r w:rsidRPr="00D93140">
          <w:rPr>
            <w:rStyle w:val="Hipervnculo"/>
            <w:rFonts w:ascii="Times New Roman" w:hAnsi="Times New Roman"/>
            <w:bCs/>
            <w:sz w:val="28"/>
            <w:szCs w:val="28"/>
          </w:rPr>
          <w:t>329</w:t>
        </w:r>
      </w:hyperlink>
      <w:r w:rsidRPr="00D93140">
        <w:rPr>
          <w:rFonts w:ascii="Times New Roman" w:hAnsi="Times New Roman"/>
          <w:bCs/>
          <w:sz w:val="28"/>
          <w:szCs w:val="28"/>
        </w:rPr>
        <w:t> de la Constitución Política, de esta manera las facultades extraordinarias conferidas por el artículo </w:t>
      </w:r>
      <w:hyperlink r:id="rId38" w:anchor="56.A.T" w:history="1">
        <w:r w:rsidRPr="00D93140">
          <w:rPr>
            <w:rStyle w:val="Hipervnculo"/>
            <w:rFonts w:ascii="Times New Roman" w:hAnsi="Times New Roman"/>
            <w:bCs/>
            <w:sz w:val="28"/>
            <w:szCs w:val="28"/>
          </w:rPr>
          <w:t>56</w:t>
        </w:r>
      </w:hyperlink>
      <w:r w:rsidRPr="00D93140">
        <w:rPr>
          <w:rFonts w:ascii="Times New Roman" w:hAnsi="Times New Roman"/>
          <w:bCs/>
          <w:sz w:val="28"/>
          <w:szCs w:val="28"/>
        </w:rPr>
        <w:t> transitorio no se encuentran agotadas.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Esta misma corporación, en la sentencia T-236 de 2012, afirmó que </w:t>
      </w:r>
      <w:r w:rsidRPr="00D93140">
        <w:rPr>
          <w:rFonts w:ascii="Times New Roman" w:hAnsi="Times New Roman"/>
          <w:bCs/>
          <w:i/>
          <w:iCs/>
          <w:sz w:val="28"/>
          <w:szCs w:val="28"/>
        </w:rPr>
        <w:t xml:space="preserve">“(...) el reconocimiento constitucional de la capacidad de Autogobierno de los pueblos </w:t>
      </w:r>
      <w:r w:rsidRPr="00D93140">
        <w:rPr>
          <w:rFonts w:ascii="Times New Roman" w:hAnsi="Times New Roman"/>
          <w:bCs/>
          <w:i/>
          <w:iCs/>
          <w:sz w:val="28"/>
          <w:szCs w:val="28"/>
        </w:rPr>
        <w:t>indígenas sólo es posible si se reconoce a la vez un territorio para ejercer en él sus propias nomas y desarrollar su cultura y costumbres”</w:t>
      </w:r>
      <w:r w:rsidRPr="00D93140">
        <w:rPr>
          <w:rFonts w:ascii="Times New Roman" w:hAnsi="Times New Roman"/>
          <w:bCs/>
          <w:sz w:val="28"/>
          <w:szCs w:val="28"/>
        </w:rPr>
        <w:t> y que, además, </w:t>
      </w:r>
      <w:r w:rsidRPr="00D93140">
        <w:rPr>
          <w:rFonts w:ascii="Times New Roman" w:hAnsi="Times New Roman"/>
          <w:bCs/>
          <w:i/>
          <w:iCs/>
          <w:sz w:val="28"/>
          <w:szCs w:val="28"/>
        </w:rPr>
        <w:t>“(...) las normas constitucionales y legales también otorgan competencia de vigilancia y control ambi</w:t>
      </w:r>
      <w:r w:rsidRPr="00D93140">
        <w:rPr>
          <w:rFonts w:ascii="Times New Roman" w:hAnsi="Times New Roman"/>
          <w:bCs/>
          <w:i/>
          <w:iCs/>
          <w:sz w:val="28"/>
          <w:szCs w:val="28"/>
        </w:rPr>
        <w:t>ental a los pueblos indígenas. Además de que se crea la obligación en dichas normas de crear mecanismos de coordinación para hacer posible en la práctica el pluralismo jurídico que se deriva de la Constitución. Mecanismos que obviamente deben ser concertad</w:t>
      </w:r>
      <w:r w:rsidRPr="00D93140">
        <w:rPr>
          <w:rFonts w:ascii="Times New Roman" w:hAnsi="Times New Roman"/>
          <w:bCs/>
          <w:i/>
          <w:iCs/>
          <w:sz w:val="28"/>
          <w:szCs w:val="28"/>
        </w:rPr>
        <w:t>os entre autoridades -precisamente- como las CAR y autoridades indígenas, al menos en lo que se refiere al tema ambiental y de manejo de recursos naturales”</w:t>
      </w:r>
      <w:r w:rsidRPr="00D93140">
        <w:rPr>
          <w:rFonts w:ascii="Times New Roman" w:hAnsi="Times New Roman"/>
          <w:bCs/>
          <w:sz w:val="28"/>
          <w:szCs w:val="28"/>
        </w:rPr>
        <w:t>.</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De igual modo, la honorable Corte Constitucional, en sentencia T-445 de 2016, manifestó que uno </w:t>
      </w:r>
      <w:r w:rsidRPr="00D93140">
        <w:rPr>
          <w:rFonts w:ascii="Times New Roman" w:hAnsi="Times New Roman"/>
          <w:bCs/>
          <w:sz w:val="28"/>
          <w:szCs w:val="28"/>
        </w:rPr>
        <w:t>de los aspectos que caracteriza a los pueblos indígenas en Colombia, es la visión integral y su relación con el territorio, partiendo desde sus respectivos sistemas de valores espirituales o cosmovisiones. Ello implica formas y ciclos de relacionamiento co</w:t>
      </w:r>
      <w:r w:rsidRPr="00D93140">
        <w:rPr>
          <w:rFonts w:ascii="Times New Roman" w:hAnsi="Times New Roman"/>
          <w:bCs/>
          <w:sz w:val="28"/>
          <w:szCs w:val="28"/>
        </w:rPr>
        <w:t>n realidades vitales y energías espirituales que permiten la pervivencia y sostenibilidad de los seres subterráneos, superficiales y celestes conforme la particularidad de cada pueblo indígena.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las anteriores cuestiones fueron reiteradas por la Corte</w:t>
      </w:r>
      <w:r w:rsidRPr="00D93140">
        <w:rPr>
          <w:rFonts w:ascii="Times New Roman" w:hAnsi="Times New Roman"/>
          <w:bCs/>
          <w:sz w:val="28"/>
          <w:szCs w:val="28"/>
        </w:rPr>
        <w:t xml:space="preserve"> Constitucional en la sentencia T-530 de 2016, cuando afirmó </w:t>
      </w:r>
      <w:r w:rsidRPr="00D93140">
        <w:rPr>
          <w:rFonts w:ascii="Times New Roman" w:hAnsi="Times New Roman"/>
          <w:bCs/>
          <w:i/>
          <w:iCs/>
          <w:sz w:val="28"/>
          <w:szCs w:val="28"/>
        </w:rPr>
        <w:t>"(...) que el ejercicio de las competencias ambientales a nivel nacional, regional y local debe estar fundada en el principio de coordinación entre las distintas instituciones involucradas. En es</w:t>
      </w:r>
      <w:r w:rsidRPr="00D93140">
        <w:rPr>
          <w:rFonts w:ascii="Times New Roman" w:hAnsi="Times New Roman"/>
          <w:bCs/>
          <w:i/>
          <w:iCs/>
          <w:sz w:val="28"/>
          <w:szCs w:val="28"/>
        </w:rPr>
        <w:t>e contexto, es necesario señalar que las instituciones municipales y las autoridades ambientales (como, por ejemplo, las CAR) tienen el deber de trabajar de manera coordinada con autoridades indígenas y viceversa. Por ende, es importante la creación de esp</w:t>
      </w:r>
      <w:r w:rsidRPr="00D93140">
        <w:rPr>
          <w:rFonts w:ascii="Times New Roman" w:hAnsi="Times New Roman"/>
          <w:bCs/>
          <w:i/>
          <w:iCs/>
          <w:sz w:val="28"/>
          <w:szCs w:val="28"/>
        </w:rPr>
        <w:t>acios de coordinación de naturaleza intercultural a nivel local y nacional que permitan llegar a soluciones por vía del diálogo, de forma que la solución de conflictos de competencia por la vía judicial sea sólo el último recurso.”</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Que la honorable Sala </w:t>
      </w:r>
      <w:r w:rsidRPr="00D93140">
        <w:rPr>
          <w:rFonts w:ascii="Times New Roman" w:hAnsi="Times New Roman"/>
          <w:bCs/>
          <w:sz w:val="28"/>
          <w:szCs w:val="28"/>
        </w:rPr>
        <w:t>de Consulta y Servicio Civil del Consejo de Estado, como órgano de cierre en la definición de conflictos de competencia administrativa, como lo establecen los artículos </w:t>
      </w:r>
      <w:hyperlink r:id="rId39" w:anchor="39" w:history="1">
        <w:r w:rsidRPr="00D93140">
          <w:rPr>
            <w:rStyle w:val="Hipervnculo"/>
            <w:rFonts w:ascii="Times New Roman" w:hAnsi="Times New Roman"/>
            <w:bCs/>
            <w:sz w:val="28"/>
            <w:szCs w:val="28"/>
          </w:rPr>
          <w:t>39</w:t>
        </w:r>
      </w:hyperlink>
      <w:r w:rsidRPr="00D93140">
        <w:rPr>
          <w:rFonts w:ascii="Times New Roman" w:hAnsi="Times New Roman"/>
          <w:bCs/>
          <w:sz w:val="28"/>
          <w:szCs w:val="28"/>
        </w:rPr>
        <w:t> y 112 numeral </w:t>
      </w:r>
      <w:hyperlink r:id="rId40" w:anchor="112.n.10" w:history="1">
        <w:r w:rsidRPr="00D93140">
          <w:rPr>
            <w:rStyle w:val="Hipervnculo"/>
            <w:rFonts w:ascii="Times New Roman" w:hAnsi="Times New Roman"/>
            <w:bCs/>
            <w:sz w:val="28"/>
            <w:szCs w:val="28"/>
          </w:rPr>
          <w:t>10</w:t>
        </w:r>
      </w:hyperlink>
      <w:r w:rsidRPr="00D93140">
        <w:rPr>
          <w:rFonts w:ascii="Times New Roman" w:hAnsi="Times New Roman"/>
          <w:bCs/>
          <w:sz w:val="28"/>
          <w:szCs w:val="28"/>
        </w:rPr>
        <w:t xml:space="preserve"> del Código de Procedimiento Administrativo y Contencioso Administrativo, en providencia del 26 de noviembre de 2019 (Rad. Núm. </w:t>
      </w:r>
      <w:r w:rsidRPr="00D93140">
        <w:rPr>
          <w:rFonts w:ascii="Times New Roman" w:hAnsi="Times New Roman"/>
          <w:bCs/>
          <w:sz w:val="28"/>
          <w:szCs w:val="28"/>
        </w:rPr>
        <w:t>11001-03-06-000-2019-00117-00(C)), afirmó que </w:t>
      </w:r>
      <w:r w:rsidRPr="00D93140">
        <w:rPr>
          <w:rFonts w:ascii="Times New Roman" w:hAnsi="Times New Roman"/>
          <w:bCs/>
          <w:i/>
          <w:iCs/>
          <w:sz w:val="28"/>
          <w:szCs w:val="28"/>
        </w:rPr>
        <w:t>“teniendo en cuenta que el medio ambiente es un valor constitucionalmente protegido por su vinculación al ser humano y demás seres vivientes, resulta de vital importancia la labor coordinada entre las corporaci</w:t>
      </w:r>
      <w:r w:rsidRPr="00D93140">
        <w:rPr>
          <w:rFonts w:ascii="Times New Roman" w:hAnsi="Times New Roman"/>
          <w:bCs/>
          <w:i/>
          <w:iCs/>
          <w:sz w:val="28"/>
          <w:szCs w:val="28"/>
        </w:rPr>
        <w:t>ones autónomas regionales y las comunidades indígenas para su protección, de tal manera que ninguna de estas autoridades desconozca o vulnere las normas constitucionales y legales sobre protección del medio ambiente en los términos que se han expuesto en e</w:t>
      </w:r>
      <w:r w:rsidRPr="00D93140">
        <w:rPr>
          <w:rFonts w:ascii="Times New Roman" w:hAnsi="Times New Roman"/>
          <w:bCs/>
          <w:i/>
          <w:iCs/>
          <w:sz w:val="28"/>
          <w:szCs w:val="28"/>
        </w:rPr>
        <w:t>ste conflicto. Desde este punto de vista, tanto las comunidades indígenas como las CARS están sometidas en este tema al imperio de la ley y la Constitución”.</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Que el Gobierno Nacional expidió el Plan Nacional de Desarrollo mediante la Ley </w:t>
      </w:r>
      <w:hyperlink r:id="rId41" w:history="1">
        <w:r w:rsidRPr="00D93140">
          <w:rPr>
            <w:rStyle w:val="Hipervnculo"/>
            <w:rFonts w:ascii="Times New Roman" w:hAnsi="Times New Roman"/>
            <w:bCs/>
            <w:sz w:val="28"/>
            <w:szCs w:val="28"/>
          </w:rPr>
          <w:t>2294</w:t>
        </w:r>
      </w:hyperlink>
      <w:r w:rsidRPr="00D93140">
        <w:rPr>
          <w:rFonts w:ascii="Times New Roman" w:hAnsi="Times New Roman"/>
          <w:bCs/>
          <w:sz w:val="28"/>
          <w:szCs w:val="28"/>
        </w:rPr>
        <w:t> de 2023 </w:t>
      </w:r>
      <w:r w:rsidRPr="00D93140">
        <w:rPr>
          <w:rFonts w:ascii="Times New Roman" w:hAnsi="Times New Roman"/>
          <w:bCs/>
          <w:i/>
          <w:iCs/>
          <w:sz w:val="28"/>
          <w:szCs w:val="28"/>
        </w:rPr>
        <w:t>“POR EL CUAL SE EXPIDE EL PLAN NACIONAL DE DESARROLLO 2022- 2026 “COLOMBIA POTENCIA MUNDIAL DE LA VIDA”</w:t>
      </w:r>
      <w:r w:rsidRPr="00D93140">
        <w:rPr>
          <w:rFonts w:ascii="Times New Roman" w:hAnsi="Times New Roman"/>
          <w:bCs/>
          <w:sz w:val="28"/>
          <w:szCs w:val="28"/>
        </w:rPr>
        <w:t>, que en su artículo 32, parágrafo </w:t>
      </w:r>
      <w:hyperlink r:id="rId42" w:anchor="32.p.3" w:history="1">
        <w:r w:rsidRPr="00D93140">
          <w:rPr>
            <w:rStyle w:val="Hipervnculo"/>
            <w:rFonts w:ascii="Times New Roman" w:hAnsi="Times New Roman"/>
            <w:bCs/>
            <w:sz w:val="28"/>
            <w:szCs w:val="28"/>
          </w:rPr>
          <w:t>3</w:t>
        </w:r>
      </w:hyperlink>
      <w:r w:rsidRPr="00D93140">
        <w:rPr>
          <w:rFonts w:ascii="Times New Roman" w:hAnsi="Times New Roman"/>
          <w:bCs/>
          <w:sz w:val="28"/>
          <w:szCs w:val="28"/>
        </w:rPr>
        <w:t> menciona: </w:t>
      </w:r>
      <w:r w:rsidRPr="00D93140">
        <w:rPr>
          <w:rFonts w:ascii="Times New Roman" w:hAnsi="Times New Roman"/>
          <w:bCs/>
          <w:i/>
          <w:iCs/>
          <w:sz w:val="28"/>
          <w:szCs w:val="28"/>
        </w:rPr>
        <w:t>"PARÁGRAFO TERCERO. Para los territorios y territorialidades indígenas y para los territorios colectivos de comunidades negras, afrocolombianas, raizales y palenqueras los</w:t>
      </w:r>
      <w:r w:rsidRPr="00D93140">
        <w:rPr>
          <w:rFonts w:ascii="Times New Roman" w:hAnsi="Times New Roman"/>
          <w:bCs/>
          <w:i/>
          <w:iCs/>
          <w:sz w:val="28"/>
          <w:szCs w:val="28"/>
        </w:rPr>
        <w:t xml:space="preserve"> determinantes del ordenamiento del territorio, indicados en este artículo, respetarán y acatarán los principios de la Palabra de Vida, Leyes de Origen, Derecho Mayor, Derecho Propio de cada pueblo y/o comunidad Indígena, negra, afrocolombiana, raizal y pa</w:t>
      </w:r>
      <w:r w:rsidRPr="00D93140">
        <w:rPr>
          <w:rFonts w:ascii="Times New Roman" w:hAnsi="Times New Roman"/>
          <w:bCs/>
          <w:i/>
          <w:iCs/>
          <w:sz w:val="28"/>
          <w:szCs w:val="28"/>
        </w:rPr>
        <w:t>lenquera. En todo caso, los fundamentos definidos por los pueblos y comunidades indígenas serán vinculantes para todos los actores públicos y privados en sus territorios y territorialidades.”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En mérito de lo expuesto;</w:t>
      </w:r>
    </w:p>
    <w:p w:rsidR="00B018DC" w:rsidRPr="00D93140" w:rsidRDefault="00D93140" w:rsidP="00B018DC">
      <w:pPr>
        <w:spacing w:after="0" w:line="240" w:lineRule="auto"/>
        <w:jc w:val="center"/>
        <w:rPr>
          <w:rFonts w:ascii="Times New Roman" w:hAnsi="Times New Roman"/>
          <w:bCs/>
          <w:sz w:val="28"/>
          <w:szCs w:val="28"/>
        </w:rPr>
      </w:pP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DECRETA:</w:t>
      </w:r>
    </w:p>
    <w:p w:rsidR="00B018DC" w:rsidRPr="00D93140" w:rsidRDefault="00D93140" w:rsidP="00B018DC">
      <w:pPr>
        <w:spacing w:after="0" w:line="240" w:lineRule="auto"/>
        <w:jc w:val="center"/>
        <w:rPr>
          <w:rFonts w:ascii="Times New Roman" w:hAnsi="Times New Roman"/>
          <w:bCs/>
          <w:sz w:val="28"/>
          <w:szCs w:val="28"/>
        </w:rPr>
      </w:pP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TÍTULO I</w:t>
      </w:r>
    </w:p>
    <w:p w:rsidR="00B018DC" w:rsidRPr="00D93140" w:rsidRDefault="00D93140" w:rsidP="00B018DC">
      <w:pPr>
        <w:spacing w:after="0" w:line="240" w:lineRule="auto"/>
        <w:jc w:val="center"/>
        <w:rPr>
          <w:rFonts w:ascii="Times New Roman" w:hAnsi="Times New Roman"/>
          <w:bCs/>
          <w:sz w:val="28"/>
          <w:szCs w:val="28"/>
        </w:rPr>
      </w:pP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OBJETO, PRINCIP</w:t>
      </w:r>
      <w:r w:rsidRPr="00D93140">
        <w:rPr>
          <w:rFonts w:ascii="Times New Roman" w:hAnsi="Times New Roman"/>
          <w:bCs/>
          <w:sz w:val="28"/>
          <w:szCs w:val="28"/>
        </w:rPr>
        <w:t>IOS Y ÁMBITO DE APLICACIÓN</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1. </w:t>
      </w:r>
      <w:r w:rsidRPr="00D93140">
        <w:rPr>
          <w:rFonts w:ascii="Times New Roman" w:hAnsi="Times New Roman"/>
          <w:bCs/>
          <w:i/>
          <w:iCs/>
          <w:sz w:val="28"/>
          <w:szCs w:val="28"/>
        </w:rPr>
        <w:t>Objeto.</w:t>
      </w:r>
      <w:r w:rsidRPr="00D93140">
        <w:rPr>
          <w:rFonts w:ascii="Times New Roman" w:hAnsi="Times New Roman"/>
          <w:bCs/>
          <w:sz w:val="28"/>
          <w:szCs w:val="28"/>
        </w:rPr>
        <w:t> La presente norma tiene por objeto establecer medidas requeridas para el funcionamiento de los territorios indígenas en materia ambiental y el desarrollo de las competencias ambientales de las autoridades in</w:t>
      </w:r>
      <w:r w:rsidRPr="00D93140">
        <w:rPr>
          <w:rFonts w:ascii="Times New Roman" w:hAnsi="Times New Roman"/>
          <w:bCs/>
          <w:sz w:val="28"/>
          <w:szCs w:val="28"/>
        </w:rPr>
        <w:t>dígenas y su coordinación efectiva con las demás autoridades y/o entidades.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2. </w:t>
      </w:r>
      <w:r w:rsidRPr="00D93140">
        <w:rPr>
          <w:rFonts w:ascii="Times New Roman" w:hAnsi="Times New Roman"/>
          <w:bCs/>
          <w:i/>
          <w:iCs/>
          <w:sz w:val="28"/>
          <w:szCs w:val="28"/>
        </w:rPr>
        <w:t>Primacía del interés general.</w:t>
      </w:r>
      <w:r w:rsidRPr="00D93140">
        <w:rPr>
          <w:rFonts w:ascii="Times New Roman" w:hAnsi="Times New Roman"/>
          <w:bCs/>
          <w:sz w:val="28"/>
          <w:szCs w:val="28"/>
        </w:rPr>
        <w:t> Para los efectos del presente Decreto, el interés general será entendido como la prevalencia de las disposiciones constitucionales tendi</w:t>
      </w:r>
      <w:r w:rsidRPr="00D93140">
        <w:rPr>
          <w:rFonts w:ascii="Times New Roman" w:hAnsi="Times New Roman"/>
          <w:bCs/>
          <w:sz w:val="28"/>
          <w:szCs w:val="28"/>
        </w:rPr>
        <w:t>entes al reconocimiento y protección de la diversidad étnica cultural y aquellas que propendan por garantizar la conservación, preservación, restauración, cuidado y protección del ambiente, en atención al principio de maximización de la autonomía de los pu</w:t>
      </w:r>
      <w:r w:rsidRPr="00D93140">
        <w:rPr>
          <w:rFonts w:ascii="Times New Roman" w:hAnsi="Times New Roman"/>
          <w:bCs/>
          <w:sz w:val="28"/>
          <w:szCs w:val="28"/>
        </w:rPr>
        <w:t>eblos indígenas.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3. </w:t>
      </w:r>
      <w:r w:rsidRPr="00D93140">
        <w:rPr>
          <w:rFonts w:ascii="Times New Roman" w:hAnsi="Times New Roman"/>
          <w:bCs/>
          <w:i/>
          <w:iCs/>
          <w:sz w:val="28"/>
          <w:szCs w:val="28"/>
        </w:rPr>
        <w:t>Principios.</w:t>
      </w:r>
      <w:r w:rsidRPr="00D93140">
        <w:rPr>
          <w:rFonts w:ascii="Times New Roman" w:hAnsi="Times New Roman"/>
          <w:bCs/>
          <w:sz w:val="28"/>
          <w:szCs w:val="28"/>
        </w:rPr>
        <w:t> La interpretación del presente Decreto tendrá como fundamento los principios establecidos en el artículo </w:t>
      </w:r>
      <w:hyperlink r:id="rId43" w:anchor="10" w:history="1">
        <w:r w:rsidRPr="00D93140">
          <w:rPr>
            <w:rStyle w:val="Hipervnculo"/>
            <w:rFonts w:ascii="Times New Roman" w:hAnsi="Times New Roman"/>
            <w:bCs/>
            <w:sz w:val="28"/>
            <w:szCs w:val="28"/>
          </w:rPr>
          <w:t>10</w:t>
        </w:r>
      </w:hyperlink>
      <w:r w:rsidRPr="00D93140">
        <w:rPr>
          <w:rFonts w:ascii="Times New Roman" w:hAnsi="Times New Roman"/>
          <w:bCs/>
          <w:sz w:val="28"/>
          <w:szCs w:val="28"/>
        </w:rPr>
        <w:t> del Decreto Le</w:t>
      </w:r>
      <w:r w:rsidRPr="00D93140">
        <w:rPr>
          <w:rFonts w:ascii="Times New Roman" w:hAnsi="Times New Roman"/>
          <w:bCs/>
          <w:sz w:val="28"/>
          <w:szCs w:val="28"/>
        </w:rPr>
        <w:t>y 1953 de 2014, el artículo 4 del Decreto Ley 632 de 2018, el artículo </w:t>
      </w:r>
      <w:hyperlink r:id="rId44" w:anchor="1" w:history="1">
        <w:r w:rsidRPr="00D93140">
          <w:rPr>
            <w:rStyle w:val="Hipervnculo"/>
            <w:rFonts w:ascii="Times New Roman" w:hAnsi="Times New Roman"/>
            <w:bCs/>
            <w:sz w:val="28"/>
            <w:szCs w:val="28"/>
          </w:rPr>
          <w:t>1</w:t>
        </w:r>
      </w:hyperlink>
      <w:r w:rsidRPr="00D93140">
        <w:rPr>
          <w:rFonts w:ascii="Times New Roman" w:hAnsi="Times New Roman"/>
          <w:bCs/>
          <w:sz w:val="28"/>
          <w:szCs w:val="28"/>
        </w:rPr>
        <w:t> de la Ley 99 de 1993 y en específicos los siguientes: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 Espiritualidad Indígena: La espiritu</w:t>
      </w:r>
      <w:r w:rsidRPr="00D93140">
        <w:rPr>
          <w:rFonts w:ascii="Times New Roman" w:hAnsi="Times New Roman"/>
          <w:bCs/>
          <w:sz w:val="28"/>
          <w:szCs w:val="28"/>
        </w:rPr>
        <w:t>alidad nace de la Ley de origen de cada pueblo, es la energía que le da vida a la cultura, al tiempo que logra la interrelación entre los elementos del universo, establece las orientaciones para mantener el equilibrio, la armonía, reciprocidad y revitaliza</w:t>
      </w:r>
      <w:r w:rsidRPr="00D93140">
        <w:rPr>
          <w:rFonts w:ascii="Times New Roman" w:hAnsi="Times New Roman"/>
          <w:bCs/>
          <w:sz w:val="28"/>
          <w:szCs w:val="28"/>
        </w:rPr>
        <w:t>r el conocimiento y prácticas de los saberes ancestrales.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B. Territorialidad: El territorio indígena comprende todos aquellos espacios que los pueblos indígenas reconocen como esenciales en la vivencia de su cosmovisión y que son fundamentales para su </w:t>
      </w:r>
      <w:r w:rsidRPr="00D93140">
        <w:rPr>
          <w:rFonts w:ascii="Times New Roman" w:hAnsi="Times New Roman"/>
          <w:bCs/>
          <w:sz w:val="28"/>
          <w:szCs w:val="28"/>
        </w:rPr>
        <w:t>existencia como pueblos indígenas.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C. Comunitariedad: Son acciones solidarias y reciprocas, aptitudes y actitudes del pensamiento colectivo que conduce a la conformación y fortalecimiento de la identidad como pueblos indígenas.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D. Reciprocidad Natural:</w:t>
      </w:r>
      <w:r w:rsidRPr="00D93140">
        <w:rPr>
          <w:rFonts w:ascii="Times New Roman" w:hAnsi="Times New Roman"/>
          <w:bCs/>
          <w:sz w:val="28"/>
          <w:szCs w:val="28"/>
        </w:rPr>
        <w:t> Para los Pueblos Indígenas la Tierra es la madre que da vida y brinda todos los elementos para la existencia, agua, oxígeno, alimentos y abrigo, a cambio de esto los humanos le deben retribuir respeto, valoración, protección, uso debido y cuidado permanen</w:t>
      </w:r>
      <w:r w:rsidRPr="00D93140">
        <w:rPr>
          <w:rFonts w:ascii="Times New Roman" w:hAnsi="Times New Roman"/>
          <w:bCs/>
          <w:sz w:val="28"/>
          <w:szCs w:val="28"/>
        </w:rPr>
        <w:t>te de los elementos naturales.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E. Armonía y Equilibrio: Son fuerzas complementarias que fundamentan la justicia y el control social, permiten el mantenimiento del orden comunitario en el territorio, regulan las relaciones entre los hombres y estos con la</w:t>
      </w:r>
      <w:r w:rsidRPr="00D93140">
        <w:rPr>
          <w:rFonts w:ascii="Times New Roman" w:hAnsi="Times New Roman"/>
          <w:bCs/>
          <w:sz w:val="28"/>
          <w:szCs w:val="28"/>
        </w:rPr>
        <w:t xml:space="preserve"> naturaleza, hacen parte de los sistemas de conocimiento, Derecho Mayor, Derecho Propio, Ley de Origen, Ley Natural, Palabra de Vida y se fortalecen en el ejercicio de la Jurisdicción Especial Indígena reconocida en el artículo </w:t>
      </w:r>
      <w:hyperlink r:id="rId45" w:anchor="246" w:history="1">
        <w:r w:rsidRPr="00D93140">
          <w:rPr>
            <w:rStyle w:val="Hipervnculo"/>
            <w:rFonts w:ascii="Times New Roman" w:hAnsi="Times New Roman"/>
            <w:bCs/>
            <w:sz w:val="28"/>
            <w:szCs w:val="28"/>
          </w:rPr>
          <w:t>246</w:t>
        </w:r>
      </w:hyperlink>
      <w:r w:rsidRPr="00D93140">
        <w:rPr>
          <w:rFonts w:ascii="Times New Roman" w:hAnsi="Times New Roman"/>
          <w:bCs/>
          <w:sz w:val="28"/>
          <w:szCs w:val="28"/>
        </w:rPr>
        <w:t> de la Constitución Política.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F. Coordinación Ambiental Efectiva: La coordinación constante y dialogada de gobierno a gobierno deberá ser desarrollada en el marco del respeto mutuo. Las </w:t>
      </w:r>
      <w:r w:rsidRPr="00D93140">
        <w:rPr>
          <w:rFonts w:ascii="Times New Roman" w:hAnsi="Times New Roman"/>
          <w:bCs/>
          <w:sz w:val="28"/>
          <w:szCs w:val="28"/>
        </w:rPr>
        <w:t>entidades con competencias ambientales, incluidos los territorios indígenas, coordinarán de manera amplia aquellos asuntos que sean de su conocimiento y del interés general de la Nación, siempre en salvaguarda de la protección de la naturaleza.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G. Respon</w:t>
      </w:r>
      <w:r w:rsidRPr="00D93140">
        <w:rPr>
          <w:rFonts w:ascii="Times New Roman" w:hAnsi="Times New Roman"/>
          <w:bCs/>
          <w:sz w:val="28"/>
          <w:szCs w:val="28"/>
        </w:rPr>
        <w:t>sabilidad ambiental intergeneracional: El sujeto individual y colectivo es responsable con las generaciones actuales y futuras en la obligación de garantizar la integridad étnica y cultural de la nación y la protección de los elementos ambientales que, des</w:t>
      </w:r>
      <w:r w:rsidRPr="00D93140">
        <w:rPr>
          <w:rFonts w:ascii="Times New Roman" w:hAnsi="Times New Roman"/>
          <w:bCs/>
          <w:sz w:val="28"/>
          <w:szCs w:val="28"/>
        </w:rPr>
        <w:t>de los sistemas de conocimiento, Derecho Mayor, Derecho Propio, Ley de Origen, Ley Natural, Palabra de Vida resultan esenciales para la existencia de pueblos indígenas.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H. Integridad territorial y ecosistémica: Las regulaciones que expidan las autoridade</w:t>
      </w:r>
      <w:r w:rsidRPr="00D93140">
        <w:rPr>
          <w:rFonts w:ascii="Times New Roman" w:hAnsi="Times New Roman"/>
          <w:bCs/>
          <w:sz w:val="28"/>
          <w:szCs w:val="28"/>
        </w:rPr>
        <w:t>s indígenas, en el marco de su autonomía normativa, respecto de la protección, preservación, uso y manejo de los recursos naturales, el ambiente y el territorio, siempre podrán hacer más rigurosa la normatividad ambiental y no menos flexible. En caso de qu</w:t>
      </w:r>
      <w:r w:rsidRPr="00D93140">
        <w:rPr>
          <w:rFonts w:ascii="Times New Roman" w:hAnsi="Times New Roman"/>
          <w:bCs/>
          <w:sz w:val="28"/>
          <w:szCs w:val="28"/>
        </w:rPr>
        <w:t>e las disposiciones sean más rigurosas, estas deberán ser respetadas por las demás autoridades y/o entidades en el ámbito de sus competencias.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l. Precaución ambiental: para los efectos de lo previsto en este Decreto, en el marco de la interpretación cult</w:t>
      </w:r>
      <w:r w:rsidRPr="00D93140">
        <w:rPr>
          <w:rFonts w:ascii="Times New Roman" w:hAnsi="Times New Roman"/>
          <w:bCs/>
          <w:sz w:val="28"/>
          <w:szCs w:val="28"/>
        </w:rPr>
        <w:t xml:space="preserve">ural, se entiende este principio conforme al cual, cuando exista peligro de daño grave e irreversible, para la integridad ambiental o cultural de los pueblos indígenas, la falta de certeza científica absoluta no deberá utilizarse como razón para postergar </w:t>
      </w:r>
      <w:r w:rsidRPr="00D93140">
        <w:rPr>
          <w:rFonts w:ascii="Times New Roman" w:hAnsi="Times New Roman"/>
          <w:bCs/>
          <w:sz w:val="28"/>
          <w:szCs w:val="28"/>
        </w:rPr>
        <w:t>la adopción de medidas eficaces para impedir su degradación.</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J. Pluralismo Jurídico: para efectos de lo dispuesto en este Decreto, en el diálogo entre las autoridades ambientales primarán la coordinación, complementariedad e interdependencia; en todo cas</w:t>
      </w:r>
      <w:r w:rsidRPr="00D93140">
        <w:rPr>
          <w:rFonts w:ascii="Times New Roman" w:hAnsi="Times New Roman"/>
          <w:bCs/>
          <w:sz w:val="28"/>
          <w:szCs w:val="28"/>
        </w:rPr>
        <w:t>o, se aplicarán de preferencia los sistemas normativos propios de los pueblos, así como los principios establecidos en la </w:t>
      </w:r>
      <w:hyperlink r:id="rId46" w:anchor="246" w:history="1">
        <w:r w:rsidRPr="00D93140">
          <w:rPr>
            <w:rStyle w:val="Hipervnculo"/>
            <w:rFonts w:ascii="Times New Roman" w:hAnsi="Times New Roman"/>
            <w:bCs/>
            <w:sz w:val="28"/>
            <w:szCs w:val="28"/>
          </w:rPr>
          <w:t>Constitución</w:t>
        </w:r>
      </w:hyperlink>
      <w:r w:rsidRPr="00D93140">
        <w:rPr>
          <w:rFonts w:ascii="Times New Roman" w:hAnsi="Times New Roman"/>
          <w:bCs/>
          <w:sz w:val="28"/>
          <w:szCs w:val="28"/>
        </w:rPr>
        <w:t> y las reglas derivadas de la j</w:t>
      </w:r>
      <w:r w:rsidRPr="00D93140">
        <w:rPr>
          <w:rFonts w:ascii="Times New Roman" w:hAnsi="Times New Roman"/>
          <w:bCs/>
          <w:sz w:val="28"/>
          <w:szCs w:val="28"/>
        </w:rPr>
        <w:t>urisprudencia nacional e internacional respecto a los derechos de los pueblos indígenas y su rol como autoridades políticas, administrativas, ambientales y jurisdiccionales, en el ámbito de sus competencias.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Parágrafo. Para todos los efectos, se tendrán </w:t>
      </w:r>
      <w:r w:rsidRPr="00D93140">
        <w:rPr>
          <w:rFonts w:ascii="Times New Roman" w:hAnsi="Times New Roman"/>
          <w:bCs/>
          <w:sz w:val="28"/>
          <w:szCs w:val="28"/>
        </w:rPr>
        <w:t>en cuenta las reglas de interpretación contenidas en la jurisprudencia de la Corte Constitucional y de la Corte Interamericana de Derechos Humanos.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4. </w:t>
      </w:r>
      <w:r w:rsidRPr="00D93140">
        <w:rPr>
          <w:rFonts w:ascii="Times New Roman" w:hAnsi="Times New Roman"/>
          <w:bCs/>
          <w:i/>
          <w:iCs/>
          <w:sz w:val="28"/>
          <w:szCs w:val="28"/>
        </w:rPr>
        <w:t>Ámbito de aplicación.</w:t>
      </w:r>
      <w:r w:rsidRPr="00D93140">
        <w:rPr>
          <w:rFonts w:ascii="Times New Roman" w:hAnsi="Times New Roman"/>
          <w:bCs/>
          <w:sz w:val="28"/>
          <w:szCs w:val="28"/>
        </w:rPr>
        <w:t> Las disposiciones establecidas en el presente Decreto aplican en los Ter</w:t>
      </w:r>
      <w:r w:rsidRPr="00D93140">
        <w:rPr>
          <w:rFonts w:ascii="Times New Roman" w:hAnsi="Times New Roman"/>
          <w:bCs/>
          <w:sz w:val="28"/>
          <w:szCs w:val="28"/>
        </w:rPr>
        <w:t>ritorios Indígenas de los que trata los artículos </w:t>
      </w:r>
      <w:hyperlink r:id="rId47" w:anchor="286" w:history="1">
        <w:r w:rsidRPr="00D93140">
          <w:rPr>
            <w:rStyle w:val="Hipervnculo"/>
            <w:rFonts w:ascii="Times New Roman" w:hAnsi="Times New Roman"/>
            <w:bCs/>
            <w:sz w:val="28"/>
            <w:szCs w:val="28"/>
          </w:rPr>
          <w:t>286</w:t>
        </w:r>
      </w:hyperlink>
      <w:r w:rsidRPr="00D93140">
        <w:rPr>
          <w:rFonts w:ascii="Times New Roman" w:hAnsi="Times New Roman"/>
          <w:bCs/>
          <w:sz w:val="28"/>
          <w:szCs w:val="28"/>
        </w:rPr>
        <w:t> y </w:t>
      </w:r>
      <w:hyperlink r:id="rId48" w:anchor="330" w:history="1">
        <w:r w:rsidRPr="00D93140">
          <w:rPr>
            <w:rStyle w:val="Hipervnculo"/>
            <w:rFonts w:ascii="Times New Roman" w:hAnsi="Times New Roman"/>
            <w:bCs/>
            <w:sz w:val="28"/>
            <w:szCs w:val="28"/>
          </w:rPr>
          <w:t>330</w:t>
        </w:r>
      </w:hyperlink>
      <w:r w:rsidRPr="00D93140">
        <w:rPr>
          <w:rFonts w:ascii="Times New Roman" w:hAnsi="Times New Roman"/>
          <w:bCs/>
          <w:sz w:val="28"/>
          <w:szCs w:val="28"/>
        </w:rPr>
        <w:t> de la Constitu</w:t>
      </w:r>
      <w:r w:rsidRPr="00D93140">
        <w:rPr>
          <w:rFonts w:ascii="Times New Roman" w:hAnsi="Times New Roman"/>
          <w:bCs/>
          <w:sz w:val="28"/>
          <w:szCs w:val="28"/>
        </w:rPr>
        <w:t>ción Política y complementan el Decreto Ley </w:t>
      </w:r>
      <w:hyperlink r:id="rId49" w:history="1">
        <w:r w:rsidRPr="00D93140">
          <w:rPr>
            <w:rStyle w:val="Hipervnculo"/>
            <w:rFonts w:ascii="Times New Roman" w:hAnsi="Times New Roman"/>
            <w:bCs/>
            <w:sz w:val="28"/>
            <w:szCs w:val="28"/>
          </w:rPr>
          <w:t>1953</w:t>
        </w:r>
      </w:hyperlink>
      <w:r w:rsidRPr="00D93140">
        <w:rPr>
          <w:rFonts w:ascii="Times New Roman" w:hAnsi="Times New Roman"/>
          <w:bCs/>
          <w:sz w:val="28"/>
          <w:szCs w:val="28"/>
        </w:rPr>
        <w:t> de 2014; los territorios indígenas puestos en funcionamiento en virtud del Decreto Ley 632 de 2018 o de aquellos que se pong</w:t>
      </w:r>
      <w:r w:rsidRPr="00D93140">
        <w:rPr>
          <w:rFonts w:ascii="Times New Roman" w:hAnsi="Times New Roman"/>
          <w:bCs/>
          <w:sz w:val="28"/>
          <w:szCs w:val="28"/>
        </w:rPr>
        <w:t>an en funcionamiento con normas de igual alcance constitucional; los resguardos indígenas y las reservas indígenas. Así mismo, a los territorios ancestrales, las territorialidades y las áreas poseídas por las comunidades que tengan un gobierno propio y hay</w:t>
      </w:r>
      <w:r w:rsidRPr="00D93140">
        <w:rPr>
          <w:rFonts w:ascii="Times New Roman" w:hAnsi="Times New Roman"/>
          <w:bCs/>
          <w:sz w:val="28"/>
          <w:szCs w:val="28"/>
        </w:rPr>
        <w:t>an solicitado por las respectivas autoridades la puesta en funcionamiento de la entidad territorial indígena o la formalización y/o seguridad jurídica del territorio indígena de acuerdo con las normas pertinentes y serán ejercidas por las autoridades propi</w:t>
      </w:r>
      <w:r w:rsidRPr="00D93140">
        <w:rPr>
          <w:rFonts w:ascii="Times New Roman" w:hAnsi="Times New Roman"/>
          <w:bCs/>
          <w:sz w:val="28"/>
          <w:szCs w:val="28"/>
        </w:rPr>
        <w:t>as de cada pueblo indígena, de acuerdo con sus sistemas de conocimiento, Derecho Mayor, Derecho Propio, Ley de Origen, Ley Natural, Palabra de Vida, respecto de los miembros de cada pueblo y en sus propias territorialidades.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Parágrafo. Frente a los </w:t>
      </w:r>
      <w:r w:rsidRPr="00D93140">
        <w:rPr>
          <w:rFonts w:ascii="Times New Roman" w:hAnsi="Times New Roman"/>
          <w:bCs/>
          <w:sz w:val="28"/>
          <w:szCs w:val="28"/>
        </w:rPr>
        <w:t>territorios indígenas de la Sierra Nevada de Santa Marta, el ámbito de aplicación del presente Decreto será de conformidad con el artículo 6 del Decreto 1500 del 2018.</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TÍTULO II</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COMPETENCIAS Y DIRECTRICES PARA LA COORDINACIÓN EFECTIVA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5. </w:t>
      </w:r>
      <w:r w:rsidRPr="00D93140">
        <w:rPr>
          <w:rFonts w:ascii="Times New Roman" w:hAnsi="Times New Roman"/>
          <w:bCs/>
          <w:i/>
          <w:iCs/>
          <w:sz w:val="28"/>
          <w:szCs w:val="28"/>
        </w:rPr>
        <w:t>Compe</w:t>
      </w:r>
      <w:r w:rsidRPr="00D93140">
        <w:rPr>
          <w:rFonts w:ascii="Times New Roman" w:hAnsi="Times New Roman"/>
          <w:bCs/>
          <w:i/>
          <w:iCs/>
          <w:sz w:val="28"/>
          <w:szCs w:val="28"/>
        </w:rPr>
        <w:t>tencias Ambientales de las Autoridades Indígenas.</w:t>
      </w:r>
      <w:r w:rsidRPr="00D93140">
        <w:rPr>
          <w:rFonts w:ascii="Times New Roman" w:hAnsi="Times New Roman"/>
          <w:bCs/>
          <w:sz w:val="28"/>
          <w:szCs w:val="28"/>
        </w:rPr>
        <w:t> Las autoridades tradicionales indígenas, las autoridades propias de los territorios indígenas, los consejos indígenas y otras estructuras similares de gobierno propio en sus resguardos indígenas, los territ</w:t>
      </w:r>
      <w:r w:rsidRPr="00D93140">
        <w:rPr>
          <w:rFonts w:ascii="Times New Roman" w:hAnsi="Times New Roman"/>
          <w:bCs/>
          <w:sz w:val="28"/>
          <w:szCs w:val="28"/>
        </w:rPr>
        <w:t>orios indígenas y las áreas poseídas por los pueblos indígenas en los términos del artículo 4 del presente Decreto, hacen parte del Sistema Nacional Ambiental y ejercen las competencias en materia de ordenamiento ambiental territorial, determinación de los</w:t>
      </w:r>
      <w:r w:rsidRPr="00D93140">
        <w:rPr>
          <w:rFonts w:ascii="Times New Roman" w:hAnsi="Times New Roman"/>
          <w:bCs/>
          <w:sz w:val="28"/>
          <w:szCs w:val="28"/>
        </w:rPr>
        <w:t xml:space="preserve"> mecanismos regulatorios, de gestión y gobierno con fines de preservación, conservación, restauración, protección, cuidado, uso y manejo de los recursos naturales de acuerdo con lo establecido en el artículo 15 del Convenio 169 de la OIT, sus elementos o r</w:t>
      </w:r>
      <w:r w:rsidRPr="00D93140">
        <w:rPr>
          <w:rFonts w:ascii="Times New Roman" w:hAnsi="Times New Roman"/>
          <w:bCs/>
          <w:sz w:val="28"/>
          <w:szCs w:val="28"/>
        </w:rPr>
        <w:t>ecursos de acuerdo con sus sistemas de conocimiento, Derecho Mayor, Derecho Propio, Ley de Origen, Ley Natural, Palabra de Vida, en concordancia con el marco constitucional y las normas aquí establecidas.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En el ejercicio de sus competencias, las autorida</w:t>
      </w:r>
      <w:r w:rsidRPr="00D93140">
        <w:rPr>
          <w:rFonts w:ascii="Times New Roman" w:hAnsi="Times New Roman"/>
          <w:bCs/>
          <w:sz w:val="28"/>
          <w:szCs w:val="28"/>
        </w:rPr>
        <w:t>des indígenas previstas en esta norma y las demás autoridades ambientales del Estado, establecerán conjuntamente mecanismos directos que permitan la debida aplicación de los principios de coordinación, concurrencia, complementariedad y subsidiariedad, resp</w:t>
      </w:r>
      <w:r w:rsidRPr="00D93140">
        <w:rPr>
          <w:rFonts w:ascii="Times New Roman" w:hAnsi="Times New Roman"/>
          <w:bCs/>
          <w:sz w:val="28"/>
          <w:szCs w:val="28"/>
        </w:rPr>
        <w:t>etuosos de la autonomía y los sistemas de conocimiento de los pueblos indígenas, con la finalidad de garantizar la protección armónica de los ecosistemas y territorios en los casos en los que se supere el ámbito de aplicación del presente Decreto y concurr</w:t>
      </w:r>
      <w:r w:rsidRPr="00D93140">
        <w:rPr>
          <w:rFonts w:ascii="Times New Roman" w:hAnsi="Times New Roman"/>
          <w:bCs/>
          <w:sz w:val="28"/>
          <w:szCs w:val="28"/>
        </w:rPr>
        <w:t>an competencias ambientales.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6. </w:t>
      </w:r>
      <w:r w:rsidRPr="00D93140">
        <w:rPr>
          <w:rFonts w:ascii="Times New Roman" w:hAnsi="Times New Roman"/>
          <w:bCs/>
          <w:i/>
          <w:iCs/>
          <w:sz w:val="28"/>
          <w:szCs w:val="28"/>
        </w:rPr>
        <w:t>Competencias complementarias de las autoridades indígenas en materia ambiental.</w:t>
      </w:r>
      <w:r w:rsidRPr="00D93140">
        <w:rPr>
          <w:rFonts w:ascii="Times New Roman" w:hAnsi="Times New Roman"/>
          <w:bCs/>
          <w:sz w:val="28"/>
          <w:szCs w:val="28"/>
        </w:rPr>
        <w:t> Además de lo dispuesto en el artículo anterior, serán competencias ambientales de las autoridades indígenas las siguientes: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1. Formular, adoptar y desarrollar en su ámbito territorial los instrumentos de regulación y gestión ambiental, tales como planes de ordenamiento ambiental indígena, componentes en materia ambiental de los planes de vida, programas o proyectos que tengan c</w:t>
      </w:r>
      <w:r w:rsidRPr="00D93140">
        <w:rPr>
          <w:rFonts w:ascii="Times New Roman" w:hAnsi="Times New Roman"/>
          <w:bCs/>
          <w:sz w:val="28"/>
          <w:szCs w:val="28"/>
        </w:rPr>
        <w:t>omo objeto, entre otros la protección del ambiente, su conectividad ecosistémica, la recuperación de bosques, páramos, acuíferos, humedales, nacimientos de agua, aire, costas, manglares, ambiente y su biodiversidad. Estos incluirán la definición, de acuerd</w:t>
      </w:r>
      <w:r w:rsidRPr="00D93140">
        <w:rPr>
          <w:rFonts w:ascii="Times New Roman" w:hAnsi="Times New Roman"/>
          <w:bCs/>
          <w:sz w:val="28"/>
          <w:szCs w:val="28"/>
        </w:rPr>
        <w:t>o con sus sistemas de conocimiento de los determinantes de ordenamiento territorial, en armonía con lo dispuesto en el parágrafo </w:t>
      </w:r>
      <w:hyperlink r:id="rId50" w:anchor="32.p.3" w:history="1">
        <w:r w:rsidRPr="00D93140">
          <w:rPr>
            <w:rStyle w:val="Hipervnculo"/>
            <w:rFonts w:ascii="Times New Roman" w:hAnsi="Times New Roman"/>
            <w:bCs/>
            <w:sz w:val="28"/>
            <w:szCs w:val="28"/>
          </w:rPr>
          <w:t>3</w:t>
        </w:r>
      </w:hyperlink>
      <w:r w:rsidRPr="00D93140">
        <w:rPr>
          <w:rFonts w:ascii="Times New Roman" w:hAnsi="Times New Roman"/>
          <w:bCs/>
          <w:sz w:val="28"/>
          <w:szCs w:val="28"/>
        </w:rPr>
        <w:t> del artículo 32 de la Ley 229</w:t>
      </w:r>
      <w:r w:rsidRPr="00D93140">
        <w:rPr>
          <w:rFonts w:ascii="Times New Roman" w:hAnsi="Times New Roman"/>
          <w:bCs/>
          <w:sz w:val="28"/>
          <w:szCs w:val="28"/>
        </w:rPr>
        <w:t>4 de 2023, modificatorio del artículo </w:t>
      </w:r>
      <w:hyperlink r:id="rId51" w:anchor="10" w:history="1">
        <w:r w:rsidRPr="00D93140">
          <w:rPr>
            <w:rStyle w:val="Hipervnculo"/>
            <w:rFonts w:ascii="Times New Roman" w:hAnsi="Times New Roman"/>
            <w:bCs/>
            <w:sz w:val="28"/>
            <w:szCs w:val="28"/>
          </w:rPr>
          <w:t>10</w:t>
        </w:r>
      </w:hyperlink>
      <w:r w:rsidRPr="00D93140">
        <w:rPr>
          <w:rFonts w:ascii="Times New Roman" w:hAnsi="Times New Roman"/>
          <w:bCs/>
          <w:sz w:val="28"/>
          <w:szCs w:val="28"/>
        </w:rPr>
        <w:t> de la Ley 388 de 1997.</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2. Definir e implementar, desde las estructuras de gobierno propio y de acuerdo a sus sistemas de con</w:t>
      </w:r>
      <w:r w:rsidRPr="00D93140">
        <w:rPr>
          <w:rFonts w:ascii="Times New Roman" w:hAnsi="Times New Roman"/>
          <w:bCs/>
          <w:sz w:val="28"/>
          <w:szCs w:val="28"/>
        </w:rPr>
        <w:t>ocimiento, Derecho Mayor, Derecho Propio, Ley de Origen, Ley Natural, Palabra de Vida, reglamentos dirigidos a administrar, preservar, conservar, proteger, restaurar, y fortalecer o rescatar la importancia especial que para las culturas y los valores espir</w:t>
      </w:r>
      <w:r w:rsidRPr="00D93140">
        <w:rPr>
          <w:rFonts w:ascii="Times New Roman" w:hAnsi="Times New Roman"/>
          <w:bCs/>
          <w:sz w:val="28"/>
          <w:szCs w:val="28"/>
        </w:rPr>
        <w:t>ituales de los pueblos indígenas reviste su relación con sus territorios y en especial con los seres materiales e inmateriales que en estos habitan y en particular los aspectos colectivos de esa relación.</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3. Sancionar en el marco de la justicia propia a </w:t>
      </w:r>
      <w:r w:rsidRPr="00D93140">
        <w:rPr>
          <w:rFonts w:ascii="Times New Roman" w:hAnsi="Times New Roman"/>
          <w:bCs/>
          <w:sz w:val="28"/>
          <w:szCs w:val="28"/>
        </w:rPr>
        <w:t>miembros de sus comunidades. En caso de infracciones cometidas por personas que no estén bajo la jurisdicción indígena, la autoridad ambiental competente coordinará con la autoridad indígena respectiva, la imposición de las sanciones y medidas compensatori</w:t>
      </w:r>
      <w:r w:rsidRPr="00D93140">
        <w:rPr>
          <w:rFonts w:ascii="Times New Roman" w:hAnsi="Times New Roman"/>
          <w:bCs/>
          <w:sz w:val="28"/>
          <w:szCs w:val="28"/>
        </w:rPr>
        <w:t>as a que haya lugar, así como de las de obras o acciones para la restauración del medio ambiente, los recursos naturales o el paisaje.</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4. Planificar, adoptar sus presupuestos y administrar los recursos que le correspondan para el ejercicio de las compete</w:t>
      </w:r>
      <w:r w:rsidRPr="00D93140">
        <w:rPr>
          <w:rFonts w:ascii="Times New Roman" w:hAnsi="Times New Roman"/>
          <w:bCs/>
          <w:sz w:val="28"/>
          <w:szCs w:val="28"/>
        </w:rPr>
        <w:t>ncias establecidas en este Decreto.</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7. </w:t>
      </w:r>
      <w:r w:rsidRPr="00D93140">
        <w:rPr>
          <w:rFonts w:ascii="Times New Roman" w:hAnsi="Times New Roman"/>
          <w:bCs/>
          <w:i/>
          <w:iCs/>
          <w:sz w:val="28"/>
          <w:szCs w:val="28"/>
        </w:rPr>
        <w:t>Disposiciones generales para el desarrollo de la coordinación efectiva.</w:t>
      </w:r>
      <w:r w:rsidRPr="00D93140">
        <w:rPr>
          <w:rFonts w:ascii="Times New Roman" w:hAnsi="Times New Roman"/>
          <w:bCs/>
          <w:sz w:val="28"/>
          <w:szCs w:val="28"/>
        </w:rPr>
        <w:t> En el ejercicio de las competencias ambientales y en virtud del pluralismo jurídico, además de los principios administrativos de coord</w:t>
      </w:r>
      <w:r w:rsidRPr="00D93140">
        <w:rPr>
          <w:rFonts w:ascii="Times New Roman" w:hAnsi="Times New Roman"/>
          <w:bCs/>
          <w:sz w:val="28"/>
          <w:szCs w:val="28"/>
        </w:rPr>
        <w:t>inación, concurrencia, subsidiariedad, para llevar a cabo la coordinación ambiental efectiva de acuerdo con lo establecido en el presente Decreto, se aplicarán las siguientes disposiciones: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1. El Ministerio de Ambiente y Desarrollo Sostenible, los instit</w:t>
      </w:r>
      <w:r w:rsidRPr="00D93140">
        <w:rPr>
          <w:rFonts w:ascii="Times New Roman" w:hAnsi="Times New Roman"/>
          <w:bCs/>
          <w:sz w:val="28"/>
          <w:szCs w:val="28"/>
        </w:rPr>
        <w:t>utos adscritos y vinculados a este cuando se requiera, las autoridades ambientales urbanas, regionales y nacionales, los establecimientos públicos ambientales, las entidades territoriales, se coordinarán de manera efectiva con las autoridades tradicionales</w:t>
      </w:r>
      <w:r w:rsidRPr="00D93140">
        <w:rPr>
          <w:rFonts w:ascii="Times New Roman" w:hAnsi="Times New Roman"/>
          <w:bCs/>
          <w:sz w:val="28"/>
          <w:szCs w:val="28"/>
        </w:rPr>
        <w:t xml:space="preserve"> indígenas, las autoridades propias de los territorios indígenas, los Consejos Indígenas u otras estructuras similares de gobierno propio, en los términos del artículo 5 de este Decreto.</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2. Las entidades públicas están llamadas a la coordinación de las c</w:t>
      </w:r>
      <w:r w:rsidRPr="00D93140">
        <w:rPr>
          <w:rFonts w:ascii="Times New Roman" w:hAnsi="Times New Roman"/>
          <w:bCs/>
          <w:sz w:val="28"/>
          <w:szCs w:val="28"/>
        </w:rPr>
        <w:t xml:space="preserve">ompetencias ambientales, con observancia de los sistemas de conocimiento, Derecho Mayor, Derecho Propio, Ley de Origen, Ley Natural, Palabra de Vida, planes de ordenamiento ambiental indígena, componentes en materia ambiental de los planes de vida; con la </w:t>
      </w:r>
      <w:r w:rsidRPr="00D93140">
        <w:rPr>
          <w:rFonts w:ascii="Times New Roman" w:hAnsi="Times New Roman"/>
          <w:bCs/>
          <w:sz w:val="28"/>
          <w:szCs w:val="28"/>
        </w:rPr>
        <w:t>adopción de medidas y/o instrumentos pertinentes, eficaces, eficientes, permanentes y culturalmente adecuadas, para consolidar la coordinación de autoridad a autoridad.</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TÍTULO IIl</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ESTRUCTURAS Y ARTICULACIÓN</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8. </w:t>
      </w:r>
      <w:r w:rsidRPr="00D93140">
        <w:rPr>
          <w:rFonts w:ascii="Times New Roman" w:hAnsi="Times New Roman"/>
          <w:bCs/>
          <w:i/>
          <w:iCs/>
          <w:sz w:val="28"/>
          <w:szCs w:val="28"/>
        </w:rPr>
        <w:t>Estructuras de Gobierno propio.</w:t>
      </w:r>
      <w:r w:rsidRPr="00D93140">
        <w:rPr>
          <w:rFonts w:ascii="Times New Roman" w:hAnsi="Times New Roman"/>
          <w:bCs/>
          <w:sz w:val="28"/>
          <w:szCs w:val="28"/>
        </w:rPr>
        <w:t> Las autoridades tradicionales de los pueblos indígenas ejercerán las competencias establecidas en este Decreto desde sus estructuras de gobierno propio conforme a sus sistemas de conocimiento, Derecho Mayor, Derecho Propio, Ley de Origen, Ley Natural, Pal</w:t>
      </w:r>
      <w:r w:rsidRPr="00D93140">
        <w:rPr>
          <w:rFonts w:ascii="Times New Roman" w:hAnsi="Times New Roman"/>
          <w:bCs/>
          <w:sz w:val="28"/>
          <w:szCs w:val="28"/>
        </w:rPr>
        <w:t>abra de Vida.</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9. </w:t>
      </w:r>
      <w:r w:rsidRPr="00D93140">
        <w:rPr>
          <w:rFonts w:ascii="Times New Roman" w:hAnsi="Times New Roman"/>
          <w:bCs/>
          <w:i/>
          <w:iCs/>
          <w:sz w:val="28"/>
          <w:szCs w:val="28"/>
        </w:rPr>
        <w:t>Articulación de los mecanismos especiales de protección.</w:t>
      </w:r>
      <w:r w:rsidRPr="00D93140">
        <w:rPr>
          <w:rFonts w:ascii="Times New Roman" w:hAnsi="Times New Roman"/>
          <w:bCs/>
          <w:sz w:val="28"/>
          <w:szCs w:val="28"/>
        </w:rPr>
        <w:t> Para efectos de las competencias ambientales establecidas, se articulan a las disposiciones del presente Decreto, los siguientes mecanismos de protección a los pueblos ind</w:t>
      </w:r>
      <w:r w:rsidRPr="00D93140">
        <w:rPr>
          <w:rFonts w:ascii="Times New Roman" w:hAnsi="Times New Roman"/>
          <w:bCs/>
          <w:sz w:val="28"/>
          <w:szCs w:val="28"/>
        </w:rPr>
        <w:t>ígenas: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1. Del acuerdo final para la terminación del conflicto y la construcción de una paz estable y duradera, se articula la siguiente disposición contenida en el inciso segundo del numeral </w:t>
      </w:r>
      <w:hyperlink r:id="rId52" w:anchor="6.2.2" w:history="1">
        <w:r w:rsidRPr="00D93140">
          <w:rPr>
            <w:rStyle w:val="Hipervnculo"/>
            <w:rFonts w:ascii="Times New Roman" w:hAnsi="Times New Roman"/>
            <w:bCs/>
            <w:sz w:val="28"/>
            <w:szCs w:val="28"/>
          </w:rPr>
          <w:t>6.2.2.</w:t>
        </w:r>
      </w:hyperlink>
      <w:r w:rsidRPr="00D93140">
        <w:rPr>
          <w:rFonts w:ascii="Times New Roman" w:hAnsi="Times New Roman"/>
          <w:bCs/>
          <w:sz w:val="28"/>
          <w:szCs w:val="28"/>
        </w:rPr>
        <w:t> Principios: </w:t>
      </w:r>
      <w:r w:rsidRPr="00D93140">
        <w:rPr>
          <w:rFonts w:ascii="Times New Roman" w:hAnsi="Times New Roman"/>
          <w:bCs/>
          <w:i/>
          <w:iCs/>
          <w:sz w:val="28"/>
          <w:szCs w:val="28"/>
        </w:rPr>
        <w:t>“En la interpretación e implementación del Acuerdo Final para la Terminación del Conflicto y la Construcción de una Paz Estable y Duradera en Colombia, con enfoque étnico se tendrá en cuenta entre otros lo</w:t>
      </w:r>
      <w:r w:rsidRPr="00D93140">
        <w:rPr>
          <w:rFonts w:ascii="Times New Roman" w:hAnsi="Times New Roman"/>
          <w:bCs/>
          <w:i/>
          <w:iCs/>
          <w:sz w:val="28"/>
          <w:szCs w:val="28"/>
        </w:rPr>
        <w:t>s siguientes principios a la libre determinación, la autonomía y el gobierno propio, a la participación, la consulta y el consentimiento previo libre e informado; a la identidad e integridad social, económica y cultural, a los derechos de propiedad y el us</w:t>
      </w:r>
      <w:r w:rsidRPr="00D93140">
        <w:rPr>
          <w:rFonts w:ascii="Times New Roman" w:hAnsi="Times New Roman"/>
          <w:bCs/>
          <w:i/>
          <w:iCs/>
          <w:sz w:val="28"/>
          <w:szCs w:val="28"/>
        </w:rPr>
        <w:t>o y goce sobre sus tierras, territorios y recursos, que implican el reconocimiento de sus prácticas territoriales ancestrales, el derecho a la restitución y fortalecimiento de su territorialidad, los mecanismos vigentes para la protección y seguridad juríd</w:t>
      </w:r>
      <w:r w:rsidRPr="00D93140">
        <w:rPr>
          <w:rFonts w:ascii="Times New Roman" w:hAnsi="Times New Roman"/>
          <w:bCs/>
          <w:i/>
          <w:iCs/>
          <w:sz w:val="28"/>
          <w:szCs w:val="28"/>
        </w:rPr>
        <w:t>ica de las tierras y territorios ocupados o poseídos ancestralmente y/o tradicionalmente”.</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2. Del Decreto 2333 de 2014, compilado en el Decreto </w:t>
      </w:r>
      <w:hyperlink r:id="rId53" w:history="1">
        <w:r w:rsidRPr="00D93140">
          <w:rPr>
            <w:rStyle w:val="Hipervnculo"/>
            <w:rFonts w:ascii="Times New Roman" w:hAnsi="Times New Roman"/>
            <w:bCs/>
            <w:sz w:val="28"/>
            <w:szCs w:val="28"/>
          </w:rPr>
          <w:t>1071</w:t>
        </w:r>
      </w:hyperlink>
      <w:r w:rsidRPr="00D93140">
        <w:rPr>
          <w:rFonts w:ascii="Times New Roman" w:hAnsi="Times New Roman"/>
          <w:bCs/>
          <w:sz w:val="28"/>
          <w:szCs w:val="28"/>
        </w:rPr>
        <w:t xml:space="preserve"> de 2015, se articulan </w:t>
      </w:r>
      <w:r w:rsidRPr="00D93140">
        <w:rPr>
          <w:rFonts w:ascii="Times New Roman" w:hAnsi="Times New Roman"/>
          <w:bCs/>
          <w:sz w:val="28"/>
          <w:szCs w:val="28"/>
        </w:rPr>
        <w:t>con la presente norma, los numerales </w:t>
      </w:r>
      <w:hyperlink r:id="rId54" w:anchor="2.n.2" w:history="1">
        <w:r w:rsidRPr="00D93140">
          <w:rPr>
            <w:rStyle w:val="Hipervnculo"/>
            <w:rFonts w:ascii="Times New Roman" w:hAnsi="Times New Roman"/>
            <w:bCs/>
            <w:sz w:val="28"/>
            <w:szCs w:val="28"/>
          </w:rPr>
          <w:t>2</w:t>
        </w:r>
      </w:hyperlink>
      <w:r w:rsidRPr="00D93140">
        <w:rPr>
          <w:rFonts w:ascii="Times New Roman" w:hAnsi="Times New Roman"/>
          <w:bCs/>
          <w:sz w:val="28"/>
          <w:szCs w:val="28"/>
        </w:rPr>
        <w:t>, </w:t>
      </w:r>
      <w:hyperlink r:id="rId55" w:anchor="2.n.3" w:history="1">
        <w:r w:rsidRPr="00D93140">
          <w:rPr>
            <w:rStyle w:val="Hipervnculo"/>
            <w:rFonts w:ascii="Times New Roman" w:hAnsi="Times New Roman"/>
            <w:bCs/>
            <w:sz w:val="28"/>
            <w:szCs w:val="28"/>
          </w:rPr>
          <w:t>3</w:t>
        </w:r>
      </w:hyperlink>
      <w:r w:rsidRPr="00D93140">
        <w:rPr>
          <w:rFonts w:ascii="Times New Roman" w:hAnsi="Times New Roman"/>
          <w:bCs/>
          <w:sz w:val="28"/>
          <w:szCs w:val="28"/>
        </w:rPr>
        <w:t> y </w:t>
      </w:r>
      <w:hyperlink r:id="rId56" w:anchor="2.n.4" w:history="1">
        <w:r w:rsidRPr="00D93140">
          <w:rPr>
            <w:rStyle w:val="Hipervnculo"/>
            <w:rFonts w:ascii="Times New Roman" w:hAnsi="Times New Roman"/>
            <w:bCs/>
            <w:sz w:val="28"/>
            <w:szCs w:val="28"/>
          </w:rPr>
          <w:t>4</w:t>
        </w:r>
      </w:hyperlink>
      <w:r w:rsidRPr="00D93140">
        <w:rPr>
          <w:rFonts w:ascii="Times New Roman" w:hAnsi="Times New Roman"/>
          <w:bCs/>
          <w:sz w:val="28"/>
          <w:szCs w:val="28"/>
        </w:rPr>
        <w:t> del artículo 2.</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TÍTULO IV</w:t>
      </w:r>
    </w:p>
    <w:p w:rsidR="00B018DC" w:rsidRPr="00D93140" w:rsidRDefault="00D93140" w:rsidP="00B018DC">
      <w:pPr>
        <w:spacing w:after="0" w:line="240" w:lineRule="auto"/>
        <w:jc w:val="center"/>
        <w:rPr>
          <w:rFonts w:ascii="Times New Roman" w:hAnsi="Times New Roman"/>
          <w:bCs/>
          <w:sz w:val="28"/>
          <w:szCs w:val="28"/>
        </w:rPr>
      </w:pPr>
      <w:r w:rsidRPr="00D93140">
        <w:rPr>
          <w:rFonts w:ascii="Times New Roman" w:hAnsi="Times New Roman"/>
          <w:bCs/>
          <w:sz w:val="28"/>
          <w:szCs w:val="28"/>
        </w:rPr>
        <w:t>FINANCIACIÓN Y DISPOSICIONES FINALES</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10. </w:t>
      </w:r>
      <w:r w:rsidRPr="00D93140">
        <w:rPr>
          <w:rFonts w:ascii="Times New Roman" w:hAnsi="Times New Roman"/>
          <w:bCs/>
          <w:i/>
          <w:iCs/>
          <w:sz w:val="28"/>
          <w:szCs w:val="28"/>
        </w:rPr>
        <w:t>Alistamiento Institucional y Financiamiento.</w:t>
      </w:r>
      <w:r w:rsidRPr="00D93140">
        <w:rPr>
          <w:rFonts w:ascii="Times New Roman" w:hAnsi="Times New Roman"/>
          <w:bCs/>
          <w:sz w:val="28"/>
          <w:szCs w:val="28"/>
        </w:rPr>
        <w:t xml:space="preserve"> El Ministerio de Ambiente y Desarrollo Sostenible </w:t>
      </w:r>
      <w:r w:rsidRPr="00D93140">
        <w:rPr>
          <w:rFonts w:ascii="Times New Roman" w:hAnsi="Times New Roman"/>
          <w:bCs/>
          <w:sz w:val="28"/>
          <w:szCs w:val="28"/>
        </w:rPr>
        <w:t>coordinará con las entidades del Gobierno Nacional pertinentes y en concertación con la MPC la definición de los mecanismos y realizarán las acciones necesarias para garantizar los recursos de funcionamiento de las competencias ambientales de las autoridad</w:t>
      </w:r>
      <w:r w:rsidRPr="00D93140">
        <w:rPr>
          <w:rFonts w:ascii="Times New Roman" w:hAnsi="Times New Roman"/>
          <w:bCs/>
          <w:sz w:val="28"/>
          <w:szCs w:val="28"/>
        </w:rPr>
        <w:t>es indígenas, de conformidad con lo establecido en el artículo </w:t>
      </w:r>
      <w:hyperlink r:id="rId57" w:anchor="4" w:history="1">
        <w:r w:rsidRPr="00D93140">
          <w:rPr>
            <w:rStyle w:val="Hipervnculo"/>
            <w:rFonts w:ascii="Times New Roman" w:hAnsi="Times New Roman"/>
            <w:bCs/>
            <w:sz w:val="28"/>
            <w:szCs w:val="28"/>
          </w:rPr>
          <w:t>4</w:t>
        </w:r>
      </w:hyperlink>
      <w:r w:rsidRPr="00D93140">
        <w:rPr>
          <w:rFonts w:ascii="Times New Roman" w:hAnsi="Times New Roman"/>
          <w:bCs/>
          <w:sz w:val="28"/>
          <w:szCs w:val="28"/>
        </w:rPr>
        <w:t> del presente Decreto, en un plazo no mayor de seis (6) meses contados a partir de la entrada en vige</w:t>
      </w:r>
      <w:r w:rsidRPr="00D93140">
        <w:rPr>
          <w:rFonts w:ascii="Times New Roman" w:hAnsi="Times New Roman"/>
          <w:bCs/>
          <w:sz w:val="28"/>
          <w:szCs w:val="28"/>
        </w:rPr>
        <w:t>ncia del presente Decreto.</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xml:space="preserve">De manera simultánea y en este mismo término de tiempo se acordarán con el apoyo del Ministerio de ambiente y Desarrollo Sostenible, la Mesa Permanente de Concertación -MPC- y las autoridades ambientales, las medidas que </w:t>
      </w:r>
      <w:r w:rsidRPr="00D93140">
        <w:rPr>
          <w:rFonts w:ascii="Times New Roman" w:hAnsi="Times New Roman"/>
          <w:bCs/>
          <w:sz w:val="28"/>
          <w:szCs w:val="28"/>
        </w:rPr>
        <w:t>permitan el alistamiento institucional.</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 </w:t>
      </w:r>
    </w:p>
    <w:p w:rsidR="00B018DC" w:rsidRPr="00D93140" w:rsidRDefault="00D93140" w:rsidP="00B018DC">
      <w:pPr>
        <w:spacing w:after="0" w:line="240" w:lineRule="auto"/>
        <w:jc w:val="both"/>
        <w:rPr>
          <w:rFonts w:ascii="Times New Roman" w:hAnsi="Times New Roman"/>
          <w:bCs/>
          <w:sz w:val="28"/>
          <w:szCs w:val="28"/>
        </w:rPr>
      </w:pPr>
      <w:r w:rsidRPr="00D93140">
        <w:rPr>
          <w:rFonts w:ascii="Times New Roman" w:hAnsi="Times New Roman"/>
          <w:bCs/>
          <w:sz w:val="28"/>
          <w:szCs w:val="28"/>
        </w:rPr>
        <w:t>Artículo 11. </w:t>
      </w:r>
      <w:r w:rsidRPr="00D93140">
        <w:rPr>
          <w:rFonts w:ascii="Times New Roman" w:hAnsi="Times New Roman"/>
          <w:bCs/>
          <w:i/>
          <w:iCs/>
          <w:sz w:val="28"/>
          <w:szCs w:val="28"/>
        </w:rPr>
        <w:t>Derogatorias y Vigencias.</w:t>
      </w:r>
      <w:r w:rsidRPr="00D93140">
        <w:rPr>
          <w:rFonts w:ascii="Times New Roman" w:hAnsi="Times New Roman"/>
          <w:bCs/>
          <w:sz w:val="28"/>
          <w:szCs w:val="28"/>
        </w:rPr>
        <w:t> El presente decreto rige a partir de la fecha de su publicación en el diario oficial y deroga todas las normas que le sean contrarias.</w:t>
      </w:r>
    </w:p>
    <w:p w:rsidR="00B018DC"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22327A">
      <w:pPr>
        <w:spacing w:after="0" w:line="240" w:lineRule="auto"/>
        <w:jc w:val="center"/>
        <w:rPr>
          <w:rFonts w:ascii="Times New Roman" w:hAnsi="Times New Roman"/>
          <w:b/>
          <w:bCs/>
          <w:sz w:val="28"/>
          <w:szCs w:val="28"/>
          <w:lang w:val="es-ES"/>
        </w:rPr>
      </w:pPr>
      <w:r w:rsidRPr="00D93140">
        <w:rPr>
          <w:rFonts w:ascii="Times New Roman" w:hAnsi="Times New Roman"/>
          <w:b/>
          <w:bCs/>
          <w:sz w:val="28"/>
          <w:szCs w:val="28"/>
          <w:lang w:val="es-ES"/>
        </w:rPr>
        <w:t>ANEXO II</w:t>
      </w:r>
    </w:p>
    <w:p w:rsidR="0022327A" w:rsidRPr="00D93140" w:rsidRDefault="00D93140" w:rsidP="0022327A">
      <w:pPr>
        <w:spacing w:after="0" w:line="240" w:lineRule="auto"/>
        <w:jc w:val="center"/>
        <w:rPr>
          <w:rFonts w:ascii="Times New Roman" w:hAnsi="Times New Roman"/>
          <w:b/>
          <w:bCs/>
          <w:sz w:val="28"/>
          <w:szCs w:val="28"/>
          <w:lang w:val="es-ES"/>
        </w:rPr>
      </w:pPr>
      <w:r w:rsidRPr="00D93140">
        <w:rPr>
          <w:rFonts w:ascii="Times New Roman" w:hAnsi="Times New Roman"/>
          <w:b/>
          <w:bCs/>
          <w:sz w:val="28"/>
          <w:szCs w:val="28"/>
          <w:lang w:val="es-ES"/>
        </w:rPr>
        <w:t>INTERVENCIONES</w:t>
      </w:r>
    </w:p>
    <w:p w:rsidR="0022327A" w:rsidRPr="00D93140" w:rsidRDefault="00D93140" w:rsidP="0022327A">
      <w:pPr>
        <w:spacing w:after="0" w:line="240" w:lineRule="auto"/>
        <w:rPr>
          <w:rFonts w:ascii="Times New Roman" w:hAnsi="Times New Roman"/>
          <w:b/>
          <w:bCs/>
          <w:sz w:val="28"/>
          <w:szCs w:val="28"/>
          <w:lang w:val="es-ES"/>
        </w:rPr>
      </w:pPr>
    </w:p>
    <w:p w:rsidR="0022327A" w:rsidRPr="00D93140" w:rsidRDefault="00D93140" w:rsidP="0022327A">
      <w:pPr>
        <w:spacing w:after="0" w:line="240" w:lineRule="auto"/>
        <w:rPr>
          <w:rFonts w:ascii="Times New Roman" w:hAnsi="Times New Roman"/>
          <w:b/>
          <w:bCs/>
          <w:sz w:val="28"/>
          <w:szCs w:val="28"/>
          <w:lang w:val="es-ES"/>
        </w:rPr>
      </w:pPr>
      <w:r w:rsidRPr="00D93140">
        <w:rPr>
          <w:rFonts w:ascii="Times New Roman" w:hAnsi="Times New Roman"/>
          <w:b/>
          <w:bCs/>
          <w:sz w:val="28"/>
          <w:szCs w:val="28"/>
          <w:lang w:val="es-ES"/>
        </w:rPr>
        <w:t>A. ESCRITOS DE COADYUVANCIA</w:t>
      </w:r>
    </w:p>
    <w:p w:rsidR="0022327A" w:rsidRPr="00D93140" w:rsidRDefault="00D93140" w:rsidP="0022327A">
      <w:pPr>
        <w:spacing w:after="0" w:line="240" w:lineRule="auto"/>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rPr>
          <w:rFonts w:ascii="Times New Roman" w:hAnsi="Times New Roman"/>
          <w:b/>
          <w:bCs/>
          <w:sz w:val="28"/>
          <w:szCs w:val="28"/>
          <w:lang w:val="es-ES"/>
        </w:rPr>
      </w:pPr>
      <w:r w:rsidRPr="00D93140">
        <w:rPr>
          <w:rFonts w:ascii="Times New Roman" w:hAnsi="Times New Roman"/>
          <w:b/>
          <w:bCs/>
          <w:sz w:val="28"/>
          <w:szCs w:val="28"/>
          <w:lang w:val="es-ES"/>
        </w:rPr>
        <w:t>Cámara Colombiana de Infraestructura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La entidad presentó escrito coadyuvando las demandas presentadas. En primer lugar, consideró que el Decreto 1275 de 2024 es inconstitucional por extralimitación de las competencias otorgadas en el artículo 56 transitorio de la Constitución (cargos primero </w:t>
      </w:r>
      <w:r w:rsidRPr="00D93140">
        <w:rPr>
          <w:rFonts w:ascii="Times New Roman" w:hAnsi="Times New Roman"/>
          <w:sz w:val="28"/>
          <w:szCs w:val="28"/>
          <w:lang w:val="es-ES"/>
        </w:rPr>
        <w:t xml:space="preserve">y tercero de los expedientes D-16345 y D-16396, respectivamente).  Alegó que en este caso, no se tuvo en cuenta la taxatividad de las facultades que la norma otorga al gobierno y, aunque se anuncia que se crean medidas requeridas para el funcionamiento de </w:t>
      </w:r>
      <w:r w:rsidRPr="00D93140">
        <w:rPr>
          <w:rFonts w:ascii="Times New Roman" w:hAnsi="Times New Roman"/>
          <w:sz w:val="28"/>
          <w:szCs w:val="28"/>
          <w:lang w:val="es-ES"/>
        </w:rPr>
        <w:t>territorios indígenas en materia ambiental, lo cierto es que en la práctica otorga competencias ambientales que no necesariamente conciernen a la organización territorial y que además ya han sido asignadas a las Corporaciones Autónomas Regionales.</w:t>
      </w:r>
    </w:p>
    <w:p w:rsidR="0022327A" w:rsidRPr="00D93140" w:rsidRDefault="00D93140" w:rsidP="0022327A">
      <w:pPr>
        <w:pStyle w:val="Prrafodelista"/>
        <w:spacing w:after="0" w:line="240" w:lineRule="auto"/>
        <w:ind w:left="1080"/>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Expresó</w:t>
      </w:r>
      <w:r w:rsidRPr="00D93140">
        <w:rPr>
          <w:rFonts w:ascii="Times New Roman" w:hAnsi="Times New Roman"/>
          <w:sz w:val="28"/>
          <w:szCs w:val="28"/>
          <w:lang w:val="es-ES"/>
        </w:rPr>
        <w:t xml:space="preserve"> que los artículos 5 y 6 del Decreto 1275 de 2024 desconocen los artículos 150.7, 325 y 331 ya que las competencias ambientales otorgadas a las autoridades indígenas riñen con la autonomía de las corporaciones autónomas. Alega que a través de esta reglamen</w:t>
      </w:r>
      <w:r w:rsidRPr="00D93140">
        <w:rPr>
          <w:rFonts w:ascii="Times New Roman" w:hAnsi="Times New Roman"/>
          <w:sz w:val="28"/>
          <w:szCs w:val="28"/>
          <w:lang w:val="es-ES"/>
        </w:rPr>
        <w:t>tación político administrativo se pretende sustraer las competencias que ya fueron reconocidas a las corporaciones autónomas en desarrollo de la política ambiental. Para respaldar su posición, citó jurisprudencia constitucional relacionada con la autonomía</w:t>
      </w:r>
      <w:r w:rsidRPr="00D93140">
        <w:rPr>
          <w:rFonts w:ascii="Times New Roman" w:hAnsi="Times New Roman"/>
          <w:sz w:val="28"/>
          <w:szCs w:val="28"/>
          <w:lang w:val="es-ES"/>
        </w:rPr>
        <w:t xml:space="preserve"> y las funciones de las CAR. Por lo tanto, consideró que “la norma demandada desconoce que las competencias en materia de preservación del medio ambiente trascienden las potestades políticas administrativas que se predican de la organización del territorio</w:t>
      </w:r>
      <w:r w:rsidRPr="00D93140">
        <w:rPr>
          <w:rFonts w:ascii="Times New Roman" w:hAnsi="Times New Roman"/>
          <w:sz w:val="28"/>
          <w:szCs w:val="28"/>
          <w:lang w:val="es-ES"/>
        </w:rPr>
        <w:t>, por lo cual no es razonable asignar funciones concernientes a la expedición de mecanismos regulatorios de protección ambiental, en razón del territorio indígena.</w:t>
      </w:r>
    </w:p>
    <w:p w:rsidR="0022327A" w:rsidRPr="00D93140" w:rsidRDefault="00D93140" w:rsidP="0022327A">
      <w:pPr>
        <w:pStyle w:val="Prrafodelista"/>
        <w:spacing w:after="0" w:line="240" w:lineRule="auto"/>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Además, que el Decreto 1275 de 2024 es inconstitucional por desconocimiento del derecho a l</w:t>
      </w:r>
      <w:r w:rsidRPr="00D93140">
        <w:rPr>
          <w:rFonts w:ascii="Times New Roman" w:hAnsi="Times New Roman"/>
          <w:sz w:val="28"/>
          <w:szCs w:val="28"/>
          <w:lang w:val="es-ES"/>
        </w:rPr>
        <w:t xml:space="preserve">a consulta previa. Resaltó que esta norma ha sido cuestionada por no respetar este derecho de las comunidades indígenas ya que establece nuevos lineamientos que confieren a las autoridades indígenas facultades en materia ambiental y regulan su interacción </w:t>
      </w:r>
      <w:r w:rsidRPr="00D93140">
        <w:rPr>
          <w:rFonts w:ascii="Times New Roman" w:hAnsi="Times New Roman"/>
          <w:sz w:val="28"/>
          <w:szCs w:val="28"/>
          <w:lang w:val="es-ES"/>
        </w:rPr>
        <w:t>con las entidades estatales y locales, alterando de forma sustancial la gestión de sus territorios en dicha materia.</w:t>
      </w:r>
    </w:p>
    <w:p w:rsidR="0022327A" w:rsidRPr="00D93140" w:rsidRDefault="00D93140" w:rsidP="0022327A">
      <w:pPr>
        <w:pStyle w:val="Prrafodelista"/>
        <w:spacing w:after="0" w:line="240" w:lineRule="auto"/>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Estimó también que el artículo 2 del Decreto 1275 de 2024 es inconstitucional por desconocimiento de los artículos 1, 7 y 95 de la Constit</w:t>
      </w:r>
      <w:r w:rsidRPr="00D93140">
        <w:rPr>
          <w:rFonts w:ascii="Times New Roman" w:hAnsi="Times New Roman"/>
          <w:sz w:val="28"/>
          <w:szCs w:val="28"/>
          <w:lang w:val="es-ES"/>
        </w:rPr>
        <w:t>ución, esto al redefinir el concepto de interés general en atención al principio de maximización de la autonomía de los pueblos indígenas por encima del interés colectivo. Así “al establecer un criterio de interés general sui generis, basado en preferencia</w:t>
      </w:r>
      <w:r w:rsidRPr="00D93140">
        <w:rPr>
          <w:rFonts w:ascii="Times New Roman" w:hAnsi="Times New Roman"/>
          <w:sz w:val="28"/>
          <w:szCs w:val="28"/>
          <w:lang w:val="es-ES"/>
        </w:rPr>
        <w:t>s particulares, se debilita la cohesión jurídica y se promueve un modelo de gestión ambiental fragmentado, lo que va en contra del diseño constitucional que busca equilibrar las autonomías territoriales con las competencias nacionales”.</w:t>
      </w:r>
    </w:p>
    <w:p w:rsidR="0022327A" w:rsidRPr="00D93140" w:rsidRDefault="00D93140" w:rsidP="0022327A">
      <w:pPr>
        <w:pStyle w:val="Prrafodelista"/>
        <w:spacing w:after="0" w:line="240" w:lineRule="auto"/>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Apoyó la inconstit</w:t>
      </w:r>
      <w:r w:rsidRPr="00D93140">
        <w:rPr>
          <w:rFonts w:ascii="Times New Roman" w:hAnsi="Times New Roman"/>
          <w:sz w:val="28"/>
          <w:szCs w:val="28"/>
          <w:lang w:val="es-ES"/>
        </w:rPr>
        <w:t>ucionalidad del artículo 6 del Decreto 1275 de 2024 por cuanto no es claro en cuanto a la tipificación de conductas sancionables al no definir los tipos de sanciones ni sus límites, desconociendo los principios de legalidad y tipicidad. En ese escenario, t</w:t>
      </w:r>
      <w:r w:rsidRPr="00D93140">
        <w:rPr>
          <w:rFonts w:ascii="Times New Roman" w:hAnsi="Times New Roman"/>
          <w:sz w:val="28"/>
          <w:szCs w:val="28"/>
          <w:lang w:val="es-ES"/>
        </w:rPr>
        <w:t>ambién destacó que no hay claridad sobre la coordinación entre la autoridad ambiental competente y la autoridad indígena ni sobre los mecanismos de impugnación de decisiones, especialmente de quienes no hacen parte de la comunidad indígena.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su escrito,</w:t>
      </w:r>
      <w:r w:rsidRPr="00D93140">
        <w:rPr>
          <w:rFonts w:ascii="Times New Roman" w:hAnsi="Times New Roman"/>
          <w:sz w:val="28"/>
          <w:szCs w:val="28"/>
          <w:lang w:val="es-ES"/>
        </w:rPr>
        <w:t xml:space="preserve"> el coadyuvante también apoyó la solicitud de suspensión provisional dentro del expediente D-16345</w:t>
      </w:r>
      <w:r w:rsidRPr="00D93140">
        <w:rPr>
          <w:rStyle w:val="Refdenotaalpie"/>
          <w:rFonts w:ascii="Times New Roman" w:hAnsi="Times New Roman"/>
          <w:sz w:val="28"/>
          <w:szCs w:val="28"/>
          <w:lang w:val="es-ES"/>
        </w:rPr>
        <w:footnoteReference w:id="110"/>
      </w:r>
      <w:r w:rsidRPr="00D93140">
        <w:rPr>
          <w:rFonts w:ascii="Times New Roman" w:hAnsi="Times New Roman"/>
          <w:sz w:val="28"/>
          <w:szCs w:val="28"/>
          <w:lang w:val="es-ES"/>
        </w:rPr>
        <w:t>.</w:t>
      </w:r>
    </w:p>
    <w:p w:rsidR="0022327A" w:rsidRPr="00D93140" w:rsidRDefault="00D93140" w:rsidP="0022327A">
      <w:pPr>
        <w:spacing w:after="0" w:line="240" w:lineRule="auto"/>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lang w:val="es-ES"/>
        </w:rPr>
      </w:pPr>
      <w:r w:rsidRPr="00D93140">
        <w:rPr>
          <w:rFonts w:ascii="Times New Roman" w:hAnsi="Times New Roman"/>
          <w:b/>
          <w:bCs/>
          <w:sz w:val="28"/>
          <w:szCs w:val="28"/>
          <w:lang w:val="es-ES"/>
        </w:rPr>
        <w:t>Asociación de Corporaciones Autónomas Regionales y de Desarrollo Sostenible - ASOCARS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A través de su director, la asociación apoyó los argumentos de las </w:t>
      </w:r>
      <w:r w:rsidRPr="00D93140">
        <w:rPr>
          <w:rFonts w:ascii="Times New Roman" w:hAnsi="Times New Roman"/>
          <w:sz w:val="28"/>
          <w:szCs w:val="28"/>
          <w:lang w:val="es-ES"/>
        </w:rPr>
        <w:t xml:space="preserve">demandas, explicando por qué el Decreto desconocía la autonomía de las Corporaciones Autónomas Regionales y por qué desconocía </w:t>
      </w:r>
      <w:r w:rsidRPr="00D93140">
        <w:rPr>
          <w:rFonts w:ascii="Times New Roman" w:hAnsi="Times New Roman"/>
          <w:sz w:val="28"/>
          <w:szCs w:val="28"/>
        </w:rPr>
        <w:t>el principio democrático consagrado en el artículo 1 de la Constitución Política.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lang w:val="es-ES"/>
        </w:rPr>
        <w:t xml:space="preserve">Respecto del desconocimiento </w:t>
      </w:r>
      <w:r w:rsidRPr="00D93140">
        <w:rPr>
          <w:rFonts w:ascii="Times New Roman" w:hAnsi="Times New Roman"/>
          <w:sz w:val="28"/>
          <w:szCs w:val="28"/>
        </w:rPr>
        <w:t xml:space="preserve">de los artículos </w:t>
      </w:r>
      <w:r w:rsidRPr="00D93140">
        <w:rPr>
          <w:rFonts w:ascii="Times New Roman" w:hAnsi="Times New Roman"/>
          <w:sz w:val="28"/>
          <w:szCs w:val="28"/>
        </w:rPr>
        <w:t>150.7, 325 y 331 de la Constitución Política</w:t>
      </w:r>
      <w:r w:rsidRPr="00D93140">
        <w:rPr>
          <w:rFonts w:ascii="Times New Roman" w:hAnsi="Times New Roman"/>
          <w:sz w:val="28"/>
          <w:szCs w:val="28"/>
          <w:lang w:val="es-ES"/>
        </w:rPr>
        <w:t xml:space="preserve"> por parte del </w:t>
      </w:r>
      <w:r w:rsidRPr="00D93140">
        <w:rPr>
          <w:rFonts w:ascii="Times New Roman" w:hAnsi="Times New Roman"/>
          <w:sz w:val="28"/>
          <w:szCs w:val="28"/>
        </w:rPr>
        <w:t>artículo 5 del Decreto 1275 de 2024, por cuanto se opone al régimen de autonomía de las Corporaciones Autónomas Regionales -CAR-, señaló que “si bien la coordinación interinstitucional es fundament</w:t>
      </w:r>
      <w:r w:rsidRPr="00D93140">
        <w:rPr>
          <w:rFonts w:ascii="Times New Roman" w:hAnsi="Times New Roman"/>
          <w:sz w:val="28"/>
          <w:szCs w:val="28"/>
        </w:rPr>
        <w:t>al para una gestión ambiental efectiva, esta no puede traducirse en una restricción desproporcionada de las competencias que la Constitución y la ley han otorgado a las Corporaciones Autónomas Regionales -CAR-. En este sentido, es relevante el análisis que</w:t>
      </w:r>
      <w:r w:rsidRPr="00D93140">
        <w:rPr>
          <w:rFonts w:ascii="Times New Roman" w:hAnsi="Times New Roman"/>
          <w:sz w:val="28"/>
          <w:szCs w:val="28"/>
        </w:rPr>
        <w:t xml:space="preserve"> advierte el accionante sobre la posible alteración del ámbito de competencia territorial de estas entidades, lo que podría limitar su capacidad de acción en zonas donde gozan de plena jurisdicción”</w:t>
      </w:r>
      <w:r w:rsidRPr="00D93140">
        <w:rPr>
          <w:rStyle w:val="Refdenotaalpie"/>
          <w:rFonts w:ascii="Times New Roman" w:hAnsi="Times New Roman"/>
          <w:sz w:val="28"/>
          <w:szCs w:val="28"/>
        </w:rPr>
        <w:footnoteReference w:id="111"/>
      </w:r>
      <w:r w:rsidRPr="00D93140">
        <w:rPr>
          <w:rFonts w:ascii="Times New Roman" w:hAnsi="Times New Roman"/>
          <w:sz w:val="28"/>
          <w:szCs w:val="28"/>
        </w:rPr>
        <w:t xml:space="preserve">.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Señaló que ha advertido al Ministerio de Ambiente sob</w:t>
      </w:r>
      <w:r w:rsidRPr="00D93140">
        <w:rPr>
          <w:rFonts w:ascii="Times New Roman" w:hAnsi="Times New Roman"/>
          <w:sz w:val="28"/>
          <w:szCs w:val="28"/>
        </w:rPr>
        <w:t>re la colisión de competencias que traería consigo la sanción y/o implementación del decreto. Citando distintos actos expedidos por algunos resguardos indígenas invocando la competencia dada en el Decreto 1275 de 2024, los cuales, en su criterio “no solo p</w:t>
      </w:r>
      <w:r w:rsidRPr="00D93140">
        <w:rPr>
          <w:rFonts w:ascii="Times New Roman" w:hAnsi="Times New Roman"/>
          <w:sz w:val="28"/>
          <w:szCs w:val="28"/>
        </w:rPr>
        <w:t xml:space="preserve">onen en riesgo los recursos naturales renovables de la nación, si no que transgreden el régimen de autonomía de las Corporaciones, que de conformidad con los artículos 113, 150 numeral 7º y 317 de la Constitución Política y la Ley 99 de 1993 son la máxima </w:t>
      </w:r>
      <w:r w:rsidRPr="00D93140">
        <w:rPr>
          <w:rFonts w:ascii="Times New Roman" w:hAnsi="Times New Roman"/>
          <w:sz w:val="28"/>
          <w:szCs w:val="28"/>
        </w:rPr>
        <w:t>autoridad ambiental en las regiones, y sobre el cual las respalda una basta línea jurisprudencial que determinan su régimen de autonomía que además, prohíben la injerencia de otras autoridades territoriales”</w:t>
      </w:r>
      <w:r w:rsidRPr="00D93140">
        <w:rPr>
          <w:rStyle w:val="Refdenotaalpie"/>
          <w:rFonts w:ascii="Times New Roman" w:hAnsi="Times New Roman"/>
          <w:sz w:val="28"/>
          <w:szCs w:val="28"/>
        </w:rPr>
        <w:footnoteReference w:id="112"/>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cuanto al desconocimiento del deber consti</w:t>
      </w:r>
      <w:r w:rsidRPr="00D93140">
        <w:rPr>
          <w:rFonts w:ascii="Times New Roman" w:hAnsi="Times New Roman"/>
          <w:sz w:val="28"/>
          <w:szCs w:val="28"/>
        </w:rPr>
        <w:t>tucional de regulación del Gobierno Nacional y, de cómo el Decreto analizado supone un desconocimiento del principio democrático consagrado en el artículo 1 de la Constitución Política, el coadyuvante indicó que la competencia otorgada por el artículo 56 t</w:t>
      </w:r>
      <w:r w:rsidRPr="00D93140">
        <w:rPr>
          <w:rFonts w:ascii="Times New Roman" w:hAnsi="Times New Roman"/>
          <w:sz w:val="28"/>
          <w:szCs w:val="28"/>
        </w:rPr>
        <w:t>ransitorio de la Constitución Política “estaba extinguida al momento de su expedición, dado que los Decretos 1088 de 1993 y 1953 de 2014 ya habían regulado íntegramente el funcionamiento de los territorios indígenas y su articulación con otras entidades te</w:t>
      </w:r>
      <w:r w:rsidRPr="00D93140">
        <w:rPr>
          <w:rFonts w:ascii="Times New Roman" w:hAnsi="Times New Roman"/>
          <w:sz w:val="28"/>
          <w:szCs w:val="28"/>
        </w:rPr>
        <w:t>rritoriales. En la Sentencia C-617 de 2015, la Corte Constitucional reconoció expresamente que el Decreto 1953 de 2014 cumplió con la función de establecer un marco normativo suficiente para garantizar la operatividad de los territorios indígenas, agotando</w:t>
      </w:r>
      <w:r w:rsidRPr="00D93140">
        <w:rPr>
          <w:rFonts w:ascii="Times New Roman" w:hAnsi="Times New Roman"/>
          <w:sz w:val="28"/>
          <w:szCs w:val="28"/>
        </w:rPr>
        <w:t xml:space="preserve"> así la competencia gubernamental prevista en el artículo 56 transitorio”</w:t>
      </w:r>
      <w:r w:rsidRPr="00D93140">
        <w:rPr>
          <w:rStyle w:val="Refdenotaalpie"/>
          <w:rFonts w:ascii="Times New Roman" w:hAnsi="Times New Roman"/>
          <w:sz w:val="28"/>
          <w:szCs w:val="28"/>
        </w:rPr>
        <w:footnoteReference w:id="113"/>
      </w:r>
      <w:r w:rsidRPr="00D93140">
        <w:rPr>
          <w:rFonts w:ascii="Times New Roman" w:hAnsi="Times New Roman"/>
          <w:sz w:val="28"/>
          <w:szCs w:val="28"/>
        </w:rPr>
        <w:t>. Motivo por el cual considera que la expedición de este Decreto 1275 constituye una extralimitación del ejecutivo</w:t>
      </w:r>
      <w:r w:rsidRPr="00D93140">
        <w:rPr>
          <w:rFonts w:ascii="Times New Roman" w:hAnsi="Times New Roman"/>
          <w:sz w:val="28"/>
        </w:rPr>
        <w:t xml:space="preserve"> </w:t>
      </w:r>
      <w:r w:rsidRPr="00D93140">
        <w:rPr>
          <w:rFonts w:ascii="Times New Roman" w:hAnsi="Times New Roman"/>
          <w:sz w:val="28"/>
          <w:szCs w:val="28"/>
        </w:rPr>
        <w:t>de las facultades conferidas por el artículo 56 transitorio de la C</w:t>
      </w:r>
      <w:r w:rsidRPr="00D93140">
        <w:rPr>
          <w:rFonts w:ascii="Times New Roman" w:hAnsi="Times New Roman"/>
          <w:sz w:val="28"/>
          <w:szCs w:val="28"/>
        </w:rPr>
        <w:t>onstitución Política.</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Igualmente, explicó que “el Gobierno Nacional, en lugar de presentar un proyecto de ley y acompañar su trámite legislativo, optó por la expedición de un decreto fundamentado en facultades excepcionales y transitorias, lo que implicó </w:t>
      </w:r>
      <w:r w:rsidRPr="00D93140">
        <w:rPr>
          <w:rFonts w:ascii="Times New Roman" w:hAnsi="Times New Roman"/>
          <w:sz w:val="28"/>
          <w:szCs w:val="28"/>
        </w:rPr>
        <w:t>la omisión de aspectos esenciales para la legitimidad y validez del proceso democrático”</w:t>
      </w:r>
      <w:r w:rsidRPr="00D93140">
        <w:rPr>
          <w:rStyle w:val="Refdenotaalpie"/>
          <w:rFonts w:ascii="Times New Roman" w:hAnsi="Times New Roman"/>
          <w:sz w:val="28"/>
          <w:szCs w:val="28"/>
        </w:rPr>
        <w:footnoteReference w:id="114"/>
      </w:r>
      <w:r w:rsidRPr="00D93140">
        <w:rPr>
          <w:rFonts w:ascii="Times New Roman" w:hAnsi="Times New Roman"/>
          <w:sz w:val="28"/>
          <w:szCs w:val="28"/>
        </w:rPr>
        <w:t>. Ello al no permitir un proceso de deliberación pública y transparente sobre los temas del decreto y no promover una participación ciudadana efectiva mediante debates</w:t>
      </w:r>
      <w:r w:rsidRPr="00D93140">
        <w:rPr>
          <w:rFonts w:ascii="Times New Roman" w:hAnsi="Times New Roman"/>
          <w:sz w:val="28"/>
          <w:szCs w:val="28"/>
        </w:rPr>
        <w:t xml:space="preserve"> o audiencias públicas amplias y suficientes.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lang w:val="es-ES"/>
        </w:rPr>
      </w:pPr>
      <w:r w:rsidRPr="00D93140">
        <w:rPr>
          <w:rFonts w:ascii="Times New Roman" w:hAnsi="Times New Roman"/>
          <w:b/>
          <w:bCs/>
          <w:sz w:val="28"/>
          <w:szCs w:val="28"/>
        </w:rPr>
        <w:t>Cámara Colombiana de Bienes y Servicios de Petróleo, Gas y Energía – CAMPETROL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Señaló que el Decreto 1275 de 2024 fue expedido en contravención del derecho a la consulta previa, la reserva de ley estatutaria,</w:t>
      </w:r>
      <w:r w:rsidRPr="00D93140">
        <w:rPr>
          <w:rFonts w:ascii="Times New Roman" w:hAnsi="Times New Roman"/>
          <w:sz w:val="28"/>
          <w:szCs w:val="28"/>
        </w:rPr>
        <w:t xml:space="preserve"> la delimitación de competencias del Gobierno en materia indígena y el respeto a la autonomía de las Corporaciones Autónomas Regionales, lo que, en su criterio “genera incertidumbre jurídica y afecta gravemente la seguridad en la gestión de recursos y la p</w:t>
      </w:r>
      <w:r w:rsidRPr="00D93140">
        <w:rPr>
          <w:rFonts w:ascii="Times New Roman" w:hAnsi="Times New Roman"/>
          <w:sz w:val="28"/>
          <w:szCs w:val="28"/>
        </w:rPr>
        <w:t>lanificación de proyectos estratégicos para el país”</w:t>
      </w:r>
      <w:r w:rsidRPr="00D93140">
        <w:rPr>
          <w:rStyle w:val="Refdenotaalpie"/>
          <w:rFonts w:ascii="Times New Roman" w:hAnsi="Times New Roman"/>
          <w:sz w:val="28"/>
          <w:szCs w:val="28"/>
        </w:rPr>
        <w:footnoteReference w:id="115"/>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 xml:space="preserve">En cuanto al desconocimiento de la consulta previa, indicó que el mismo no fue garantizado, “pues el proceso llevado a cabo se limitó a trámites formales, tales como la publicación para recibir </w:t>
      </w:r>
      <w:r w:rsidRPr="00D93140">
        <w:rPr>
          <w:rFonts w:ascii="Times New Roman" w:hAnsi="Times New Roman"/>
          <w:sz w:val="28"/>
          <w:szCs w:val="28"/>
        </w:rPr>
        <w:t>comentarios del proyecto con un plazo de 3 días (posteriormente ampliados a 15 días) y a la protocolización de actas de reuniones de la Mesa Permanente de Concertación, sin que se haya garantizado un diálogo efectivo ni se hayan considerado de forma sustan</w:t>
      </w:r>
      <w:r w:rsidRPr="00D93140">
        <w:rPr>
          <w:rFonts w:ascii="Times New Roman" w:hAnsi="Times New Roman"/>
          <w:sz w:val="28"/>
          <w:szCs w:val="28"/>
        </w:rPr>
        <w:t>cial los aportes de los actores afectados”</w:t>
      </w:r>
      <w:r w:rsidRPr="00D93140">
        <w:rPr>
          <w:rStyle w:val="Refdenotaalpie"/>
          <w:rFonts w:ascii="Times New Roman" w:hAnsi="Times New Roman"/>
          <w:sz w:val="28"/>
          <w:szCs w:val="28"/>
        </w:rPr>
        <w:footnoteReference w:id="116"/>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Además, consideró que como el Decreto 1275 de 2024 regula y delimita aspectos esenciales relacionados con tres derechos fundamentales de las comunidades indígenas como el derecho a la autodeterminación, el dere</w:t>
      </w:r>
      <w:r w:rsidRPr="00D93140">
        <w:rPr>
          <w:rFonts w:ascii="Times New Roman" w:hAnsi="Times New Roman"/>
          <w:sz w:val="28"/>
          <w:szCs w:val="28"/>
        </w:rPr>
        <w:t xml:space="preserve">cho a la consulta previa y el derecho a la propiedad colectiva, debió surtir el trámite legislativo de ley estatutaria.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cuanto a las facultades del ejecutivo afirmó que “mediante la expedición del Decreto 1275 de 2024 el Gobierno excedió sus competenc</w:t>
      </w:r>
      <w:r w:rsidRPr="00D93140">
        <w:rPr>
          <w:rFonts w:ascii="Times New Roman" w:hAnsi="Times New Roman"/>
          <w:sz w:val="28"/>
          <w:szCs w:val="28"/>
        </w:rPr>
        <w:t>ias al utilizar el artículo 56 transitorio para asignar funciones ambientales, que van más allá de la mera coordinación y funcionamiento de los territorios indígenas, y nada tienen que ver con aspectos fiscales. Comprometiendo la unidad del ordenamiento ju</w:t>
      </w:r>
      <w:r w:rsidRPr="00D93140">
        <w:rPr>
          <w:rFonts w:ascii="Times New Roman" w:hAnsi="Times New Roman"/>
          <w:sz w:val="28"/>
          <w:szCs w:val="28"/>
        </w:rPr>
        <w:t>rídico y la adecuada administración ambiental”</w:t>
      </w:r>
      <w:r w:rsidRPr="00D93140">
        <w:rPr>
          <w:rStyle w:val="Refdenotaalpie"/>
          <w:rFonts w:ascii="Times New Roman" w:hAnsi="Times New Roman"/>
          <w:sz w:val="28"/>
          <w:szCs w:val="28"/>
        </w:rPr>
        <w:footnoteReference w:id="117"/>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Respecto de la afectación de la autonomía de las corporaciones autónomas regionales, señaló que el Decreto 1275 de 2024, transfiere de manera permanente e indeterminada, la competencia ambiental ejercida po</w:t>
      </w:r>
      <w:r w:rsidRPr="00D93140">
        <w:rPr>
          <w:rFonts w:ascii="Times New Roman" w:hAnsi="Times New Roman"/>
          <w:sz w:val="28"/>
          <w:szCs w:val="28"/>
        </w:rPr>
        <w:t>r estas entidades. Ello, en tanto la norma “no se circunscribe únicamente a los territorios indígenas, sino que se extiende a resguardos, reservas, territorios ancestrales, territorialidades y áreas poseídas por las comunidades indígenas, extensión que aba</w:t>
      </w:r>
      <w:r w:rsidRPr="00D93140">
        <w:rPr>
          <w:rFonts w:ascii="Times New Roman" w:hAnsi="Times New Roman"/>
          <w:sz w:val="28"/>
          <w:szCs w:val="28"/>
        </w:rPr>
        <w:t xml:space="preserve">rca categorías que no están reconocidas como entidades públicas, lo que implica la transferencia de funciones de regulación, gestión, coordinación y sanción ambiental sin establecer límites precisos ni mecanismos de control. La falta de delimitación en el </w:t>
      </w:r>
      <w:r w:rsidRPr="00D93140">
        <w:rPr>
          <w:rFonts w:ascii="Times New Roman" w:hAnsi="Times New Roman"/>
          <w:sz w:val="28"/>
          <w:szCs w:val="28"/>
        </w:rPr>
        <w:t>alcance de estas funciones genera ambigüedad en la distribución de competencias, distorsionando la estructura del Sistema Nacional Ambiental y la seguridad jurídica en el ejercicio de funciones públicas”</w:t>
      </w:r>
      <w:r w:rsidRPr="00D93140">
        <w:rPr>
          <w:rStyle w:val="Refdenotaalpie"/>
          <w:rFonts w:ascii="Times New Roman" w:hAnsi="Times New Roman"/>
          <w:sz w:val="28"/>
          <w:szCs w:val="28"/>
        </w:rPr>
        <w:footnoteReference w:id="118"/>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Alegó el coadyuvante que el decreto desconoce el </w:t>
      </w:r>
      <w:r w:rsidRPr="00D93140">
        <w:rPr>
          <w:rFonts w:ascii="Times New Roman" w:hAnsi="Times New Roman"/>
          <w:sz w:val="28"/>
          <w:szCs w:val="28"/>
        </w:rPr>
        <w:t>derecho al debido proceso y a la administración de justicia al asignar a las autoridades indígenas competencias “como la emisión de actos generales y particulares, la formulación de reglamentos, la imposición de sanciones y la administración de recursos na</w:t>
      </w:r>
      <w:r w:rsidRPr="00D93140">
        <w:rPr>
          <w:rFonts w:ascii="Times New Roman" w:hAnsi="Times New Roman"/>
          <w:sz w:val="28"/>
          <w:szCs w:val="28"/>
        </w:rPr>
        <w:t>turales, sin establecer las acciones judiciales que proceden contra dichas determinaciones, ni el procedimiento administrativo dispuesto para controvertirlas ante la autoridad”</w:t>
      </w:r>
      <w:r w:rsidRPr="00D93140">
        <w:rPr>
          <w:rStyle w:val="Refdenotaalpie"/>
          <w:rFonts w:ascii="Times New Roman" w:hAnsi="Times New Roman"/>
          <w:sz w:val="28"/>
          <w:szCs w:val="28"/>
        </w:rPr>
        <w:footnoteReference w:id="119"/>
      </w:r>
      <w:r w:rsidRPr="00D93140">
        <w:rPr>
          <w:rFonts w:ascii="Times New Roman" w:hAnsi="Times New Roman"/>
          <w:sz w:val="28"/>
          <w:szCs w:val="28"/>
        </w:rPr>
        <w:t>.  Finalmente, considera que la asignación indiscriminada de competencias sin l</w:t>
      </w:r>
      <w:r w:rsidRPr="00D93140">
        <w:rPr>
          <w:rFonts w:ascii="Times New Roman" w:hAnsi="Times New Roman"/>
          <w:sz w:val="28"/>
          <w:szCs w:val="28"/>
        </w:rPr>
        <w:t>os mecanismos de participación y control que puedan limitar la asunción de funciones públicas, el Decreto 1275 de 2024 pone en riesgo la vida e integridad física de las comunidades indígenas.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rPr>
      </w:pPr>
      <w:r w:rsidRPr="00D93140">
        <w:rPr>
          <w:rFonts w:ascii="Times New Roman" w:hAnsi="Times New Roman"/>
          <w:b/>
          <w:bCs/>
          <w:sz w:val="28"/>
          <w:szCs w:val="28"/>
        </w:rPr>
        <w:t>Consejo Gremial Nacional</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A través de su directora, el Consejo </w:t>
      </w:r>
      <w:r w:rsidRPr="00D93140">
        <w:rPr>
          <w:rFonts w:ascii="Times New Roman" w:hAnsi="Times New Roman"/>
          <w:sz w:val="28"/>
          <w:szCs w:val="28"/>
        </w:rPr>
        <w:t>Gremial Nacional presentó las razones por las cuales coadyuva las demandas presentadas contra el Decreto 1275 de 2024.</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En primer lugar, señaló que el Decreto 1275 de 2024 excede las facultades del artículo 56 transitorio de la Constitución al (i) no </w:t>
      </w:r>
      <w:r w:rsidRPr="00D93140">
        <w:rPr>
          <w:rFonts w:ascii="Times New Roman" w:hAnsi="Times New Roman"/>
          <w:sz w:val="28"/>
          <w:szCs w:val="28"/>
        </w:rPr>
        <w:t>contener fiscales; (ii) no ocuparse exclusivamente de los territorios indígenas, sino que atribuye funciones, cargas y responsabilidades ambientales a numerosas categorías de organizaciones indígenas que no corresponden con la categoría constitucional de t</w:t>
      </w:r>
      <w:r w:rsidRPr="00D93140">
        <w:rPr>
          <w:rFonts w:ascii="Times New Roman" w:hAnsi="Times New Roman"/>
          <w:sz w:val="28"/>
          <w:szCs w:val="28"/>
        </w:rPr>
        <w:t>erritorio indígena.  Además, alegó que el Gobierno Nacional ya ejerció la competencia prevista en el citado artículo mediante los Decretos Ley 1088 de 1993 y 1953 de 2014. Este último, dijo, creó un régimen especial para poner en funcionamiento los territo</w:t>
      </w:r>
      <w:r w:rsidRPr="00D93140">
        <w:rPr>
          <w:rFonts w:ascii="Times New Roman" w:hAnsi="Times New Roman"/>
          <w:sz w:val="28"/>
          <w:szCs w:val="28"/>
        </w:rPr>
        <w:t xml:space="preserve">rios indígenas, regulando todos los aspectos necesarios para tal fin. Afirmó que las competencias ambientales, “no son necesarias para el funcionamiento básico de los territorios indígenas, pues en el marco constitucional estas competencias corresponden a </w:t>
      </w:r>
      <w:r w:rsidRPr="00D93140">
        <w:rPr>
          <w:rFonts w:ascii="Times New Roman" w:hAnsi="Times New Roman"/>
          <w:sz w:val="28"/>
          <w:szCs w:val="28"/>
        </w:rPr>
        <w:t xml:space="preserve">otras instituciones como las Corporaciones Autónomas Regionales. Cualquier modificación a este esquema debe ser realizada por el Legislador y no por el Gobierno, ya que el artículo 56 transitorio no permite exceder el concepto constitucional de territorio </w:t>
      </w:r>
      <w:r w:rsidRPr="00D93140">
        <w:rPr>
          <w:rFonts w:ascii="Times New Roman" w:hAnsi="Times New Roman"/>
          <w:sz w:val="28"/>
          <w:szCs w:val="28"/>
        </w:rPr>
        <w:t>indígena ni regular entidades diferentes a estos”</w:t>
      </w:r>
      <w:r w:rsidRPr="00D93140">
        <w:rPr>
          <w:rStyle w:val="Refdenotaalpie"/>
          <w:rFonts w:ascii="Times New Roman" w:hAnsi="Times New Roman"/>
          <w:sz w:val="28"/>
          <w:szCs w:val="28"/>
        </w:rPr>
        <w:footnoteReference w:id="120"/>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lang w:val="es-ES"/>
        </w:rPr>
        <w:t xml:space="preserve">En segundo lugar, explióa que el decreto desconoce la autonomía de las Corporaciones Autónomas Regionales al </w:t>
      </w:r>
      <w:r w:rsidRPr="00D93140">
        <w:rPr>
          <w:rFonts w:ascii="Times New Roman" w:hAnsi="Times New Roman"/>
          <w:sz w:val="28"/>
          <w:szCs w:val="28"/>
        </w:rPr>
        <w:t>otorgar a las autoridades indígenas competencias exclusivas para regular, gestionar y gobernar</w:t>
      </w:r>
      <w:r w:rsidRPr="00D93140">
        <w:rPr>
          <w:rFonts w:ascii="Times New Roman" w:hAnsi="Times New Roman"/>
          <w:sz w:val="28"/>
          <w:szCs w:val="28"/>
        </w:rPr>
        <w:t xml:space="preserve"> los recursos naturales en sus territorios, lo que invade las atribuciones constitucionales de las CAR. Alegó que este desplazamiento de competencias se materializa en dos aspectos críticos: “1. Modificación Territorial sin Sustento Constitucional: El decr</w:t>
      </w:r>
      <w:r w:rsidRPr="00D93140">
        <w:rPr>
          <w:rFonts w:ascii="Times New Roman" w:hAnsi="Times New Roman"/>
          <w:sz w:val="28"/>
          <w:szCs w:val="28"/>
        </w:rPr>
        <w:t xml:space="preserve">eto extiende las competencias ambientales indígenas más allá de los territorios indígenas legalmente constituidos (artículo 329 CP), incluyendo resguardos, territorios ancestrales y áreas simplemente poseídas por comunidades. Esta ampliación desdibuja los </w:t>
      </w:r>
      <w:r w:rsidRPr="00D93140">
        <w:rPr>
          <w:rFonts w:ascii="Times New Roman" w:hAnsi="Times New Roman"/>
          <w:sz w:val="28"/>
          <w:szCs w:val="28"/>
        </w:rPr>
        <w:t>límites jurisdiccionales de las CAR, cuyas competencias territoriales están definidas por ley y no pueden alterarse mediante decretos. 2. Transferencia Indebida de Funciones Públicas: Si bien el artículo 123 de la Constitución permite reasignar funciones p</w:t>
      </w:r>
      <w:r w:rsidRPr="00D93140">
        <w:rPr>
          <w:rFonts w:ascii="Times New Roman" w:hAnsi="Times New Roman"/>
          <w:sz w:val="28"/>
          <w:szCs w:val="28"/>
        </w:rPr>
        <w:t>úblicas, la jurisprudencia ha establecido que esto no puede implicar el vaciamiento de las competencias de las autoridades estatales. El decreto, sin embargo, transfiere a las autoridades indígenas facultades ambientales amplias y ambiguas, como la formula</w:t>
      </w:r>
      <w:r w:rsidRPr="00D93140">
        <w:rPr>
          <w:rFonts w:ascii="Times New Roman" w:hAnsi="Times New Roman"/>
          <w:sz w:val="28"/>
          <w:szCs w:val="28"/>
        </w:rPr>
        <w:t>ción de instrumentos regulatorios, la definición de determinantes de ordenamiento territorial y la potestad sancionatoria (artículo 6), sin precisar cómo coexisten estas con las funciones de las CAR. Esta ambigüedad genera un solapamiento normativo que des</w:t>
      </w:r>
      <w:r w:rsidRPr="00D93140">
        <w:rPr>
          <w:rFonts w:ascii="Times New Roman" w:hAnsi="Times New Roman"/>
          <w:sz w:val="28"/>
          <w:szCs w:val="28"/>
        </w:rPr>
        <w:t>poja a las CAR de su rol constitucional, al crear incertidumbre sobre qué competencias conservan y cuáles se transfieren”.</w:t>
      </w:r>
      <w:r w:rsidRPr="00D93140">
        <w:rPr>
          <w:rStyle w:val="Refdenotaalpie"/>
          <w:rFonts w:ascii="Times New Roman" w:hAnsi="Times New Roman"/>
          <w:sz w:val="28"/>
          <w:szCs w:val="28"/>
        </w:rPr>
        <w:footnoteReference w:id="121"/>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tercer lugar, manifestó que el artículo 2 del Decreto 1275 de 2024 redefine el interés general de manera restrictiva, priorizand</w:t>
      </w:r>
      <w:r w:rsidRPr="00D93140">
        <w:rPr>
          <w:rFonts w:ascii="Times New Roman" w:hAnsi="Times New Roman"/>
          <w:sz w:val="28"/>
          <w:szCs w:val="28"/>
        </w:rPr>
        <w:t xml:space="preserve">o de forma absoluta los intereses de las comunidades indígenas y la protección ambiental en sus territorios, bajo el principio de "maximización de la autonomía de los pueblos indígenas". Redefinición que, en su criterio, contradice el marco constitucional </w:t>
      </w:r>
      <w:r w:rsidRPr="00D93140">
        <w:rPr>
          <w:rFonts w:ascii="Times New Roman" w:hAnsi="Times New Roman"/>
          <w:sz w:val="28"/>
          <w:szCs w:val="28"/>
        </w:rPr>
        <w:t>y jurisprudencial, generando tensiones irreconciliables con el interés nacional y la unidad del Estado.</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cuarto lugar, señaló que el decreto redefine el principio de precaución ambiental al introducir la “integridad cultural” como criterio adicional, si</w:t>
      </w:r>
      <w:r w:rsidRPr="00D93140">
        <w:rPr>
          <w:rFonts w:ascii="Times New Roman" w:hAnsi="Times New Roman"/>
          <w:sz w:val="28"/>
          <w:szCs w:val="28"/>
        </w:rPr>
        <w:t>n definir estándares objetivos para medir su afectación, lo que genera ambigüedad y subjetividad. Adicionó que esta modificación, “además de generar inseguridad jurídica, desvirtúa el propósito del principio de precaución y desconoce los mecanismos existen</w:t>
      </w:r>
      <w:r w:rsidRPr="00D93140">
        <w:rPr>
          <w:rFonts w:ascii="Times New Roman" w:hAnsi="Times New Roman"/>
          <w:sz w:val="28"/>
          <w:szCs w:val="28"/>
        </w:rPr>
        <w:t>tes para proteger los derechos indígenas, como la consulta previa”</w:t>
      </w:r>
      <w:r w:rsidRPr="00D93140">
        <w:rPr>
          <w:rStyle w:val="Refdenotaalpie"/>
          <w:rFonts w:ascii="Times New Roman" w:hAnsi="Times New Roman"/>
          <w:sz w:val="28"/>
          <w:szCs w:val="28"/>
        </w:rPr>
        <w:footnoteReference w:id="122"/>
      </w:r>
      <w:r w:rsidRPr="00D93140">
        <w:rPr>
          <w:rFonts w:ascii="Times New Roman" w:hAnsi="Times New Roman"/>
          <w:sz w:val="28"/>
          <w:szCs w:val="28"/>
        </w:rPr>
        <w:t xml:space="preserve">.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 xml:space="preserve">En quinto lugar, advirtió una vulneración del derecho al debido proceso (artículo 29 de la Constitución) y del derecho de acceso a la justicia (artículo 229 CP) al otorgar competencias </w:t>
      </w:r>
      <w:r w:rsidRPr="00D93140">
        <w:rPr>
          <w:rFonts w:ascii="Times New Roman" w:hAnsi="Times New Roman"/>
          <w:sz w:val="28"/>
          <w:szCs w:val="28"/>
        </w:rPr>
        <w:t>sancionatorias a las autoridades indígenas. Explicó que el decreto “omite garantías procesales básicas, como el derecho a la defensa, la presentación de pruebas o la impugnación de decisiones, vulnerando el núcleo esencial del debido proceso. Esto es espec</w:t>
      </w:r>
      <w:r w:rsidRPr="00D93140">
        <w:rPr>
          <w:rFonts w:ascii="Times New Roman" w:hAnsi="Times New Roman"/>
          <w:sz w:val="28"/>
          <w:szCs w:val="28"/>
        </w:rPr>
        <w:t>ialmente crítico cuando las sanciones afectan a personas no indígenas en territorios ancestrales extensos (como la Sierra Nevada o la Guajira), donde las autoridades indígenas ejercen competencias ambientales sin un marco claro para cuestionar sus actos. E</w:t>
      </w:r>
      <w:r w:rsidRPr="00D93140">
        <w:rPr>
          <w:rFonts w:ascii="Times New Roman" w:hAnsi="Times New Roman"/>
          <w:sz w:val="28"/>
          <w:szCs w:val="28"/>
        </w:rPr>
        <w:t>l decreto no establece mecanismos para impugnar estas decisiones ante la jurisdicción contencioso-administrativa, violando el derecho de acceso a la justicia (Sentencia C-1436/2000), que exige controles judiciales efectivos sobre actos administrativos”</w:t>
      </w:r>
      <w:r w:rsidRPr="00D93140">
        <w:rPr>
          <w:rStyle w:val="Refdenotaalpie"/>
          <w:rFonts w:ascii="Times New Roman" w:hAnsi="Times New Roman"/>
          <w:sz w:val="28"/>
          <w:szCs w:val="28"/>
        </w:rPr>
        <w:footnoteReference w:id="123"/>
      </w:r>
      <w:r w:rsidRPr="00D93140">
        <w:rPr>
          <w:rFonts w:ascii="Times New Roman" w:hAnsi="Times New Roman"/>
          <w:sz w:val="28"/>
          <w:szCs w:val="28"/>
        </w:rPr>
        <w:t xml:space="preserve">.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rPr>
      </w:pPr>
      <w:r w:rsidRPr="00D93140">
        <w:rPr>
          <w:rFonts w:ascii="Times New Roman" w:hAnsi="Times New Roman"/>
          <w:b/>
          <w:bCs/>
          <w:sz w:val="28"/>
          <w:szCs w:val="28"/>
        </w:rPr>
        <w:t>Asociación de Coquizadores de Norte De Santander</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A través de su gerente, la asociación presentó escrito de coadyuvancia sobre la solicitud de inconstitucionalidad del Decreto 1275 de 2024.</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primer lugar, estimó que el citado decreto desconoce el derec</w:t>
      </w:r>
      <w:r w:rsidRPr="00D93140">
        <w:rPr>
          <w:rFonts w:ascii="Times New Roman" w:hAnsi="Times New Roman"/>
          <w:sz w:val="28"/>
          <w:szCs w:val="28"/>
        </w:rPr>
        <w:t xml:space="preserve">ho a la participación pública (artículo 70 superior) y el Acuerdo de Escazú (artículo 7), que hace parte del bloque de constitucionalidad. Ello, por cuanto no existe ninguna disposición dentro del decreto “que permita la participación ciudadana en la toma </w:t>
      </w:r>
      <w:r w:rsidRPr="00D93140">
        <w:rPr>
          <w:rFonts w:ascii="Times New Roman" w:hAnsi="Times New Roman"/>
          <w:sz w:val="28"/>
          <w:szCs w:val="28"/>
        </w:rPr>
        <w:t>de decisiones de las autoridades ambientales indígenas, es decir se crean islas donde la gestión ambiental del territorio se desarrolla a espaldas de la ciudadanía, sin oportunidad alguna de acceder a la información o participar de manera efectiva. Bajo el</w:t>
      </w:r>
      <w:r w:rsidRPr="00D93140">
        <w:rPr>
          <w:rFonts w:ascii="Times New Roman" w:hAnsi="Times New Roman"/>
          <w:sz w:val="28"/>
          <w:szCs w:val="28"/>
        </w:rPr>
        <w:t xml:space="preserve"> principio de la maximización de la autonomía de los pueblos indígenas [art. 2 del Decreto 1275] se impide a la ciudadanía el ejercicio del más simple de los derechos de participación que la misma Constitución le había garantizado [art. 79 C.P], convirtien</w:t>
      </w:r>
      <w:r w:rsidRPr="00D93140">
        <w:rPr>
          <w:rFonts w:ascii="Times New Roman" w:hAnsi="Times New Roman"/>
          <w:sz w:val="28"/>
          <w:szCs w:val="28"/>
        </w:rPr>
        <w:t>do de esta forma a las jurisdicciones de las autoridades ambientales indígenas en territorios donde tales derechos constitucionales son nulos, lo cual no solo es regresivo, sino atentatorio de la Constitución Política de Colombia y del Acuerdo de Escazú qu</w:t>
      </w:r>
      <w:r w:rsidRPr="00D93140">
        <w:rPr>
          <w:rFonts w:ascii="Times New Roman" w:hAnsi="Times New Roman"/>
          <w:sz w:val="28"/>
          <w:szCs w:val="28"/>
        </w:rPr>
        <w:t>e integra el bloque de constitucionalidad”</w:t>
      </w:r>
      <w:r w:rsidRPr="00D93140">
        <w:rPr>
          <w:rStyle w:val="Refdenotaalpie"/>
          <w:rFonts w:ascii="Times New Roman" w:hAnsi="Times New Roman"/>
          <w:sz w:val="28"/>
          <w:szCs w:val="28"/>
        </w:rPr>
        <w:footnoteReference w:id="124"/>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Alegó que esta negación al derecho de participación en la decisiones ambientales adoptadas por autoridades ambientales indígenas, se ha hecho evidente con la expedición de varias actuaciones que han generado ri</w:t>
      </w:r>
      <w:r w:rsidRPr="00D93140">
        <w:rPr>
          <w:rFonts w:ascii="Times New Roman" w:hAnsi="Times New Roman"/>
          <w:sz w:val="28"/>
          <w:szCs w:val="28"/>
        </w:rPr>
        <w:t>esgos ambientales sobre ecosistemas estratégicos de la Nación, citando a manera de ejemplo la Resolución 009 del 22 de enero de 2025, por medio de la cual aprobó la sustracción definitiva de 1.043 hectáreas de reserva de la Amazonía para autorizar que el r</w:t>
      </w:r>
      <w:r w:rsidRPr="00D93140">
        <w:rPr>
          <w:rFonts w:ascii="Times New Roman" w:hAnsi="Times New Roman"/>
          <w:sz w:val="28"/>
          <w:szCs w:val="28"/>
        </w:rPr>
        <w:t>esguardo Remanso-Chorrobocón haga explotación de oro dentro del río Inírida por medio de dragas.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segundo lugar, consideró que el Decreto 1275 de 2024 vulnera el Acuerdo de Escazú en lo que respecta al acceso a la justicia ambiental y otras normas const</w:t>
      </w:r>
      <w:r w:rsidRPr="00D93140">
        <w:rPr>
          <w:rFonts w:ascii="Times New Roman" w:hAnsi="Times New Roman"/>
          <w:sz w:val="28"/>
          <w:szCs w:val="28"/>
        </w:rPr>
        <w:t xml:space="preserve">itucionales conexas al derecho de defensa. Esto, porque “las autoridades ambientales indígenas se convierten en juez y parte de las medidas ambientales que está adoptando. La norma no establece cuáles son las instancias jurisdiccionales a las que se puede </w:t>
      </w:r>
      <w:r w:rsidRPr="00D93140">
        <w:rPr>
          <w:rFonts w:ascii="Times New Roman" w:hAnsi="Times New Roman"/>
          <w:sz w:val="28"/>
          <w:szCs w:val="28"/>
        </w:rPr>
        <w:t>acceder para controvertir tales decisiones ambientales, lo que crea obstáculos al ejercicio de la justicia ambiental. Todas las disposiciones del artículo 8 del Acuerdo de Escazú antes mencionadas están siendo desconocidas”</w:t>
      </w:r>
      <w:r w:rsidRPr="00D93140">
        <w:rPr>
          <w:rStyle w:val="Refdenotaalpie"/>
          <w:rFonts w:ascii="Times New Roman" w:hAnsi="Times New Roman"/>
          <w:sz w:val="28"/>
          <w:szCs w:val="28"/>
        </w:rPr>
        <w:footnoteReference w:id="125"/>
      </w:r>
      <w:r w:rsidRPr="00D93140">
        <w:rPr>
          <w:rFonts w:ascii="Times New Roman" w:hAnsi="Times New Roman"/>
          <w:sz w:val="28"/>
          <w:szCs w:val="28"/>
        </w:rPr>
        <w:t>. Violando, en su criterio, el d</w:t>
      </w:r>
      <w:r w:rsidRPr="00D93140">
        <w:rPr>
          <w:rFonts w:ascii="Times New Roman" w:hAnsi="Times New Roman"/>
          <w:sz w:val="28"/>
          <w:szCs w:val="28"/>
        </w:rPr>
        <w:t>ebido proceso constitucional y el derecho de defensa al no existir un proceso reglado, ni una instancia para ejercer estos derechos en los casos de decisiones que expidan las autoridades ambientales indígenas que impacten al ambiente.</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tercer lugar, ale</w:t>
      </w:r>
      <w:r w:rsidRPr="00D93140">
        <w:rPr>
          <w:rFonts w:ascii="Times New Roman" w:hAnsi="Times New Roman"/>
          <w:sz w:val="28"/>
          <w:szCs w:val="28"/>
        </w:rPr>
        <w:t>gó una vulneración del régimen de autonomía de las Corporaciones Autónomas Regionales, ya que se eliminaron una serie de competencias ambientales que ostentaban las CAR sobre planificación ambiental, otorgamiento de permisos y ejercicio de la facultad sanc</w:t>
      </w:r>
      <w:r w:rsidRPr="00D93140">
        <w:rPr>
          <w:rFonts w:ascii="Times New Roman" w:hAnsi="Times New Roman"/>
          <w:sz w:val="28"/>
          <w:szCs w:val="28"/>
        </w:rPr>
        <w:t>ionatoria para, vía Decreto, otorgándoselas a las autoridades ambientales indígenas. Para el coadyuvante es “obvio que la norma demandada suprimió esas competencias de las CAR, por lo cual debe ahora analizarse si tal decisión violó el régimen autonómico d</w:t>
      </w:r>
      <w:r w:rsidRPr="00D93140">
        <w:rPr>
          <w:rFonts w:ascii="Times New Roman" w:hAnsi="Times New Roman"/>
          <w:sz w:val="28"/>
          <w:szCs w:val="28"/>
        </w:rPr>
        <w:t>e las Corporaciones previsto en el art. 150-7 constitucional”</w:t>
      </w:r>
      <w:r w:rsidRPr="00D93140">
        <w:rPr>
          <w:rStyle w:val="Refdenotaalpie"/>
          <w:rFonts w:ascii="Times New Roman" w:hAnsi="Times New Roman"/>
          <w:sz w:val="28"/>
          <w:szCs w:val="28"/>
        </w:rPr>
        <w:footnoteReference w:id="126"/>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Adicionalmente, planteó una vulneración de los principios de subsidiariedad y concurrencia del artículo 288 constitucional. Así, destaca que “en el marco del Decreto 1275 se condiciona el pri</w:t>
      </w:r>
      <w:r w:rsidRPr="00D93140">
        <w:rPr>
          <w:rFonts w:ascii="Times New Roman" w:hAnsi="Times New Roman"/>
          <w:sz w:val="28"/>
          <w:szCs w:val="28"/>
        </w:rPr>
        <w:t>ncipio de concurrencia el cual será aplicable en los casos en los que se supere el ámbito de aplicación del decreto y concurran competencias ambientales. (…) Tampoco hay concurrencia cuando el mismo Decreto señala la primacía de los sistemas normativos ind</w:t>
      </w:r>
      <w:r w:rsidRPr="00D93140">
        <w:rPr>
          <w:rFonts w:ascii="Times New Roman" w:hAnsi="Times New Roman"/>
          <w:sz w:val="28"/>
          <w:szCs w:val="28"/>
        </w:rPr>
        <w:t>ígenas por encima de las demás disposiciones ambientales del orden nacional [art. 1, literal j del Decreto] y hasta de la Constitución Política [como sucede con los derechos de participación] y habida cuenta que las CARs o el nivel central no pueden ser op</w:t>
      </w:r>
      <w:r w:rsidRPr="00D93140">
        <w:rPr>
          <w:rFonts w:ascii="Times New Roman" w:hAnsi="Times New Roman"/>
          <w:sz w:val="28"/>
          <w:szCs w:val="28"/>
        </w:rPr>
        <w:t>eradores jurídicos de la normatividad indígena y tampoco pueden aplicar en esos territorios las normas del Estado Unitario, la concurrencia se vuelve nula y meramente simbólica”</w:t>
      </w:r>
      <w:r w:rsidRPr="00D93140">
        <w:rPr>
          <w:rStyle w:val="Refdenotaalpie"/>
          <w:rFonts w:ascii="Times New Roman" w:hAnsi="Times New Roman"/>
          <w:sz w:val="28"/>
          <w:szCs w:val="28"/>
        </w:rPr>
        <w:footnoteReference w:id="127"/>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Finalmente, en cuanto al principio de subsidiariedad señaló el coadyuvante </w:t>
      </w:r>
      <w:r w:rsidRPr="00D93140">
        <w:rPr>
          <w:rFonts w:ascii="Times New Roman" w:hAnsi="Times New Roman"/>
          <w:sz w:val="28"/>
          <w:szCs w:val="28"/>
        </w:rPr>
        <w:t>que “el Decreto 1275 quitó las competencias a las CAR, y pasó a instituir una aplicación preferente de la normatividad del derecho propio indígena, dejando desprovista de toda aplicación del principio de subsidiariedad por parte de un nivel de mayo cobertu</w:t>
      </w:r>
      <w:r w:rsidRPr="00D93140">
        <w:rPr>
          <w:rFonts w:ascii="Times New Roman" w:hAnsi="Times New Roman"/>
          <w:sz w:val="28"/>
          <w:szCs w:val="28"/>
        </w:rPr>
        <w:t>ra geográfica (CAR) o del nivel central. En otras palabras, no hay subsidiariedad, cuando no hay competencias concurrentes, porque el nivel con mayor amplitud territorial no puede actuar en ese ámbito geográfico”</w:t>
      </w:r>
      <w:r w:rsidRPr="00D93140">
        <w:rPr>
          <w:rStyle w:val="Refdenotaalpie"/>
          <w:rFonts w:ascii="Times New Roman" w:hAnsi="Times New Roman"/>
          <w:sz w:val="28"/>
          <w:szCs w:val="28"/>
        </w:rPr>
        <w:footnoteReference w:id="128"/>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rPr>
      </w:pPr>
      <w:r w:rsidRPr="00D93140">
        <w:rPr>
          <w:rFonts w:ascii="Times New Roman" w:hAnsi="Times New Roman"/>
          <w:b/>
          <w:bCs/>
          <w:sz w:val="28"/>
          <w:szCs w:val="28"/>
        </w:rPr>
        <w:t xml:space="preserve">Asociación Colombiana de Generadores de </w:t>
      </w:r>
      <w:r w:rsidRPr="00D93140">
        <w:rPr>
          <w:rFonts w:ascii="Times New Roman" w:hAnsi="Times New Roman"/>
          <w:b/>
          <w:bCs/>
          <w:sz w:val="28"/>
          <w:szCs w:val="28"/>
        </w:rPr>
        <w:t>Energía, ACOLGEN</w:t>
      </w:r>
    </w:p>
    <w:p w:rsidR="0022327A" w:rsidRPr="00D93140" w:rsidRDefault="00D93140" w:rsidP="0022327A">
      <w:pPr>
        <w:pStyle w:val="Prrafodelista"/>
        <w:spacing w:after="0" w:line="240" w:lineRule="auto"/>
        <w:jc w:val="both"/>
        <w:rPr>
          <w:rFonts w:ascii="Times New Roman" w:hAnsi="Times New Roman"/>
          <w:b/>
          <w:bCs/>
          <w:sz w:val="28"/>
          <w:szCs w:val="28"/>
        </w:rPr>
      </w:pPr>
    </w:p>
    <w:p w:rsidR="0022327A" w:rsidRPr="00D93140" w:rsidRDefault="00D93140" w:rsidP="0022327A">
      <w:pPr>
        <w:spacing w:after="0" w:line="240" w:lineRule="auto"/>
        <w:jc w:val="both"/>
        <w:rPr>
          <w:rFonts w:ascii="Times New Roman" w:hAnsi="Times New Roman"/>
          <w:bCs/>
          <w:sz w:val="28"/>
          <w:szCs w:val="28"/>
        </w:rPr>
      </w:pPr>
      <w:r w:rsidRPr="00D93140">
        <w:rPr>
          <w:rFonts w:ascii="Times New Roman" w:hAnsi="Times New Roman"/>
          <w:bCs/>
          <w:sz w:val="28"/>
          <w:szCs w:val="28"/>
        </w:rPr>
        <w:t>A través de su apoderado judicial, presentó los siguientes argumentos para respaldar los expuestos por los demandantes. En su criterio, el Decreto 1275 de 2024, tiene múltiples vicios de inconstitucionalidad y vulneraciones a derechos fun</w:t>
      </w:r>
      <w:r w:rsidRPr="00D93140">
        <w:rPr>
          <w:rFonts w:ascii="Times New Roman" w:hAnsi="Times New Roman"/>
          <w:bCs/>
          <w:sz w:val="28"/>
          <w:szCs w:val="28"/>
        </w:rPr>
        <w:t xml:space="preserve">damentales reconocidos tanto por la Constitución Política como por el ordenamiento jurídico colombiano. </w:t>
      </w:r>
    </w:p>
    <w:p w:rsidR="0022327A" w:rsidRPr="00D93140" w:rsidRDefault="00D93140" w:rsidP="0022327A">
      <w:pPr>
        <w:spacing w:after="0" w:line="240" w:lineRule="auto"/>
        <w:jc w:val="both"/>
        <w:rPr>
          <w:rFonts w:ascii="Times New Roman" w:hAnsi="Times New Roman"/>
          <w:bCs/>
          <w:sz w:val="28"/>
          <w:szCs w:val="28"/>
        </w:rPr>
      </w:pPr>
    </w:p>
    <w:p w:rsidR="0022327A" w:rsidRPr="00D93140" w:rsidRDefault="00D93140" w:rsidP="0022327A">
      <w:pPr>
        <w:spacing w:after="0" w:line="240" w:lineRule="auto"/>
        <w:jc w:val="both"/>
        <w:rPr>
          <w:rFonts w:ascii="Times New Roman" w:hAnsi="Times New Roman"/>
          <w:bCs/>
          <w:sz w:val="28"/>
          <w:szCs w:val="28"/>
        </w:rPr>
      </w:pPr>
      <w:r w:rsidRPr="00D93140">
        <w:rPr>
          <w:rFonts w:ascii="Times New Roman" w:hAnsi="Times New Roman"/>
          <w:bCs/>
          <w:sz w:val="28"/>
          <w:szCs w:val="28"/>
        </w:rPr>
        <w:t>El interviniente estimó que se desconocieron garantías esenciales como la consulta previa con las comunidades afectadas, en abierta contradicción con el artículo 330 de la Constitución y el Convenio 169 de la OIT. También, se vulneró el derecho fundamental</w:t>
      </w:r>
      <w:r w:rsidRPr="00D93140">
        <w:rPr>
          <w:rFonts w:ascii="Times New Roman" w:hAnsi="Times New Roman"/>
          <w:bCs/>
          <w:sz w:val="28"/>
          <w:szCs w:val="28"/>
        </w:rPr>
        <w:t xml:space="preserve"> al debido proceso y el principio de legalidad sancionatoria, al introducir un régimen sancionatorio ambiguo, carente de tipos definidos, sanciones claras y procedimientos adecuados, generando un marco de inseguridad jurídica, especialmente para aquellos s</w:t>
      </w:r>
      <w:r w:rsidRPr="00D93140">
        <w:rPr>
          <w:rFonts w:ascii="Times New Roman" w:hAnsi="Times New Roman"/>
          <w:bCs/>
          <w:sz w:val="28"/>
          <w:szCs w:val="28"/>
        </w:rPr>
        <w:t>ujetos no cobijados por la jurisdicción indígena. Señaló que se excedieron las competencias otorgadas por el artículo transitorio 56 de la Constitución, que ya habían sido ejercidas y agotadas mediante regulaciones previas, lo que impide su reinterpretació</w:t>
      </w:r>
      <w:r w:rsidRPr="00D93140">
        <w:rPr>
          <w:rFonts w:ascii="Times New Roman" w:hAnsi="Times New Roman"/>
          <w:bCs/>
          <w:sz w:val="28"/>
          <w:szCs w:val="28"/>
        </w:rPr>
        <w:t>n arbitraria para justificar nuevas disposiciones.</w:t>
      </w:r>
    </w:p>
    <w:p w:rsidR="0022327A" w:rsidRPr="00D93140" w:rsidRDefault="00D93140" w:rsidP="0022327A">
      <w:pPr>
        <w:spacing w:after="0" w:line="240" w:lineRule="auto"/>
        <w:jc w:val="both"/>
        <w:rPr>
          <w:rFonts w:ascii="Times New Roman" w:hAnsi="Times New Roman"/>
          <w:bCs/>
          <w:sz w:val="28"/>
          <w:szCs w:val="28"/>
        </w:rPr>
      </w:pPr>
    </w:p>
    <w:p w:rsidR="0022327A" w:rsidRPr="00D93140" w:rsidRDefault="00D93140" w:rsidP="0022327A">
      <w:pPr>
        <w:spacing w:after="0" w:line="240" w:lineRule="auto"/>
        <w:jc w:val="both"/>
        <w:rPr>
          <w:rFonts w:ascii="Times New Roman" w:hAnsi="Times New Roman"/>
          <w:bCs/>
          <w:sz w:val="28"/>
          <w:szCs w:val="28"/>
        </w:rPr>
      </w:pPr>
      <w:r w:rsidRPr="00D93140">
        <w:rPr>
          <w:rFonts w:ascii="Times New Roman" w:hAnsi="Times New Roman"/>
          <w:bCs/>
          <w:sz w:val="28"/>
          <w:szCs w:val="28"/>
        </w:rPr>
        <w:t>De otra parte, insistió que se traslaparon las competencias entre las diferentes autoridades ambientales, vulnerando directamente la Ley 99 de 1993, al debilitar la autoridad de las Corporaciones Autónoma</w:t>
      </w:r>
      <w:r w:rsidRPr="00D93140">
        <w:rPr>
          <w:rFonts w:ascii="Times New Roman" w:hAnsi="Times New Roman"/>
          <w:bCs/>
          <w:sz w:val="28"/>
          <w:szCs w:val="28"/>
        </w:rPr>
        <w:t xml:space="preserve">s Regionales (CAR) y desestructurar el Sistema Nacional Ambiental (SINA) y se redefine la noción de interés general, que, lejos de armonizar los derechos de todos los ciudadanos, establece una jerarquía en la cual ciertos intereses particulares se imponen </w:t>
      </w:r>
      <w:r w:rsidRPr="00D93140">
        <w:rPr>
          <w:rFonts w:ascii="Times New Roman" w:hAnsi="Times New Roman"/>
          <w:bCs/>
          <w:sz w:val="28"/>
          <w:szCs w:val="28"/>
        </w:rPr>
        <w:t>sobre bienes jurídicos igualmente protegidos, en colisión directa con el artículo 1 de la Constitución.</w:t>
      </w:r>
    </w:p>
    <w:p w:rsidR="0022327A" w:rsidRPr="00D93140" w:rsidRDefault="00D93140" w:rsidP="0022327A">
      <w:pPr>
        <w:spacing w:after="0" w:line="240" w:lineRule="auto"/>
        <w:jc w:val="both"/>
        <w:rPr>
          <w:rFonts w:ascii="Times New Roman" w:hAnsi="Times New Roman"/>
          <w:bCs/>
          <w:sz w:val="28"/>
          <w:szCs w:val="28"/>
        </w:rPr>
      </w:pPr>
    </w:p>
    <w:p w:rsidR="0022327A" w:rsidRPr="00D93140" w:rsidRDefault="00D93140" w:rsidP="0022327A">
      <w:pPr>
        <w:spacing w:after="0" w:line="240" w:lineRule="auto"/>
        <w:jc w:val="both"/>
        <w:rPr>
          <w:rFonts w:ascii="Times New Roman" w:hAnsi="Times New Roman"/>
          <w:bCs/>
          <w:sz w:val="28"/>
          <w:szCs w:val="28"/>
        </w:rPr>
      </w:pPr>
      <w:r w:rsidRPr="00D93140">
        <w:rPr>
          <w:rFonts w:ascii="Times New Roman" w:hAnsi="Times New Roman"/>
          <w:bCs/>
          <w:sz w:val="28"/>
          <w:szCs w:val="28"/>
        </w:rPr>
        <w:t>Apoyó el cargo por vulneraron el principio de sostenibilidad fiscal por considerar que se asignan recursos para financiar competencias ambientales de l</w:t>
      </w:r>
      <w:r w:rsidRPr="00D93140">
        <w:rPr>
          <w:rFonts w:ascii="Times New Roman" w:hAnsi="Times New Roman"/>
          <w:bCs/>
          <w:sz w:val="28"/>
          <w:szCs w:val="28"/>
        </w:rPr>
        <w:t>as autoridades indígenas sin respetar el artículo 151 de le Constitución y sin evaluar el impacto fiscal de dicha orden de gasto. Además de crear inseguridad jurídica ante la falta de claridad del alcance territorial del Decreto y la coexistencia de autori</w:t>
      </w:r>
      <w:r w:rsidRPr="00D93140">
        <w:rPr>
          <w:rFonts w:ascii="Times New Roman" w:hAnsi="Times New Roman"/>
          <w:bCs/>
          <w:sz w:val="28"/>
          <w:szCs w:val="28"/>
        </w:rPr>
        <w:t>dades, generando conflictos normativos y administrativos que afectan la unidad del Estado. Finalmente, señaló que el decreto contraría lo dispuesto en el Acuerdo de Escazú, afectando el derecho de la ciudadanía a participar de manera efectiva en la toma de</w:t>
      </w:r>
      <w:r w:rsidRPr="00D93140">
        <w:rPr>
          <w:rFonts w:ascii="Times New Roman" w:hAnsi="Times New Roman"/>
          <w:bCs/>
          <w:sz w:val="28"/>
          <w:szCs w:val="28"/>
        </w:rPr>
        <w:t xml:space="preserve"> decisiones ambientales</w:t>
      </w:r>
    </w:p>
    <w:p w:rsidR="0022327A" w:rsidRPr="00D93140" w:rsidRDefault="00D93140" w:rsidP="0022327A">
      <w:pPr>
        <w:pStyle w:val="Prrafodelista"/>
        <w:spacing w:after="0" w:line="240" w:lineRule="auto"/>
        <w:jc w:val="both"/>
        <w:rPr>
          <w:rFonts w:ascii="Times New Roman" w:hAnsi="Times New Roman"/>
          <w:b/>
          <w:bCs/>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rPr>
      </w:pPr>
      <w:r w:rsidRPr="00D93140">
        <w:rPr>
          <w:rFonts w:ascii="Times New Roman" w:hAnsi="Times New Roman"/>
          <w:b/>
          <w:bCs/>
          <w:sz w:val="28"/>
          <w:szCs w:val="28"/>
        </w:rPr>
        <w:t>Gilberto Estupiñan Parra (coadyuvancia ciudadana)</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El ciudadano manifiesta que su escrito se dirige a profundizar el cargo que refiere a la inconstitucionalidad del Decreto 1275 de 2024 porque, a la luz del artículo 56 transitorio,</w:t>
      </w:r>
      <w:r w:rsidRPr="00D93140">
        <w:rPr>
          <w:rFonts w:ascii="Times New Roman" w:hAnsi="Times New Roman"/>
          <w:sz w:val="28"/>
          <w:szCs w:val="28"/>
        </w:rPr>
        <w:t xml:space="preserve"> el Gobierno nacional no se encontraba facultado para expedirlo.</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primer lugar, señala que con la expedición del Decreto 632 de 2018, que extendió las disposiciones del Decreto 1953 de 2014 a los territorios indígenas ubicados en zonas no municipalizada</w:t>
      </w:r>
      <w:r w:rsidRPr="00D93140">
        <w:rPr>
          <w:rFonts w:ascii="Times New Roman" w:hAnsi="Times New Roman"/>
          <w:sz w:val="28"/>
          <w:szCs w:val="28"/>
        </w:rPr>
        <w:t>s, adecuando la estructura jurídica y fiscal para garantizar su autonomía y funcionalidad, se completó el desarrollo normativo previsto en la habilitación transitoria, sin que subsistan vacíos que justifiquen nuevas intervenciones del Ejecutivo bajo esa mi</w:t>
      </w:r>
      <w:r w:rsidRPr="00D93140">
        <w:rPr>
          <w:rFonts w:ascii="Times New Roman" w:hAnsi="Times New Roman"/>
          <w:sz w:val="28"/>
          <w:szCs w:val="28"/>
        </w:rPr>
        <w:t xml:space="preserve">sma competencia. Afirmando que “los tres objetivos permitidos por el artículo 56 transitorio han sido plenamente desarrollados mediante el marco normativo existente y constituyen la totalidad de normas que los territorios requieren para su funcionamiento. </w:t>
      </w:r>
      <w:r w:rsidRPr="00D93140">
        <w:rPr>
          <w:rFonts w:ascii="Times New Roman" w:hAnsi="Times New Roman"/>
          <w:sz w:val="28"/>
          <w:szCs w:val="28"/>
        </w:rPr>
        <w:t>Por tanto, no subsiste justificación alguna para que el Ejecutivo expida nuevas disposiciones al amparo de esa habilitación extraordinaria, que debe entenderse como agotada”</w:t>
      </w:r>
      <w:r w:rsidRPr="00D93140">
        <w:rPr>
          <w:rStyle w:val="Refdenotaalpie"/>
          <w:rFonts w:ascii="Times New Roman" w:hAnsi="Times New Roman"/>
          <w:sz w:val="28"/>
          <w:szCs w:val="28"/>
        </w:rPr>
        <w:footnoteReference w:id="129"/>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segundo lugar, alega que, aun considerando que la facultad del artículo 56 t</w:t>
      </w:r>
      <w:r w:rsidRPr="00D93140">
        <w:rPr>
          <w:rFonts w:ascii="Times New Roman" w:hAnsi="Times New Roman"/>
          <w:sz w:val="28"/>
          <w:szCs w:val="28"/>
        </w:rPr>
        <w:t>ransitorio no se agotó, dicho artículo transitorio no permite la expedición de normas para otorgar funciones de autoridad indígena. Manifiesta que esas facultades son taxativas y el objeto del Decreto 1275 excede los fines permitidos constitucionalmente al</w:t>
      </w:r>
      <w:r w:rsidRPr="00D93140">
        <w:rPr>
          <w:rFonts w:ascii="Times New Roman" w:hAnsi="Times New Roman"/>
          <w:sz w:val="28"/>
          <w:szCs w:val="28"/>
        </w:rPr>
        <w:t xml:space="preserve"> regular “una materia adicional —las competencias ambientales— que no pueden considerarse imprescindibles para el funcionamiento general de los territorios indígenas, y que además involucra una dimensión técnica y política cuya creación exige una ley forma</w:t>
      </w:r>
      <w:r w:rsidRPr="00D93140">
        <w:rPr>
          <w:rFonts w:ascii="Times New Roman" w:hAnsi="Times New Roman"/>
          <w:sz w:val="28"/>
          <w:szCs w:val="28"/>
        </w:rPr>
        <w:t>l del Congreso.”</w:t>
      </w:r>
      <w:r w:rsidRPr="00D93140">
        <w:rPr>
          <w:rStyle w:val="Refdenotaalpie"/>
          <w:rFonts w:ascii="Times New Roman" w:hAnsi="Times New Roman"/>
          <w:sz w:val="28"/>
          <w:szCs w:val="28"/>
        </w:rPr>
        <w:footnoteReference w:id="130"/>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rPr>
      </w:pPr>
      <w:r w:rsidRPr="00D93140">
        <w:rPr>
          <w:rFonts w:ascii="Times New Roman" w:hAnsi="Times New Roman"/>
          <w:b/>
          <w:sz w:val="28"/>
          <w:szCs w:val="28"/>
        </w:rPr>
        <w:t>John Iván Nova Arias (coadyuvancia ciudadana)</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El ciudadano aclara que su intervención tiene como objeto fortalecer los argumentos de los demandantes respecto a la inconstitucionalidad derivada de la falta de la consulta previa que debió</w:t>
      </w:r>
      <w:r w:rsidRPr="00D93140">
        <w:rPr>
          <w:rFonts w:ascii="Times New Roman" w:hAnsi="Times New Roman"/>
          <w:sz w:val="28"/>
          <w:szCs w:val="28"/>
        </w:rPr>
        <w:t xml:space="preserve"> realizarse con todas las comunidades antes de expedir la norma de carácter nacional, tal como lo estableció la sentencia C-030 del 23 de enero de 2008 sobre la Ley General Forestal de la Ley 1021 de 2006.</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En primer lugar, el ciudadano realiza una </w:t>
      </w:r>
      <w:r w:rsidRPr="00D93140">
        <w:rPr>
          <w:rFonts w:ascii="Times New Roman" w:hAnsi="Times New Roman"/>
          <w:sz w:val="28"/>
          <w:szCs w:val="28"/>
        </w:rPr>
        <w:t>contextualización de la consulta previa, desde el concepto contenido en el Convenio 169 de la OIT y su pertenencia al bloque de constitucionalidad, así como del fundamento jurisprudencial de esta figura.</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Seguidamente, expresa que el Decreto 1275 de 2024 g</w:t>
      </w:r>
      <w:r w:rsidRPr="00D93140">
        <w:rPr>
          <w:rFonts w:ascii="Times New Roman" w:hAnsi="Times New Roman"/>
          <w:sz w:val="28"/>
          <w:szCs w:val="28"/>
        </w:rPr>
        <w:t>enera una afectación directa a las comunidades indígenas del país y fue expedido sin realizar la consulta previa. Además, que no es posible aceptar la justificación del gobierno, relacionada con el hecho de que este proyecto tuvo su iniciativa en los puebl</w:t>
      </w:r>
      <w:r w:rsidRPr="00D93140">
        <w:rPr>
          <w:rFonts w:ascii="Times New Roman" w:hAnsi="Times New Roman"/>
          <w:sz w:val="28"/>
          <w:szCs w:val="28"/>
        </w:rPr>
        <w:t>os indígenas en el Marco de la Mesa Permanente de Concertación, ya que de acuerdo con lo dispuesto en la sentencia C-030 de 2008 “la consulta previa a la ley, es adicional a la participación que se les debe dar a los pueblos indígenas…”. De modo que, en su</w:t>
      </w:r>
      <w:r w:rsidRPr="00D93140">
        <w:rPr>
          <w:rFonts w:ascii="Times New Roman" w:hAnsi="Times New Roman"/>
          <w:sz w:val="28"/>
          <w:szCs w:val="28"/>
        </w:rPr>
        <w:t xml:space="preserve"> criterio, “los espacios de participación como la Mesa Permanente de Concertación no reemplazan la consulta previa que es una obligación del Estado a partir de la incorporación del Convenio 169 de la OIT al ordenamiento jurídico colombiano”</w:t>
      </w:r>
      <w:r w:rsidRPr="00D93140">
        <w:rPr>
          <w:rStyle w:val="Refdenotaalpie"/>
          <w:rFonts w:ascii="Times New Roman" w:hAnsi="Times New Roman"/>
          <w:sz w:val="28"/>
          <w:szCs w:val="28"/>
        </w:rPr>
        <w:footnoteReference w:id="131"/>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Lo anterior,</w:t>
      </w:r>
      <w:r w:rsidRPr="00D93140">
        <w:rPr>
          <w:rFonts w:ascii="Times New Roman" w:hAnsi="Times New Roman"/>
          <w:sz w:val="28"/>
          <w:szCs w:val="28"/>
        </w:rPr>
        <w:t xml:space="preserve"> dice el interviniente, si se tiene en cuenta lo siguiente</w:t>
      </w:r>
      <w:r w:rsidRPr="00D93140">
        <w:rPr>
          <w:rStyle w:val="Refdenotaalpie"/>
          <w:rFonts w:ascii="Times New Roman" w:hAnsi="Times New Roman"/>
          <w:sz w:val="28"/>
          <w:szCs w:val="28"/>
        </w:rPr>
        <w:footnoteReference w:id="132"/>
      </w:r>
      <w:r w:rsidRPr="00D93140">
        <w:rPr>
          <w:rFonts w:ascii="Times New Roman" w:hAnsi="Times New Roman"/>
          <w:sz w:val="28"/>
          <w:szCs w:val="28"/>
        </w:rPr>
        <w:t xml:space="preserve">: (i) El documento a que hace referencia el gobierno nacional en la memoria justificativa data del 2017. En esa medida, no puede tomarse la revisión hecha por la Mesa Permanente de Concertación en </w:t>
      </w:r>
      <w:r w:rsidRPr="00D93140">
        <w:rPr>
          <w:rFonts w:ascii="Times New Roman" w:hAnsi="Times New Roman"/>
          <w:sz w:val="28"/>
          <w:szCs w:val="28"/>
        </w:rPr>
        <w:t>el 2017 como el proceso consulta previa de una norma expedida en 2024. (ii) No se aporta el texto original de 2017 y es difícil de creer que el gobierno actual haya expedido una norma elaborada por un gobierno anterior.  (iii) La Mesa Permanente de Concert</w:t>
      </w:r>
      <w:r w:rsidRPr="00D93140">
        <w:rPr>
          <w:rFonts w:ascii="Times New Roman" w:hAnsi="Times New Roman"/>
          <w:sz w:val="28"/>
          <w:szCs w:val="28"/>
        </w:rPr>
        <w:t xml:space="preserve">ación está integrada por representantes de algunas comunidades indígenas del país. El hecho de que no se encuentren todas las comunidades indígenas del país que se verán afectadas por la norma, que les impone obligaciones como autoridad ambiental, implica </w:t>
      </w:r>
      <w:r w:rsidRPr="00D93140">
        <w:rPr>
          <w:rFonts w:ascii="Times New Roman" w:hAnsi="Times New Roman"/>
          <w:sz w:val="28"/>
          <w:szCs w:val="28"/>
        </w:rPr>
        <w:t>que no todas las comunidades indígenas del país conocieron y aceptaron dichas obligaciones.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rPr>
          <w:rFonts w:ascii="Times New Roman" w:hAnsi="Times New Roman"/>
          <w:b/>
          <w:sz w:val="28"/>
          <w:szCs w:val="28"/>
        </w:rPr>
      </w:pPr>
      <w:r w:rsidRPr="00D93140">
        <w:rPr>
          <w:rFonts w:ascii="Times New Roman" w:hAnsi="Times New Roman"/>
          <w:b/>
          <w:sz w:val="28"/>
          <w:szCs w:val="28"/>
        </w:rPr>
        <w:t>B. ESCRITOS DE INTERVENCIÓN</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lang w:val="es-ES"/>
        </w:rPr>
      </w:pPr>
      <w:r w:rsidRPr="00D93140">
        <w:rPr>
          <w:rFonts w:ascii="Times New Roman" w:hAnsi="Times New Roman"/>
          <w:b/>
          <w:bCs/>
          <w:sz w:val="28"/>
          <w:szCs w:val="28"/>
          <w:lang w:val="es-ES"/>
        </w:rPr>
        <w:t>Ministerio de Hacienda y Crédito Público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La entidad intervino para pronunciarse únicamente frente al cargo relacionado con la </w:t>
      </w:r>
      <w:r w:rsidRPr="00D93140">
        <w:rPr>
          <w:rFonts w:ascii="Times New Roman" w:hAnsi="Times New Roman"/>
          <w:sz w:val="28"/>
          <w:szCs w:val="28"/>
        </w:rPr>
        <w:t>vulneración de los artículos 151 y 334 de la Constitución y aclaró que los decretos que se expiden con fundamento en el artículo 56 transitorio de la Constitución Política no están sujetos al trámite y debate ante el Congreso de la República, de modo que e</w:t>
      </w:r>
      <w:r w:rsidRPr="00D93140">
        <w:rPr>
          <w:rFonts w:ascii="Times New Roman" w:hAnsi="Times New Roman"/>
          <w:sz w:val="28"/>
          <w:szCs w:val="28"/>
        </w:rPr>
        <w:t>l análisis de impacto fiscal, en los términos del artículo 7 de la Ley 819 de 2003, no se impone como un requisito para su elaboración.</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todo caso, indicó que el artículo 10 del Decreto Ley 1275 de 2024 no infringe los principios presupuestales, ni la s</w:t>
      </w:r>
      <w:r w:rsidRPr="00D93140">
        <w:rPr>
          <w:rFonts w:ascii="Times New Roman" w:hAnsi="Times New Roman"/>
          <w:sz w:val="28"/>
          <w:szCs w:val="28"/>
        </w:rPr>
        <w:t>ostenibilidad fiscal, en tanto la norma no comporta una orden ni una asignación de gasto. Por el contrario, el citado artículo establece el deber de adelantar un proceso de coordinación entre el Ministerio de Ambiente y Desarrollo Sostenible y las entidade</w:t>
      </w:r>
      <w:r w:rsidRPr="00D93140">
        <w:rPr>
          <w:rFonts w:ascii="Times New Roman" w:hAnsi="Times New Roman"/>
          <w:sz w:val="28"/>
          <w:szCs w:val="28"/>
        </w:rPr>
        <w:t>s del gobierno nacional pertinentes, así como la concertación con la Mesa Permanente de Concertación (MPC), para que conjuntamente definan mecanismos y se adelanten acciones que permitan garantizar los recursos para el funcionamiento de las competencias am</w:t>
      </w:r>
      <w:r w:rsidRPr="00D93140">
        <w:rPr>
          <w:rFonts w:ascii="Times New Roman" w:hAnsi="Times New Roman"/>
          <w:sz w:val="28"/>
          <w:szCs w:val="28"/>
        </w:rPr>
        <w:t xml:space="preserve">bientales de las autoridades indígenas, teniendo en cuenta para el efecto el criterio orientador de sostenibilidad de las finanzas públicas.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En ese contexto, señaló que el Ministerio de Ambiente y Desarrollo Sostenible deberá coordinar con las entidades </w:t>
      </w:r>
      <w:r w:rsidRPr="00D93140">
        <w:rPr>
          <w:rFonts w:ascii="Times New Roman" w:hAnsi="Times New Roman"/>
          <w:sz w:val="28"/>
          <w:szCs w:val="28"/>
        </w:rPr>
        <w:t>del Gobierno nacional y con la MPC la definición de mecanismos y acciones para los fines descritos. Por lo tanto, para el ministerio la sola exigencia de la coordinación y concertación aludidas no suponía un estudio de impacto fiscal, en la medida que este</w:t>
      </w:r>
      <w:r w:rsidRPr="00D93140">
        <w:rPr>
          <w:rFonts w:ascii="Times New Roman" w:hAnsi="Times New Roman"/>
          <w:sz w:val="28"/>
          <w:szCs w:val="28"/>
        </w:rPr>
        <w:t xml:space="preserve"> solo podrá determinarse en el momento en que los mecanismos y acciones estén debidamente identificados.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Ministerio de Ambiente y Desarrollo Sostenible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La entidad intervino para solicitar la inhibición de la Corte Constitucional y de manera subsidiaria e</w:t>
      </w:r>
      <w:r w:rsidRPr="00D93140">
        <w:rPr>
          <w:rFonts w:ascii="Times New Roman" w:hAnsi="Times New Roman"/>
          <w:sz w:val="28"/>
          <w:szCs w:val="28"/>
          <w:lang w:val="es-ES"/>
        </w:rPr>
        <w:t>n defensa de la exequibilidad del Decreto 1275 de 2024.</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Respecto de la aptitud de las demandas señala que no cumplen el presupuesto de certeza al presentar cargos que carecen de precisión, especialmente al afirmar que el Decreto 1275 de 2024 otorga compet</w:t>
      </w:r>
      <w:r w:rsidRPr="00D93140">
        <w:rPr>
          <w:rFonts w:ascii="Times New Roman" w:hAnsi="Times New Roman"/>
          <w:sz w:val="28"/>
          <w:szCs w:val="28"/>
          <w:lang w:val="es-ES"/>
        </w:rPr>
        <w:t>encias ambientales permanentes e ilimitadas a las autoridades indígenas, o que sustituye las funciones de las CAR. Estas afirmaciones no se sustentan en el texto del Decreto. En criterio de la entidad, los demandantes parten de una lectura subjetiva del De</w:t>
      </w:r>
      <w:r w:rsidRPr="00D93140">
        <w:rPr>
          <w:rFonts w:ascii="Times New Roman" w:hAnsi="Times New Roman"/>
          <w:sz w:val="28"/>
          <w:szCs w:val="28"/>
          <w:lang w:val="es-ES"/>
        </w:rPr>
        <w:t>creto, ignorando que este establece que las competencias indígenas deben ejercerse en armonía con la Constitución y el Sistema Nacional Ambiental (SINA), bajo principios de coordinación, concurrencia y subsidiariedad (arts. 5 y 6).</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ese escenario, se co</w:t>
      </w:r>
      <w:r w:rsidRPr="00D93140">
        <w:rPr>
          <w:rFonts w:ascii="Times New Roman" w:hAnsi="Times New Roman"/>
          <w:sz w:val="28"/>
          <w:szCs w:val="28"/>
          <w:lang w:val="es-ES"/>
        </w:rPr>
        <w:t xml:space="preserve">nfunde el reconocimiento de derechos colectivos étnicos con una supuesta alteración del reparto constitucional de competencias. Sin embargo, la Corte Constitucional en las sentencias SU-510/98, T-129/11, T-530/16 ha reconocido que el fortalecimiento de la </w:t>
      </w:r>
      <w:r w:rsidRPr="00D93140">
        <w:rPr>
          <w:rFonts w:ascii="Times New Roman" w:hAnsi="Times New Roman"/>
          <w:sz w:val="28"/>
          <w:szCs w:val="28"/>
          <w:lang w:val="es-ES"/>
        </w:rPr>
        <w:t>autonomía indígena en materia ambiental es constitucional. Por lo tanto, no es cierto que el decreto crea un nuevo ordenamiento o vacía competencias estatales. Por el contrario, “operacionaliza la coordinación funcional entre autoridades indígenas y estata</w:t>
      </w:r>
      <w:r w:rsidRPr="00D93140">
        <w:rPr>
          <w:rFonts w:ascii="Times New Roman" w:hAnsi="Times New Roman"/>
          <w:sz w:val="28"/>
          <w:szCs w:val="28"/>
          <w:lang w:val="es-ES"/>
        </w:rPr>
        <w:t>les”</w:t>
      </w:r>
      <w:r w:rsidRPr="00D93140">
        <w:rPr>
          <w:rStyle w:val="Refdenotaalpie"/>
          <w:rFonts w:ascii="Times New Roman" w:hAnsi="Times New Roman"/>
          <w:sz w:val="28"/>
          <w:szCs w:val="28"/>
          <w:lang w:val="es-ES"/>
        </w:rPr>
        <w:footnoteReference w:id="133"/>
      </w:r>
      <w:r w:rsidRPr="00D93140">
        <w:rPr>
          <w:rFonts w:ascii="Times New Roman" w:hAnsi="Times New Roman"/>
          <w:sz w:val="28"/>
          <w:szCs w:val="28"/>
          <w:lang w:val="es-ES"/>
        </w:rPr>
        <w:t>, respetando la diversidad étnica.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Afirmó también el Ministerio que los cargos se basan en escenarios hipotéticos (como posibles contradicciones futuras entre normas indígenas y nacionales), y critican intenciones o consecuencias no expresas en el decreto, en lugar de su contenido normativo</w:t>
      </w:r>
      <w:r w:rsidRPr="00D93140">
        <w:rPr>
          <w:rFonts w:ascii="Times New Roman" w:hAnsi="Times New Roman"/>
          <w:sz w:val="28"/>
          <w:szCs w:val="28"/>
          <w:lang w:val="es-ES"/>
        </w:rPr>
        <w:t xml:space="preserve"> real, aspectos que no son válidos en un juicio de constitucionalidad.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Respecto de la falta de especificidad, el interviniente manifestó que los cargos no establecen una relación directa y razonada entre los artículos del Decreto Ley 1275 de 2024 y las n</w:t>
      </w:r>
      <w:r w:rsidRPr="00D93140">
        <w:rPr>
          <w:rFonts w:ascii="Times New Roman" w:hAnsi="Times New Roman"/>
          <w:sz w:val="28"/>
          <w:szCs w:val="28"/>
          <w:lang w:val="es-ES"/>
        </w:rPr>
        <w:t>ormas constitucionales que se alegan como vulneradas. Además, que se acude a afirmaciones genéricas sin desarrollo argumentativo, citando expresiones como “desconoce la estructura del Estado” o “sustituye al legislador”</w:t>
      </w:r>
      <w:r w:rsidRPr="00D93140">
        <w:rPr>
          <w:rStyle w:val="Refdenotaalpie"/>
          <w:rFonts w:ascii="Times New Roman" w:hAnsi="Times New Roman"/>
          <w:sz w:val="28"/>
          <w:szCs w:val="28"/>
          <w:lang w:val="es-ES"/>
        </w:rPr>
        <w:footnoteReference w:id="134"/>
      </w:r>
      <w:r w:rsidRPr="00D93140">
        <w:rPr>
          <w:rFonts w:ascii="Times New Roman" w:hAnsi="Times New Roman"/>
          <w:sz w:val="28"/>
          <w:szCs w:val="28"/>
          <w:lang w:val="es-ES"/>
        </w:rPr>
        <w:t xml:space="preserve"> sin explicar qué disposición especí</w:t>
      </w:r>
      <w:r w:rsidRPr="00D93140">
        <w:rPr>
          <w:rFonts w:ascii="Times New Roman" w:hAnsi="Times New Roman"/>
          <w:sz w:val="28"/>
          <w:szCs w:val="28"/>
          <w:lang w:val="es-ES"/>
        </w:rPr>
        <w:t>fica del Decreto produce ese efecto ni cómo vulnera el orden constitucional.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Afirmó que la demanda se basa en interpretaciones subjetivas y enunciados generales, sin respaldo textual ni normativo concreto en el Decreto acusado, alegando múltiples violacio</w:t>
      </w:r>
      <w:r w:rsidRPr="00D93140">
        <w:rPr>
          <w:rFonts w:ascii="Times New Roman" w:hAnsi="Times New Roman"/>
          <w:sz w:val="28"/>
          <w:szCs w:val="28"/>
          <w:lang w:val="es-ES"/>
        </w:rPr>
        <w:t>nes constitucionales sin desarrollar de forma autónoma la relación entre cada artículo del Decreto y cada norma superior, lo que impide identificar la premisa de inconstitucionalidad.</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alegó que los cargos de las demandas no satisfacen la carga</w:t>
      </w:r>
      <w:r w:rsidRPr="00D93140">
        <w:rPr>
          <w:rFonts w:ascii="Times New Roman" w:hAnsi="Times New Roman"/>
          <w:sz w:val="28"/>
          <w:szCs w:val="28"/>
          <w:lang w:val="es-ES"/>
        </w:rPr>
        <w:t xml:space="preserve"> argumentativa de suficiencia, al no presentar una exposición razonada, completa ni jurídicamente estructurada que permita sostener con rigor que el Decreto Ley 1275 de 2024 contradice normas constitucionales de manera directa y verificable. Además, tambié</w:t>
      </w:r>
      <w:r w:rsidRPr="00D93140">
        <w:rPr>
          <w:rFonts w:ascii="Times New Roman" w:hAnsi="Times New Roman"/>
          <w:sz w:val="28"/>
          <w:szCs w:val="28"/>
          <w:lang w:val="es-ES"/>
        </w:rPr>
        <w:t>n indicó que los accionantes omiten considerar que el Decreto Ley 1275 de 2024 desarrolla compromisos internacionales del Estado colombiano que hacen parte del bloque de constitucionalidad, especialmente los derivados del Convenio 169 de la OIT, aprobado m</w:t>
      </w:r>
      <w:r w:rsidRPr="00D93140">
        <w:rPr>
          <w:rFonts w:ascii="Times New Roman" w:hAnsi="Times New Roman"/>
          <w:sz w:val="28"/>
          <w:szCs w:val="28"/>
          <w:lang w:val="es-ES"/>
        </w:rPr>
        <w:t xml:space="preserve">ediante la Ley 21 de 1991.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De otra parte, respecto de la exequibilidad del Decreto 1275 de 2024, indicó en primer lugar, que este decreto es acorde y necesario para el desarrollo de la competencia excepcional vigente del artículo 56 transitorio constituc</w:t>
      </w:r>
      <w:r w:rsidRPr="00D93140">
        <w:rPr>
          <w:rFonts w:ascii="Times New Roman" w:hAnsi="Times New Roman"/>
          <w:sz w:val="28"/>
          <w:szCs w:val="28"/>
          <w:lang w:val="es-ES"/>
        </w:rPr>
        <w:t>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Contrario a lo afirmado por los demandantes, el Ministerio señaló que la competencia otorgada por el artículo 56 transitorio no se ha agotado con la expedición de los Decretos 1088 de 1993 y 1953 de 2014. La Corte Constitucional, en la Sentencia C-6</w:t>
      </w:r>
      <w:r w:rsidRPr="00D93140">
        <w:rPr>
          <w:rFonts w:ascii="Times New Roman" w:hAnsi="Times New Roman"/>
          <w:sz w:val="28"/>
          <w:szCs w:val="28"/>
          <w:lang w:val="es-ES"/>
        </w:rPr>
        <w:t>17 de 2015, ha interpretado esta disposición de manera amplia y funcional, señalando que su finalidad es permitir el desarrollo progresivo y efectivo de los territorios indígenas como entidades territoriales de carácter especial.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ese sentido, resaltó q</w:t>
      </w:r>
      <w:r w:rsidRPr="00D93140">
        <w:rPr>
          <w:rFonts w:ascii="Times New Roman" w:hAnsi="Times New Roman"/>
          <w:sz w:val="28"/>
          <w:szCs w:val="28"/>
          <w:lang w:val="es-ES"/>
        </w:rPr>
        <w:t>ue el artículo 56 transitorio no se limita a aspectos formales o fiscales, sino que comprende todas aquellas normas sustantivas necesarias para garantizar el ejercicio pleno de las competencias propias de los pueblos indígenas, incluyendo la gestión ambien</w:t>
      </w:r>
      <w:r w:rsidRPr="00D93140">
        <w:rPr>
          <w:rFonts w:ascii="Times New Roman" w:hAnsi="Times New Roman"/>
          <w:sz w:val="28"/>
          <w:szCs w:val="28"/>
          <w:lang w:val="es-ES"/>
        </w:rPr>
        <w:t xml:space="preserve">tal. Así, el interviniente afirmó la gestión ambiental no puede entenderse como una competencia ajena a los territorios indígenas. Por el contrario, constituye una dimensión esencial de su autogobierno, conforme a su cosmovisión, usos y costumbres. Así lo </w:t>
      </w:r>
      <w:r w:rsidRPr="00D93140">
        <w:rPr>
          <w:rFonts w:ascii="Times New Roman" w:hAnsi="Times New Roman"/>
          <w:sz w:val="28"/>
          <w:szCs w:val="28"/>
          <w:lang w:val="es-ES"/>
        </w:rPr>
        <w:t>reconoce el bloque de constitucionalidad, en particular el artículo 7 del Convenio 169 de la OIT, ratificado por Colombia, que garantiza el derecho de los pueblos indígenas a conservar sus sistemas propios de organización y a gestionar sus recursos natural</w:t>
      </w:r>
      <w:r w:rsidRPr="00D93140">
        <w:rPr>
          <w:rFonts w:ascii="Times New Roman" w:hAnsi="Times New Roman"/>
          <w:sz w:val="28"/>
          <w:szCs w:val="28"/>
          <w:lang w:val="es-ES"/>
        </w:rPr>
        <w:t>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consecuencia, concluyó el Ministerio que el Decreto Ley 1275 de 2024 se ajusta plenamente a la habilitación conferida por el artículo 56 transitorio. No constituye una extralimitación de funciones, sino una medida necesaria, proporcionada y coheren</w:t>
      </w:r>
      <w:r w:rsidRPr="00D93140">
        <w:rPr>
          <w:rFonts w:ascii="Times New Roman" w:hAnsi="Times New Roman"/>
          <w:sz w:val="28"/>
          <w:szCs w:val="28"/>
          <w:lang w:val="es-ES"/>
        </w:rPr>
        <w:t>te con el mandato constitucional de garantizar el funcionamiento integral de los territorios indígenas. Por tanto, debe ser declarado exequible.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segundo lugar, señaló que el Decreto Ley 1275 de 2024 desarrolla el artículo 56 transitorio y aplica direct</w:t>
      </w:r>
      <w:r w:rsidRPr="00D93140">
        <w:rPr>
          <w:rFonts w:ascii="Times New Roman" w:hAnsi="Times New Roman"/>
          <w:sz w:val="28"/>
          <w:szCs w:val="28"/>
          <w:lang w:val="es-ES"/>
        </w:rPr>
        <w:t>amente la Constitución en materia de derechos de</w:t>
      </w: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los Pueblos Indígenas. Reiteró que el Decreto Ley 1275 no introduce normas aisladas, sino que “guarda coherencia con el sistema normativo nacional, al plantear un marco para la armonización de diferentes sis</w:t>
      </w:r>
      <w:r w:rsidRPr="00D93140">
        <w:rPr>
          <w:rFonts w:ascii="Times New Roman" w:hAnsi="Times New Roman"/>
          <w:sz w:val="28"/>
          <w:szCs w:val="28"/>
          <w:lang w:val="es-ES"/>
        </w:rPr>
        <w:t>temas de conocimiento, en desarrollo del pluralismo jurídico y del deber legal y constitucional de coordinación de la administración pública”</w:t>
      </w:r>
      <w:r w:rsidRPr="00D93140">
        <w:rPr>
          <w:rStyle w:val="Refdenotaalpie"/>
          <w:rFonts w:ascii="Times New Roman" w:hAnsi="Times New Roman"/>
          <w:sz w:val="28"/>
          <w:szCs w:val="28"/>
          <w:lang w:val="es-ES"/>
        </w:rPr>
        <w:footnoteReference w:id="135"/>
      </w:r>
      <w:r w:rsidRPr="00D93140">
        <w:rPr>
          <w:rFonts w:ascii="Times New Roman" w:hAnsi="Times New Roman"/>
          <w:sz w:val="28"/>
          <w:szCs w:val="28"/>
          <w:lang w:val="es-ES"/>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Igualmente, indicó que la Corte Constitucional ha señalado que las autoridades indígenas ejercen competencias a</w:t>
      </w:r>
      <w:r w:rsidRPr="00D93140">
        <w:rPr>
          <w:rFonts w:ascii="Times New Roman" w:hAnsi="Times New Roman"/>
          <w:sz w:val="28"/>
          <w:szCs w:val="28"/>
          <w:lang w:val="es-ES"/>
        </w:rPr>
        <w:t xml:space="preserve">mbientales reconocidas constitucionalmente las cuales fueron objeto de regulación a través del decreto cuestionado y que no pueden ser ignoradas por otras entidades públicas.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lang w:val="es-ES"/>
        </w:rPr>
        <w:t>En tercer lugar, alegó que el Decreto Ley 1275 de 2024 desarrolla el artículo 3</w:t>
      </w:r>
      <w:r w:rsidRPr="00D93140">
        <w:rPr>
          <w:rFonts w:ascii="Times New Roman" w:hAnsi="Times New Roman"/>
          <w:sz w:val="28"/>
          <w:szCs w:val="28"/>
          <w:lang w:val="es-ES"/>
        </w:rPr>
        <w:t xml:space="preserve">30 de la Constitución en armonía con el bloque de constitucionalidad y el principio de pluralismo jurídico con base en los siguientes argumentos: (i) </w:t>
      </w:r>
      <w:r w:rsidRPr="00D93140">
        <w:rPr>
          <w:rFonts w:ascii="Times New Roman" w:hAnsi="Times New Roman"/>
          <w:sz w:val="28"/>
          <w:szCs w:val="28"/>
        </w:rPr>
        <w:t>el artículo 330 no limita la función de las autoridades indígenas a una acción material, sino que les otor</w:t>
      </w:r>
      <w:r w:rsidRPr="00D93140">
        <w:rPr>
          <w:rFonts w:ascii="Times New Roman" w:hAnsi="Times New Roman"/>
          <w:sz w:val="28"/>
          <w:szCs w:val="28"/>
        </w:rPr>
        <w:t>ga competencias jurídicas para velar por la preservación de los recursos naturales. La Corte Constitucional ha interpretado esta disposición como un mandato que implica deberes institucionales y normativos, necesarios para ejercer eficazmente la protección</w:t>
      </w:r>
      <w:r w:rsidRPr="00D93140">
        <w:rPr>
          <w:rFonts w:ascii="Times New Roman" w:hAnsi="Times New Roman"/>
          <w:sz w:val="28"/>
          <w:szCs w:val="28"/>
        </w:rPr>
        <w:t xml:space="preserve"> ambiental. (ii) La lectura aislada del artículo 330 desconoce que las autoridades indígenas ejercen funciones jurisdiccionales propias (art. 246 C.P.) y que su derecho al gobierno propio incluye la administración de sus territorios conforme a sus normas a</w:t>
      </w:r>
      <w:r w:rsidRPr="00D93140">
        <w:rPr>
          <w:rFonts w:ascii="Times New Roman" w:hAnsi="Times New Roman"/>
          <w:sz w:val="28"/>
          <w:szCs w:val="28"/>
        </w:rPr>
        <w:t>ncestrales. Esto se refuerza con el artículo 15 del Convenio 169, que garantiza la participación de los pueblos indígenas en la utilización, administración y conservación de los recursos naturales.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En cuarto lugar, sostuvo que el Decreto Ley 1275 de 2024 </w:t>
      </w:r>
      <w:r w:rsidRPr="00D93140">
        <w:rPr>
          <w:rFonts w:ascii="Times New Roman" w:hAnsi="Times New Roman"/>
          <w:sz w:val="28"/>
          <w:szCs w:val="28"/>
          <w:lang w:val="es-ES"/>
        </w:rPr>
        <w:t>fortalece la coordinación interinstitucional y respeta la autonomía constitucional y funcional de las Corporaciones Autónomas Regionales – CAR contemplada en el artículo 150 numeral 7 de la Constitución Nacional. En su criterio, la acusación parte de una l</w:t>
      </w:r>
      <w:r w:rsidRPr="00D93140">
        <w:rPr>
          <w:rFonts w:ascii="Times New Roman" w:hAnsi="Times New Roman"/>
          <w:sz w:val="28"/>
          <w:szCs w:val="28"/>
          <w:lang w:val="es-ES"/>
        </w:rPr>
        <w:t>ectura fragmentaria del Decreto, que desconoce no solo el carácter pluralista, descentralizado y funcionalmente diferenciado del Estado colombiano, sino la estructura normativa del propio Decreto 1275 de 2024, que define de manera clara y delimitada las co</w:t>
      </w:r>
      <w:r w:rsidRPr="00D93140">
        <w:rPr>
          <w:rFonts w:ascii="Times New Roman" w:hAnsi="Times New Roman"/>
          <w:sz w:val="28"/>
          <w:szCs w:val="28"/>
          <w:lang w:val="es-ES"/>
        </w:rPr>
        <w:t>mpetencias de las autoridades indígenas, sin sustraer ni invadir las atribuciones legales o constitucionales de las CAR.</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Insistió en que el artículo 5º del Decreto no impone ni desplaza a las CAR, “sino que efectúa un reconocimiento jurídico de una </w:t>
      </w:r>
      <w:r w:rsidRPr="00D93140">
        <w:rPr>
          <w:rFonts w:ascii="Times New Roman" w:hAnsi="Times New Roman"/>
          <w:sz w:val="28"/>
          <w:szCs w:val="28"/>
          <w:lang w:val="es-ES"/>
        </w:rPr>
        <w:t>realidad constitucional y convencional: en los territorios indígenas, existe una autoridad ambiental legítima que debe ser articulada funcionalmente con las demás entidades del Sistema Nacional Ambiental (SINA), sin establecer jerarquías, sino bajo una lóg</w:t>
      </w:r>
      <w:r w:rsidRPr="00D93140">
        <w:rPr>
          <w:rFonts w:ascii="Times New Roman" w:hAnsi="Times New Roman"/>
          <w:sz w:val="28"/>
          <w:szCs w:val="28"/>
          <w:lang w:val="es-ES"/>
        </w:rPr>
        <w:t>ica de complementariedad y corresponsabilidad. La coordinación, como principio transversal del funcionamiento estatal en un modelo descentralizado, no puede ser interpretada como una cláusula vacía, sino como un deber positivo del Estado de armonizar las d</w:t>
      </w:r>
      <w:r w:rsidRPr="00D93140">
        <w:rPr>
          <w:rFonts w:ascii="Times New Roman" w:hAnsi="Times New Roman"/>
          <w:sz w:val="28"/>
          <w:szCs w:val="28"/>
          <w:lang w:val="es-ES"/>
        </w:rPr>
        <w:t>iversas competencias”</w:t>
      </w:r>
      <w:r w:rsidRPr="00D93140">
        <w:rPr>
          <w:rStyle w:val="Refdenotaalpie"/>
          <w:rFonts w:ascii="Times New Roman" w:hAnsi="Times New Roman"/>
          <w:sz w:val="28"/>
          <w:szCs w:val="28"/>
          <w:lang w:val="es-ES"/>
        </w:rPr>
        <w:footnoteReference w:id="136"/>
      </w:r>
      <w:r w:rsidRPr="00D93140">
        <w:rPr>
          <w:rFonts w:ascii="Times New Roman" w:hAnsi="Times New Roman"/>
          <w:sz w:val="28"/>
          <w:szCs w:val="28"/>
          <w:lang w:val="es-ES"/>
        </w:rPr>
        <w:t>. Por lo tanto, este deber de coordinación reafirma la coexistencia y la necesaria colaboración, no la exclusión.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En quinto lugar, señaló que el artículo 2 del Decreto Ley 1275 de 2024 desarrolla válidamente el principio de interés general conforme al artículo 1° de la Constitución. Consideró que la interpretación del accionante desconoce que dentro del estado social </w:t>
      </w:r>
      <w:r w:rsidRPr="00D93140">
        <w:rPr>
          <w:rFonts w:ascii="Times New Roman" w:hAnsi="Times New Roman"/>
          <w:sz w:val="28"/>
          <w:szCs w:val="28"/>
          <w:lang w:val="es-ES"/>
        </w:rPr>
        <w:t>de derecho organizado en forma de República unitaria y pluralista, se contempla un único concepto de interés general, el cual abarca la visión de los Pueblos Indígenas y sus funciones como autoridades ambientales, políticas y jurisdiccionales, reconociendo</w:t>
      </w:r>
      <w:r w:rsidRPr="00D93140">
        <w:rPr>
          <w:rFonts w:ascii="Times New Roman" w:hAnsi="Times New Roman"/>
          <w:sz w:val="28"/>
          <w:szCs w:val="28"/>
          <w:lang w:val="es-ES"/>
        </w:rPr>
        <w:t xml:space="preserve"> que la protección del territorio ancestral, del medio ambiente y de la diversidad cultural son expresiones legítimas y constitucionalmente protegidas del interés general.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este sentido, explicó que el artículo 2 del Decreto debe ser interpretado a la l</w:t>
      </w:r>
      <w:r w:rsidRPr="00D93140">
        <w:rPr>
          <w:rFonts w:ascii="Times New Roman" w:hAnsi="Times New Roman"/>
          <w:sz w:val="28"/>
          <w:szCs w:val="28"/>
          <w:lang w:val="es-ES"/>
        </w:rPr>
        <w:t>uz del principio de integridad territorial y ecosistémica, expresamente consagrado en el literal h) del artículo 3 del mismo cuerpo normativo. Además, debe reconocerse que el decreto integra un principio de no regresividad en materia ambiental, coherente c</w:t>
      </w:r>
      <w:r w:rsidRPr="00D93140">
        <w:rPr>
          <w:rFonts w:ascii="Times New Roman" w:hAnsi="Times New Roman"/>
          <w:sz w:val="28"/>
          <w:szCs w:val="28"/>
          <w:lang w:val="es-ES"/>
        </w:rPr>
        <w:t>on la jurisprudencia constitucional y los principios generales del derecho ambiental, que promueve una coexistencia normativa que busca fortalecer la protección del ambiente y los ecosistemas desde la especificidad de los territorios indígenas.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sexto l</w:t>
      </w:r>
      <w:r w:rsidRPr="00D93140">
        <w:rPr>
          <w:rFonts w:ascii="Times New Roman" w:hAnsi="Times New Roman"/>
          <w:sz w:val="28"/>
          <w:szCs w:val="28"/>
          <w:lang w:val="es-ES"/>
        </w:rPr>
        <w:t>ugar, señaló que el artículo 6 numeral 3 del Decreto Ley 1275 de 2024 es compatible con el artículo 29 de la Constitución en el marco del pluralismo jurídico ambiental. Estimó que la demanda desconoce el alcance constitucional y jurisprudencial de la juris</w:t>
      </w:r>
      <w:r w:rsidRPr="00D93140">
        <w:rPr>
          <w:rFonts w:ascii="Times New Roman" w:hAnsi="Times New Roman"/>
          <w:sz w:val="28"/>
          <w:szCs w:val="28"/>
          <w:lang w:val="es-ES"/>
        </w:rPr>
        <w:t>dicción especial indígena y su integración con el bloque de constitucionalidad. En efecto, señaló que la habilitación contenida en el artículo 246 de la Constitución incluye la potestad sancionatoria como parte de sus funciones de gobierno y administración</w:t>
      </w:r>
      <w:r w:rsidRPr="00D93140">
        <w:rPr>
          <w:rFonts w:ascii="Times New Roman" w:hAnsi="Times New Roman"/>
          <w:sz w:val="28"/>
          <w:szCs w:val="28"/>
          <w:lang w:val="es-ES"/>
        </w:rPr>
        <w:t xml:space="preserve"> de justicia interna y que las facultades sancionatorias deben interpretarse como un desarrollo del principio de coordinación interjurisdiccional, conforme al cual se posibilita la articulación entre las autoridades ambientales y las autoridades indígenas </w:t>
      </w:r>
      <w:r w:rsidRPr="00D93140">
        <w:rPr>
          <w:rFonts w:ascii="Times New Roman" w:hAnsi="Times New Roman"/>
          <w:sz w:val="28"/>
          <w:szCs w:val="28"/>
          <w:lang w:val="es-ES"/>
        </w:rPr>
        <w:t>en los casos en que las afectaciones al medio ambiente tengan incidencia directa sobre territorios indígenas.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Igualmente, el Ministerio insistió en que el decreto es claro al establecer que en los eventos que involucren a terceros ajenos a la comunidad, d</w:t>
      </w:r>
      <w:r w:rsidRPr="00D93140">
        <w:rPr>
          <w:rFonts w:ascii="Times New Roman" w:hAnsi="Times New Roman"/>
          <w:sz w:val="28"/>
          <w:szCs w:val="28"/>
          <w:lang w:val="es-ES"/>
        </w:rPr>
        <w:t>eberá primar una coordinación funcional entre jurisdicciones, en armonía con los principios de concurrencia, coordinación y subsidiariedad que rigen tanto el Estado colombiano como el Sistema Nacional Ambiental.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séptimo lugar, explicó que el artículo 1</w:t>
      </w:r>
      <w:r w:rsidRPr="00D93140">
        <w:rPr>
          <w:rFonts w:ascii="Times New Roman" w:hAnsi="Times New Roman"/>
          <w:sz w:val="28"/>
          <w:szCs w:val="28"/>
          <w:lang w:val="es-ES"/>
        </w:rPr>
        <w:t>0 del Decreto Ley 1275 de 2024 cumple con los principios de legalidad, sostenibilidad fiscal en el marco del deber constitucional de coordinación institucional.</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Asociación Nacional de Usuarios Campesinos de Colombia (ANUC)</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 través de su representante le</w:t>
      </w:r>
      <w:r w:rsidRPr="00D93140">
        <w:rPr>
          <w:rFonts w:ascii="Times New Roman" w:hAnsi="Times New Roman"/>
          <w:sz w:val="28"/>
          <w:szCs w:val="28"/>
          <w:lang w:val="es-ES"/>
        </w:rPr>
        <w:t>gal, la ANUC intervino con el fin de solicitar la inexequibilidad del Decreto 1275 de 2024. Luego de describir sus objetivos como asociación, indicó que el mencionado decreto representa un riesgo para la continuidad de las actividades productivas en los di</w:t>
      </w:r>
      <w:r w:rsidRPr="00D93140">
        <w:rPr>
          <w:rFonts w:ascii="Times New Roman" w:hAnsi="Times New Roman"/>
          <w:sz w:val="28"/>
          <w:szCs w:val="28"/>
          <w:lang w:val="es-ES"/>
        </w:rPr>
        <w:t>ferentes territorios del país, debido a que faculta a las autoridades indígenas para actuar como autoridades ambientales en cualquier área a nivel nacional. Señaló también que “las decisiones sobre el desarrollo de las distintas actividades económicas se a</w:t>
      </w:r>
      <w:r w:rsidRPr="00D93140">
        <w:rPr>
          <w:rFonts w:ascii="Times New Roman" w:hAnsi="Times New Roman"/>
          <w:sz w:val="28"/>
          <w:szCs w:val="28"/>
          <w:lang w:val="es-ES"/>
        </w:rPr>
        <w:t>doptarán sin un procedimiento claro, ni parámetros técnicos que permitan garantizar la idoneidad, eficiencia y certeza de las mismas”</w:t>
      </w:r>
      <w:r w:rsidRPr="00D93140">
        <w:rPr>
          <w:rStyle w:val="Refdenotaalpie"/>
          <w:rFonts w:ascii="Times New Roman" w:hAnsi="Times New Roman"/>
          <w:sz w:val="28"/>
          <w:szCs w:val="28"/>
          <w:lang w:val="es-ES"/>
        </w:rPr>
        <w:footnoteReference w:id="137"/>
      </w:r>
      <w:r w:rsidRPr="00D93140">
        <w:rPr>
          <w:rFonts w:ascii="Times New Roman" w:hAnsi="Times New Roman"/>
          <w:sz w:val="28"/>
          <w:szCs w:val="28"/>
          <w:lang w:val="es-ES"/>
        </w:rPr>
        <w:t xml:space="preserve">. Situación, que dijo, genera incertidumbre jurídica y desequilibrio de las instituciones públicas.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Alegó el intervinien</w:t>
      </w:r>
      <w:r w:rsidRPr="00D93140">
        <w:rPr>
          <w:rFonts w:ascii="Times New Roman" w:hAnsi="Times New Roman"/>
          <w:sz w:val="28"/>
          <w:szCs w:val="28"/>
          <w:lang w:val="es-ES"/>
        </w:rPr>
        <w:t xml:space="preserve">te que el Decreto 1275 excedió las facultades del artículo 56 transitorio de la Constitución ya que las materias en él reguladas desbordan las competencias mencionadas en el citado artículo transitorio y las establecidas en el artículo 329 superior, al no </w:t>
      </w:r>
      <w:r w:rsidRPr="00D93140">
        <w:rPr>
          <w:rFonts w:ascii="Times New Roman" w:hAnsi="Times New Roman"/>
          <w:sz w:val="28"/>
          <w:szCs w:val="28"/>
          <w:lang w:val="es-ES"/>
        </w:rPr>
        <w:t xml:space="preserve">ser de carácter fiscal y tampoco relativas al funcionamiento de los territorios indígenas.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Aseguró que como población campesina, en virtud del decreto deben acudir a una instancia indígena, “sin técnica ni conocimiento ambiental que sea apto para la real</w:t>
      </w:r>
      <w:r w:rsidRPr="00D93140">
        <w:rPr>
          <w:rFonts w:ascii="Times New Roman" w:hAnsi="Times New Roman"/>
          <w:sz w:val="28"/>
          <w:szCs w:val="28"/>
          <w:lang w:val="es-ES"/>
        </w:rPr>
        <w:t>ización de un suministro adecuado y necesario para solventar las necesidades del agro, aspecto que se tornará en un conflicto de poder y de limitación a la producción y desarrollo alimenticio de los pueblos”</w:t>
      </w:r>
      <w:r w:rsidRPr="00D93140">
        <w:rPr>
          <w:rStyle w:val="Refdenotaalpie"/>
          <w:rFonts w:ascii="Times New Roman" w:hAnsi="Times New Roman"/>
          <w:sz w:val="28"/>
          <w:szCs w:val="28"/>
          <w:lang w:val="es-ES"/>
        </w:rPr>
        <w:footnoteReference w:id="138"/>
      </w:r>
      <w:r w:rsidRPr="00D93140">
        <w:rPr>
          <w:rFonts w:ascii="Times New Roman" w:hAnsi="Times New Roman"/>
          <w:sz w:val="28"/>
          <w:szCs w:val="28"/>
          <w:lang w:val="es-ES"/>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Expuso que el citado decreto genera insegurid</w:t>
      </w:r>
      <w:r w:rsidRPr="00D93140">
        <w:rPr>
          <w:rFonts w:ascii="Times New Roman" w:hAnsi="Times New Roman"/>
          <w:sz w:val="28"/>
          <w:szCs w:val="28"/>
          <w:lang w:val="es-ES"/>
        </w:rPr>
        <w:t>ad jurídica y conflictos en cuanto a la tenencia y propiedad de la tierra, al otorgar competencias en materia de ordenamiento territorial a comunidades que no han sido constituidas como tal y, que no cuentan con un territorio titulado por la Agencia Nacion</w:t>
      </w:r>
      <w:r w:rsidRPr="00D93140">
        <w:rPr>
          <w:rFonts w:ascii="Times New Roman" w:hAnsi="Times New Roman"/>
          <w:sz w:val="28"/>
          <w:szCs w:val="28"/>
          <w:lang w:val="es-ES"/>
        </w:rPr>
        <w:t>al de Tierras. En su criterio, esto es contrario a lo establecido en el artículo 56 transitorio y 329 de la Constitución, pues la atribución que se desprende ellos está dirigida a los territorios indígenas determinados como entidad territorial, lo cual sup</w:t>
      </w:r>
      <w:r w:rsidRPr="00D93140">
        <w:rPr>
          <w:rFonts w:ascii="Times New Roman" w:hAnsi="Times New Roman"/>
          <w:sz w:val="28"/>
          <w:szCs w:val="28"/>
          <w:lang w:val="es-ES"/>
        </w:rPr>
        <w:t>one que estos deben estar plenamente constituidos.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Afirmó que una interpretación distinta puede generar “un incentivo perverso de ocupación de predios privados y conflictividad dentro de los territorios entre las mismas comunidades indígenas, entre estas </w:t>
      </w:r>
      <w:r w:rsidRPr="00D93140">
        <w:rPr>
          <w:rFonts w:ascii="Times New Roman" w:hAnsi="Times New Roman"/>
          <w:sz w:val="28"/>
          <w:szCs w:val="28"/>
          <w:lang w:val="es-ES"/>
        </w:rPr>
        <w:t xml:space="preserve">y las afrocolombianas y entre las dos anteriores y las campesinas, pues las comunidades indígenas que tengan meras expectativas sobre algún terreno sobre el cual otra comunidad tenga igual pretensión, la primera podrá ejercer plena autoridad y competencia </w:t>
      </w:r>
      <w:r w:rsidRPr="00D93140">
        <w:rPr>
          <w:rFonts w:ascii="Times New Roman" w:hAnsi="Times New Roman"/>
          <w:sz w:val="28"/>
          <w:szCs w:val="28"/>
          <w:lang w:val="es-ES"/>
        </w:rPr>
        <w:t>ambiental aun cuando su derecho/territorio no ha sido reconocido o consolidado”</w:t>
      </w:r>
      <w:r w:rsidRPr="00D93140">
        <w:rPr>
          <w:rStyle w:val="Refdenotaalpie"/>
          <w:rFonts w:ascii="Times New Roman" w:hAnsi="Times New Roman"/>
          <w:sz w:val="28"/>
          <w:szCs w:val="28"/>
          <w:lang w:val="es-ES"/>
        </w:rPr>
        <w:footnoteReference w:id="139"/>
      </w:r>
      <w:r w:rsidRPr="00D93140">
        <w:rPr>
          <w:rFonts w:ascii="Times New Roman" w:hAnsi="Times New Roman"/>
          <w:sz w:val="28"/>
          <w:szCs w:val="28"/>
          <w:lang w:val="es-ES"/>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Señaló también que el Decreto 1275 contraviene el derecho y principio al debido proceso administrativo y genera desequilibro institucional. Expresó que “la potestad de las a</w:t>
      </w:r>
      <w:r w:rsidRPr="00D93140">
        <w:rPr>
          <w:rFonts w:ascii="Times New Roman" w:hAnsi="Times New Roman"/>
          <w:sz w:val="28"/>
          <w:szCs w:val="28"/>
          <w:lang w:val="es-ES"/>
        </w:rPr>
        <w:t>utoridades indígenas en dirección de su competencia atribución legal que imprime el decreto 1275 sobre el ajuste de compromiso a fin de garantizar los procesos para el funcionamiento como autoridades ambientales a los compañeros indígenas, el desequilibrio</w:t>
      </w:r>
      <w:r w:rsidRPr="00D93140">
        <w:rPr>
          <w:rFonts w:ascii="Times New Roman" w:hAnsi="Times New Roman"/>
          <w:sz w:val="28"/>
          <w:szCs w:val="28"/>
          <w:lang w:val="es-ES"/>
        </w:rPr>
        <w:t xml:space="preserve"> se torna real cuando dichos procedimientos no se manifiestan en condiciones justas y equitativas que desbordan las reglas en el devenir procesal, quienes tiene la dicotomía de obedecer a sus reglas de la jurisdicción indígena propia o al debido proceso co</w:t>
      </w:r>
      <w:r w:rsidRPr="00D93140">
        <w:rPr>
          <w:rFonts w:ascii="Times New Roman" w:hAnsi="Times New Roman"/>
          <w:sz w:val="28"/>
          <w:szCs w:val="28"/>
          <w:lang w:val="es-ES"/>
        </w:rPr>
        <w:t>nstitucional, permitiendo el desbalance jurídico para una de las partes, cuando se trata de entrelazar derechos de campesinos, afro u otros, parcializando decisiones que contrarían el derecho, contraviniendo las decisiones administrativas en su esencia, en</w:t>
      </w:r>
      <w:r w:rsidRPr="00D93140">
        <w:rPr>
          <w:rFonts w:ascii="Times New Roman" w:hAnsi="Times New Roman"/>
          <w:sz w:val="28"/>
          <w:szCs w:val="28"/>
          <w:lang w:val="es-ES"/>
        </w:rPr>
        <w:t xml:space="preserve"> raizado en la transparencia, afectaciones objetivas, generando con estos comportamientos procesales un desliz judicial al no permitir que las instituciones”</w:t>
      </w:r>
      <w:r w:rsidRPr="00D93140">
        <w:rPr>
          <w:rStyle w:val="Refdenotaalpie"/>
          <w:rFonts w:ascii="Times New Roman" w:hAnsi="Times New Roman"/>
          <w:sz w:val="28"/>
          <w:szCs w:val="28"/>
          <w:lang w:val="es-ES"/>
        </w:rPr>
        <w:footnoteReference w:id="140"/>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cuanto al interés general definido en el decreto demandado, señaló que genera un desequilibri</w:t>
      </w:r>
      <w:r w:rsidRPr="00D93140">
        <w:rPr>
          <w:rFonts w:ascii="Times New Roman" w:hAnsi="Times New Roman"/>
          <w:sz w:val="28"/>
          <w:szCs w:val="28"/>
          <w:lang w:val="es-ES"/>
        </w:rPr>
        <w:t>o al transformarlo en individual en torno a la autonomía de los indígenas y sus normas tradicionales. Finalmente, cuestionó que el decreto concediera asignaciones de funciones públicas a las autoridades indígenas sin el sustento legal suficiente, funciones</w:t>
      </w:r>
      <w:r w:rsidRPr="00D93140">
        <w:rPr>
          <w:rFonts w:ascii="Times New Roman" w:hAnsi="Times New Roman"/>
          <w:sz w:val="28"/>
          <w:szCs w:val="28"/>
          <w:lang w:val="es-ES"/>
        </w:rPr>
        <w:t xml:space="preserve"> que son competencia de los entes de control ya reconocidos y acreditados.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rPr>
        <w:t>Mesa Permanente de Concertación con los Pueblos y Organizaciones Indígenas - MPC</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lang w:val="es-ES"/>
        </w:rPr>
        <w:t xml:space="preserve">Intervino para solicitar la exequibilidad del Decreto demandado, señalando que el mismo, no es </w:t>
      </w:r>
      <w:r w:rsidRPr="00D93140">
        <w:rPr>
          <w:rFonts w:ascii="Times New Roman" w:hAnsi="Times New Roman"/>
          <w:sz w:val="28"/>
          <w:szCs w:val="28"/>
        </w:rPr>
        <w:t xml:space="preserve">un instrumento aislado ni un capricho unilateral del Ejecutivo, sino la materialización de un proceso de deliberación intercultural y construcción normativa participativa, durante más de una década entre el Estado colombiano y los pueblos indígenas.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En primer lugar, hace referencia al contexto histórico de este Decreto, luego a los territorios indígenas y la estructura del Estado Colombiano. Seguidamente, y como tema transversal para la resolución del problema jurídico planteado por los accionantes, s</w:t>
      </w:r>
      <w:r w:rsidRPr="00D93140">
        <w:rPr>
          <w:rFonts w:ascii="Times New Roman" w:hAnsi="Times New Roman"/>
          <w:sz w:val="28"/>
          <w:szCs w:val="28"/>
        </w:rPr>
        <w:t>e refiere a la primacía e integridad constitucional, solicitando una valoración integral para establecer si el desarrollo legislativo de la estructura orgánica político administrativa establecidas en el artículo 286 superior se ha desarrollado de manera in</w:t>
      </w:r>
      <w:r w:rsidRPr="00D93140">
        <w:rPr>
          <w:rFonts w:ascii="Times New Roman" w:hAnsi="Times New Roman"/>
          <w:sz w:val="28"/>
          <w:szCs w:val="28"/>
        </w:rPr>
        <w:t>tegral por el Congreso de la República o, si por el contrario, el legislador ordinario ha omitido sus deberes, “incurriendo en una vía de hecho mediante la cual se ha configurado una ‘mutación’ del texto constitucional, vulnerando los pilares del Estado So</w:t>
      </w:r>
      <w:r w:rsidRPr="00D93140">
        <w:rPr>
          <w:rFonts w:ascii="Times New Roman" w:hAnsi="Times New Roman"/>
          <w:sz w:val="28"/>
          <w:szCs w:val="28"/>
        </w:rPr>
        <w:t>cial de Derecho y negando la supremacía constitucional”</w:t>
      </w:r>
      <w:r w:rsidRPr="00D93140">
        <w:rPr>
          <w:rStyle w:val="Refdenotaalpie"/>
          <w:rFonts w:ascii="Times New Roman" w:hAnsi="Times New Roman"/>
          <w:sz w:val="28"/>
          <w:szCs w:val="28"/>
        </w:rPr>
        <w:footnoteReference w:id="141"/>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Al respecto, señaló que esta mutación constitucional se da cuando las prácticas de los órganos del Estado son contrarias a la Carta Política, contribuyendo a la imposibilidad de ejercer las atribuc</w:t>
      </w:r>
      <w:r w:rsidRPr="00D93140">
        <w:rPr>
          <w:rFonts w:ascii="Times New Roman" w:hAnsi="Times New Roman"/>
          <w:sz w:val="28"/>
          <w:szCs w:val="28"/>
          <w:lang w:val="es-ES"/>
        </w:rPr>
        <w:t>iones que en ella se asignan. Así, expuso que “</w:t>
      </w:r>
      <w:r w:rsidRPr="00D93140">
        <w:rPr>
          <w:rFonts w:ascii="Times New Roman" w:hAnsi="Times New Roman"/>
          <w:sz w:val="28"/>
          <w:szCs w:val="28"/>
        </w:rPr>
        <w:t>el Congreso de la República ha sido sistemáticamente renuente a expedir la Ley Orgánica que le ordena el artículo 329 para generar las condiciones requeridas en la formalización y delimitación de los Territori</w:t>
      </w:r>
      <w:r w:rsidRPr="00D93140">
        <w:rPr>
          <w:rFonts w:ascii="Times New Roman" w:hAnsi="Times New Roman"/>
          <w:sz w:val="28"/>
          <w:szCs w:val="28"/>
        </w:rPr>
        <w:t>os Indígenas como Entidades Territoriales, limitando el ejercicio pleno de los Pueblos Indígenas de sus derechos a la autonomía, el autogobierno y autodeterminación, entre otros; y por el contrario ha desarrollado normas que tien[d]en a fortalecer los regí</w:t>
      </w:r>
      <w:r w:rsidRPr="00D93140">
        <w:rPr>
          <w:rFonts w:ascii="Times New Roman" w:hAnsi="Times New Roman"/>
          <w:sz w:val="28"/>
          <w:szCs w:val="28"/>
        </w:rPr>
        <w:t>menes municipales, contrariando los principios constitucionales consagrados en el artículo 1 y 7 de la Carta”</w:t>
      </w:r>
      <w:r w:rsidRPr="00D93140">
        <w:rPr>
          <w:rStyle w:val="Refdenotaalpie"/>
          <w:rFonts w:ascii="Times New Roman" w:hAnsi="Times New Roman"/>
          <w:sz w:val="28"/>
          <w:szCs w:val="28"/>
        </w:rPr>
        <w:footnoteReference w:id="142"/>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ese escenario, consideró que el uso de las facultades constitucionales atribuidas al Gobierno Nacional en el artículo 56 transitorio, ejerci</w:t>
      </w:r>
      <w:r w:rsidRPr="00D93140">
        <w:rPr>
          <w:rFonts w:ascii="Times New Roman" w:hAnsi="Times New Roman"/>
          <w:sz w:val="28"/>
          <w:szCs w:val="28"/>
        </w:rPr>
        <w:t>das con la expedición del Decreto Ley demandado se corresponden con la obligación de asegurar los derechos y libertades de los pueblos indígenas, de conformidad con lo dispuesto en la Constitución y contribuye a evitar la consolidación de la mutación const</w:t>
      </w:r>
      <w:r w:rsidRPr="00D93140">
        <w:rPr>
          <w:rFonts w:ascii="Times New Roman" w:hAnsi="Times New Roman"/>
          <w:sz w:val="28"/>
          <w:szCs w:val="28"/>
        </w:rPr>
        <w:t xml:space="preserve">itucional por parte del Congreso de la República.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De otra parte, respecto de la vigencia del artículo 56 transitorio de la Constitución, indicó que esta norma tiene amplias facultades para suplir las omisiones jurídicas que se evidencia en la actualidad </w:t>
      </w:r>
      <w:r w:rsidRPr="00D93140">
        <w:rPr>
          <w:rFonts w:ascii="Times New Roman" w:hAnsi="Times New Roman"/>
          <w:sz w:val="28"/>
          <w:szCs w:val="28"/>
        </w:rPr>
        <w:t>y dar cumplimiento y profundidad a la normatividad existente en relación con los Territorios Indígenas. Ahora, en cuanto a las materias específicas relacionadas con el funcionamiento de los territorios indígenas, consideró que el demandante no precisó cuál</w:t>
      </w:r>
      <w:r w:rsidRPr="00D93140">
        <w:rPr>
          <w:rFonts w:ascii="Times New Roman" w:hAnsi="Times New Roman"/>
          <w:sz w:val="28"/>
          <w:szCs w:val="28"/>
        </w:rPr>
        <w:t xml:space="preserve">es serían, y solo insiste en que las relaciones ambientales no hacer parte de ellas, lo que no permite establecer que el ejecutivo ha excedido las facultades otorgadas.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Resaltó el interviniente que “respecto a las competencias ambientales, el Decreto 195</w:t>
      </w:r>
      <w:r w:rsidRPr="00D93140">
        <w:rPr>
          <w:rFonts w:ascii="Times New Roman" w:hAnsi="Times New Roman"/>
          <w:sz w:val="28"/>
          <w:szCs w:val="28"/>
        </w:rPr>
        <w:t>3 de 2015, ya revisado por la Corte Constitucional, establece explícitamente en su artículo 13 que los territorios indígenas tienen la facultad de “definir, ejecutar y evaluar las políticas económicas, sociales, ambientales y culturales propias en el marco</w:t>
      </w:r>
      <w:r w:rsidRPr="00D93140">
        <w:rPr>
          <w:rFonts w:ascii="Times New Roman" w:hAnsi="Times New Roman"/>
          <w:sz w:val="28"/>
          <w:szCs w:val="28"/>
        </w:rPr>
        <w:t xml:space="preserve"> de sus planes de vida”. Este antecedente jurídico demuestra claramente que el Ejecutivo puede utilizar legítimamente el artículo 56 transitorio para regular competencias ambientales sin vulnerar la reserva legal, siempre que se restrinja su ámbito de apli</w:t>
      </w:r>
      <w:r w:rsidRPr="00D93140">
        <w:rPr>
          <w:rFonts w:ascii="Times New Roman" w:hAnsi="Times New Roman"/>
          <w:sz w:val="28"/>
          <w:szCs w:val="28"/>
        </w:rPr>
        <w:t>cación a los territorios indígenas”</w:t>
      </w:r>
      <w:r w:rsidRPr="00D93140">
        <w:rPr>
          <w:rStyle w:val="Refdenotaalpie"/>
          <w:rFonts w:ascii="Times New Roman" w:hAnsi="Times New Roman"/>
          <w:sz w:val="28"/>
          <w:szCs w:val="28"/>
        </w:rPr>
        <w:footnoteReference w:id="143"/>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También hizo referencia al Decreto 632 de 2018, no mencionado en las demandas, el cual incluye en su artículo 5 la misma función de definición, ejecución y evaluación de políticas ambientales y en el artículo 4, un pr</w:t>
      </w:r>
      <w:r w:rsidRPr="00D93140">
        <w:rPr>
          <w:rFonts w:ascii="Times New Roman" w:hAnsi="Times New Roman"/>
          <w:sz w:val="28"/>
          <w:szCs w:val="28"/>
        </w:rPr>
        <w:t>incipio sobre diversidad cultural y ambiental. afirmando que “el Decreto 1275 de 2024 leído de manera integral, es solo una pieza más dentro del gran rompecabezas que desarrolla este principio y los mandatos constitucionales vigentes”</w:t>
      </w:r>
      <w:r w:rsidRPr="00D93140">
        <w:rPr>
          <w:rStyle w:val="Refdenotaalpie"/>
          <w:rFonts w:ascii="Times New Roman" w:hAnsi="Times New Roman"/>
          <w:sz w:val="28"/>
          <w:szCs w:val="28"/>
        </w:rPr>
        <w:footnoteReference w:id="144"/>
      </w:r>
      <w:r w:rsidRPr="00D93140">
        <w:rPr>
          <w:rFonts w:ascii="Times New Roman" w:hAnsi="Times New Roman"/>
          <w:sz w:val="28"/>
          <w:szCs w:val="28"/>
        </w:rPr>
        <w:t xml:space="preserve">.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Finalmente, alegó</w:t>
      </w:r>
      <w:r w:rsidRPr="00D93140">
        <w:rPr>
          <w:rFonts w:ascii="Times New Roman" w:hAnsi="Times New Roman"/>
          <w:sz w:val="28"/>
          <w:szCs w:val="28"/>
        </w:rPr>
        <w:t xml:space="preserve"> que la Corte ya ha definido la existencia de competencias ambientales ejercidas por las autoridades indígenas dentro del ordenamiento jurídico colombiano, a través de una lectura integral de la Constitución y la normatividad vigente en la época. Lo que ev</w:t>
      </w:r>
      <w:r w:rsidRPr="00D93140">
        <w:rPr>
          <w:rFonts w:ascii="Times New Roman" w:hAnsi="Times New Roman"/>
          <w:sz w:val="28"/>
          <w:szCs w:val="28"/>
        </w:rPr>
        <w:t>idencia claramente que el Decreto 1275 de 2024 desarrolla estas competencias y genera mecanismos e instrumentos legales que permitan la coordinación entre las autoridades correspondientes.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Ahora bien, en cuanto a la definición del interés general, el sent</w:t>
      </w:r>
      <w:r w:rsidRPr="00D93140">
        <w:rPr>
          <w:rFonts w:ascii="Times New Roman" w:hAnsi="Times New Roman"/>
          <w:sz w:val="28"/>
          <w:szCs w:val="28"/>
        </w:rPr>
        <w:t xml:space="preserve">ido del desarrollo contenido en el decreto 1275 de 2024 no puede entenderse como la manifestación especifica de un grupo poblacional, sino que es necesario verlo en toda su dimensión. De esta manera, la definición “eleva los estándares constitucionales al </w:t>
      </w:r>
      <w:r w:rsidRPr="00D93140">
        <w:rPr>
          <w:rFonts w:ascii="Times New Roman" w:hAnsi="Times New Roman"/>
          <w:sz w:val="28"/>
          <w:szCs w:val="28"/>
        </w:rPr>
        <w:t>armonizarlos con los mandatos de protección de la vida, la búsqueda la paz y la convivencia pacífica”</w:t>
      </w:r>
      <w:r w:rsidRPr="00D93140">
        <w:rPr>
          <w:rStyle w:val="Refdenotaalpie"/>
          <w:rFonts w:ascii="Times New Roman" w:hAnsi="Times New Roman"/>
          <w:sz w:val="28"/>
          <w:szCs w:val="28"/>
        </w:rPr>
        <w:footnoteReference w:id="145"/>
      </w:r>
      <w:r w:rsidRPr="00D93140">
        <w:rPr>
          <w:rFonts w:ascii="Times New Roman" w:hAnsi="Times New Roman"/>
          <w:sz w:val="28"/>
          <w:szCs w:val="28"/>
        </w:rPr>
        <w:t xml:space="preserve">.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Respecto de la afectación al debido proceso, aclaró el interviniente que el Decreto 1275 de 2024, recoge los precedentes jurisprudenciales de la Corte</w:t>
      </w:r>
      <w:r w:rsidRPr="00D93140">
        <w:rPr>
          <w:rFonts w:ascii="Times New Roman" w:hAnsi="Times New Roman"/>
          <w:sz w:val="28"/>
          <w:szCs w:val="28"/>
        </w:rPr>
        <w:t xml:space="preserve"> Constitucional en materia de coordinación interjurisdiccional y reglas para definir la competencia y determinación del fuero indígena. Por lo tanto, indicó que establecer la coordinación con entidades no es propio del Decreto 1275 de 2024 y reconoce el ej</w:t>
      </w:r>
      <w:r w:rsidRPr="00D93140">
        <w:rPr>
          <w:rFonts w:ascii="Times New Roman" w:hAnsi="Times New Roman"/>
          <w:sz w:val="28"/>
          <w:szCs w:val="28"/>
        </w:rPr>
        <w:t>ercicio de diálogo intercultural que se ha tenido desde la Jurisdicción Especial Indígena con las diferentes Jurisdicciones.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cuanto a la consulta previa, señaló que el Decreto 1275 de 2024 “es una expresión normativa que cristaliza uno de los más altos</w:t>
      </w:r>
      <w:r w:rsidRPr="00D93140">
        <w:rPr>
          <w:rFonts w:ascii="Times New Roman" w:hAnsi="Times New Roman"/>
          <w:sz w:val="28"/>
          <w:szCs w:val="28"/>
        </w:rPr>
        <w:t xml:space="preserve"> estándares de la democracia participativa e intercultural en Colombia: fue construido mediante un proceso genuino de consulta previa, libre e informada, bajo los principios constitucionales, el Convenio 169 de la OIT, y la jurisprudencia de la Corte Const</w:t>
      </w:r>
      <w:r w:rsidRPr="00D93140">
        <w:rPr>
          <w:rFonts w:ascii="Times New Roman" w:hAnsi="Times New Roman"/>
          <w:sz w:val="28"/>
          <w:szCs w:val="28"/>
        </w:rPr>
        <w:t>itucional”</w:t>
      </w:r>
      <w:r w:rsidRPr="00D93140">
        <w:rPr>
          <w:rStyle w:val="Refdenotaalpie"/>
          <w:rFonts w:ascii="Times New Roman" w:hAnsi="Times New Roman"/>
          <w:sz w:val="28"/>
          <w:szCs w:val="28"/>
        </w:rPr>
        <w:footnoteReference w:id="146"/>
      </w:r>
      <w:r w:rsidRPr="00D93140">
        <w:rPr>
          <w:rFonts w:ascii="Times New Roman" w:hAnsi="Times New Roman"/>
          <w:sz w:val="28"/>
          <w:szCs w:val="28"/>
        </w:rPr>
        <w:t xml:space="preserve">. A su juicio, este decreto materializa el derecho fundamental a la consulta previa en su máxima expresión al crearse entre el Estado y los pueblos indígenas, como una forma de maximizar su autonomía dentro del marco del pluralismo jurídico que </w:t>
      </w:r>
      <w:r w:rsidRPr="00D93140">
        <w:rPr>
          <w:rFonts w:ascii="Times New Roman" w:hAnsi="Times New Roman"/>
          <w:sz w:val="28"/>
          <w:szCs w:val="28"/>
        </w:rPr>
        <w:t>reconoce la Constitución de 1991.</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El Decreto 1275 de 2024 no es fruto de una improvisación normativa ni de una construcción unilateral por parte del Gobierno. Por el contrario, es el resultado de un proceso acumulado, continuo y concertado en el marco de </w:t>
      </w:r>
      <w:r w:rsidRPr="00D93140">
        <w:rPr>
          <w:rFonts w:ascii="Times New Roman" w:hAnsi="Times New Roman"/>
          <w:sz w:val="28"/>
          <w:szCs w:val="28"/>
        </w:rPr>
        <w:t>la Mesa Permanente de Concertación con los Pueblos y Organizaciones Indígenas (MPC), desde al menos el año 2011, con hitos formales como el acta de protocolización de abril de 2017 ￼, los acuerdos de diciembre de 2021, y finalmente, la sesión de protocoliz</w:t>
      </w:r>
      <w:r w:rsidRPr="00D93140">
        <w:rPr>
          <w:rFonts w:ascii="Times New Roman" w:hAnsi="Times New Roman"/>
          <w:sz w:val="28"/>
          <w:szCs w:val="28"/>
        </w:rPr>
        <w:t>ación formal del 5 de junio de 2024.</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aragraph"/>
        <w:numPr>
          <w:ilvl w:val="0"/>
          <w:numId w:val="2"/>
        </w:numPr>
        <w:spacing w:before="0" w:beforeAutospacing="0" w:after="0" w:afterAutospacing="0"/>
        <w:ind w:left="0" w:firstLine="0"/>
        <w:jc w:val="both"/>
        <w:textAlignment w:val="baseline"/>
        <w:rPr>
          <w:b/>
          <w:sz w:val="28"/>
          <w:szCs w:val="28"/>
          <w:lang w:val="es-ES"/>
        </w:rPr>
      </w:pPr>
      <w:r w:rsidRPr="00D93140">
        <w:rPr>
          <w:rStyle w:val="normaltextrun"/>
          <w:b/>
          <w:bCs/>
          <w:sz w:val="28"/>
          <w:szCs w:val="28"/>
        </w:rPr>
        <w:t>Universidad de Antioquia</w:t>
      </w:r>
      <w:r w:rsidRPr="00D93140">
        <w:rPr>
          <w:rStyle w:val="eop"/>
          <w:b/>
          <w:sz w:val="28"/>
          <w:szCs w:val="28"/>
          <w:lang w:val="es-ES"/>
        </w:rPr>
        <w:t> </w:t>
      </w:r>
    </w:p>
    <w:p w:rsidR="0022327A" w:rsidRPr="00D93140" w:rsidRDefault="00D93140" w:rsidP="0022327A">
      <w:pPr>
        <w:pStyle w:val="paragraph"/>
        <w:spacing w:before="0" w:beforeAutospacing="0" w:after="0" w:afterAutospacing="0"/>
        <w:jc w:val="both"/>
        <w:textAlignment w:val="baseline"/>
        <w:rPr>
          <w:sz w:val="28"/>
          <w:szCs w:val="28"/>
        </w:rPr>
      </w:pPr>
      <w:r w:rsidRPr="00D93140">
        <w:rPr>
          <w:rStyle w:val="eop"/>
          <w:sz w:val="28"/>
          <w:szCs w:val="28"/>
        </w:rPr>
        <w:t> </w:t>
      </w:r>
    </w:p>
    <w:p w:rsidR="0022327A" w:rsidRPr="00D93140" w:rsidRDefault="00D93140" w:rsidP="0022327A">
      <w:pPr>
        <w:pStyle w:val="paragraph"/>
        <w:spacing w:before="0" w:beforeAutospacing="0" w:after="0" w:afterAutospacing="0"/>
        <w:jc w:val="both"/>
        <w:textAlignment w:val="baseline"/>
        <w:rPr>
          <w:sz w:val="28"/>
          <w:szCs w:val="28"/>
          <w:lang w:val="es-ES"/>
        </w:rPr>
      </w:pPr>
      <w:r w:rsidRPr="00D93140">
        <w:rPr>
          <w:rStyle w:val="normaltextrun"/>
          <w:sz w:val="28"/>
          <w:szCs w:val="28"/>
        </w:rPr>
        <w:t>A través de los integrantes del semillero de investigación de estudios sobre minería de la Facultad de Derecho y Ciencias Políticas, la universidad intervino para para defender la constituci</w:t>
      </w:r>
      <w:r w:rsidRPr="00D93140">
        <w:rPr>
          <w:rStyle w:val="normaltextrun"/>
          <w:sz w:val="28"/>
          <w:szCs w:val="28"/>
        </w:rPr>
        <w:t>onalidad del Decreto 1275 de 2024 frente a los cargos admitidos de las dos demandas acumuladas en este proceso.</w:t>
      </w:r>
      <w:r w:rsidRPr="00D93140">
        <w:rPr>
          <w:rStyle w:val="eop"/>
          <w:sz w:val="28"/>
          <w:szCs w:val="28"/>
          <w:lang w:val="es-ES"/>
        </w:rPr>
        <w:t> </w:t>
      </w:r>
    </w:p>
    <w:p w:rsidR="0022327A" w:rsidRPr="00D93140" w:rsidRDefault="00D93140" w:rsidP="0022327A">
      <w:pPr>
        <w:pStyle w:val="paragraph"/>
        <w:spacing w:before="0" w:beforeAutospacing="0" w:after="0" w:afterAutospacing="0"/>
        <w:jc w:val="both"/>
        <w:textAlignment w:val="baseline"/>
        <w:rPr>
          <w:sz w:val="28"/>
          <w:szCs w:val="28"/>
          <w:lang w:val="es-ES"/>
        </w:rPr>
      </w:pPr>
      <w:r w:rsidRPr="00D93140">
        <w:rPr>
          <w:rStyle w:val="eop"/>
          <w:sz w:val="28"/>
          <w:szCs w:val="28"/>
          <w:lang w:val="es-ES"/>
        </w:rPr>
        <w:t> </w:t>
      </w:r>
    </w:p>
    <w:p w:rsidR="0022327A" w:rsidRPr="00D93140" w:rsidRDefault="00D93140" w:rsidP="0022327A">
      <w:pPr>
        <w:pStyle w:val="paragraph"/>
        <w:spacing w:before="0" w:beforeAutospacing="0" w:after="0" w:afterAutospacing="0"/>
        <w:jc w:val="both"/>
        <w:textAlignment w:val="baseline"/>
        <w:rPr>
          <w:rStyle w:val="eop"/>
          <w:sz w:val="28"/>
          <w:szCs w:val="28"/>
          <w:lang w:val="es-ES"/>
        </w:rPr>
      </w:pPr>
      <w:r w:rsidRPr="00D93140">
        <w:rPr>
          <w:rStyle w:val="normaltextrun"/>
          <w:i/>
          <w:iCs/>
          <w:sz w:val="28"/>
          <w:szCs w:val="28"/>
        </w:rPr>
        <w:t xml:space="preserve">Cargo por presunta vulneración del artículo 56 transitorio de la Constitución, dirigido contra la totalidad del Decreto 1275 de 2024 (cargo </w:t>
      </w:r>
      <w:r w:rsidRPr="00D93140">
        <w:rPr>
          <w:rStyle w:val="normaltextrun"/>
          <w:i/>
          <w:iCs/>
          <w:sz w:val="28"/>
          <w:szCs w:val="28"/>
        </w:rPr>
        <w:t>primero demanda D-16345 y cargo tercero demanda D-16396</w:t>
      </w:r>
      <w:r w:rsidRPr="00D93140">
        <w:rPr>
          <w:rStyle w:val="normaltextrun"/>
          <w:sz w:val="28"/>
          <w:szCs w:val="28"/>
        </w:rPr>
        <w:t>). Solicitó la inhibición de la Corte, por no cumplir los requisitos de claridad, certeza, especificidad y suficiencia.</w:t>
      </w:r>
      <w:r w:rsidRPr="00D93140">
        <w:rPr>
          <w:rStyle w:val="eop"/>
          <w:sz w:val="28"/>
          <w:szCs w:val="28"/>
          <w:lang w:val="es-ES"/>
        </w:rPr>
        <w:t xml:space="preserve"> </w:t>
      </w:r>
    </w:p>
    <w:p w:rsidR="0022327A" w:rsidRPr="00D93140" w:rsidRDefault="00D93140" w:rsidP="0022327A">
      <w:pPr>
        <w:pStyle w:val="paragraph"/>
        <w:spacing w:before="0" w:beforeAutospacing="0" w:after="0" w:afterAutospacing="0"/>
        <w:jc w:val="both"/>
        <w:textAlignment w:val="baseline"/>
        <w:rPr>
          <w:rStyle w:val="eop"/>
          <w:sz w:val="28"/>
          <w:szCs w:val="28"/>
          <w:lang w:val="es-ES"/>
        </w:rPr>
      </w:pPr>
    </w:p>
    <w:p w:rsidR="0022327A" w:rsidRPr="00D93140" w:rsidRDefault="00D93140" w:rsidP="0022327A">
      <w:pPr>
        <w:pStyle w:val="paragraph"/>
        <w:spacing w:before="0" w:beforeAutospacing="0" w:after="0" w:afterAutospacing="0"/>
        <w:jc w:val="both"/>
        <w:textAlignment w:val="baseline"/>
        <w:rPr>
          <w:sz w:val="28"/>
          <w:szCs w:val="28"/>
        </w:rPr>
      </w:pPr>
      <w:r w:rsidRPr="00D93140">
        <w:rPr>
          <w:rStyle w:val="eop"/>
          <w:sz w:val="28"/>
          <w:szCs w:val="28"/>
          <w:lang w:val="es-ES"/>
        </w:rPr>
        <w:t xml:space="preserve">En cuanto al </w:t>
      </w:r>
      <w:r w:rsidRPr="00D93140">
        <w:rPr>
          <w:sz w:val="28"/>
          <w:szCs w:val="28"/>
        </w:rPr>
        <w:t>primer cargo de la demanda D-16345, señaló que no cumple el presup</w:t>
      </w:r>
      <w:r w:rsidRPr="00D93140">
        <w:rPr>
          <w:sz w:val="28"/>
          <w:szCs w:val="28"/>
        </w:rPr>
        <w:t>uesto de certeza, al edificarse sobre una “lectura del artículo 56 transitorio que no se corresponde ni con lo que se desprende de su texto ni con el alcance dado al mismo no sólo en la Sentencia C-617 de 2015, sino en reiterados pronunciamientos en los qu</w:t>
      </w:r>
      <w:r w:rsidRPr="00D93140">
        <w:rPr>
          <w:sz w:val="28"/>
          <w:szCs w:val="28"/>
        </w:rPr>
        <w:t xml:space="preserve">e la Corte ha reiterado su interpretación relativa a la amplitud temática del artículo 56 transitorio y a que su agotamiento sólo se producirá una vez el Congreso expida la ley a la que se refiere el artículo 329 superior, condición que, a la fecha, no se </w:t>
      </w:r>
      <w:r w:rsidRPr="00D93140">
        <w:rPr>
          <w:sz w:val="28"/>
          <w:szCs w:val="28"/>
        </w:rPr>
        <w:t>ha cumplido”.</w:t>
      </w:r>
      <w:r w:rsidRPr="00D93140">
        <w:rPr>
          <w:rStyle w:val="Refdenotaalpie"/>
          <w:sz w:val="28"/>
          <w:szCs w:val="28"/>
        </w:rPr>
        <w:footnoteReference w:id="147"/>
      </w:r>
      <w:r w:rsidRPr="00D93140">
        <w:rPr>
          <w:sz w:val="28"/>
          <w:szCs w:val="28"/>
        </w:rPr>
        <w:t xml:space="preserve"> </w:t>
      </w:r>
    </w:p>
    <w:p w:rsidR="0022327A" w:rsidRPr="00D93140" w:rsidRDefault="00D93140" w:rsidP="0022327A">
      <w:pPr>
        <w:pStyle w:val="paragraph"/>
        <w:spacing w:before="0" w:beforeAutospacing="0" w:after="0" w:afterAutospacing="0"/>
        <w:jc w:val="both"/>
        <w:textAlignment w:val="baseline"/>
        <w:rPr>
          <w:sz w:val="28"/>
          <w:szCs w:val="28"/>
        </w:rPr>
      </w:pPr>
    </w:p>
    <w:p w:rsidR="0022327A" w:rsidRPr="00D93140" w:rsidRDefault="00D93140" w:rsidP="0022327A">
      <w:pPr>
        <w:pStyle w:val="paragraph"/>
        <w:spacing w:before="0" w:beforeAutospacing="0" w:after="0" w:afterAutospacing="0"/>
        <w:jc w:val="both"/>
        <w:textAlignment w:val="baseline"/>
        <w:rPr>
          <w:sz w:val="28"/>
          <w:szCs w:val="28"/>
        </w:rPr>
      </w:pPr>
      <w:r w:rsidRPr="00D93140">
        <w:rPr>
          <w:sz w:val="28"/>
          <w:szCs w:val="28"/>
        </w:rPr>
        <w:t>Consideró que el escrito de corrección, no suplió la falta de certeza evidenciada al llamar a un pronunciamiento sobre un presunto vacío ante el ejercicio de una competencia cuando ya se ha regulado, de manera integral, el funcionamiento d</w:t>
      </w:r>
      <w:r w:rsidRPr="00D93140">
        <w:rPr>
          <w:sz w:val="28"/>
          <w:szCs w:val="28"/>
        </w:rPr>
        <w:t>e los territorios indígenas bien sea mediante uno o varios decretos. Sin demostrar efectivamente que la regulación integral se produjo con los Decretos 1088 de 1993 y 1953 de 2014. Sin que pueda quedar claro, a juicio del interviniente, si la regulación in</w:t>
      </w:r>
      <w:r w:rsidRPr="00D93140">
        <w:rPr>
          <w:sz w:val="28"/>
          <w:szCs w:val="28"/>
        </w:rPr>
        <w:t>tegral se efectuó a través de los dos decretos antes mencionados o de la inexistente ley orgánica.</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En ese escenario, para el interviniente persiste la falta de </w:t>
      </w:r>
      <w:r w:rsidRPr="00D93140">
        <w:rPr>
          <w:rFonts w:ascii="Times New Roman" w:hAnsi="Times New Roman"/>
          <w:i/>
          <w:iCs/>
          <w:sz w:val="28"/>
          <w:szCs w:val="28"/>
        </w:rPr>
        <w:t xml:space="preserve">claridad, </w:t>
      </w:r>
      <w:r w:rsidRPr="00D93140">
        <w:rPr>
          <w:rFonts w:ascii="Times New Roman" w:hAnsi="Times New Roman"/>
          <w:sz w:val="28"/>
          <w:szCs w:val="28"/>
        </w:rPr>
        <w:t>derivada de las inconsistencias internas y de las falacias lógicas del cargo que torn</w:t>
      </w:r>
      <w:r w:rsidRPr="00D93140">
        <w:rPr>
          <w:rFonts w:ascii="Times New Roman" w:hAnsi="Times New Roman"/>
          <w:sz w:val="28"/>
          <w:szCs w:val="28"/>
        </w:rPr>
        <w:t xml:space="preserve">an ininteligible la argumentación. También alegó el incumplimiento de los presupuestos de </w:t>
      </w:r>
      <w:r w:rsidRPr="00D93140">
        <w:rPr>
          <w:rFonts w:ascii="Times New Roman" w:hAnsi="Times New Roman"/>
          <w:i/>
          <w:iCs/>
          <w:sz w:val="28"/>
          <w:szCs w:val="28"/>
        </w:rPr>
        <w:t xml:space="preserve">especificidad </w:t>
      </w:r>
      <w:r w:rsidRPr="00D93140">
        <w:rPr>
          <w:rFonts w:ascii="Times New Roman" w:hAnsi="Times New Roman"/>
          <w:sz w:val="28"/>
          <w:szCs w:val="28"/>
        </w:rPr>
        <w:t xml:space="preserve">y </w:t>
      </w:r>
      <w:r w:rsidRPr="00D93140">
        <w:rPr>
          <w:rFonts w:ascii="Times New Roman" w:hAnsi="Times New Roman"/>
          <w:i/>
          <w:iCs/>
          <w:sz w:val="28"/>
          <w:szCs w:val="28"/>
        </w:rPr>
        <w:t xml:space="preserve">suficiencia </w:t>
      </w:r>
      <w:r w:rsidRPr="00D93140">
        <w:rPr>
          <w:rFonts w:ascii="Times New Roman" w:hAnsi="Times New Roman"/>
          <w:sz w:val="28"/>
          <w:szCs w:val="28"/>
        </w:rPr>
        <w:t xml:space="preserve">pues no se evidencian razones que sustenten por qué las competencias ambientales demandadas no resultan esenciales para el funcionamiento </w:t>
      </w:r>
      <w:r w:rsidRPr="00D93140">
        <w:rPr>
          <w:rFonts w:ascii="Times New Roman" w:hAnsi="Times New Roman"/>
          <w:sz w:val="28"/>
          <w:szCs w:val="28"/>
        </w:rPr>
        <w:t>de los territorios indígenas. Señaló que en este caso, el accionante ha debido “completar su razonamiento con una tercera premisa que señalara cuáles serían aquellos elementos cuya regulación resulta necesaria para el funcionamiento de los territorios indí</w:t>
      </w:r>
      <w:r w:rsidRPr="00D93140">
        <w:rPr>
          <w:rFonts w:ascii="Times New Roman" w:hAnsi="Times New Roman"/>
          <w:sz w:val="28"/>
          <w:szCs w:val="28"/>
        </w:rPr>
        <w:t>genas”</w:t>
      </w:r>
      <w:r w:rsidRPr="00D93140">
        <w:rPr>
          <w:rStyle w:val="Refdenotaalpie"/>
          <w:rFonts w:ascii="Times New Roman" w:hAnsi="Times New Roman"/>
          <w:sz w:val="28"/>
          <w:szCs w:val="28"/>
        </w:rPr>
        <w:footnoteReference w:id="148"/>
      </w:r>
      <w:r w:rsidRPr="00D93140">
        <w:rPr>
          <w:rFonts w:ascii="Times New Roman" w:hAnsi="Times New Roman"/>
          <w:sz w:val="28"/>
          <w:szCs w:val="28"/>
        </w:rPr>
        <w:t xml:space="preserve">. Para lo cual debía, señaló, acudir al artículo 330 de la Constitución, que establece las funciones a cargo de las autoridades encargadas de gobernar los territorios indígenas.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En cuanto al tercer cargo de la demanda D-16396, señaló que el mismo </w:t>
      </w:r>
      <w:r w:rsidRPr="00D93140">
        <w:rPr>
          <w:rFonts w:ascii="Times New Roman" w:hAnsi="Times New Roman"/>
          <w:sz w:val="28"/>
          <w:szCs w:val="28"/>
        </w:rPr>
        <w:t>no era claro al no precisar si la acusación por infracción del artículo 56 superior se dirige contra la totalidad del Decreto 1275 de 2024 o contra los apartes de los artículos 1, 3, 4, 5 y 7 que son analizados en el escrito de corrección. Así mismo, tampo</w:t>
      </w:r>
      <w:r w:rsidRPr="00D93140">
        <w:rPr>
          <w:rFonts w:ascii="Times New Roman" w:hAnsi="Times New Roman"/>
          <w:sz w:val="28"/>
          <w:szCs w:val="28"/>
        </w:rPr>
        <w:t xml:space="preserve">co cumple el requisito de certeza ya que “la interpretación que el actor propone de la expresión ‘territorios indígenas’ contenida en el artículo 56 transitorio de la Constitución no encuentra sustento ni en las definiciones legales de dicha expresión, ni </w:t>
      </w:r>
      <w:r w:rsidRPr="00D93140">
        <w:rPr>
          <w:rFonts w:ascii="Times New Roman" w:hAnsi="Times New Roman"/>
          <w:sz w:val="28"/>
          <w:szCs w:val="28"/>
        </w:rPr>
        <w:t>en una comprensión sistemática de la misma a la luz de lo previsto en el artículo 330 superior, ni en el alcance fijado por la jurisprudencia constitucional cuando ha interpretado su significado en el contexto del artículo 56 transitorio”</w:t>
      </w:r>
      <w:r w:rsidRPr="00D93140">
        <w:rPr>
          <w:rStyle w:val="Refdenotaalpie"/>
          <w:rFonts w:ascii="Times New Roman" w:hAnsi="Times New Roman"/>
          <w:sz w:val="28"/>
          <w:szCs w:val="28"/>
        </w:rPr>
        <w:footnoteReference w:id="149"/>
      </w:r>
      <w:r w:rsidRPr="00D93140">
        <w:rPr>
          <w:rFonts w:ascii="Times New Roman" w:hAnsi="Times New Roman"/>
          <w:sz w:val="28"/>
          <w:szCs w:val="28"/>
        </w:rPr>
        <w:t xml:space="preserve">.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Respecto de l</w:t>
      </w:r>
      <w:r w:rsidRPr="00D93140">
        <w:rPr>
          <w:rFonts w:ascii="Times New Roman" w:hAnsi="Times New Roman"/>
          <w:sz w:val="28"/>
          <w:szCs w:val="28"/>
        </w:rPr>
        <w:t>a falta de especificidad, señala que el actor ha debido argumentar la radical separación que propone entre el funcionamiento de los territorios indígenas y la atribución de competencias a las autoridades indígenas. Lo anterior, de acuerdo con el intervinie</w:t>
      </w:r>
      <w:r w:rsidRPr="00D93140">
        <w:rPr>
          <w:rFonts w:ascii="Times New Roman" w:hAnsi="Times New Roman"/>
          <w:sz w:val="28"/>
          <w:szCs w:val="28"/>
        </w:rPr>
        <w:t>nte, afectó la satisfacción del presupuesto</w:t>
      </w: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 xml:space="preserve">de </w:t>
      </w:r>
      <w:r w:rsidRPr="00D93140">
        <w:rPr>
          <w:rFonts w:ascii="Times New Roman" w:hAnsi="Times New Roman"/>
          <w:i/>
          <w:iCs/>
          <w:sz w:val="28"/>
          <w:szCs w:val="28"/>
        </w:rPr>
        <w:t>suficiencia</w:t>
      </w:r>
      <w:r w:rsidRPr="00D93140">
        <w:rPr>
          <w:rFonts w:ascii="Times New Roman" w:hAnsi="Times New Roman"/>
          <w:sz w:val="28"/>
          <w:szCs w:val="28"/>
        </w:rPr>
        <w:t>, al no suscitarse una duda mínima sobre la inconstitucionalidad ni de la totalidad del Decreto 1275 de 2025 ni de los apartes específicos de sus artículos 1, 3, 4, 5 y 7.</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Sin perjuicio de lo anter</w:t>
      </w:r>
      <w:r w:rsidRPr="00D93140">
        <w:rPr>
          <w:rFonts w:ascii="Times New Roman" w:hAnsi="Times New Roman"/>
          <w:sz w:val="28"/>
          <w:szCs w:val="28"/>
          <w:lang w:val="es-ES"/>
        </w:rPr>
        <w:t>ior, el interviniente manifestó que de encontrarse apto el cargo, el mismo no tiene vocación de prosperar toda vez que (i) l</w:t>
      </w:r>
      <w:r w:rsidRPr="00D93140">
        <w:rPr>
          <w:rFonts w:ascii="Times New Roman" w:hAnsi="Times New Roman"/>
          <w:sz w:val="28"/>
          <w:szCs w:val="28"/>
        </w:rPr>
        <w:t xml:space="preserve">a competencia prevista en el artículo 56 transitorio de la Constitución no ha sido agotada, como se puede entender de los distintos </w:t>
      </w:r>
      <w:r w:rsidRPr="00D93140">
        <w:rPr>
          <w:rFonts w:ascii="Times New Roman" w:hAnsi="Times New Roman"/>
          <w:sz w:val="28"/>
          <w:szCs w:val="28"/>
        </w:rPr>
        <w:t>pronunciamientos de la Corte Constitucional; (ii) el ejercicio de competencias ambientales por parte de las autoridades indígenas es un componente necesario, y no accesorio, para el adecuado funcionamiento de los territorios indígenas. Ello, porque a la lu</w:t>
      </w:r>
      <w:r w:rsidRPr="00D93140">
        <w:rPr>
          <w:rFonts w:ascii="Times New Roman" w:hAnsi="Times New Roman"/>
          <w:sz w:val="28"/>
          <w:szCs w:val="28"/>
        </w:rPr>
        <w:t xml:space="preserve">z del artículo 330 de la Constitución y demás normas del bloque de constitucionalidad citadas, la regulación de las competencias ambientales de las autoridades indígenas y su coordinación con las demás entidades territoriales constituye un aspecto medular </w:t>
      </w:r>
      <w:r w:rsidRPr="00D93140">
        <w:rPr>
          <w:rFonts w:ascii="Times New Roman" w:hAnsi="Times New Roman"/>
          <w:sz w:val="28"/>
          <w:szCs w:val="28"/>
        </w:rPr>
        <w:t>de las normas relativas al funcionamiento de los territorios indígenas en el marco de los derechos a la autonomía y autogobierno reconocidos a los pueblos indígenas. (iii) Finalmente, el interviniente consideró que el reconocimiento de competencias ambient</w:t>
      </w:r>
      <w:r w:rsidRPr="00D93140">
        <w:rPr>
          <w:rFonts w:ascii="Times New Roman" w:hAnsi="Times New Roman"/>
          <w:sz w:val="28"/>
          <w:szCs w:val="28"/>
        </w:rPr>
        <w:t>ales a las autoridades de los territorios indígenas y el establecimiento de mecanismos de coordinación entre estas y otras autoridades no excede la habilitación legislativa otorgada al Gobierno nacional por el artículo 56 transitorio de la Constitución.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C</w:t>
      </w:r>
      <w:r w:rsidRPr="00D93140">
        <w:rPr>
          <w:rFonts w:ascii="Times New Roman" w:hAnsi="Times New Roman"/>
          <w:i/>
          <w:sz w:val="28"/>
          <w:szCs w:val="28"/>
          <w:lang w:val="es-ES"/>
        </w:rPr>
        <w:t>argo por presunta elusión de la reserva de ley orgánica (artículos 56 transitorio, 151 y 288 de la Constitución) dirigido contra los artículos 1 (parcial), 3 (literales f y h) 5 y 6 del Decreto 1275 (cargo segundo de la demanda D-16345).</w:t>
      </w:r>
      <w:r w:rsidRPr="00D93140">
        <w:rPr>
          <w:rFonts w:ascii="Times New Roman" w:hAnsi="Times New Roman"/>
          <w:sz w:val="28"/>
        </w:rPr>
        <w:t xml:space="preserve"> </w:t>
      </w:r>
      <w:r w:rsidRPr="00D93140">
        <w:rPr>
          <w:rFonts w:ascii="Times New Roman" w:hAnsi="Times New Roman"/>
          <w:sz w:val="28"/>
          <w:szCs w:val="28"/>
          <w:lang w:val="es-ES"/>
        </w:rPr>
        <w:t>Solicitó la inhibi</w:t>
      </w:r>
      <w:r w:rsidRPr="00D93140">
        <w:rPr>
          <w:rFonts w:ascii="Times New Roman" w:hAnsi="Times New Roman"/>
          <w:sz w:val="28"/>
          <w:szCs w:val="28"/>
          <w:lang w:val="es-ES"/>
        </w:rPr>
        <w:t xml:space="preserve">ción de la Corte y de manera subsidiaria, la exequibilidad de las normas cuestionadas.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Consideró que la premisa de este segundo cargo es similar a la del primer cargo de la demanda D-16345, por lo que los argumentos ya expuestos para sustentar el incumplimiento de especificidad y suficiencia sirven también para demostrar la ineptitud del que</w:t>
      </w:r>
      <w:r w:rsidRPr="00D93140">
        <w:rPr>
          <w:rFonts w:ascii="Times New Roman" w:hAnsi="Times New Roman"/>
          <w:sz w:val="28"/>
          <w:szCs w:val="28"/>
          <w:lang w:val="es-ES"/>
        </w:rPr>
        <w:t xml:space="preserve"> ahora se cuestiona. Así, insistió que el actor se limita a reiterar que las competencias ambientales no son necesarias para el funcionamiento de los territorios indígenas, sin ahondar en tal afirmación. Ante la falta de sustentación del cargo, el mismo no</w:t>
      </w:r>
      <w:r w:rsidRPr="00D93140">
        <w:rPr>
          <w:rFonts w:ascii="Times New Roman" w:hAnsi="Times New Roman"/>
          <w:sz w:val="28"/>
          <w:szCs w:val="28"/>
          <w:lang w:val="es-ES"/>
        </w:rPr>
        <w:t xml:space="preserve"> debe prosperar. Frente a la falta de certeza, señaló que la inferencia que hace el demandante no encuentra respaldo alguno en el literal H del artículo 3, y a que la misma sea contraria a la previsión del artículo 4 del Decreto, que circunscribe su ámbito</w:t>
      </w:r>
      <w:r w:rsidRPr="00D93140">
        <w:rPr>
          <w:rFonts w:ascii="Times New Roman" w:hAnsi="Times New Roman"/>
          <w:sz w:val="28"/>
          <w:szCs w:val="28"/>
          <w:lang w:val="es-ES"/>
        </w:rPr>
        <w:t xml:space="preserve"> de aplicación a los territorios indígenas.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todo caso, la Universidad alegó que el cargo no debe prosperar en tanto el Decreto 1275 de 2024 no desconoce ni se opone a la competencia del legislador orgánico para regular los relativo a la distribución de</w:t>
      </w:r>
      <w:r w:rsidRPr="00D93140">
        <w:rPr>
          <w:rFonts w:ascii="Times New Roman" w:hAnsi="Times New Roman"/>
          <w:sz w:val="28"/>
          <w:szCs w:val="28"/>
          <w:lang w:val="es-ES"/>
        </w:rPr>
        <w:t xml:space="preserve"> competencias entre entidades indígenas y entidades territoriales, entre ellas las competencias en materia ambiental. Lo anterior, en la medida en que existe una omisión legislativa absoluta en la materia que ha motivado al menos tres exhortos por parte de</w:t>
      </w:r>
      <w:r w:rsidRPr="00D93140">
        <w:rPr>
          <w:rFonts w:ascii="Times New Roman" w:hAnsi="Times New Roman"/>
          <w:sz w:val="28"/>
          <w:szCs w:val="28"/>
          <w:lang w:val="es-ES"/>
        </w:rPr>
        <w:t xml:space="preserve"> la Corte Constitucional en las sentencias C-489 de 2012, C-054 de 2023 y T-106 de 2025.</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 xml:space="preserve">Cargo por presunta vulneración del artículo 330 de la Constitución por los artículos 1º (parcial), 3º [literales (f) y (h)], 5º y 6º del Decreto 1275 de 2024 (tercer </w:t>
      </w:r>
      <w:r w:rsidRPr="00D93140">
        <w:rPr>
          <w:rFonts w:ascii="Times New Roman" w:hAnsi="Times New Roman"/>
          <w:i/>
          <w:sz w:val="28"/>
          <w:szCs w:val="28"/>
          <w:lang w:val="es-ES"/>
        </w:rPr>
        <w:t>cargo de la demanda D-16345)</w:t>
      </w:r>
      <w:r w:rsidRPr="00D93140">
        <w:rPr>
          <w:rFonts w:ascii="Times New Roman" w:hAnsi="Times New Roman"/>
          <w:sz w:val="28"/>
          <w:szCs w:val="28"/>
          <w:lang w:val="es-ES"/>
        </w:rPr>
        <w:t>. El interviniente solicitó la inhibición de la Corte y de manera subsidiaria, la exequibilidad del Decreto.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cuanto a la inhibición, expresó que este cargo no satisface los requisitos de especificidad y suficiencia. Indicó q</w:t>
      </w:r>
      <w:r w:rsidRPr="00D93140">
        <w:rPr>
          <w:rFonts w:ascii="Times New Roman" w:hAnsi="Times New Roman"/>
          <w:sz w:val="28"/>
          <w:szCs w:val="28"/>
          <w:lang w:val="es-ES"/>
        </w:rPr>
        <w:t>ue, en criterio del demandante, el artículo 330 de la Constitución no otorga competencias normativas ambientales a las autoridades indígenas, sino únicamente la función de “velar” por la preservación de los recursos naturales, lo cual considera una cuestió</w:t>
      </w:r>
      <w:r w:rsidRPr="00D93140">
        <w:rPr>
          <w:rFonts w:ascii="Times New Roman" w:hAnsi="Times New Roman"/>
          <w:sz w:val="28"/>
          <w:szCs w:val="28"/>
          <w:lang w:val="es-ES"/>
        </w:rPr>
        <w:t xml:space="preserve">n de hecho y no de derecho. También, afirmó que las competencias normativas de las autoridades indígenas son taxativas y solo pueden ampliarse mediante decisión expresa del Legislador. Por tanto, el decreto demandado, al reconocer competencias ambientales </w:t>
      </w:r>
      <w:r w:rsidRPr="00D93140">
        <w:rPr>
          <w:rFonts w:ascii="Times New Roman" w:hAnsi="Times New Roman"/>
          <w:sz w:val="28"/>
          <w:szCs w:val="28"/>
          <w:lang w:val="es-ES"/>
        </w:rPr>
        <w:t>a dichas autoridades, desconocería el artículo 330 y la reserva de ley.</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tabs>
          <w:tab w:val="num" w:pos="720"/>
        </w:tabs>
        <w:spacing w:after="0" w:line="240" w:lineRule="auto"/>
        <w:jc w:val="both"/>
        <w:rPr>
          <w:rFonts w:ascii="Times New Roman" w:hAnsi="Times New Roman"/>
          <w:sz w:val="28"/>
          <w:szCs w:val="28"/>
        </w:rPr>
      </w:pPr>
      <w:r w:rsidRPr="00D93140">
        <w:rPr>
          <w:rFonts w:ascii="Times New Roman" w:hAnsi="Times New Roman"/>
          <w:sz w:val="28"/>
          <w:szCs w:val="28"/>
          <w:lang w:val="es-ES"/>
        </w:rPr>
        <w:t>Para el interviniente, el cargo carece de especificidad, ya que el demandante parte de una lectura equivocada del numeral 5 del artículo 330, reduciendo indebidamente su alcance. Seña</w:t>
      </w:r>
      <w:r w:rsidRPr="00D93140">
        <w:rPr>
          <w:rFonts w:ascii="Times New Roman" w:hAnsi="Times New Roman"/>
          <w:sz w:val="28"/>
          <w:szCs w:val="28"/>
          <w:lang w:val="es-ES"/>
        </w:rPr>
        <w:t xml:space="preserve">ló que dicho artículo sí reconoce competencias ambientales como parte del derecho a la autodeterminación de los pueblos indígenas, como puede entenderse de (i) la </w:t>
      </w:r>
      <w:r w:rsidRPr="00D93140">
        <w:rPr>
          <w:rFonts w:ascii="Times New Roman" w:hAnsi="Times New Roman"/>
          <w:bCs/>
          <w:sz w:val="28"/>
          <w:szCs w:val="28"/>
        </w:rPr>
        <w:t>Ley 21 de 1991</w:t>
      </w:r>
      <w:r w:rsidRPr="00D93140">
        <w:rPr>
          <w:rFonts w:ascii="Times New Roman" w:hAnsi="Times New Roman"/>
          <w:sz w:val="28"/>
          <w:szCs w:val="28"/>
        </w:rPr>
        <w:t>, que reconoce el derecho de los pueblos indígenas a decidir sus prioridades de</w:t>
      </w:r>
      <w:r w:rsidRPr="00D93140">
        <w:rPr>
          <w:rFonts w:ascii="Times New Roman" w:hAnsi="Times New Roman"/>
          <w:sz w:val="28"/>
          <w:szCs w:val="28"/>
        </w:rPr>
        <w:t xml:space="preserve"> desarrollo y a proteger el medio ambiente de sus territorios. (ii) los </w:t>
      </w:r>
      <w:r w:rsidRPr="00D93140">
        <w:rPr>
          <w:rFonts w:ascii="Times New Roman" w:hAnsi="Times New Roman"/>
          <w:bCs/>
          <w:sz w:val="28"/>
          <w:szCs w:val="28"/>
        </w:rPr>
        <w:t>Decretos 1320 de 1998, 1500 de 2018 y 632 de 2018</w:t>
      </w:r>
      <w:r w:rsidRPr="00D93140">
        <w:rPr>
          <w:rFonts w:ascii="Times New Roman" w:hAnsi="Times New Roman"/>
          <w:sz w:val="28"/>
          <w:szCs w:val="28"/>
        </w:rPr>
        <w:t>, que reconocen derechos de consulta previa, aplicación de la Ley de Origen y gobernanza ambiental indígena y, (iii) de la j</w:t>
      </w:r>
      <w:r w:rsidRPr="00D93140">
        <w:rPr>
          <w:rFonts w:ascii="Times New Roman" w:hAnsi="Times New Roman"/>
          <w:bCs/>
          <w:sz w:val="28"/>
          <w:szCs w:val="28"/>
        </w:rPr>
        <w:t>urisprudenc</w:t>
      </w:r>
      <w:r w:rsidRPr="00D93140">
        <w:rPr>
          <w:rFonts w:ascii="Times New Roman" w:hAnsi="Times New Roman"/>
          <w:bCs/>
          <w:sz w:val="28"/>
          <w:szCs w:val="28"/>
        </w:rPr>
        <w:t>ia constitucional</w:t>
      </w:r>
      <w:r w:rsidRPr="00D93140">
        <w:rPr>
          <w:rFonts w:ascii="Times New Roman" w:hAnsi="Times New Roman"/>
          <w:sz w:val="28"/>
          <w:szCs w:val="28"/>
        </w:rPr>
        <w:t>, que ha interpretado el artículo 330 como fundamento de las competencias ambientales de las autoridades indígenas.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ese escenario, alegó que la demanda no cumple con el requisito de suficiencia, al no presentar elementos de juicio nece</w:t>
      </w:r>
      <w:r w:rsidRPr="00D93140">
        <w:rPr>
          <w:rFonts w:ascii="Times New Roman" w:hAnsi="Times New Roman"/>
          <w:sz w:val="28"/>
          <w:szCs w:val="28"/>
          <w:lang w:val="es-ES"/>
        </w:rPr>
        <w:t>sarios para entablar un debate de naturaleza constitucional en contra de los artículos cuestionados y no logra, por tanto, despertar una duda siquiera mínima sobre la constitucionalidad de la norma impugnada que haga necesario un pronunciamiento de la Cort</w:t>
      </w:r>
      <w:r w:rsidRPr="00D93140">
        <w:rPr>
          <w:rFonts w:ascii="Times New Roman" w:hAnsi="Times New Roman"/>
          <w:sz w:val="28"/>
          <w:szCs w:val="28"/>
          <w:lang w:val="es-ES"/>
        </w:rPr>
        <w:t>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cuanto a la solicitud de exequibilidad, el interviniente expuso los siguientes argumentos: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primer lugar, hizo referencia al reconocimiento normativo y continuidad institucional. Indicó que las competencias ambientales de las autoridades indígena</w:t>
      </w:r>
      <w:r w:rsidRPr="00D93140">
        <w:rPr>
          <w:rFonts w:ascii="Times New Roman" w:hAnsi="Times New Roman"/>
          <w:sz w:val="28"/>
          <w:szCs w:val="28"/>
          <w:lang w:val="es-ES"/>
        </w:rPr>
        <w:t>s no son nuevas ni creadas por el decreto, sino que se derivan de normas del bloque de constitucionalidad, habilitaciones legales y reglamentarias previas. El decreto se limita a dar continuidad a un modelo de organización territorial sustentado en los pri</w:t>
      </w:r>
      <w:r w:rsidRPr="00D93140">
        <w:rPr>
          <w:rFonts w:ascii="Times New Roman" w:hAnsi="Times New Roman"/>
          <w:sz w:val="28"/>
          <w:szCs w:val="28"/>
          <w:lang w:val="es-ES"/>
        </w:rPr>
        <w:t>ncipios de autonomía, pluralismo jurídico, diversidad étnica y cultural, y autogobierno. Evidenció que desde 1991 las comunidades indígenas han ejercido competencias ambientales, incluyendo la participación en decisiones ambientales y procesos de consulta;</w:t>
      </w:r>
      <w:r w:rsidRPr="00D93140">
        <w:rPr>
          <w:rFonts w:ascii="Times New Roman" w:hAnsi="Times New Roman"/>
          <w:sz w:val="28"/>
          <w:szCs w:val="28"/>
          <w:lang w:val="es-ES"/>
        </w:rPr>
        <w:t xml:space="preserve"> facultades de regulación, sanción y gestión ambiental propia; inclusión en el Sistema Nacional Ambiental (SINA) y el ejercicio autónomo de la gestión ambiental desde el derecho propio.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En segundo lugar, hizo referencia a la jurisprudencia constitucional </w:t>
      </w:r>
      <w:r w:rsidRPr="00D93140">
        <w:rPr>
          <w:rFonts w:ascii="Times New Roman" w:hAnsi="Times New Roman"/>
          <w:sz w:val="28"/>
          <w:szCs w:val="28"/>
          <w:lang w:val="es-ES"/>
        </w:rPr>
        <w:t>que ha reconocido de manera pacífica y reiterada a las comunidades indígenas como autoridades ambientales, en desarrollo de los principios de pluralismo, autodeterminación y autogobierno. Esta línea jurisprudencial, dijo, constituye un precedente vinculant</w:t>
      </w:r>
      <w:r w:rsidRPr="00D93140">
        <w:rPr>
          <w:rFonts w:ascii="Times New Roman" w:hAnsi="Times New Roman"/>
          <w:sz w:val="28"/>
          <w:szCs w:val="28"/>
          <w:lang w:val="es-ES"/>
        </w:rPr>
        <w:t>e, por lo que se solicita mantener la coherencia interpretativa en esta decisión.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se pronunció sobre la indisolubilidad entre territorio y ambiente. Señaló que separar las competencias ambientales del funcionamiento de los territorios indígena</w:t>
      </w:r>
      <w:r w:rsidRPr="00D93140">
        <w:rPr>
          <w:rFonts w:ascii="Times New Roman" w:hAnsi="Times New Roman"/>
          <w:sz w:val="28"/>
          <w:szCs w:val="28"/>
          <w:lang w:val="es-ES"/>
        </w:rPr>
        <w:t>s vulnera los derechos a la libre determinación y autonomía. El ambiente es un componente esencial del territorio indígena, que incluye ecosistemas, zonas sagradas y redes bioculturales. Por tanto, el ejercicio del autogobierno implica necesariamente la re</w:t>
      </w:r>
      <w:r w:rsidRPr="00D93140">
        <w:rPr>
          <w:rFonts w:ascii="Times New Roman" w:hAnsi="Times New Roman"/>
          <w:sz w:val="28"/>
          <w:szCs w:val="28"/>
          <w:lang w:val="es-ES"/>
        </w:rPr>
        <w:t>gulación, manejo y protección ambiental conforme a sus sistemas jurídicos y cosmovisiones. En su criterio, el reconocimiento de las autoridades indígenas como instancias ambientales no es discrecional, sino un corolario obligatorio del artículo 330 constit</w:t>
      </w:r>
      <w:r w:rsidRPr="00D93140">
        <w:rPr>
          <w:rFonts w:ascii="Times New Roman" w:hAnsi="Times New Roman"/>
          <w:sz w:val="28"/>
          <w:szCs w:val="28"/>
          <w:lang w:val="es-ES"/>
        </w:rPr>
        <w:t>ucional y del derecho fundamental al territorio étnico en su dimensión ecológica, espiritual, cultural y normativa.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Cargo por presunta vulneración del artículo 1 de la Constitución relativo al interés general (quinto cargo de la demanda D-16345).</w:t>
      </w:r>
      <w:r w:rsidRPr="00D93140">
        <w:rPr>
          <w:rFonts w:ascii="Times New Roman" w:hAnsi="Times New Roman"/>
          <w:sz w:val="28"/>
          <w:szCs w:val="28"/>
          <w:lang w:val="es-ES"/>
        </w:rPr>
        <w:t xml:space="preserve"> La Unive</w:t>
      </w:r>
      <w:r w:rsidRPr="00D93140">
        <w:rPr>
          <w:rFonts w:ascii="Times New Roman" w:hAnsi="Times New Roman"/>
          <w:sz w:val="28"/>
          <w:szCs w:val="28"/>
          <w:lang w:val="es-ES"/>
        </w:rPr>
        <w:t>rsidad solicita la exequibilidad del artículo 2 del Decreto 1275, por considerar que el demandante parte de premisas no demostradas y prejuicios coloniales que desconocen el marco constitucional e internacional vigente.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su criterio, el artículo 2 del D</w:t>
      </w:r>
      <w:r w:rsidRPr="00D93140">
        <w:rPr>
          <w:rFonts w:ascii="Times New Roman" w:hAnsi="Times New Roman"/>
          <w:sz w:val="28"/>
          <w:szCs w:val="28"/>
          <w:lang w:val="es-ES"/>
        </w:rPr>
        <w:t>ecreto 1275 no vulnera el principio de interés general, sino que lo redefine en armonía con el pluralismo jurídico y la protección ambiental, conforme al marco constitucional y al bloque de constitucionalidad. Un enfoque en este sentido, reconoce a los pue</w:t>
      </w:r>
      <w:r w:rsidRPr="00D93140">
        <w:rPr>
          <w:rFonts w:ascii="Times New Roman" w:hAnsi="Times New Roman"/>
          <w:sz w:val="28"/>
          <w:szCs w:val="28"/>
          <w:lang w:val="es-ES"/>
        </w:rPr>
        <w:t>blos indígenas como autoridades ambientales, tal como lo establece la jurisprudencia constitucional en las Sentencias T-106 de 2025, C-389 de 2016 y T-286 de 2024, en virtud de su autonomía y su vínculo ancestral con los territorios.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Señaló el intervinien</w:t>
      </w:r>
      <w:r w:rsidRPr="00D93140">
        <w:rPr>
          <w:rFonts w:ascii="Times New Roman" w:hAnsi="Times New Roman"/>
          <w:sz w:val="28"/>
          <w:szCs w:val="28"/>
          <w:lang w:val="es-ES"/>
        </w:rPr>
        <w:t>te que la protección especial que la Constitución otorga a los pueblos étnicos responde a su histórica situación de vulnerabilidad derivada del racismo estructural y la exclusión colonial. Este reconocimiento no implica una desautorización para interpretar</w:t>
      </w:r>
      <w:r w:rsidRPr="00D93140">
        <w:rPr>
          <w:rFonts w:ascii="Times New Roman" w:hAnsi="Times New Roman"/>
          <w:sz w:val="28"/>
          <w:szCs w:val="28"/>
          <w:lang w:val="es-ES"/>
        </w:rPr>
        <w:t xml:space="preserve"> el interés general, sino que reafirma su papel como actores legítimos en la construcción de lo público.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Alegó que el demandante no logra demostrar cómo el artículo 2 expresaría un interés meramente particular, ni ofrece una definición sustantiva del </w:t>
      </w:r>
      <w:r w:rsidRPr="00D93140">
        <w:rPr>
          <w:rFonts w:ascii="Times New Roman" w:hAnsi="Times New Roman"/>
          <w:sz w:val="28"/>
          <w:szCs w:val="28"/>
          <w:lang w:val="es-ES"/>
        </w:rPr>
        <w:t>interés general en un Estado pluriétnico y multicultural. Contrario a lo planteado en la demanda, consideró que este artículo se alinea con instrumentos internacionales como el Convenio 169 de la OIT, la Declaración de Río sobre Medio Ambiente y Desarrollo</w:t>
      </w:r>
      <w:r w:rsidRPr="00D93140">
        <w:rPr>
          <w:rFonts w:ascii="Times New Roman" w:hAnsi="Times New Roman"/>
          <w:sz w:val="28"/>
          <w:szCs w:val="28"/>
          <w:lang w:val="es-ES"/>
        </w:rPr>
        <w:t>, y el Marco Global de Biodiversidad, que reconocen la eficacia de los pueblos indígenas en la gestión ambiental y promueven su participación activa en la toma de decisiones.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este sentido, concluyó que el artículo 2 debe declararse exequible, ya que fo</w:t>
      </w:r>
      <w:r w:rsidRPr="00D93140">
        <w:rPr>
          <w:rFonts w:ascii="Times New Roman" w:hAnsi="Times New Roman"/>
          <w:sz w:val="28"/>
          <w:szCs w:val="28"/>
          <w:lang w:val="es-ES"/>
        </w:rPr>
        <w:t>rtalece el principio de autonomía, promueve la conservación ambiental y reconoce la diversidad étnica como parte integral del interés general, conforme a los valores superiores de la Constitución y el derecho internacional.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 xml:space="preserve">Cargo por presunta vulneración </w:t>
      </w:r>
      <w:r w:rsidRPr="00D93140">
        <w:rPr>
          <w:rFonts w:ascii="Times New Roman" w:hAnsi="Times New Roman"/>
          <w:i/>
          <w:sz w:val="28"/>
          <w:szCs w:val="28"/>
          <w:lang w:val="es-ES"/>
        </w:rPr>
        <w:t>artículo 29 de la Constitución, dirigido contra el artículo 6 numeral 3 del Decreto 1275 de 2024 (cargos séptimo demanda D-16345 y D-16396)</w:t>
      </w:r>
      <w:r w:rsidRPr="00D93140">
        <w:rPr>
          <w:rFonts w:ascii="Times New Roman" w:hAnsi="Times New Roman"/>
          <w:sz w:val="28"/>
          <w:szCs w:val="28"/>
          <w:lang w:val="es-ES"/>
        </w:rPr>
        <w:t>.  El interviniente solicitó la inhibición de la Corte y de manera subsidiaria, la exequibilidad del artículo demanda</w:t>
      </w:r>
      <w:r w:rsidRPr="00D93140">
        <w:rPr>
          <w:rFonts w:ascii="Times New Roman" w:hAnsi="Times New Roman"/>
          <w:sz w:val="28"/>
          <w:szCs w:val="28"/>
          <w:lang w:val="es-ES"/>
        </w:rPr>
        <w:t>do.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Respecto de la inhibición, señaló que los cargos no cumplen con el requisito de certeza, ya que el contenido normativo contra el que dirigen su acusación no corresponde a una lectura literal de la disposición demandada ni con una interpretación razona</w:t>
      </w:r>
      <w:r w:rsidRPr="00D93140">
        <w:rPr>
          <w:rFonts w:ascii="Times New Roman" w:hAnsi="Times New Roman"/>
          <w:sz w:val="28"/>
          <w:szCs w:val="28"/>
          <w:lang w:val="es-ES"/>
        </w:rPr>
        <w:t>ble de la misma. En ambos casos, los accionantes consideran que las autoridades indígenas fijarán las sanciones de aquellas personas que no pertenecen a sus comunidades. Para el interviniente, este artículo no otorga competencias sancionatorias a las autor</w:t>
      </w:r>
      <w:r w:rsidRPr="00D93140">
        <w:rPr>
          <w:rFonts w:ascii="Times New Roman" w:hAnsi="Times New Roman"/>
          <w:sz w:val="28"/>
          <w:szCs w:val="28"/>
          <w:lang w:val="es-ES"/>
        </w:rPr>
        <w:t>idades indígenas sobre personas ajenas a su jurisdicción, sino que establece un deber de coordinación con las autoridades ambientales ordinarias.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ese escenario, aclaró que la norma distingue dos supuestos de hecho: (i) infracciones cometidas por miembr</w:t>
      </w:r>
      <w:r w:rsidRPr="00D93140">
        <w:rPr>
          <w:rFonts w:ascii="Times New Roman" w:hAnsi="Times New Roman"/>
          <w:sz w:val="28"/>
          <w:szCs w:val="28"/>
          <w:lang w:val="es-ES"/>
        </w:rPr>
        <w:t>os de comunidades indígenas, sujetos a sistemas normativos propios y (ii) infracciones cometidas por personas no indígenas, que se rigen por la normativa ambiental ordinaria. Ambos supuestos tienen ámbitos de aplicación diferenciados, y no deben confundirs</w:t>
      </w:r>
      <w:r w:rsidRPr="00D93140">
        <w:rPr>
          <w:rFonts w:ascii="Times New Roman" w:hAnsi="Times New Roman"/>
          <w:sz w:val="28"/>
          <w:szCs w:val="28"/>
          <w:lang w:val="es-ES"/>
        </w:rPr>
        <w:t xml:space="preserve">e. También expresó que el Decreto Ley 1275 no regula el procedimiento sancionatorio ambiental, ya que este ya está contemplado en normas como la Ley 1333 de 2009 y la Ley 1801 de 2016. Su verdadero objeto, dijo, es establecer normas para el funcionamiento </w:t>
      </w:r>
      <w:r w:rsidRPr="00D93140">
        <w:rPr>
          <w:rFonts w:ascii="Times New Roman" w:hAnsi="Times New Roman"/>
          <w:sz w:val="28"/>
          <w:szCs w:val="28"/>
          <w:lang w:val="es-ES"/>
        </w:rPr>
        <w:t>ambiental de los territorios indígenas, incluyendo el desarrollo de competencias ambientales de las autoridades indígenas y su coordinación efectiva con las autoridades ambientales ordinarias.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Así, concluyó que el cargo formulado por los demandantes carec</w:t>
      </w:r>
      <w:r w:rsidRPr="00D93140">
        <w:rPr>
          <w:rFonts w:ascii="Times New Roman" w:hAnsi="Times New Roman"/>
          <w:sz w:val="28"/>
          <w:szCs w:val="28"/>
          <w:lang w:val="es-ES"/>
        </w:rPr>
        <w:t>e de certeza y coherencia, y que la supuesta vaguedad de la norma se basa en una interpretación tergiversada de su contenido.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De otra parte, señaló que el artículo 6 demandado debe declararse exequible ya que el Decreto, no busca regular el procedimiento </w:t>
      </w:r>
      <w:r w:rsidRPr="00D93140">
        <w:rPr>
          <w:rFonts w:ascii="Times New Roman" w:hAnsi="Times New Roman"/>
          <w:sz w:val="28"/>
          <w:szCs w:val="28"/>
          <w:lang w:val="es-ES"/>
        </w:rPr>
        <w:t xml:space="preserve">sancionatorio ambiental, ya regulado por normas como la Ley 1333 de 2009 y la Ley 1801 de 2016, sino establecer el marco de funcionamiento ambiental de los territorios indígenas y la coordinación entre autoridades indígenas y ambientales ordinarias.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Des</w:t>
      </w:r>
      <w:r w:rsidRPr="00D93140">
        <w:rPr>
          <w:rFonts w:ascii="Times New Roman" w:hAnsi="Times New Roman"/>
          <w:sz w:val="28"/>
          <w:szCs w:val="28"/>
          <w:lang w:val="es-ES"/>
        </w:rPr>
        <w:t>tacó que el artículo 6 en su numeral 3, contempla dos escenarios: i) infracciones cometidas por miembros de comunidades indígenas, sujetas a los sistemas normativos propios, basados en la tradición oral y la memoria colectiva. La ausencia de una lista text</w:t>
      </w:r>
      <w:r w:rsidRPr="00D93140">
        <w:rPr>
          <w:rFonts w:ascii="Times New Roman" w:hAnsi="Times New Roman"/>
          <w:sz w:val="28"/>
          <w:szCs w:val="28"/>
          <w:lang w:val="es-ES"/>
        </w:rPr>
        <w:t>ual de conductas sancionables no vulnera los principios de legalidad y tipicidad, sino que respeta la autonomía y justicia propia de los pueblos indígenas. (ii) Infracciones cometidas por personas no indígenas, donde se aplica la normativa ambiental ordina</w:t>
      </w:r>
      <w:r w:rsidRPr="00D93140">
        <w:rPr>
          <w:rFonts w:ascii="Times New Roman" w:hAnsi="Times New Roman"/>
          <w:sz w:val="28"/>
          <w:szCs w:val="28"/>
          <w:lang w:val="es-ES"/>
        </w:rPr>
        <w:t>ria, y se exige coordinación entre autoridades indígenas y estatales para determinar la infracción, la sanción y el procedimiento correspondiente. Además, rechazó el argumento del ciudadano Bernal Pulido sobre la supuesta vulneración al principio de plenit</w:t>
      </w:r>
      <w:r w:rsidRPr="00D93140">
        <w:rPr>
          <w:rFonts w:ascii="Times New Roman" w:hAnsi="Times New Roman"/>
          <w:sz w:val="28"/>
          <w:szCs w:val="28"/>
          <w:lang w:val="es-ES"/>
        </w:rPr>
        <w:t>ud de formas propias, señalando que no es jurídicamente viable que una norma general imponga cómo deben sancionar los pueblos indígenas, ya que esto desconocería el carácter pluricultural del Estado colombiano.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Cargo por presunta vulneración de los artícu</w:t>
      </w:r>
      <w:r w:rsidRPr="00D93140">
        <w:rPr>
          <w:rFonts w:ascii="Times New Roman" w:hAnsi="Times New Roman"/>
          <w:i/>
          <w:sz w:val="28"/>
          <w:szCs w:val="28"/>
          <w:lang w:val="es-ES"/>
        </w:rPr>
        <w:t>los 151 y 334 de la Constitución por el artículo 10 del Decreto 1275 de 2024 (octavo cargo de la demanda D-16345)</w:t>
      </w:r>
      <w:r w:rsidRPr="00D93140">
        <w:rPr>
          <w:rFonts w:ascii="Times New Roman" w:hAnsi="Times New Roman"/>
          <w:sz w:val="28"/>
          <w:szCs w:val="28"/>
          <w:lang w:val="es-ES"/>
        </w:rPr>
        <w:t>. El interviniente solicitó la inhibición de la Corte.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La universidad consideró que el cargo no cumple con los requisitos mínimos de certeza, </w:t>
      </w:r>
      <w:r w:rsidRPr="00D93140">
        <w:rPr>
          <w:rFonts w:ascii="Times New Roman" w:hAnsi="Times New Roman"/>
          <w:sz w:val="28"/>
          <w:szCs w:val="28"/>
          <w:lang w:val="es-ES"/>
        </w:rPr>
        <w:t>especificidad y suficiencia exigidos. El demandante sostuvo que el artículo 10 del decreto establece una orden directa de gasto, lo que implicaría la necesidad de realizar un análisis de impacto fiscal, conforme al artículo 7 de la Ley 819 de 2003 y los ar</w:t>
      </w:r>
      <w:r w:rsidRPr="00D93140">
        <w:rPr>
          <w:rFonts w:ascii="Times New Roman" w:hAnsi="Times New Roman"/>
          <w:sz w:val="28"/>
          <w:szCs w:val="28"/>
          <w:lang w:val="es-ES"/>
        </w:rPr>
        <w:t>tículos 151 y 334 de la Constitución. Sin embargo, esta interpretación no se deriva del texto normativo, que en realidad tiene un carácter programático.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su criterio, la norma no ordena una apropiación presupuestal concreta, sino que establece una oblig</w:t>
      </w:r>
      <w:r w:rsidRPr="00D93140">
        <w:rPr>
          <w:rFonts w:ascii="Times New Roman" w:hAnsi="Times New Roman"/>
          <w:sz w:val="28"/>
          <w:szCs w:val="28"/>
          <w:lang w:val="es-ES"/>
        </w:rPr>
        <w:t>ación de coordinación interinstitucional para definir mecanismos y realizar acciones “necesarias”, lo cual no configura una orden imperativa de gasto. Así lo confirmaron el Ministerio de Hacienda y la Dirección General del Presupuesto Público Nacional en r</w:t>
      </w:r>
      <w:r w:rsidRPr="00D93140">
        <w:rPr>
          <w:rFonts w:ascii="Times New Roman" w:hAnsi="Times New Roman"/>
          <w:sz w:val="28"/>
          <w:szCs w:val="28"/>
          <w:lang w:val="es-ES"/>
        </w:rPr>
        <w:t>espuesta al auto de pruebas. Por tanto, el cargo formulado no parte de una proposición jurídica existente, sino de una lectura tergiversada del contenido normativo. En consecuencia, no se configura una verdadera controversia constitucional, lo que justific</w:t>
      </w:r>
      <w:r w:rsidRPr="00D93140">
        <w:rPr>
          <w:rFonts w:ascii="Times New Roman" w:hAnsi="Times New Roman"/>
          <w:sz w:val="28"/>
          <w:szCs w:val="28"/>
          <w:lang w:val="es-ES"/>
        </w:rPr>
        <w:t>a la solicitud de inhibición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Señaló que el cargo también incumple el requisito de especificidad, ya que no permite establecer una confrontación clara, objetiva y verificable entre el artículo 10 del Decreto 1275 de 2024 y los preceptos constitucionales in</w:t>
      </w:r>
      <w:r w:rsidRPr="00D93140">
        <w:rPr>
          <w:rFonts w:ascii="Times New Roman" w:hAnsi="Times New Roman"/>
          <w:sz w:val="28"/>
          <w:szCs w:val="28"/>
          <w:lang w:val="es-ES"/>
        </w:rPr>
        <w:t>vocados. El demandante no adecúa el parámetro de control al caso concreto, pues cita normas aplicables al trámite legislativo de leyes con contenido presupuestal (como el artículo 7 de la Ley Orgánica 819 de 2003 y el artículo 151 constitucional), sin expl</w:t>
      </w:r>
      <w:r w:rsidRPr="00D93140">
        <w:rPr>
          <w:rFonts w:ascii="Times New Roman" w:hAnsi="Times New Roman"/>
          <w:sz w:val="28"/>
          <w:szCs w:val="28"/>
          <w:lang w:val="es-ES"/>
        </w:rPr>
        <w:t>icar cómo estos requisitos serían exigibles en el contexto de un decreto con fuerza de ley, cuya expedición no involucra deliberación legislativa ni participación del Congreso.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Resaltó que en la Sentencia C-340 de 2024, la Corte aclaró que el análisis de </w:t>
      </w:r>
      <w:r w:rsidRPr="00D93140">
        <w:rPr>
          <w:rFonts w:ascii="Times New Roman" w:hAnsi="Times New Roman"/>
          <w:sz w:val="28"/>
          <w:szCs w:val="28"/>
          <w:lang w:val="es-ES"/>
        </w:rPr>
        <w:t>impacto fiscal tiene como propósito informar el debate legislativo, lo cual no aplica a los decretos, que se expiden sin ese proceso deliberativo. Por tanto, no es válido exigir el mismo estándar de análisis fiscal a un decreto como si fuera una ley orgáni</w:t>
      </w:r>
      <w:r w:rsidRPr="00D93140">
        <w:rPr>
          <w:rFonts w:ascii="Times New Roman" w:hAnsi="Times New Roman"/>
          <w:sz w:val="28"/>
          <w:szCs w:val="28"/>
          <w:lang w:val="es-ES"/>
        </w:rPr>
        <w:t>ca. En este contexto, consideró que la demanda tampoco especifica en qué consiste el análisis de impacto fiscal, en qué etapa debió surtirse, cómo debió publicitarse. En consecuencia, no se configura una acusación constitucional concreta, sino una afirmaci</w:t>
      </w:r>
      <w:r w:rsidRPr="00D93140">
        <w:rPr>
          <w:rFonts w:ascii="Times New Roman" w:hAnsi="Times New Roman"/>
          <w:sz w:val="28"/>
          <w:szCs w:val="28"/>
          <w:lang w:val="es-ES"/>
        </w:rPr>
        <w:t>ón genérica e imprecisa que no permite evaluar la constitucionalidad del artículo 10 bajo un parámetro normativo adecuado. Esto a su vez, genera el incumplimiento de la exigencia de suficiencia.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Cargo por presunta vulneración del artículo 6 del Convenio 1</w:t>
      </w:r>
      <w:r w:rsidRPr="00D93140">
        <w:rPr>
          <w:rFonts w:ascii="Times New Roman" w:hAnsi="Times New Roman"/>
          <w:i/>
          <w:sz w:val="28"/>
          <w:szCs w:val="28"/>
          <w:lang w:val="es-ES"/>
        </w:rPr>
        <w:t>69 de la OIT (cargo 1 demanda D-16396)</w:t>
      </w:r>
      <w:r w:rsidRPr="00D93140">
        <w:rPr>
          <w:rFonts w:ascii="Times New Roman" w:hAnsi="Times New Roman"/>
          <w:sz w:val="28"/>
          <w:szCs w:val="28"/>
          <w:lang w:val="es-ES"/>
        </w:rPr>
        <w:t xml:space="preserve">. Solicitó la inhibición de la Corte para pronunciarse sobre este cargo y de manera subsidiaria, la exequibilidad del mismo.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Señaló que el cargo relacionado con la falta de consulta previa a las comunidades indígenas</w:t>
      </w:r>
      <w:r w:rsidRPr="00D93140">
        <w:rPr>
          <w:rFonts w:ascii="Times New Roman" w:hAnsi="Times New Roman"/>
          <w:sz w:val="28"/>
          <w:szCs w:val="28"/>
          <w:lang w:val="es-ES"/>
        </w:rPr>
        <w:t xml:space="preserve"> no cumple con los requisitos de certeza y suficiencia exigidos por la jurisprudencia constitucional para el concepto de violación. Indicó que la presunta ausencia de consulta previa se basa en conjeturas del demandante, quien deduce la inexistencia del pr</w:t>
      </w:r>
      <w:r w:rsidRPr="00D93140">
        <w:rPr>
          <w:rFonts w:ascii="Times New Roman" w:hAnsi="Times New Roman"/>
          <w:sz w:val="28"/>
          <w:szCs w:val="28"/>
          <w:lang w:val="es-ES"/>
        </w:rPr>
        <w:t>oceso de consulta a partir de una respuesta sobre una base de datos. Esta inferencia no constituye una prueba suficiente de que no se haya realizado la consulta, ya que este proceso implica un esfuerzo genuino de concertación, más allá de un trámite formal</w:t>
      </w:r>
      <w:r w:rsidRPr="00D93140">
        <w:rPr>
          <w:rFonts w:ascii="Times New Roman" w:hAnsi="Times New Roman"/>
          <w:sz w:val="28"/>
          <w:szCs w:val="28"/>
          <w:lang w:val="es-ES"/>
        </w:rPr>
        <w:t xml:space="preserve"> de conformidad con la SU-123 de 2018.</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Además, resaltó que la Corte ha reiterado que la consulta previa debe ser flexible y adaptada a las particularidades de cada caso (sentencias SU-123 de 2018, C-461 de 2008, C-175 de 2009), respetando los usos y costu</w:t>
      </w:r>
      <w:r w:rsidRPr="00D93140">
        <w:rPr>
          <w:rFonts w:ascii="Times New Roman" w:hAnsi="Times New Roman"/>
          <w:sz w:val="28"/>
          <w:szCs w:val="28"/>
          <w:lang w:val="es-ES"/>
        </w:rPr>
        <w:t>mbres de los pueblos indígenas. En su criterio, el demandante omitió considerar estos elementos, lo que debilita su argumento. También ignoró la participación de la MPC, instancia reconocida por la Corte como mecanismo válido para la consulta previa. El De</w:t>
      </w:r>
      <w:r w:rsidRPr="00D93140">
        <w:rPr>
          <w:rFonts w:ascii="Times New Roman" w:hAnsi="Times New Roman"/>
          <w:sz w:val="28"/>
          <w:szCs w:val="28"/>
          <w:lang w:val="es-ES"/>
        </w:rPr>
        <w:t>creto 1397 de 1996 establece que la MPC debe concertar todas las decisiones administrativas y legislativas que puedan afectar a los pueblos indígenas.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este contexto, para la Universidad el cargo no aportó elementos de juicio que permitan generar una du</w:t>
      </w:r>
      <w:r w:rsidRPr="00D93140">
        <w:rPr>
          <w:rFonts w:ascii="Times New Roman" w:hAnsi="Times New Roman"/>
          <w:sz w:val="28"/>
          <w:szCs w:val="28"/>
          <w:lang w:val="es-ES"/>
        </w:rPr>
        <w:t>da razonable sobre la constitucionalidad del Decreto 1275 de 2024. Al omitir la participación de la MPC, el actor no presentó argumentos sólidos ni completos para sustentar la supuesta omisión de consulta.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Ahora, respecto de la falta de consulta previa a </w:t>
      </w:r>
      <w:r w:rsidRPr="00D93140">
        <w:rPr>
          <w:rFonts w:ascii="Times New Roman" w:hAnsi="Times New Roman"/>
          <w:sz w:val="28"/>
          <w:szCs w:val="28"/>
          <w:lang w:val="es-ES"/>
        </w:rPr>
        <w:t>comunidades NARP, indicó que no cumple con los requisitos de certeza y suficiencia exigidos por la jurisprudencia constitucional.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Alegó que el demandante no demuestra cómo el Decreto 1275 de 2024 afecta directamente a las comunidades NARP, ya que el ámbit</w:t>
      </w:r>
      <w:r w:rsidRPr="00D93140">
        <w:rPr>
          <w:rFonts w:ascii="Times New Roman" w:hAnsi="Times New Roman"/>
          <w:sz w:val="28"/>
          <w:szCs w:val="28"/>
          <w:lang w:val="es-ES"/>
        </w:rPr>
        <w:t>o de aplicación del decreto no las incluye. El actor infiere una afectación a partir de una supuesta reconfiguración de competencias ambientales, sin que el texto del decreto lo indique. Además, desconoce que las competencias ambientales de las comunidades</w:t>
      </w:r>
      <w:r w:rsidRPr="00D93140">
        <w:rPr>
          <w:rFonts w:ascii="Times New Roman" w:hAnsi="Times New Roman"/>
          <w:sz w:val="28"/>
          <w:szCs w:val="28"/>
          <w:lang w:val="es-ES"/>
        </w:rPr>
        <w:t xml:space="preserve"> indígenas tienen respaldo constitucional (art. 330.5 C.P.) y que el decreto se limita a desarrollar y coordinar dichas competencias ya existentes.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Bajo ese entendido, consideró que el cargo no presenta elementos mínimos de argumentación que permitan esta</w:t>
      </w:r>
      <w:r w:rsidRPr="00D93140">
        <w:rPr>
          <w:rFonts w:ascii="Times New Roman" w:hAnsi="Times New Roman"/>
          <w:sz w:val="28"/>
          <w:szCs w:val="28"/>
          <w:lang w:val="es-ES"/>
        </w:rPr>
        <w:t>blecer una posible afectación directa a las comunidades NARP. La jurisprudencia constitucional ha establecido que la consulta previa solo procede cuando hay evidencia de impacto directo (positivo o negativo) sobre las condiciones sociales, económicas, ambi</w:t>
      </w:r>
      <w:r w:rsidRPr="00D93140">
        <w:rPr>
          <w:rFonts w:ascii="Times New Roman" w:hAnsi="Times New Roman"/>
          <w:sz w:val="28"/>
          <w:szCs w:val="28"/>
          <w:lang w:val="es-ES"/>
        </w:rPr>
        <w:t>entales o culturales de una comunidad étnica, lo cual no se acredita en la demanda.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De otra parte, respecto de la exequibilidad del Decreto 1275 de 2024, señaló que el mismo fue elaborado con participación de las comunidades indígenas a través de la Mesa </w:t>
      </w:r>
      <w:r w:rsidRPr="00D93140">
        <w:rPr>
          <w:rFonts w:ascii="Times New Roman" w:hAnsi="Times New Roman"/>
          <w:sz w:val="28"/>
          <w:szCs w:val="28"/>
          <w:lang w:val="es-ES"/>
        </w:rPr>
        <w:t>Permanente de Concertación (MPC), instancia reconocida por la Corte como válida para procesos de consulta previa en medidas de alcance nacional de conformidad con la sentencia T-312 de 2019.  Además, aseguró que el Decreto no afecta negativamente a las com</w:t>
      </w:r>
      <w:r w:rsidRPr="00D93140">
        <w:rPr>
          <w:rFonts w:ascii="Times New Roman" w:hAnsi="Times New Roman"/>
          <w:sz w:val="28"/>
          <w:szCs w:val="28"/>
          <w:lang w:val="es-ES"/>
        </w:rPr>
        <w:t>unidades indígenas, sino que fortalece el reconocimiento de sus competencias ambientales, en desarrollo de los principios constitucionales de 1991.</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También, argumentó que la consulta se realizó de forma sustancial, garantizando el derecho a la participaci</w:t>
      </w:r>
      <w:r w:rsidRPr="00D93140">
        <w:rPr>
          <w:rFonts w:ascii="Times New Roman" w:hAnsi="Times New Roman"/>
          <w:sz w:val="28"/>
          <w:szCs w:val="28"/>
          <w:lang w:val="es-ES"/>
        </w:rPr>
        <w:t xml:space="preserve">ón política de los pueblos indígenas en decisiones que pueden incidir en sus derechos, respetando sus valores, costumbres y formas de organización. En cuanto al marco normativo aplicable, la universidad destacó que el Decreto 1397 de 1996 establece que la </w:t>
      </w:r>
      <w:r w:rsidRPr="00D93140">
        <w:rPr>
          <w:rFonts w:ascii="Times New Roman" w:hAnsi="Times New Roman"/>
          <w:sz w:val="28"/>
          <w:szCs w:val="28"/>
          <w:lang w:val="es-ES"/>
        </w:rPr>
        <w:t>MPC debe concertar decisiones relacionadas con el ordenamiento territorial indígena y el desarrollo de competencias otorgadas por el artículo transitorio 56 de la Constitución, lo cual se relaciona directamente con el contenido del Decreto 1275.</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Igualment</w:t>
      </w:r>
      <w:r w:rsidRPr="00D93140">
        <w:rPr>
          <w:rFonts w:ascii="Times New Roman" w:hAnsi="Times New Roman"/>
          <w:sz w:val="28"/>
          <w:szCs w:val="28"/>
          <w:lang w:val="es-ES"/>
        </w:rPr>
        <w:t>e, señaló que el Decreto no contempla planes, programas, proyectos ni obras que impacten directamente a las comunidades NARP. Su objeto es establecer medidas para el funcionamiento ambiental de los territorios indígenas y coordinar competencias entre autor</w:t>
      </w:r>
      <w:r w:rsidRPr="00D93140">
        <w:rPr>
          <w:rFonts w:ascii="Times New Roman" w:hAnsi="Times New Roman"/>
          <w:sz w:val="28"/>
          <w:szCs w:val="28"/>
          <w:lang w:val="es-ES"/>
        </w:rPr>
        <w:t xml:space="preserve">idades, sin intervenir territorios NARP. La Corte ha establecido que la consulta previa solo es obligatoria cuando las medidas afectan directamente a las comunidades étnicas (C-030 de 2008, T-116 de 2011). Las disposiciones generales, como las del Decreto </w:t>
      </w:r>
      <w:r w:rsidRPr="00D93140">
        <w:rPr>
          <w:rFonts w:ascii="Times New Roman" w:hAnsi="Times New Roman"/>
          <w:sz w:val="28"/>
          <w:szCs w:val="28"/>
          <w:lang w:val="es-ES"/>
        </w:rPr>
        <w:t>1275, no requieren consulta previa si no hay afectación específica.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De esta manera, concluyó que este Decreto tiene un alcance general, orientado a fortalecer la gestión ambiental en territorios indígenas, sin establecer acciones concretas que impacten a </w:t>
      </w:r>
      <w:r w:rsidRPr="00D93140">
        <w:rPr>
          <w:rFonts w:ascii="Times New Roman" w:hAnsi="Times New Roman"/>
          <w:sz w:val="28"/>
          <w:szCs w:val="28"/>
          <w:lang w:val="es-ES"/>
        </w:rPr>
        <w:t>comunidades NARP. Por tanto, no se configura el supuesto constitucional ni convencional que activa la consulta previa.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Cargo por presunta vulneración los artículos 123 y 210 de la Constitución (cargo cuarto de la demanda D-16396); y por la presunta vulner</w:t>
      </w:r>
      <w:r w:rsidRPr="00D93140">
        <w:rPr>
          <w:rFonts w:ascii="Times New Roman" w:hAnsi="Times New Roman"/>
          <w:i/>
          <w:sz w:val="28"/>
          <w:szCs w:val="28"/>
          <w:lang w:val="es-ES"/>
        </w:rPr>
        <w:t>ación de los artículos 150-7, 325 y 331 de la Constitución (cargo cuarto demanda D-16345)</w:t>
      </w:r>
      <w:r w:rsidRPr="00D93140">
        <w:rPr>
          <w:rFonts w:ascii="Times New Roman" w:hAnsi="Times New Roman"/>
          <w:sz w:val="28"/>
          <w:szCs w:val="28"/>
          <w:lang w:val="es-ES"/>
        </w:rPr>
        <w:t>. Solicitó la inhibición de la Corte para pronunciarse sobre este cargo y de manera subsidiaria, la exequibilidad del mismo.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primer lugar, la universidad señaló se</w:t>
      </w:r>
      <w:r w:rsidRPr="00D93140">
        <w:rPr>
          <w:rFonts w:ascii="Times New Roman" w:hAnsi="Times New Roman"/>
          <w:sz w:val="28"/>
          <w:szCs w:val="28"/>
          <w:lang w:val="es-ES"/>
        </w:rPr>
        <w:t xml:space="preserve"> incumplen los presupuestos de claridad y certeza ya que el demandante no identifica claramente las normas del Decreto 1275 de 2024 que supuestamente violan los artículos 123 y 210 de la Constitución. De esta manera, no se presenta un reproche constitucion</w:t>
      </w:r>
      <w:r w:rsidRPr="00D93140">
        <w:rPr>
          <w:rFonts w:ascii="Times New Roman" w:hAnsi="Times New Roman"/>
          <w:sz w:val="28"/>
          <w:szCs w:val="28"/>
          <w:lang w:val="es-ES"/>
        </w:rPr>
        <w:t>al concreto ni se explica cómo el Decreto contradice dichos artículos.  Adicionalmente, indicó que se hizo una interpretación errónea de los artículos constitucionales 123 y 210 que permiten que los particulares ejerzan funciones públicas bajo regulación l</w:t>
      </w:r>
      <w:r w:rsidRPr="00D93140">
        <w:rPr>
          <w:rFonts w:ascii="Times New Roman" w:hAnsi="Times New Roman"/>
          <w:sz w:val="28"/>
          <w:szCs w:val="28"/>
          <w:lang w:val="es-ES"/>
        </w:rPr>
        <w:t>egal. El demandante interpreta que estas funciones deben estar “delimitadas”, sin explicar qué significa ni cuál es el alcance de esa exigencia.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Señaló además el interviniente que el demandante equipara a las autoridades indígenas con particulares, lo cua</w:t>
      </w:r>
      <w:r w:rsidRPr="00D93140">
        <w:rPr>
          <w:rFonts w:ascii="Times New Roman" w:hAnsi="Times New Roman"/>
          <w:sz w:val="28"/>
          <w:szCs w:val="28"/>
          <w:lang w:val="es-ES"/>
        </w:rPr>
        <w:t>l contradice los artículos 246, 329 y 330 de la Constitución y lo dispuesto en la jurisprudencia constitucional en las sentencias C-362 de 2023 y C-054 de 2023 que reconoce a las autoridades indígenas como autoridades públicas en ejercicio de su autogobier</w:t>
      </w:r>
      <w:r w:rsidRPr="00D93140">
        <w:rPr>
          <w:rFonts w:ascii="Times New Roman" w:hAnsi="Times New Roman"/>
          <w:sz w:val="28"/>
          <w:szCs w:val="28"/>
          <w:lang w:val="es-ES"/>
        </w:rPr>
        <w:t>no.  También, indicó que los artículos 123 y 210 de la Constitución no se refieren al SINA ni a la protección ambiental por parte de particulares y el Decreto no modifica ni subroga competencias del SINA ni de otras entidades del sistema ambiental. De modo</w:t>
      </w:r>
      <w:r w:rsidRPr="00D93140">
        <w:rPr>
          <w:rFonts w:ascii="Times New Roman" w:hAnsi="Times New Roman"/>
          <w:sz w:val="28"/>
          <w:szCs w:val="28"/>
          <w:lang w:val="es-ES"/>
        </w:rPr>
        <w:t xml:space="preserve"> que no existe certeza en su argumentación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cuanto a la pertinencia, consideró que el cargo se basa en argumentos legales y doctrinarios, no en un conflicto directo entre normas legales y preceptos constitucionales, lo cual lo hace improcedente según l</w:t>
      </w:r>
      <w:r w:rsidRPr="00D93140">
        <w:rPr>
          <w:rFonts w:ascii="Times New Roman" w:hAnsi="Times New Roman"/>
          <w:sz w:val="28"/>
          <w:szCs w:val="28"/>
          <w:lang w:val="es-ES"/>
        </w:rPr>
        <w:t>a sentencia C-1052 de 2001.</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De otra parte, el interviniente consideró que el decreto es exequible en cuanto las comunidades indígenas no pueden ser equiparadas a particulares. En efecto, dijo, la Corte Constitucional ha reconocido que las comunidades </w:t>
      </w:r>
      <w:r w:rsidRPr="00D93140">
        <w:rPr>
          <w:rFonts w:ascii="Times New Roman" w:hAnsi="Times New Roman"/>
          <w:sz w:val="28"/>
          <w:szCs w:val="28"/>
          <w:lang w:val="es-ES"/>
        </w:rPr>
        <w:t>indígenas tienen un estatus constitucional especial, lo que las sitúa fuera del ámbito de lo particular o privado. Este estatus se refleja en su capacidad para (i) elegir representantes mediante circunscripción especial (arts. 171 y 176 CP); (ii) ejercer f</w:t>
      </w:r>
      <w:r w:rsidRPr="00D93140">
        <w:rPr>
          <w:rFonts w:ascii="Times New Roman" w:hAnsi="Times New Roman"/>
          <w:sz w:val="28"/>
          <w:szCs w:val="28"/>
          <w:lang w:val="es-ES"/>
        </w:rPr>
        <w:t>unciones jurisdiccionales propias (art. 246 CP); (iii) gobernarse mediante sus propias autoridades y costumbres (art. 330 CP); (iv) poseer territorios colectivos con características especiales (arts. 63 y 329 CP). Además, en sentencias C-143 de 2023, C-054</w:t>
      </w:r>
      <w:r w:rsidRPr="00D93140">
        <w:rPr>
          <w:rFonts w:ascii="Times New Roman" w:hAnsi="Times New Roman"/>
          <w:sz w:val="28"/>
          <w:szCs w:val="28"/>
          <w:lang w:val="es-ES"/>
        </w:rPr>
        <w:t xml:space="preserve"> de 2023 y C-143 de 2014 ha reafirmado que las comunidades indígenas son sujetos colectivos con capacidad de autogobierno, y que sus autoridades ejercen funciones públicas dentro de sus territorios.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Así, explicó que las autoridades indígenas no son partic</w:t>
      </w:r>
      <w:r w:rsidRPr="00D93140">
        <w:rPr>
          <w:rFonts w:ascii="Times New Roman" w:hAnsi="Times New Roman"/>
          <w:sz w:val="28"/>
          <w:szCs w:val="28"/>
          <w:lang w:val="es-ES"/>
        </w:rPr>
        <w:t xml:space="preserve">ulares, sino autoridades públicas con funciones reconocidas constitucionalmente, y por tanto, el Decreto 1275 de 2024 no vulnera los artículos 123 y 210, que regulan la atribución de funciones públicas a particulares. Tampoco infringe los artículos 150-7, </w:t>
      </w:r>
      <w:r w:rsidRPr="00D93140">
        <w:rPr>
          <w:rFonts w:ascii="Times New Roman" w:hAnsi="Times New Roman"/>
          <w:sz w:val="28"/>
          <w:szCs w:val="28"/>
          <w:lang w:val="es-ES"/>
        </w:rPr>
        <w:t>325 y 331, ya que respeta el marco constitucional de autonomía territorial y organización administrativa.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De otra parte, consideró que el Decreto 1275 de 2024 no vacía las competencias de las autoridades del Sistema Nacional Ambiental (SINA), ni vulnera l</w:t>
      </w:r>
      <w:r w:rsidRPr="00D93140">
        <w:rPr>
          <w:rFonts w:ascii="Times New Roman" w:hAnsi="Times New Roman"/>
          <w:sz w:val="28"/>
          <w:szCs w:val="28"/>
          <w:lang w:val="es-ES"/>
        </w:rPr>
        <w:t>a autonomía de las Corporaciones Autónomas Regionales (CAR). Por el contrario, desarrolla constitucionalmente las competencias ambientales de las comunidades indígenas, conforme a los artículos 286, 287 y 330 de la Constitución.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Resaltó que el SINA está c</w:t>
      </w:r>
      <w:r w:rsidRPr="00D93140">
        <w:rPr>
          <w:rFonts w:ascii="Times New Roman" w:hAnsi="Times New Roman"/>
          <w:sz w:val="28"/>
          <w:szCs w:val="28"/>
          <w:lang w:val="es-ES"/>
        </w:rPr>
        <w:t xml:space="preserve">onformado por una diversidad de actores, públicos, privados, territoriales y étnicos, y su funcionamiento se basa en principios de coordinación, concurrencia y subsidiariedad, reconocidos por la Corte Constitucional. Aunque las CAR son la máxima autoridad </w:t>
      </w:r>
      <w:r w:rsidRPr="00D93140">
        <w:rPr>
          <w:rFonts w:ascii="Times New Roman" w:hAnsi="Times New Roman"/>
          <w:sz w:val="28"/>
          <w:szCs w:val="28"/>
          <w:lang w:val="es-ES"/>
        </w:rPr>
        <w:t>ambiental en sus jurisdicciones, deben aplicar estos principios en relación con otras entidades, incluidas las comunidades indígenas.  Por esta razón, el Decreto 1275 incorpora explícitamente estos principios desde su título y en artículos como el 1, 3(f),</w:t>
      </w:r>
      <w:r w:rsidRPr="00D93140">
        <w:rPr>
          <w:rFonts w:ascii="Times New Roman" w:hAnsi="Times New Roman"/>
          <w:sz w:val="28"/>
          <w:szCs w:val="28"/>
          <w:lang w:val="es-ES"/>
        </w:rPr>
        <w:t xml:space="preserve"> 5 y 7, estableciendo mecanismos de coordinación efectiva entre autoridades indígenas y demás entidades del SINA. Por tanto, no se produce una sustitución ni eliminación de competencias, sino una articulación armónica conforme al marco constitucional y jur</w:t>
      </w:r>
      <w:r w:rsidRPr="00D93140">
        <w:rPr>
          <w:rFonts w:ascii="Times New Roman" w:hAnsi="Times New Roman"/>
          <w:sz w:val="28"/>
          <w:szCs w:val="28"/>
          <w:lang w:val="es-ES"/>
        </w:rPr>
        <w:t>isprudencial vigente.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i/>
          <w:sz w:val="28"/>
          <w:szCs w:val="28"/>
          <w:lang w:val="es-ES"/>
        </w:rPr>
        <w:t>Cargo por la presunta vulneración del artículo 229 de la Constitución (cargo quinto demanda D-16396)</w:t>
      </w:r>
      <w:r w:rsidRPr="00D93140">
        <w:rPr>
          <w:rFonts w:ascii="Times New Roman" w:hAnsi="Times New Roman"/>
          <w:sz w:val="28"/>
          <w:szCs w:val="28"/>
          <w:lang w:val="es-ES"/>
        </w:rPr>
        <w:t>. Solicitó la inhibición de la Corte para pronunciarse sobre este cargo y de manera subsidiaria, la exequibilidad del mismo.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La univ</w:t>
      </w:r>
      <w:r w:rsidRPr="00D93140">
        <w:rPr>
          <w:rFonts w:ascii="Times New Roman" w:hAnsi="Times New Roman"/>
          <w:sz w:val="28"/>
          <w:szCs w:val="28"/>
          <w:lang w:val="es-ES"/>
        </w:rPr>
        <w:t>ersidad expuso que el cargo carece de claridad, ya que el demandante no precisa si su acusación se dirige contra todo el Decreto o solo contra los artículos 5 y 6. Esta ambigüedad impide saber con certeza qué normas están siendo impugnadas, lo cual es prob</w:t>
      </w:r>
      <w:r w:rsidRPr="00D93140">
        <w:rPr>
          <w:rFonts w:ascii="Times New Roman" w:hAnsi="Times New Roman"/>
          <w:sz w:val="28"/>
          <w:szCs w:val="28"/>
          <w:lang w:val="es-ES"/>
        </w:rPr>
        <w:t>lemático dado el carácter rogado del control constitucional. La Corte no puede pronunciarse sobre disposiciones no claramente controvertidas. Además, indicó que no se cumple la exigencia de certeza ya que se atribuye al Decreto un efecto normativo que no s</w:t>
      </w:r>
      <w:r w:rsidRPr="00D93140">
        <w:rPr>
          <w:rFonts w:ascii="Times New Roman" w:hAnsi="Times New Roman"/>
          <w:sz w:val="28"/>
          <w:szCs w:val="28"/>
          <w:lang w:val="es-ES"/>
        </w:rPr>
        <w:t>e desprende de su texto: la supuesta “sustracción” de las decisiones de autoridades indígenas del control judicial. Esta afirmación es incorrecta, ya que la ausencia de regulación expresa sobre mecanismos de control no implica inmunidad frente al orden jur</w:t>
      </w:r>
      <w:r w:rsidRPr="00D93140">
        <w:rPr>
          <w:rFonts w:ascii="Times New Roman" w:hAnsi="Times New Roman"/>
          <w:sz w:val="28"/>
          <w:szCs w:val="28"/>
          <w:lang w:val="es-ES"/>
        </w:rPr>
        <w:t>ídico. Las decisiones de autoridades indígenas pueden ser objeto de tutela (art. 86 CP), como lo reconoce ampliamente la jurisprudencia constitucional.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Igualmente, alegó que la conclusión del demandante se basa en una interpretación personal y no en el co</w:t>
      </w:r>
      <w:r w:rsidRPr="00D93140">
        <w:rPr>
          <w:rFonts w:ascii="Times New Roman" w:hAnsi="Times New Roman"/>
          <w:sz w:val="28"/>
          <w:szCs w:val="28"/>
          <w:lang w:val="es-ES"/>
        </w:rPr>
        <w:t xml:space="preserve">ntenido real del Decreto. No hay evidencia normativa de que el Decreto excluya el control judicial sobre las decisiones indígenas, por lo que el cargo carece de sustento objetivo.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Por otro lado, el interviniente cuestionó que el reproche puede estar rela</w:t>
      </w:r>
      <w:r w:rsidRPr="00D93140">
        <w:rPr>
          <w:rFonts w:ascii="Times New Roman" w:hAnsi="Times New Roman"/>
          <w:sz w:val="28"/>
          <w:szCs w:val="28"/>
          <w:lang w:val="es-ES"/>
        </w:rPr>
        <w:t>cionado con una inconstitucionalidad por omisión, evento en el que el cargo carecería también de especificidad y suficiencia. Lo es por cuanto la acusación no cumple con la carga argumentativa mínima que debe cumplirse en los casos en los que se plantea un</w:t>
      </w:r>
      <w:r w:rsidRPr="00D93140">
        <w:rPr>
          <w:rFonts w:ascii="Times New Roman" w:hAnsi="Times New Roman"/>
          <w:sz w:val="28"/>
          <w:szCs w:val="28"/>
          <w:lang w:val="es-ES"/>
        </w:rPr>
        <w:t xml:space="preserve"> cargo de inconstitucionalidad por omisión. Ello, porque el demandante no precisa si la omisión que imputa al Decreto (¿o a sus artículos 5 y 6?) es absoluta o relativa, cuestión necesaria para determinar si la Corte Constitucional es competente para pronu</w:t>
      </w:r>
      <w:r w:rsidRPr="00D93140">
        <w:rPr>
          <w:rFonts w:ascii="Times New Roman" w:hAnsi="Times New Roman"/>
          <w:sz w:val="28"/>
          <w:szCs w:val="28"/>
          <w:lang w:val="es-ES"/>
        </w:rPr>
        <w:t>nciarse al respecto pues, de acuerdo con la jurisprudencia constitucional, sólo las omisiones relativas son susceptibles de control constitucional.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la universidad solicitó que se declare exequible el Decreto 1275 de 2024, en la medida en que n</w:t>
      </w:r>
      <w:r w:rsidRPr="00D93140">
        <w:rPr>
          <w:rFonts w:ascii="Times New Roman" w:hAnsi="Times New Roman"/>
          <w:sz w:val="28"/>
          <w:szCs w:val="28"/>
          <w:lang w:val="es-ES"/>
        </w:rPr>
        <w:t>o crea nuevas competencias, sino que reconoce y regula el ejercicio ambiental que las autoridades indígenas han desarrollado históricamente, con base en el derecho propio, el Convenio 169 de la OIT, y los artículos 246 y 330 de la Constitución. Esta prácti</w:t>
      </w:r>
      <w:r w:rsidRPr="00D93140">
        <w:rPr>
          <w:rFonts w:ascii="Times New Roman" w:hAnsi="Times New Roman"/>
          <w:sz w:val="28"/>
          <w:szCs w:val="28"/>
          <w:lang w:val="es-ES"/>
        </w:rPr>
        <w:t>ca ha sido validada por la Corte Constitucional en múltiples sentencias como la T-693 de 2011, T-236 de 2012, T-286 de 2024 y T-106 de 2025, entre otras.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Además, señaló que no hay exclusión del control judicial, pues la ausencia de regulación expresa sobr</w:t>
      </w:r>
      <w:r w:rsidRPr="00D93140">
        <w:rPr>
          <w:rFonts w:ascii="Times New Roman" w:hAnsi="Times New Roman"/>
          <w:sz w:val="28"/>
          <w:szCs w:val="28"/>
          <w:lang w:val="es-ES"/>
        </w:rPr>
        <w:t>e mecanismos de control no implica inmunidad. Las decisiones de autoridades indígenas sí pueden ser controvertidas judicialmente, especialmente mediante la acción de tutela (art. 86 CP), como lo ha reconocido la jurisprudencia. Igualmente, indicó que el ar</w:t>
      </w:r>
      <w:r w:rsidRPr="00D93140">
        <w:rPr>
          <w:rFonts w:ascii="Times New Roman" w:hAnsi="Times New Roman"/>
          <w:sz w:val="28"/>
          <w:szCs w:val="28"/>
          <w:lang w:val="es-ES"/>
        </w:rPr>
        <w:t>tículo 229 superior no exige control contencioso-administrativo específico. En el marco del pluralismo jurídico, las decisiones indígenas pueden ser revisadas por otras vías judiciales, como la tutela, sin que ello implique vulneración del derecho de acces</w:t>
      </w:r>
      <w:r w:rsidRPr="00D93140">
        <w:rPr>
          <w:rFonts w:ascii="Times New Roman" w:hAnsi="Times New Roman"/>
          <w:sz w:val="28"/>
          <w:szCs w:val="28"/>
          <w:lang w:val="es-ES"/>
        </w:rPr>
        <w:t>o a la justicia.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Por último, resaltó que el Decreto 1275 respeta y fortalece el pluralismo jurídico al reconocer que las autoridades indígenas pueden ejercer funciones conforme a sus cosmovisiones, sin que ello excluya el control judicial. Esto no vulnera</w:t>
      </w:r>
      <w:r w:rsidRPr="00D93140">
        <w:rPr>
          <w:rFonts w:ascii="Times New Roman" w:hAnsi="Times New Roman"/>
          <w:sz w:val="28"/>
          <w:szCs w:val="28"/>
          <w:lang w:val="es-ES"/>
        </w:rPr>
        <w:t xml:space="preserve"> el artículo 229, sino que lo concretiza en un contexto de diversidad normativa y cultural.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Sociedad de Agricultores de Colombia - SAC</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La Sociedad de Agricultores de Colombia, en adelante SAC, a través de su presidente Jorge Enrique Bedoya Vizcaya, </w:t>
      </w:r>
      <w:r w:rsidRPr="00D93140">
        <w:rPr>
          <w:rFonts w:ascii="Times New Roman" w:hAnsi="Times New Roman"/>
          <w:sz w:val="28"/>
          <w:szCs w:val="28"/>
          <w:lang w:val="es-ES"/>
        </w:rPr>
        <w:t>presentó intervención solicitando la declaratoria de inconstitucionalidad parcial del Decreto 1275 de 2024, “Por el cual se establecen las normas requeridas para el funcionamiento de los territorios indígenas en materia ambiental y el desarrollo de las com</w:t>
      </w:r>
      <w:r w:rsidRPr="00D93140">
        <w:rPr>
          <w:rFonts w:ascii="Times New Roman" w:hAnsi="Times New Roman"/>
          <w:sz w:val="28"/>
          <w:szCs w:val="28"/>
          <w:lang w:val="es-ES"/>
        </w:rPr>
        <w:t>petencias ambientales de las autoridades indígenas y su coordinación efectiva con las demás autoridades y/o entidades”. Su postura se centró en dos argumentos específicos: la extralimitación de las facultades otorgadas al Gobierno Nacional en el artículo 5</w:t>
      </w:r>
      <w:r w:rsidRPr="00D93140">
        <w:rPr>
          <w:rFonts w:ascii="Times New Roman" w:hAnsi="Times New Roman"/>
          <w:sz w:val="28"/>
          <w:szCs w:val="28"/>
          <w:lang w:val="es-ES"/>
        </w:rPr>
        <w:t>6 transitorio de la Constitución Política y la vulneración del derecho al debido proceso consagrado en el artículo 29 superior, en particular, del principio de legalidad en su componente de tipicidad.</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relación con el primero, la SAC argumentó que el ar</w:t>
      </w:r>
      <w:r w:rsidRPr="00D93140">
        <w:rPr>
          <w:rFonts w:ascii="Times New Roman" w:hAnsi="Times New Roman"/>
          <w:sz w:val="28"/>
          <w:szCs w:val="28"/>
          <w:lang w:val="es-ES"/>
        </w:rPr>
        <w:t>tículo 56 transitorio faculta al Ejecutivo únicamente para dictar normas fiscales y de funcionamiento sobre “territorios indígenas” entendidos como entidades territoriales indígenas, tal como lo establecen los artículos 286, 289 y 329 constitucionales. Sin</w:t>
      </w:r>
      <w:r w:rsidRPr="00D93140">
        <w:rPr>
          <w:rFonts w:ascii="Times New Roman" w:hAnsi="Times New Roman"/>
          <w:sz w:val="28"/>
          <w:szCs w:val="28"/>
          <w:lang w:val="es-ES"/>
        </w:rPr>
        <w:t xml:space="preserve"> embargo, los artículos 4 y el segundo inciso del artículo 5 del Decreto 1275 amplían indebidamente su ámbito de aplicación para incluir figuras como resguardos, reservas indígenas, territorios ancestrales, territorialidades y áreas poseídas por comunidade</w:t>
      </w:r>
      <w:r w:rsidRPr="00D93140">
        <w:rPr>
          <w:rFonts w:ascii="Times New Roman" w:hAnsi="Times New Roman"/>
          <w:sz w:val="28"/>
          <w:szCs w:val="28"/>
          <w:lang w:val="es-ES"/>
        </w:rPr>
        <w:t>s con gobierno propio, que no ostentan la calidad de entidad territorial indígena. A juicio de la sociedad interviniente, esta extensión normativa otorga competencias de autoridad ambiental a sujetos no previstos por la Constitución, desbordando la faculta</w:t>
      </w:r>
      <w:r w:rsidRPr="00D93140">
        <w:rPr>
          <w:rFonts w:ascii="Times New Roman" w:hAnsi="Times New Roman"/>
          <w:sz w:val="28"/>
          <w:szCs w:val="28"/>
          <w:lang w:val="es-ES"/>
        </w:rPr>
        <w:t>d constitucional y contraviniendo el alcance fijado por la Corte Constitucional en precedentes como las sentencias C - 617 de 2015 y C - 1953 de 2014.</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cuanto al segundo, el interviniente cuestionó el numeral 3 del artículo 6 del Decreto 1275, que facul</w:t>
      </w:r>
      <w:r w:rsidRPr="00D93140">
        <w:rPr>
          <w:rFonts w:ascii="Times New Roman" w:hAnsi="Times New Roman"/>
          <w:sz w:val="28"/>
          <w:szCs w:val="28"/>
          <w:lang w:val="es-ES"/>
        </w:rPr>
        <w:t>ta a la autoridad ambiental competente a coordinar con la autoridad indígena respectiva la imposición de sanciones y medidas compensatorias frente a infracciones cometidas por personas no sometidas a la jurisdicción indígena. La SAC adviertió que esta disp</w:t>
      </w:r>
      <w:r w:rsidRPr="00D93140">
        <w:rPr>
          <w:rFonts w:ascii="Times New Roman" w:hAnsi="Times New Roman"/>
          <w:sz w:val="28"/>
          <w:szCs w:val="28"/>
          <w:lang w:val="es-ES"/>
        </w:rPr>
        <w:t>osición es vaga e indeterminada, pues no delimita de manera expresa las conductas sancionables ni las sanciones aplicables, lo que abre la posibilidad de imponer medidas no previstas en la ley. Ello, a su juicio, vulnera el principio de legalidad, en su di</w:t>
      </w:r>
      <w:r w:rsidRPr="00D93140">
        <w:rPr>
          <w:rFonts w:ascii="Times New Roman" w:hAnsi="Times New Roman"/>
          <w:sz w:val="28"/>
          <w:szCs w:val="28"/>
          <w:lang w:val="es-ES"/>
        </w:rPr>
        <w:t>mensión material y formal, y el principio de tipicidad, que exigen que tanto las conductas infractoras como las sanciones estén predeterminadas en una norma con rango de ley, conforme lo ha reiterado la Corte Constitucional en sentencias como la C - 242 de</w:t>
      </w:r>
      <w:r w:rsidRPr="00D93140">
        <w:rPr>
          <w:rFonts w:ascii="Times New Roman" w:hAnsi="Times New Roman"/>
          <w:sz w:val="28"/>
          <w:szCs w:val="28"/>
          <w:lang w:val="es-ES"/>
        </w:rPr>
        <w:t xml:space="preserve"> 2010, C - 412 de 2015 y C - 219 de 2017.</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síntesis, la SAC solicitó declarar la inexequibilidad del artículo 4, del segundo inciso del artículo 5 y del numeral 3 del artículo 6 del Decreto 1275 de 2024, por considerar que dichas disposiciones exceden l</w:t>
      </w:r>
      <w:r w:rsidRPr="00D93140">
        <w:rPr>
          <w:rFonts w:ascii="Times New Roman" w:hAnsi="Times New Roman"/>
          <w:sz w:val="28"/>
          <w:szCs w:val="28"/>
          <w:lang w:val="es-ES"/>
        </w:rPr>
        <w:t>as facultades conferidas al Ejecutivo en el artículo 56 transitorio y afectan garantías esenciales del debido proceso, al otorgar potestades ambientales y sancionatorias a sujetos no comprendidos en la noción constitucional de entidades territoriales indíg</w:t>
      </w:r>
      <w:r w:rsidRPr="00D93140">
        <w:rPr>
          <w:rFonts w:ascii="Times New Roman" w:hAnsi="Times New Roman"/>
          <w:sz w:val="28"/>
          <w:szCs w:val="28"/>
          <w:lang w:val="es-ES"/>
        </w:rPr>
        <w:t>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 xml:space="preserve">Asociación Nacional de Empresarios de Colombia - ANDI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La Asociación Nacional de Empresarios de Colombia, ANDI, intervino para solicitar a la Corte Constitucional declarar inexequible el Decreto 1275 de 2024 en su totalidad, o en su defecto, los ar</w:t>
      </w:r>
      <w:r w:rsidRPr="00D93140">
        <w:rPr>
          <w:rFonts w:ascii="Times New Roman" w:hAnsi="Times New Roman"/>
          <w:sz w:val="28"/>
          <w:szCs w:val="28"/>
          <w:lang w:val="es-ES"/>
        </w:rPr>
        <w:t>tículos 5, 6 y 7 parcialmente. Según la organización, esta norma desconoce la autonomía constitucional reconocida a las Corporaciones Autónomas Regionales (CAR), entendida como una garantía institucional prevista en los artículos 150.7, 325 y 331 de la Con</w:t>
      </w:r>
      <w:r w:rsidRPr="00D93140">
        <w:rPr>
          <w:rFonts w:ascii="Times New Roman" w:hAnsi="Times New Roman"/>
          <w:sz w:val="28"/>
          <w:szCs w:val="28"/>
          <w:lang w:val="es-ES"/>
        </w:rPr>
        <w:t>stitución y reiterada por la jurisprudencia de la Corte Constitucional.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La ANDI resaltó que las CAR, creadas por la Ley 99 de 1993 e integradas al Sistema Nacional Ambiental (SINA), poseen autonomía administrativa, financiera y funcional para actuar como </w:t>
      </w:r>
      <w:r w:rsidRPr="00D93140">
        <w:rPr>
          <w:rFonts w:ascii="Times New Roman" w:hAnsi="Times New Roman"/>
          <w:sz w:val="28"/>
          <w:szCs w:val="28"/>
          <w:lang w:val="es-ES"/>
        </w:rPr>
        <w:t>máximas autoridades ambientales en sus jurisdicciones. Esta condición impide que el legislador o el Gobierno reduzcan el contenido esencial de sus competencias, por lo que cualquier limitación debe respetar un mínimo de autonomía que garantice la protecció</w:t>
      </w:r>
      <w:r w:rsidRPr="00D93140">
        <w:rPr>
          <w:rFonts w:ascii="Times New Roman" w:hAnsi="Times New Roman"/>
          <w:sz w:val="28"/>
          <w:szCs w:val="28"/>
          <w:lang w:val="es-ES"/>
        </w:rPr>
        <w:t>n efectiva de los ecosistemas.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ese sentido, indicó que el Decreto 1275 otorga a las autoridades indígenas competencias ambientales autónomas en sus territorios, sin subordinación a las directrices del Ministerio de Ambiente ni de las CAR, y establece m</w:t>
      </w:r>
      <w:r w:rsidRPr="00D93140">
        <w:rPr>
          <w:rFonts w:ascii="Times New Roman" w:hAnsi="Times New Roman"/>
          <w:sz w:val="28"/>
          <w:szCs w:val="28"/>
          <w:lang w:val="es-ES"/>
        </w:rPr>
        <w:t>ecanismos de coordinación supeditados a sistemas normativos propios de las comunidades indígenas. Para la ANDI, este diseño fragmenta el SINA, desconoce los principios constitucionales de coordinación y subsidiariedad y genera un régimen paralelo que afect</w:t>
      </w:r>
      <w:r w:rsidRPr="00D93140">
        <w:rPr>
          <w:rFonts w:ascii="Times New Roman" w:hAnsi="Times New Roman"/>
          <w:sz w:val="28"/>
          <w:szCs w:val="28"/>
          <w:lang w:val="es-ES"/>
        </w:rPr>
        <w:t>a la coherencia institucional.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La intervención presentó tres casos que evidencian las consecuencias de esta regulación. En Nariño, el Resguardo Quillasinga autorizó el ingreso de maquinaria a un ecosistema protegido de la Laguna de la Cocha sin aval de Co</w:t>
      </w:r>
      <w:r w:rsidRPr="00D93140">
        <w:rPr>
          <w:rFonts w:ascii="Times New Roman" w:hAnsi="Times New Roman"/>
          <w:sz w:val="28"/>
          <w:szCs w:val="28"/>
          <w:lang w:val="es-ES"/>
        </w:rPr>
        <w:t>rponariño. En Guainía, el Resguardo Remanso Chorrobocón aprobó la sustracción de más de mil hectáreas de la Reserva Forestal Amazónica para minería, contrariando una decisión del Ministerio de Ambiente. En Córdoba, la comunidad Zenú de Puerto Libertador sa</w:t>
      </w:r>
      <w:r w:rsidRPr="00D93140">
        <w:rPr>
          <w:rFonts w:ascii="Times New Roman" w:hAnsi="Times New Roman"/>
          <w:sz w:val="28"/>
          <w:szCs w:val="28"/>
          <w:lang w:val="es-ES"/>
        </w:rPr>
        <w:t>ncionó a la CAR regional (CVS), excediendo competencias e introduciendo inseguridad jurídica. Según la ANDI, estos hechos no responden a aplicaciones erróneas del decreto, sino a su contenido normativo, que propicia superposición de competencias, debilitam</w:t>
      </w:r>
      <w:r w:rsidRPr="00D93140">
        <w:rPr>
          <w:rFonts w:ascii="Times New Roman" w:hAnsi="Times New Roman"/>
          <w:sz w:val="28"/>
          <w:szCs w:val="28"/>
          <w:lang w:val="es-ES"/>
        </w:rPr>
        <w:t>iento institucional y riesgos graves para ecosistemas estratégicos.</w:t>
      </w: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la organización concluyó que el Decreto 1275 de 2024 configura una autoridad desarticulada y autónoma dentro de la política nacional ambiental, lo que limita indebidamente a la</w:t>
      </w:r>
      <w:r w:rsidRPr="00D93140">
        <w:rPr>
          <w:rFonts w:ascii="Times New Roman" w:hAnsi="Times New Roman"/>
          <w:sz w:val="28"/>
          <w:szCs w:val="28"/>
          <w:lang w:val="es-ES"/>
        </w:rPr>
        <w:t>s CAR y vulnera la garantía institucional prevista en el artículo 150.7 de la Constitución. Por ello, solicitó a la Corte Constitucional excluir del ordenamiento los contenidos contrarios a la Carta, preservando la autonomía de las corporaciones y la coher</w:t>
      </w:r>
      <w:r w:rsidRPr="00D93140">
        <w:rPr>
          <w:rFonts w:ascii="Times New Roman" w:hAnsi="Times New Roman"/>
          <w:sz w:val="28"/>
          <w:szCs w:val="28"/>
          <w:lang w:val="es-ES"/>
        </w:rPr>
        <w:t>encia del Sistema Nacional Ambiental.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lang w:val="es-ES"/>
        </w:rPr>
      </w:pPr>
      <w:r w:rsidRPr="00D93140">
        <w:rPr>
          <w:rFonts w:ascii="Times New Roman" w:hAnsi="Times New Roman"/>
          <w:b/>
          <w:bCs/>
          <w:sz w:val="28"/>
          <w:szCs w:val="28"/>
        </w:rPr>
        <w:t>Amazon Conservation Team Colombia (ACT-COL)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La organización intervino para defender </w:t>
      </w:r>
      <w:r w:rsidRPr="00D93140">
        <w:rPr>
          <w:rFonts w:ascii="Times New Roman" w:hAnsi="Times New Roman"/>
          <w:sz w:val="28"/>
          <w:szCs w:val="28"/>
        </w:rPr>
        <w:t>la exequibilidad del Decreto Ley 1275 de 2024, en tanto representa un avance fundamental para el país en múltiples dimensiones.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Con</w:t>
      </w:r>
      <w:r w:rsidRPr="00D93140">
        <w:rPr>
          <w:rFonts w:ascii="Times New Roman" w:hAnsi="Times New Roman"/>
          <w:sz w:val="28"/>
          <w:szCs w:val="28"/>
        </w:rPr>
        <w:t>sideró en primer lugar que no desconocía el artículo 1 constitucional, por modificar la definición del interés general ya que la protección de los derechos de los pueblos indígenas en ningún caso puede ser visto como la materialización de un interés partic</w:t>
      </w:r>
      <w:r w:rsidRPr="00D93140">
        <w:rPr>
          <w:rFonts w:ascii="Times New Roman" w:hAnsi="Times New Roman"/>
          <w:sz w:val="28"/>
          <w:szCs w:val="28"/>
        </w:rPr>
        <w:t xml:space="preserve">ular. Consideró que el Decreto 1275 de 2024 no redefine el principio de interés general ni lo orienta exclusivamente hacia los intereses de los pueblos indígenas como grupo particular, sino que lo contextualiza en armonía con los mandatos constitucionales </w:t>
      </w:r>
      <w:r w:rsidRPr="00D93140">
        <w:rPr>
          <w:rFonts w:ascii="Times New Roman" w:hAnsi="Times New Roman"/>
          <w:sz w:val="28"/>
          <w:szCs w:val="28"/>
        </w:rPr>
        <w:t>que reconocen a Colombia como un Estado pluriétnico y multicultural, y que promueven la protección de la diversidad biológica, étnica y cultural.</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En segundo lugar, indicó que existe ineptitud sustantiva al carecer de certeza y especificidad del cargo por vulneración del artículo 56 transitorio por agotamiento de su vigencia. En su criterio, la premisa del actor es subjetiva y arbitraria, y no se sus</w:t>
      </w:r>
      <w:r w:rsidRPr="00D93140">
        <w:rPr>
          <w:rFonts w:ascii="Times New Roman" w:hAnsi="Times New Roman"/>
          <w:sz w:val="28"/>
          <w:szCs w:val="28"/>
        </w:rPr>
        <w:t>tenta en criterios constitucionales ni jurisprudenciales claros. De conformidad con la jurisprudencia, la competencia conferida al Ejecutivo por el artículo 56 transitorio es amplia, no limitada en número de decretos ni en tiempo, y solo se extingue cuando</w:t>
      </w:r>
      <w:r w:rsidRPr="00D93140">
        <w:rPr>
          <w:rFonts w:ascii="Times New Roman" w:hAnsi="Times New Roman"/>
          <w:sz w:val="28"/>
          <w:szCs w:val="28"/>
        </w:rPr>
        <w:t xml:space="preserve"> el Congreso expida la ley prevista en el artículo 329. Mientras esa ley no exista, aseguró, el Ejecutivo conserva su potestad normativa, incluso si el Congreso ha legislado parcialmente sobre temas relacionados.  En todo caso, presentó argumentos para des</w:t>
      </w:r>
      <w:r w:rsidRPr="00D93140">
        <w:rPr>
          <w:rFonts w:ascii="Times New Roman" w:hAnsi="Times New Roman"/>
          <w:sz w:val="28"/>
          <w:szCs w:val="28"/>
        </w:rPr>
        <w:t xml:space="preserve">virtuar la interpretación vaga e imprecisa del actor, la cual estimó incorrecta al limitar </w:t>
      </w:r>
      <w:r w:rsidRPr="00D93140">
        <w:rPr>
          <w:rFonts w:ascii="Times New Roman" w:hAnsi="Times New Roman"/>
          <w:sz w:val="28"/>
          <w:szCs w:val="28"/>
          <w:lang w:val="es-ES"/>
        </w:rPr>
        <w:t>indebidamente el alcance temático y temporal de la competencia otorgada al Ejecutivo por el artículo 56 transitorio de la Constitución, desconociendo su naturaleza p</w:t>
      </w:r>
      <w:r w:rsidRPr="00D93140">
        <w:rPr>
          <w:rFonts w:ascii="Times New Roman" w:hAnsi="Times New Roman"/>
          <w:sz w:val="28"/>
          <w:szCs w:val="28"/>
          <w:lang w:val="es-ES"/>
        </w:rPr>
        <w:t xml:space="preserve">rogresiva, amplia y condicionada. </w:t>
      </w:r>
      <w:r w:rsidRPr="00D93140">
        <w:rPr>
          <w:rFonts w:ascii="Times New Roman" w:hAnsi="Times New Roman"/>
          <w:sz w:val="28"/>
          <w:szCs w:val="28"/>
        </w:rPr>
        <w:t>Asimismo, indicó que entender como lo hace el accionante que ya se reguló “lo mínimo necesario”, es una visión restrictiva e hipotética. La jurisprudencia ha definido el alcance temático del artículo 56 transitorio como mu</w:t>
      </w:r>
      <w:r w:rsidRPr="00D93140">
        <w:rPr>
          <w:rFonts w:ascii="Times New Roman" w:hAnsi="Times New Roman"/>
          <w:sz w:val="28"/>
          <w:szCs w:val="28"/>
        </w:rPr>
        <w:t>cho más amplio, incluyendo aspectos culturales, sociales, políticos, ancestrales, económicos y ambientales.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En tercer lugar, respecto del cargo relacionado con la vulneración de los artículos 56 transitorio, 151 y 288 al desarrollar competencias ambiental</w:t>
      </w:r>
      <w:r w:rsidRPr="00D93140">
        <w:rPr>
          <w:rFonts w:ascii="Times New Roman" w:hAnsi="Times New Roman"/>
          <w:sz w:val="28"/>
          <w:szCs w:val="28"/>
        </w:rPr>
        <w:t>es de carácter normativo, excediendo la competencia y vulnerando reserva de ley orgánica, el interviniente señaló que el funcionamiento de los territorios indígenas involucra necesariamente el ejercicio de competencias tanto normativas como no normativas d</w:t>
      </w:r>
      <w:r w:rsidRPr="00D93140">
        <w:rPr>
          <w:rFonts w:ascii="Times New Roman" w:hAnsi="Times New Roman"/>
          <w:sz w:val="28"/>
          <w:szCs w:val="28"/>
        </w:rPr>
        <w:t>e sus autoridades frente a la gestión del territorio y del ambiente, de lo contrario, la norma se vaciaría de contenido y la puesta en funcionamiento carecería de sentido.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cuarto lugar, señaló que contrario a la interpretación del actor del artículo 33</w:t>
      </w:r>
      <w:r w:rsidRPr="00D93140">
        <w:rPr>
          <w:rFonts w:ascii="Times New Roman" w:hAnsi="Times New Roman"/>
          <w:sz w:val="28"/>
          <w:szCs w:val="28"/>
        </w:rPr>
        <w:t>0 superior, la Corte ha entendido que las autoridades indígenas de los Territorios Indígenas se encuentran investidas con competencias ambientales normativas frente a la protección del patrimonio ecológico en sus territorios. Además, que en cualquier caso,</w:t>
      </w:r>
      <w:r w:rsidRPr="00D93140">
        <w:rPr>
          <w:rFonts w:ascii="Times New Roman" w:hAnsi="Times New Roman"/>
          <w:sz w:val="28"/>
          <w:szCs w:val="28"/>
        </w:rPr>
        <w:t xml:space="preserve"> deben respetarse las materias de competencia constitucional propia de las entidades territoriales incluyendo a los territorios indígenas, como la facultad de expedir normas de protección de su patrimonio ecológico local.</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quinto lugar, consideró que lo</w:t>
      </w:r>
      <w:r w:rsidRPr="00D93140">
        <w:rPr>
          <w:rFonts w:ascii="Times New Roman" w:hAnsi="Times New Roman"/>
          <w:sz w:val="28"/>
          <w:szCs w:val="28"/>
        </w:rPr>
        <w:t>s argumentos presentados respecto de la extralimitación del ejecutivo de las temáticas del artículo 56 transitorio no tienen carácter constitucional. Consideró que sostener que el alcance de las normas expedidas por el artículo 56 transitorio pueden exclus</w:t>
      </w:r>
      <w:r w:rsidRPr="00D93140">
        <w:rPr>
          <w:rFonts w:ascii="Times New Roman" w:hAnsi="Times New Roman"/>
          <w:sz w:val="28"/>
          <w:szCs w:val="28"/>
        </w:rPr>
        <w:t>ivamente referirse a las figuras, procedimientos y alcances establecidos previamente por otras normas expedidas en virtud del mismo artículo, no es constitucionalmente admisible porque los otros Decretos Ley derivados del artículo 56 transitorio, como el 1</w:t>
      </w:r>
      <w:r w:rsidRPr="00D93140">
        <w:rPr>
          <w:rFonts w:ascii="Times New Roman" w:hAnsi="Times New Roman"/>
          <w:sz w:val="28"/>
          <w:szCs w:val="28"/>
        </w:rPr>
        <w:t xml:space="preserve">953 o el 632, no son parámetro de comparación para definir la constitucionalidad del Decreto Ley 1275 de 2024, toda vez que son normas de igual jerarquía.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sexto lugar, en cuanto al cargo por oposición al régimen de las CAR, señaló que contario a lo s</w:t>
      </w:r>
      <w:r w:rsidRPr="00D93140">
        <w:rPr>
          <w:rFonts w:ascii="Times New Roman" w:hAnsi="Times New Roman"/>
          <w:sz w:val="28"/>
          <w:szCs w:val="28"/>
          <w:lang w:val="es-ES"/>
        </w:rPr>
        <w:t>eñalado por el demandante, el Decreto Ley 1275 operativiza el deber de coordinación y lo vuelve funcional para las autoridades reconocidas sobre un mismo ámbito territorial y cuyas competencias entran en la necesidad de dialogar para adecuar sus sistemas i</w:t>
      </w:r>
      <w:r w:rsidRPr="00D93140">
        <w:rPr>
          <w:rFonts w:ascii="Times New Roman" w:hAnsi="Times New Roman"/>
          <w:sz w:val="28"/>
          <w:szCs w:val="28"/>
          <w:lang w:val="es-ES"/>
        </w:rPr>
        <w:t>nternos de funcionamiento para trabajar complementariamente en el manejo y administración del territorio. Respecto del cargo por otorgar funciones a particulares, concluyó que el decreto no está asignando funciones administrativas a particulares ni sustitu</w:t>
      </w:r>
      <w:r w:rsidRPr="00D93140">
        <w:rPr>
          <w:rFonts w:ascii="Times New Roman" w:hAnsi="Times New Roman"/>
          <w:sz w:val="28"/>
          <w:szCs w:val="28"/>
          <w:lang w:val="es-ES"/>
        </w:rPr>
        <w:t>yendo autoridades estatales, sino reconociendo y ordenando unas competencias que ya tienen respaldo constitucional y legal. Pretende operativizar la coordinación que la Constitución ya exige cuando hay concurrencia de funciones.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séptimo lugar, respecto</w:t>
      </w:r>
      <w:r w:rsidRPr="00D93140">
        <w:rPr>
          <w:rFonts w:ascii="Times New Roman" w:hAnsi="Times New Roman"/>
          <w:sz w:val="28"/>
          <w:szCs w:val="28"/>
          <w:lang w:val="es-ES"/>
        </w:rPr>
        <w:t xml:space="preserve"> de la afectación del artículo 229 superior, indicó la norma se dirige exclusivamente a los pueblos indígenas, a sus autoridades y a sus sistemas normativos propios, sin extenderse —ni en su letra ni en su espíritu— a personas o territorios no indígenas, h</w:t>
      </w:r>
      <w:r w:rsidRPr="00D93140">
        <w:rPr>
          <w:rFonts w:ascii="Times New Roman" w:hAnsi="Times New Roman"/>
          <w:sz w:val="28"/>
          <w:szCs w:val="28"/>
          <w:lang w:val="es-ES"/>
        </w:rPr>
        <w:t>echo que esclarece cómo sería virtualmente imposible que una persona o territorio no indígena estuviera sometida a la jurisdicción especial. En similar sentido se pronuncia respecto del cargo por desconocimiento del debido proceso al señalar que, contrario</w:t>
      </w:r>
      <w:r w:rsidRPr="00D93140">
        <w:rPr>
          <w:rFonts w:ascii="Times New Roman" w:hAnsi="Times New Roman"/>
          <w:sz w:val="28"/>
          <w:szCs w:val="28"/>
          <w:lang w:val="es-ES"/>
        </w:rPr>
        <w:t xml:space="preserve"> a lo alegado por los demandantes, y como salta a la vista de la literalidad del Decreto Ley 1275 de 2024, la norma no otorga: ni competencia a las autoridades indígenas ni para tipificar nuevas conductas sancionables, ni para crear nuevos procedimientos s</w:t>
      </w:r>
      <w:r w:rsidRPr="00D93140">
        <w:rPr>
          <w:rFonts w:ascii="Times New Roman" w:hAnsi="Times New Roman"/>
          <w:sz w:val="28"/>
          <w:szCs w:val="28"/>
          <w:lang w:val="es-ES"/>
        </w:rPr>
        <w:t>ancionatorios, ni para crear nuevas sanciones, ni para imponerlas a personas no pertenecientes a sus comunidades. Sino que</w:t>
      </w:r>
      <w:r w:rsidRPr="00D93140">
        <w:rPr>
          <w:rFonts w:ascii="Times New Roman" w:hAnsi="Times New Roman"/>
          <w:sz w:val="28"/>
        </w:rPr>
        <w:t xml:space="preserve"> </w:t>
      </w:r>
      <w:r w:rsidRPr="00D93140">
        <w:rPr>
          <w:rFonts w:ascii="Times New Roman" w:hAnsi="Times New Roman"/>
          <w:sz w:val="28"/>
          <w:szCs w:val="28"/>
          <w:lang w:val="es-ES"/>
        </w:rPr>
        <w:t xml:space="preserve">establece el deber de coordinación entre la autoridad ambiental competente y la autoridad indígena respectiva sobre dos elementos </w:t>
      </w:r>
      <w:r w:rsidRPr="00D93140">
        <w:rPr>
          <w:rFonts w:ascii="Times New Roman" w:hAnsi="Times New Roman"/>
          <w:sz w:val="28"/>
          <w:szCs w:val="28"/>
          <w:lang w:val="es-ES"/>
        </w:rPr>
        <w:t>concretos del procedimiento sancionatorio: la imposición de las sanciones y las medidas compensatorias a que haya lugar.</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sostuvo que las afirmaciones relativas a una supuesta afectación directa a comunidades negras, afrodescendientes, raizales</w:t>
      </w:r>
      <w:r w:rsidRPr="00D93140">
        <w:rPr>
          <w:rFonts w:ascii="Times New Roman" w:hAnsi="Times New Roman"/>
          <w:sz w:val="28"/>
          <w:szCs w:val="28"/>
          <w:lang w:val="es-ES"/>
        </w:rPr>
        <w:t xml:space="preserve"> y palenqueras no se derivan del contenido del decreto, sino que responden a una interpretación extensiva que no se corresponde con el alcance normativo de la disposición, al tiempo que los eventuales conflictos de colindancia o superposición territorial n</w:t>
      </w:r>
      <w:r w:rsidRPr="00D93140">
        <w:rPr>
          <w:rFonts w:ascii="Times New Roman" w:hAnsi="Times New Roman"/>
          <w:sz w:val="28"/>
          <w:szCs w:val="28"/>
          <w:lang w:val="es-ES"/>
        </w:rPr>
        <w:t>o son objeto de regulación por parte del Decreto Ley 1275.</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 xml:space="preserve">Fundación para el Estado de Derecho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su planteamiento inicial, la Fundación sostuvo que el Gobierno Nacional excedió la habilitación conferida por el artículo 56 transitorio de la Constitución</w:t>
      </w:r>
      <w:r w:rsidRPr="00D93140">
        <w:rPr>
          <w:rFonts w:ascii="Times New Roman" w:hAnsi="Times New Roman"/>
          <w:sz w:val="28"/>
          <w:szCs w:val="28"/>
          <w:lang w:val="es-ES"/>
        </w:rPr>
        <w:t>, toda vez que esa facultad ya había sido ejercida en normas previas como el Decreto 1953 de 2014, y que, en todo caso, su carácter era estrictamente supletivo y transitorio. Por lo mismo, la expedición del Decreto 1275 desconoció el carácter excepcional d</w:t>
      </w:r>
      <w:r w:rsidRPr="00D93140">
        <w:rPr>
          <w:rFonts w:ascii="Times New Roman" w:hAnsi="Times New Roman"/>
          <w:sz w:val="28"/>
          <w:szCs w:val="28"/>
          <w:lang w:val="es-ES"/>
        </w:rPr>
        <w:t>e dicha disposición y ocupó espacios reservados al Congreso mediante ley orgánica.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desarrollo de esta idea, la fundación señaló que los artículos 1, 3, 5 y 6 del Decreto atribuyen competencias ambientales sustantivas a las autoridades indígenas, config</w:t>
      </w:r>
      <w:r w:rsidRPr="00D93140">
        <w:rPr>
          <w:rFonts w:ascii="Times New Roman" w:hAnsi="Times New Roman"/>
          <w:sz w:val="28"/>
          <w:szCs w:val="28"/>
          <w:lang w:val="es-ES"/>
        </w:rPr>
        <w:t>urando un diseño estructural de distribución de funciones que únicamente puede ser definido por el legislador a través de ley orgánica, conforme a los artículos 151 y 288 de la Constitución. La intervención resaltó que tales disposiciones desbordan el marc</w:t>
      </w:r>
      <w:r w:rsidRPr="00D93140">
        <w:rPr>
          <w:rFonts w:ascii="Times New Roman" w:hAnsi="Times New Roman"/>
          <w:sz w:val="28"/>
          <w:szCs w:val="28"/>
          <w:lang w:val="es-ES"/>
        </w:rPr>
        <w:t xml:space="preserve">o del artículo 330 constitucional, que únicamente confiere a las comunidades indígenas el deber de velar por la preservación de los recursos naturales, mas no una potestad normativa autónoma. Con ello, el Decreto no solo amplió indebidamente el alcance de </w:t>
      </w:r>
      <w:r w:rsidRPr="00D93140">
        <w:rPr>
          <w:rFonts w:ascii="Times New Roman" w:hAnsi="Times New Roman"/>
          <w:sz w:val="28"/>
          <w:szCs w:val="28"/>
          <w:lang w:val="es-ES"/>
        </w:rPr>
        <w:t>las funciones indígenas, sino que también alteró la arquitectura institucional del Sistema Nacional Ambiental, al equiparar a dichas autoridades con las Corporaciones Autónomas Regionales y, en algunos casos, incluso con órganos especiales como Cormagdalen</w:t>
      </w:r>
      <w:r w:rsidRPr="00D93140">
        <w:rPr>
          <w:rFonts w:ascii="Times New Roman" w:hAnsi="Times New Roman"/>
          <w:sz w:val="28"/>
          <w:szCs w:val="28"/>
          <w:lang w:val="es-ES"/>
        </w:rPr>
        <w:t>a, en abierta contradicción con los artículos 150.7, 325 y 331 de la Constitución.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La Fundación también cuestionó el artículo 2 del Decreto por redefinir el interés general en función exclusiva de la autonomía indígena. Este enfoque, a juicio del intervin</w:t>
      </w:r>
      <w:r w:rsidRPr="00D93140">
        <w:rPr>
          <w:rFonts w:ascii="Times New Roman" w:hAnsi="Times New Roman"/>
          <w:sz w:val="28"/>
          <w:szCs w:val="28"/>
          <w:lang w:val="es-ES"/>
        </w:rPr>
        <w:t>iente, desvirtúa el carácter abstracto y armónico del principio consagrado en el artículo 1 constitucional, que exige ponderar los distintos intereses en juego para salvaguardar la unidad del Estado y la igualdad de todos los ciudadanos. Bajo esta perspect</w:t>
      </w:r>
      <w:r w:rsidRPr="00D93140">
        <w:rPr>
          <w:rFonts w:ascii="Times New Roman" w:hAnsi="Times New Roman"/>
          <w:sz w:val="28"/>
          <w:szCs w:val="28"/>
          <w:lang w:val="es-ES"/>
        </w:rPr>
        <w:t>iva, la norma establece un régimen jurídico fragmentado que rompe la cohesión territorial y normativa de la República.</w:t>
      </w: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Otro punto de especial preocupación fue el otorgamiento de facultades sancionatorias a las autoridades indígenas en el artículo 6 del Dec</w:t>
      </w:r>
      <w:r w:rsidRPr="00D93140">
        <w:rPr>
          <w:rFonts w:ascii="Times New Roman" w:hAnsi="Times New Roman"/>
          <w:sz w:val="28"/>
          <w:szCs w:val="28"/>
          <w:lang w:val="es-ES"/>
        </w:rPr>
        <w:t xml:space="preserve">reto, disposición que vulnera el artículo 29 de la Constitución al desconocer las exigencias del debido proceso, la reserva de ley y la tipicidad en materia sancionatoria administrativa. La ausencia de parámetros claros sobre conductas punibles, sanciones </w:t>
      </w:r>
      <w:r w:rsidRPr="00D93140">
        <w:rPr>
          <w:rFonts w:ascii="Times New Roman" w:hAnsi="Times New Roman"/>
          <w:sz w:val="28"/>
          <w:szCs w:val="28"/>
          <w:lang w:val="es-ES"/>
        </w:rPr>
        <w:t>y procedimientos abre la puerta a decisiones arbitrarias y desiguales, contrarias a las garantías mínimas que la jurisprudencia constitucional ha reiterado en este ámbito.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la fundación advirtió que el Decreto compromete recursos públicos sin u</w:t>
      </w:r>
      <w:r w:rsidRPr="00D93140">
        <w:rPr>
          <w:rFonts w:ascii="Times New Roman" w:hAnsi="Times New Roman"/>
          <w:sz w:val="28"/>
          <w:szCs w:val="28"/>
          <w:lang w:val="es-ES"/>
        </w:rPr>
        <w:t>n estudio previo de impacto fiscal, en violación de los artículos 151 y 334 superiores y de la Ley Orgánica 819 de 2003. Al imponer al Estado la obligación de financiar competencias ambientales de las autoridades indígenas, se desconoce la regla de sosteni</w:t>
      </w:r>
      <w:r w:rsidRPr="00D93140">
        <w:rPr>
          <w:rFonts w:ascii="Times New Roman" w:hAnsi="Times New Roman"/>
          <w:sz w:val="28"/>
          <w:szCs w:val="28"/>
          <w:lang w:val="es-ES"/>
        </w:rPr>
        <w:t>bilidad fiscal que orienta el gasto público. De igual forma, se consideró que los artículos 5, 6 y 7 delegan funciones públicas ambientales a particulares sin respaldo legal, en abierta contradicción con los artículos 123 y 210 de la Constitución, debilita</w:t>
      </w:r>
      <w:r w:rsidRPr="00D93140">
        <w:rPr>
          <w:rFonts w:ascii="Times New Roman" w:hAnsi="Times New Roman"/>
          <w:sz w:val="28"/>
          <w:szCs w:val="28"/>
          <w:lang w:val="es-ES"/>
        </w:rPr>
        <w:t>ndo la dirección y vigilancia estatal en estas materias.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Con fundamento en todos estos argumentos, la Fundación para el Estado de Derecho solicitó a la Corte Constitucional declarar la inexequibilidad</w:t>
      </w:r>
      <w:r w:rsidRPr="00D93140">
        <w:rPr>
          <w:rFonts w:ascii="Times New Roman" w:hAnsi="Times New Roman"/>
          <w:sz w:val="28"/>
          <w:szCs w:val="28"/>
          <w:lang w:val="es-ES"/>
        </w:rPr>
        <w:t xml:space="preserve"> total del Decreto 1275 de 2024 o, de manera subsidiaria, de las disposiciones demandadas, al considerar que la norma desconoce la distribución constitucional de competencias, la reserva de ley orgánica, el principio de unidad del Estado y derechos fundame</w:t>
      </w:r>
      <w:r w:rsidRPr="00D93140">
        <w:rPr>
          <w:rFonts w:ascii="Times New Roman" w:hAnsi="Times New Roman"/>
          <w:sz w:val="28"/>
          <w:szCs w:val="28"/>
          <w:lang w:val="es-ES"/>
        </w:rPr>
        <w:t>ntales como el debido proceso.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Universidad Libre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El Observatorio de Intervención Ciudadana Constitucional de la Universidad Libre, integrado por docentes y estudiantes de la Facultad de Derecho, intervino en defensa de la constitucionalidad del Decreto L</w:t>
      </w:r>
      <w:r w:rsidRPr="00D93140">
        <w:rPr>
          <w:rFonts w:ascii="Times New Roman" w:hAnsi="Times New Roman"/>
          <w:sz w:val="28"/>
          <w:szCs w:val="28"/>
          <w:lang w:val="es-ES"/>
        </w:rPr>
        <w:t>ey 1275 de 2024, mediante el cual se regulan aspectos ambientales de los territorios indígenas. La intervención sostuvo que el Decreto no vulnera la Constitución y, en consecuencia, debe ser declarado exequible. Además, solicitó reiterar el exhorto formula</w:t>
      </w:r>
      <w:r w:rsidRPr="00D93140">
        <w:rPr>
          <w:rFonts w:ascii="Times New Roman" w:hAnsi="Times New Roman"/>
          <w:sz w:val="28"/>
          <w:szCs w:val="28"/>
          <w:lang w:val="es-ES"/>
        </w:rPr>
        <w:t>do por la Corte en la Sentencia C - 489 de 2012 al Gobierno Nacional y al Congreso de la República para que expidan la ley orgánica que regule integralmente las entidades territoriales indígenas.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relación con el primer cargo, el Observatorio rechazó la</w:t>
      </w:r>
      <w:r w:rsidRPr="00D93140">
        <w:rPr>
          <w:rFonts w:ascii="Times New Roman" w:hAnsi="Times New Roman"/>
          <w:sz w:val="28"/>
          <w:szCs w:val="28"/>
          <w:lang w:val="es-ES"/>
        </w:rPr>
        <w:t xml:space="preserve"> tesis de que la competencia conferida por el artículo 56 transitorio se encontraba agotada con la expedición de los Decretos Ley 1088 de 1993 y 1953 de 2014. A su juicio, la disposición transitoria sigue vigente hasta tanto el Congreso expida la ley previ</w:t>
      </w:r>
      <w:r w:rsidRPr="00D93140">
        <w:rPr>
          <w:rFonts w:ascii="Times New Roman" w:hAnsi="Times New Roman"/>
          <w:sz w:val="28"/>
          <w:szCs w:val="28"/>
          <w:lang w:val="es-ES"/>
        </w:rPr>
        <w:t>sta en el artículo 329 de la Constitución. Mientras ello no ocurra, el Gobierno puede dictar normas fiscales y de funcionamiento de los territorios indígenas, así como regular su coordinación con otras entidades territoriales. Indicó que la Corte ya ha rec</w:t>
      </w:r>
      <w:r w:rsidRPr="00D93140">
        <w:rPr>
          <w:rFonts w:ascii="Times New Roman" w:hAnsi="Times New Roman"/>
          <w:sz w:val="28"/>
          <w:szCs w:val="28"/>
          <w:lang w:val="es-ES"/>
        </w:rPr>
        <w:t xml:space="preserve">onocido en sentencias como la C - 489 de 2012 y la C - 617 de 2015 que subsiste una omisión legislativa absoluta, por lo que el Ejecutivo conserva la habilitación para expedir decretos en esta materia. En ese sentido, el Decreto 1275 de 2024 responde a la </w:t>
      </w:r>
      <w:r w:rsidRPr="00D93140">
        <w:rPr>
          <w:rFonts w:ascii="Times New Roman" w:hAnsi="Times New Roman"/>
          <w:sz w:val="28"/>
          <w:szCs w:val="28"/>
          <w:lang w:val="es-ES"/>
        </w:rPr>
        <w:t>necesidad de garantizar la pervivencia y funcionamiento de los pueblos indígenas, sujetos de especial protección constitucional.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Respecto del tercer cargo, sobre la supuesta vulneración del artículo 330 de la Constitución, el Observatorio consideró que lo</w:t>
      </w:r>
      <w:r w:rsidRPr="00D93140">
        <w:rPr>
          <w:rFonts w:ascii="Times New Roman" w:hAnsi="Times New Roman"/>
          <w:sz w:val="28"/>
          <w:szCs w:val="28"/>
          <w:lang w:val="es-ES"/>
        </w:rPr>
        <w:t>s artículos demandados del Decreto no atribuyen potestades legislativas autónomas a las autoridades indígenas, sino que materializan el pluralismo jurídico y la jurisdicción especial indígena. Afirmó que las disposiciones no sustituyen la legislación nacio</w:t>
      </w:r>
      <w:r w:rsidRPr="00D93140">
        <w:rPr>
          <w:rFonts w:ascii="Times New Roman" w:hAnsi="Times New Roman"/>
          <w:sz w:val="28"/>
          <w:szCs w:val="28"/>
          <w:lang w:val="es-ES"/>
        </w:rPr>
        <w:t>nal ni afectan la jerarquía normativa, pues sus efectos se circunscriben al ámbito territorial indígena y se enmarcan en la obligación del Estado de proteger la diversidad étnica y cultural. En este sentido, el Decreto se armoniza con el Convenio 169 de la</w:t>
      </w:r>
      <w:r w:rsidRPr="00D93140">
        <w:rPr>
          <w:rFonts w:ascii="Times New Roman" w:hAnsi="Times New Roman"/>
          <w:sz w:val="28"/>
          <w:szCs w:val="28"/>
          <w:lang w:val="es-ES"/>
        </w:rPr>
        <w:t xml:space="preserve"> OIT aprobado mediante la Ley 21 de 1991, así como con el derecho constitucional al ambiente sano, al reconocer la relación especial de los pueblos indígenas con la naturaleza y su rol en la preservación de los recursos.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cuanto al quinto cargo, sobre l</w:t>
      </w:r>
      <w:r w:rsidRPr="00D93140">
        <w:rPr>
          <w:rFonts w:ascii="Times New Roman" w:hAnsi="Times New Roman"/>
          <w:sz w:val="28"/>
          <w:szCs w:val="28"/>
          <w:lang w:val="es-ES"/>
        </w:rPr>
        <w:t>a presunta vulneración del principio fundante del Estado Social de Derecho y de la prevalencia del interés general, el Observatorio señaló que el artículo 2 del Decreto desarrolla de manera coherente el pluralismo y la descentralización previstos en la Con</w:t>
      </w:r>
      <w:r w:rsidRPr="00D93140">
        <w:rPr>
          <w:rFonts w:ascii="Times New Roman" w:hAnsi="Times New Roman"/>
          <w:sz w:val="28"/>
          <w:szCs w:val="28"/>
          <w:lang w:val="es-ES"/>
        </w:rPr>
        <w:t xml:space="preserve">stitución. Lejos de fragmentar la unidad del Estado o generar inseguridad jurídica, la norma fortalece la inclusión de las comunidades indígenas en la gestión ambiental, estableciendo mecanismos de coordinación con las autoridades nacionales y regionales. </w:t>
      </w:r>
      <w:r w:rsidRPr="00D93140">
        <w:rPr>
          <w:rFonts w:ascii="Times New Roman" w:hAnsi="Times New Roman"/>
          <w:sz w:val="28"/>
          <w:szCs w:val="28"/>
          <w:lang w:val="es-ES"/>
        </w:rPr>
        <w:t>En su criterio, reconocer la diversidad étnica y cultural como base de la estructura estatal no debilita, sino que consolida el Estado social de derecho, al garantizar la participación efectiva de los pueblos indígenas en los asuntos que los afectan y en l</w:t>
      </w:r>
      <w:r w:rsidRPr="00D93140">
        <w:rPr>
          <w:rFonts w:ascii="Times New Roman" w:hAnsi="Times New Roman"/>
          <w:sz w:val="28"/>
          <w:szCs w:val="28"/>
          <w:lang w:val="es-ES"/>
        </w:rPr>
        <w:t>a protección del medio ambiente como bien común.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En conclusión, el Observatorio solicitó a la Corte Constitucional declarar la exequibilidad del Decreto 1275 de 2024 en su totalidad, al estimar que este desarrolla de manera legítima la Constitución y los </w:t>
      </w:r>
      <w:r w:rsidRPr="00D93140">
        <w:rPr>
          <w:rFonts w:ascii="Times New Roman" w:hAnsi="Times New Roman"/>
          <w:sz w:val="28"/>
          <w:szCs w:val="28"/>
          <w:lang w:val="es-ES"/>
        </w:rPr>
        <w:t xml:space="preserve">compromisos internacionales en materia de derechos de los pueblos indígenas. Asimismo, pidió reiterar el llamado al Congreso y al Gobierno para que expidan la ley orgánica pendiente sobre entidades territoriales indígenas, en cumplimiento del artículo 329 </w:t>
      </w:r>
      <w:r w:rsidRPr="00D93140">
        <w:rPr>
          <w:rFonts w:ascii="Times New Roman" w:hAnsi="Times New Roman"/>
          <w:sz w:val="28"/>
          <w:szCs w:val="28"/>
          <w:lang w:val="es-ES"/>
        </w:rPr>
        <w:t>constitucional y de los exhortos previos de la Corte.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Universidad Eafit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La interviniente resaltó que la norma no vulnera la Constitución, sino que desarrolla y precisa competencias reconocidas en el artículo 330 superior, reforzando el derecho fundamenta</w:t>
      </w:r>
      <w:r w:rsidRPr="00D93140">
        <w:rPr>
          <w:rFonts w:ascii="Times New Roman" w:hAnsi="Times New Roman"/>
          <w:sz w:val="28"/>
          <w:szCs w:val="28"/>
          <w:lang w:val="es-ES"/>
        </w:rPr>
        <w:t>l a la autodeterminación de los pueblos indígenas y la protección de la diversidad étnica y cultural. En su criterio, la expedición del decreto constituye un esfuerzo legítimo por armonizar la descentralización territorial con la gestión ambiental, integra</w:t>
      </w:r>
      <w:r w:rsidRPr="00D93140">
        <w:rPr>
          <w:rFonts w:ascii="Times New Roman" w:hAnsi="Times New Roman"/>
          <w:sz w:val="28"/>
          <w:szCs w:val="28"/>
          <w:lang w:val="es-ES"/>
        </w:rPr>
        <w:t>ndo a las comunidades indígenas como autoridades dentro del Sistema Nacional Ambiental (SINA).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relación con los cargos formulados por los demandantes, la Clínica Jurídica señaló que los artículos 1, 3, 5 y 6 del Decreto no crean competencias nuevas, si</w:t>
      </w:r>
      <w:r w:rsidRPr="00D93140">
        <w:rPr>
          <w:rFonts w:ascii="Times New Roman" w:hAnsi="Times New Roman"/>
          <w:sz w:val="28"/>
          <w:szCs w:val="28"/>
          <w:lang w:val="es-ES"/>
        </w:rPr>
        <w:t>no que concretan el mandato constitucional que atribuye a los territorios indígenas la preservación de los recursos naturales. Refirió que negar esta facultad supondría vaciar de contenido el artículo 330 de la Constitución y desconocer la jurisprudencia q</w:t>
      </w:r>
      <w:r w:rsidRPr="00D93140">
        <w:rPr>
          <w:rFonts w:ascii="Times New Roman" w:hAnsi="Times New Roman"/>
          <w:sz w:val="28"/>
          <w:szCs w:val="28"/>
          <w:lang w:val="es-ES"/>
        </w:rPr>
        <w:t>ue ha reconocido la dimensión ambiental de la autonomía indígena. Del mismo modo, se destacó que el artículo 5 no desconoce la autonomía de las Corporaciones Autónomas Regionales (CAR), pues las competencias ambientales en Colombia son concurrentes y no ex</w:t>
      </w:r>
      <w:r w:rsidRPr="00D93140">
        <w:rPr>
          <w:rFonts w:ascii="Times New Roman" w:hAnsi="Times New Roman"/>
          <w:sz w:val="28"/>
          <w:szCs w:val="28"/>
          <w:lang w:val="es-ES"/>
        </w:rPr>
        <w:t>clusivas. El decreto, en vez de sustraer funciones a las CAR, promueve un esquema de coordinación y diálogo intercultural entre distintas autoridades ambientales, en consonancia con los principios de concurrencia, subsidiariedad y complementariedad.</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Frent</w:t>
      </w:r>
      <w:r w:rsidRPr="00D93140">
        <w:rPr>
          <w:rFonts w:ascii="Times New Roman" w:hAnsi="Times New Roman"/>
          <w:sz w:val="28"/>
          <w:szCs w:val="28"/>
          <w:lang w:val="es-ES"/>
        </w:rPr>
        <w:t>e al cargo según el cual el Decreto permitiría delegar funciones públicas en particulares, la Clínica Jurídica explicó que las autoridades indígenas no pueden ser consideradas simples particulares, pues son entidades territoriales reconocidas en el artícul</w:t>
      </w:r>
      <w:r w:rsidRPr="00D93140">
        <w:rPr>
          <w:rFonts w:ascii="Times New Roman" w:hAnsi="Times New Roman"/>
          <w:sz w:val="28"/>
          <w:szCs w:val="28"/>
          <w:lang w:val="es-ES"/>
        </w:rPr>
        <w:t xml:space="preserve">o 286 constitucional. En consecuencia, el Decreto no vacía de contenido las funciones estatales, sino que aclara la necesidad de un ejercicio coordinado de competencias entre entidades del SINA y autoridades indígenas, conforme al Convenio 169 de la OIT y </w:t>
      </w:r>
      <w:r w:rsidRPr="00D93140">
        <w:rPr>
          <w:rFonts w:ascii="Times New Roman" w:hAnsi="Times New Roman"/>
          <w:sz w:val="28"/>
          <w:szCs w:val="28"/>
          <w:lang w:val="es-ES"/>
        </w:rPr>
        <w:t>a la jurisprudencia que ha reiterado la obligación de consulta y concertación en decisiones que las afecten.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lo que respecta al artículo 2, que define el interés general, la interviniente sostuvo que la norma no privilegia indebidamente a las comunidad</w:t>
      </w:r>
      <w:r w:rsidRPr="00D93140">
        <w:rPr>
          <w:rFonts w:ascii="Times New Roman" w:hAnsi="Times New Roman"/>
          <w:sz w:val="28"/>
          <w:szCs w:val="28"/>
          <w:lang w:val="es-ES"/>
        </w:rPr>
        <w:t xml:space="preserve">es indígenas, sino que propone una visión armónica que integra la protección del medio ambiente y la diversidad étnica y cultural como bienes de interés general. De esta manera, la disposición no fragmenta la unidad del Estado, sino que la fortalece desde </w:t>
      </w:r>
      <w:r w:rsidRPr="00D93140">
        <w:rPr>
          <w:rFonts w:ascii="Times New Roman" w:hAnsi="Times New Roman"/>
          <w:sz w:val="28"/>
          <w:szCs w:val="28"/>
          <w:lang w:val="es-ES"/>
        </w:rPr>
        <w:t>un enfoque pluralista, en el que la autonomía indígena se entiende como parte esencial del Estado Social de Derecho.</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frente al cuestionamiento sobre la consulta previa, argumentó que el Decreto 1275 de 2024 fue producto de un proceso de concer</w:t>
      </w:r>
      <w:r w:rsidRPr="00D93140">
        <w:rPr>
          <w:rFonts w:ascii="Times New Roman" w:hAnsi="Times New Roman"/>
          <w:sz w:val="28"/>
          <w:szCs w:val="28"/>
          <w:lang w:val="es-ES"/>
        </w:rPr>
        <w:t>tación en la Mesa Permanente de Concertación con los Pueblos Indígenas, instancia reconocida por la Corte Constitucional como mecanismo válido de consulta representativa. El texto normativo fue discutido, ajustado y protocolizado en dicho escenario, por lo</w:t>
      </w:r>
      <w:r w:rsidRPr="00D93140">
        <w:rPr>
          <w:rFonts w:ascii="Times New Roman" w:hAnsi="Times New Roman"/>
          <w:sz w:val="28"/>
          <w:szCs w:val="28"/>
          <w:lang w:val="es-ES"/>
        </w:rPr>
        <w:t xml:space="preserve"> que cumple con los estándares constitucionales e internacionales. En conclusión, solicitó a la Corte declarar la exequibilidad del Decreto, al considerar que desarrolla de manera legítima las competencias ambientales indígenas, garantiza el pluralismo jur</w:t>
      </w:r>
      <w:r w:rsidRPr="00D93140">
        <w:rPr>
          <w:rFonts w:ascii="Times New Roman" w:hAnsi="Times New Roman"/>
          <w:sz w:val="28"/>
          <w:szCs w:val="28"/>
          <w:lang w:val="es-ES"/>
        </w:rPr>
        <w:t>ídico y contribuye a la protección del interés general en clave ambiental y cultural.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Organización Nacional Indígena de Colombia, ONIC</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La organización intervino para demostrar la ineptitud sustantiva de la demanda al carecer de los criterios mínimos establecidos por la Corte y la normatividad vigente para su estudio.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Señaló que los argumentos de los demandantes carecen de certeza, al ba</w:t>
      </w:r>
      <w:r w:rsidRPr="00D93140">
        <w:rPr>
          <w:rFonts w:ascii="Times New Roman" w:hAnsi="Times New Roman"/>
          <w:sz w:val="28"/>
          <w:szCs w:val="28"/>
          <w:lang w:val="es-ES"/>
        </w:rPr>
        <w:t>sarse en una preconcepción sobre las decisiones de los pueblos indígenas. No cuentan con especificidad, ya que deberían hacer un análisis de los 115 sistemas de conocimiento para poder realizar afirmaciones como las que devienen del sistema de justicia o d</w:t>
      </w:r>
      <w:r w:rsidRPr="00D93140">
        <w:rPr>
          <w:rFonts w:ascii="Times New Roman" w:hAnsi="Times New Roman"/>
          <w:sz w:val="28"/>
          <w:szCs w:val="28"/>
          <w:lang w:val="es-ES"/>
        </w:rPr>
        <w:t>e la forma en que se asumen las competencias, constitucional y legalmente establecidas. Estimó que tampoco cumple con la suficiencia en la argumentación ya que desconoce lo reconocido en las sentencias como las T-236 de 2012, T-849 de 2014 o la T-106 de 20</w:t>
      </w:r>
      <w:r w:rsidRPr="00D93140">
        <w:rPr>
          <w:rFonts w:ascii="Times New Roman" w:hAnsi="Times New Roman"/>
          <w:sz w:val="28"/>
          <w:szCs w:val="28"/>
          <w:lang w:val="es-ES"/>
        </w:rPr>
        <w:t>25.</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Consideró el interviniente que la jurisprudencia constitucional ha sido estable y pacífica al establecer la necesidad de coordinación entre autoridades y ha reivindicado el derecho de los pueblos indígenas sobre su territorio, se ha declarado derecho </w:t>
      </w:r>
      <w:r w:rsidRPr="00D93140">
        <w:rPr>
          <w:rFonts w:ascii="Times New Roman" w:hAnsi="Times New Roman"/>
          <w:sz w:val="28"/>
          <w:szCs w:val="28"/>
          <w:lang w:val="es-ES"/>
        </w:rPr>
        <w:t xml:space="preserve">fundamental el territorio en sí y se ha avanzado en el reconocimiento de actuaciones como entidades territoriales. Por lo tanto, en su criterio el decreto 1275 solo desarrolla mandatos emanados de la Corte, bajo sus directrices y sus actuaciones.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w:t>
      </w:r>
      <w:r w:rsidRPr="00D93140">
        <w:rPr>
          <w:rFonts w:ascii="Times New Roman" w:hAnsi="Times New Roman"/>
          <w:sz w:val="28"/>
          <w:szCs w:val="28"/>
          <w:lang w:val="es-ES"/>
        </w:rPr>
        <w:t>nte, cuestionó el debate sobre el interés general, el cual busca garantizar la vida de todos los seres, teniendo en cuenta que el “cuidado de la vida es y debe ser el eje rector de toda actuación legal, es la razón en si misma del nacimiento de los Estados</w:t>
      </w:r>
      <w:r w:rsidRPr="00D93140">
        <w:rPr>
          <w:rFonts w:ascii="Times New Roman" w:hAnsi="Times New Roman"/>
          <w:sz w:val="28"/>
          <w:szCs w:val="28"/>
          <w:lang w:val="es-ES"/>
        </w:rPr>
        <w:t xml:space="preserve"> modernos y es la apuesta que ha hecho la humanidad para el futuro. El cuidado del ambiente, de la vida, es un compromiso ético y moral con las generaciones futuras que no puede ser controvertido por la mera impresión, falsa, por cierto, de la necesidad de</w:t>
      </w:r>
      <w:r w:rsidRPr="00D93140">
        <w:rPr>
          <w:rFonts w:ascii="Times New Roman" w:hAnsi="Times New Roman"/>
          <w:sz w:val="28"/>
          <w:szCs w:val="28"/>
          <w:lang w:val="es-ES"/>
        </w:rPr>
        <w:t xml:space="preserve"> un desarrollo que ha generado tantos dolores sobre la tierra”</w:t>
      </w:r>
      <w:r w:rsidRPr="00D93140">
        <w:rPr>
          <w:rStyle w:val="Refdenotaalpie"/>
          <w:rFonts w:ascii="Times New Roman" w:hAnsi="Times New Roman"/>
          <w:sz w:val="28"/>
          <w:szCs w:val="28"/>
          <w:lang w:val="es-ES"/>
        </w:rPr>
        <w:footnoteReference w:id="150"/>
      </w:r>
      <w:r w:rsidRPr="00D93140">
        <w:rPr>
          <w:rFonts w:ascii="Times New Roman" w:hAnsi="Times New Roman"/>
          <w:sz w:val="28"/>
          <w:szCs w:val="28"/>
          <w:lang w:val="es-ES"/>
        </w:rPr>
        <w:t xml:space="preserve">.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Instituto de Ciencia Política Hernán Echavarría Olózaga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A través de su director, el interviniente presentó alegatos dirigidos a demostrar la inconveniencia del decreto y su inexequibilidad</w:t>
      </w:r>
      <w:r w:rsidRPr="00D93140">
        <w:rPr>
          <w:rFonts w:ascii="Times New Roman" w:hAnsi="Times New Roman"/>
          <w:sz w:val="28"/>
          <w:szCs w:val="28"/>
        </w:rPr>
        <w:t xml:space="preserve"> al ser expedido excediendo las competencias del Ejecutivo y vulnerar disposiciones constitucionales fundamentales como el debido proceso, la separación de poderes y la autonomía de entidades como las Corporaciones Autónomas Regionales (CAR).</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Señaló que e</w:t>
      </w:r>
      <w:r w:rsidRPr="00D93140">
        <w:rPr>
          <w:rFonts w:ascii="Times New Roman" w:hAnsi="Times New Roman"/>
          <w:sz w:val="28"/>
          <w:szCs w:val="28"/>
        </w:rPr>
        <w:t>l artículo 56 transitorio de la Constitución Política no faculta al Gobierno para otorgar competencias de autoridad ambiental a los territorios indígenas ya que no se enmarcan ni en lo fiscal ni en lo estrictamente necesario para el funcionamiento administ</w:t>
      </w:r>
      <w:r w:rsidRPr="00D93140">
        <w:rPr>
          <w:rFonts w:ascii="Times New Roman" w:hAnsi="Times New Roman"/>
          <w:sz w:val="28"/>
          <w:szCs w:val="28"/>
        </w:rPr>
        <w:t>rativo de los territorios. Adicionalmente, indicó que de conformidad con los artículos 151 y 288 de la Constitución la asignación de competencias a las entidades territoriales debe realizarse mediante ley orgánica, bajo criterios de coordinación, concurren</w:t>
      </w:r>
      <w:r w:rsidRPr="00D93140">
        <w:rPr>
          <w:rFonts w:ascii="Times New Roman" w:hAnsi="Times New Roman"/>
          <w:sz w:val="28"/>
          <w:szCs w:val="28"/>
        </w:rPr>
        <w:t>cia y subsidiariedad.</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Frente a la competencia de las autoridades indígenas, el interviniente señaló que las contenidas en el artículo 330 superior son taxativas. Que si bien reconoce la capacidad de estos pueblos para regirse por sus propias normas, práct</w:t>
      </w:r>
      <w:r w:rsidRPr="00D93140">
        <w:rPr>
          <w:rFonts w:ascii="Times New Roman" w:hAnsi="Times New Roman"/>
          <w:sz w:val="28"/>
          <w:szCs w:val="28"/>
        </w:rPr>
        <w:t xml:space="preserve">icas y formas de organización en el marco de su identidad cultural y territorial, no les atribuye competencias normativas en materia ambiental.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De otro lado, consideró que “la atribución de facultades exclusivas y excluyentes a las autoridades indígenas </w:t>
      </w:r>
      <w:r w:rsidRPr="00D93140">
        <w:rPr>
          <w:rFonts w:ascii="Times New Roman" w:hAnsi="Times New Roman"/>
          <w:sz w:val="28"/>
          <w:szCs w:val="28"/>
        </w:rPr>
        <w:t>en materia ambiental genera duplicidad de funciones y conflictos jurisdiccionales, como consecuencia del solapamiento entre las competencias asignadas a las Corporaciones Autónomas Regionales (CAR), a las que la Corte ha reconocido como entidades autónomas</w:t>
      </w:r>
      <w:r w:rsidRPr="00D93140">
        <w:rPr>
          <w:rFonts w:ascii="Times New Roman" w:hAnsi="Times New Roman"/>
          <w:sz w:val="28"/>
          <w:szCs w:val="28"/>
        </w:rPr>
        <w:t xml:space="preserve"> y les ha atribuido el carácter de máxima autoridad ambiental en sus respectivas jurisdicciones, y aquellas propias de las demás entidades territoriales en materia de gestión ambiental”</w:t>
      </w:r>
      <w:r w:rsidRPr="00D93140">
        <w:rPr>
          <w:rStyle w:val="Refdenotaalpie"/>
          <w:rFonts w:ascii="Times New Roman" w:hAnsi="Times New Roman"/>
          <w:sz w:val="28"/>
          <w:szCs w:val="28"/>
        </w:rPr>
        <w:footnoteReference w:id="151"/>
      </w:r>
      <w:r w:rsidRPr="00D93140">
        <w:rPr>
          <w:rFonts w:ascii="Times New Roman" w:hAnsi="Times New Roman"/>
          <w:sz w:val="28"/>
          <w:szCs w:val="28"/>
        </w:rPr>
        <w:t xml:space="preserve">. Igualmente, indicó que el artículo 6 del decreto vulnera el derecho </w:t>
      </w:r>
      <w:r w:rsidRPr="00D93140">
        <w:rPr>
          <w:rFonts w:ascii="Times New Roman" w:hAnsi="Times New Roman"/>
          <w:sz w:val="28"/>
          <w:szCs w:val="28"/>
        </w:rPr>
        <w:t>al debido proceso y los principios de legalidad y tipicidad, al no establecer criterios precisos sobre la naturaleza, duración, cuantía, límites de las sanciones y delimitación de las conductas sancionables.</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rPr>
      </w:pPr>
      <w:r w:rsidRPr="00D93140">
        <w:rPr>
          <w:rFonts w:ascii="Times New Roman" w:hAnsi="Times New Roman"/>
          <w:b/>
          <w:bCs/>
          <w:sz w:val="28"/>
          <w:szCs w:val="28"/>
        </w:rPr>
        <w:t>Comisión Nacional de Territorios Indígenas (CN</w:t>
      </w:r>
      <w:r w:rsidRPr="00D93140">
        <w:rPr>
          <w:rFonts w:ascii="Times New Roman" w:hAnsi="Times New Roman"/>
          <w:b/>
          <w:bCs/>
          <w:sz w:val="28"/>
          <w:szCs w:val="28"/>
        </w:rPr>
        <w:t>TI)</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El Secretario de la Comisión intervino para respaldar la exequibilidad del Decreto, señalando en primer lugar que los decretos expedidos bajo el amparo del artículo 56 transitorio lejos de agotar la materia han representado avances específicos en área</w:t>
      </w:r>
      <w:r w:rsidRPr="00D93140">
        <w:rPr>
          <w:rFonts w:ascii="Times New Roman" w:hAnsi="Times New Roman"/>
          <w:sz w:val="28"/>
          <w:szCs w:val="28"/>
        </w:rPr>
        <w:t>s particulares. Así entienden que el Decreto Ley 1275 de 2024 establece normas para la gestión ambiental indígena, que no se agotan en lo territorial, sino que abarca sus sistemas de conocimiento y pensamiento, dado que ninguno de los instrumentos normativ</w:t>
      </w:r>
      <w:r w:rsidRPr="00D93140">
        <w:rPr>
          <w:rFonts w:ascii="Times New Roman" w:hAnsi="Times New Roman"/>
          <w:sz w:val="28"/>
          <w:szCs w:val="28"/>
        </w:rPr>
        <w:t>os expedidos anteriormente reguló esta materia. Igualmente, consideró que no se desconoce la competencia exclusiva de las autoridades ambientales, sino que fortalece el principio de coordinación interinstitucional reconocido en el artículo 288 de la Consti</w:t>
      </w:r>
      <w:r w:rsidRPr="00D93140">
        <w:rPr>
          <w:rFonts w:ascii="Times New Roman" w:hAnsi="Times New Roman"/>
          <w:sz w:val="28"/>
          <w:szCs w:val="28"/>
        </w:rPr>
        <w:t>tución Política de Colombia, en la medida en que el Decreto Ley 1275 de 2024 no crea nuevas competencias, sino que reconoce formalmente una función que los pueblos indígenas ya ejercen conforme a sus sistemas de derecho propio, a la Constitución, la jurisp</w:t>
      </w:r>
      <w:r w:rsidRPr="00D93140">
        <w:rPr>
          <w:rFonts w:ascii="Times New Roman" w:hAnsi="Times New Roman"/>
          <w:sz w:val="28"/>
          <w:szCs w:val="28"/>
        </w:rPr>
        <w:t>rudencia y al derecho internacional de los derechos humanos.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 xml:space="preserve">También señaló que la reserva legal en materia ambiental no puede utilizarse como pretexto para negar el ejercicio de funciones que están directamente reconocidas por la Constitución, el bloque </w:t>
      </w:r>
      <w:r w:rsidRPr="00D93140">
        <w:rPr>
          <w:rFonts w:ascii="Times New Roman" w:hAnsi="Times New Roman"/>
          <w:sz w:val="28"/>
          <w:szCs w:val="28"/>
        </w:rPr>
        <w:t>de constitucionalidad y la jurisprudencia constitucional. Por lo que, en su criterio, el argumento del demandante, basado en una lectura exegética del artículo 330, desconoce la integralidad del texto constitucional y el valor jurídico de los sistemas de c</w:t>
      </w:r>
      <w:r w:rsidRPr="00D93140">
        <w:rPr>
          <w:rFonts w:ascii="Times New Roman" w:hAnsi="Times New Roman"/>
          <w:sz w:val="28"/>
          <w:szCs w:val="28"/>
        </w:rPr>
        <w:t>onocimiento, la identidad cultural, el territorio y la autonomía de los pueblos indígenas respecto de lo ambiental.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lang w:val="es-ES"/>
        </w:rPr>
        <w:t xml:space="preserve">En cuanto al interés general, </w:t>
      </w:r>
      <w:r w:rsidRPr="00D93140">
        <w:rPr>
          <w:rFonts w:ascii="Times New Roman" w:hAnsi="Times New Roman"/>
          <w:sz w:val="28"/>
          <w:szCs w:val="28"/>
        </w:rPr>
        <w:t>expuso que el 2° del Decreto Ley 1275 de 2024 no lo redefine ni lo restringe, sino que recuerda que uno de su</w:t>
      </w:r>
      <w:r w:rsidRPr="00D93140">
        <w:rPr>
          <w:rFonts w:ascii="Times New Roman" w:hAnsi="Times New Roman"/>
          <w:sz w:val="28"/>
          <w:szCs w:val="28"/>
        </w:rPr>
        <w:t xml:space="preserve">s componentes esenciales es la protección de la diversidad, la autonomía y la participación de los pueblos indígenas en los asuntos que los afectan. También alegó que el decreto establece un mecanismo para que las autoridades ambientales competentes y las </w:t>
      </w:r>
      <w:r w:rsidRPr="00D93140">
        <w:rPr>
          <w:rFonts w:ascii="Times New Roman" w:hAnsi="Times New Roman"/>
          <w:sz w:val="28"/>
          <w:szCs w:val="28"/>
        </w:rPr>
        <w:t>autoridades indígenas puedan articular sus actuaciones en procesos sancionatorios, sin que ello implique una delegación o una ampliación discrecional de competencias ni la creación de sanciones nuevas o autónomas por parte de las autoridades indígenas, por</w:t>
      </w:r>
      <w:r w:rsidRPr="00D93140">
        <w:rPr>
          <w:rFonts w:ascii="Times New Roman" w:hAnsi="Times New Roman"/>
          <w:sz w:val="28"/>
          <w:szCs w:val="28"/>
        </w:rPr>
        <w:t xml:space="preserve"> lo tanto no habría una afectación del artículo 29 superior.</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De otra parte, respecto de la falta de consulta previa, resaltó el interviniente que el decreto no se ocupa ni resuelve sobre la propiedad colectiva, ni de los pueblos indígenas, ni de las comun</w:t>
      </w:r>
      <w:r w:rsidRPr="00D93140">
        <w:rPr>
          <w:rFonts w:ascii="Times New Roman" w:hAnsi="Times New Roman"/>
          <w:sz w:val="28"/>
          <w:szCs w:val="28"/>
        </w:rPr>
        <w:t>idades afrodescendientes, asuntos para los cuales existen ya otras normativas y que no es cierto que con este Decreto se desconoce la autonomía de las comunidades negras, pues esta norma solo se ocupa de reglar y formalizar el ejercicio de las facultades a</w:t>
      </w:r>
      <w:r w:rsidRPr="00D93140">
        <w:rPr>
          <w:rFonts w:ascii="Times New Roman" w:hAnsi="Times New Roman"/>
          <w:sz w:val="28"/>
          <w:szCs w:val="28"/>
        </w:rPr>
        <w:t>mbientales de los pueblos indígenas, conforme a sus propias y diversas relaciones con el territorio, sin que ello desconozca las demás existentes. Igualmente indicó que las autoridades indígenas no son particulares en los términos del artículo 210 constitu</w:t>
      </w:r>
      <w:r w:rsidRPr="00D93140">
        <w:rPr>
          <w:rFonts w:ascii="Times New Roman" w:hAnsi="Times New Roman"/>
          <w:sz w:val="28"/>
          <w:szCs w:val="28"/>
        </w:rPr>
        <w:t>cional sino estructuras legítimas de gobierno, encargadas del orden social, jurídico y cultural de los pueblos indígenas, pues son ellas quienes ejercen competencias propias, derivadas de su autonomía y su derecho fundamental a la libre determinación.</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Fin</w:t>
      </w:r>
      <w:r w:rsidRPr="00D93140">
        <w:rPr>
          <w:rFonts w:ascii="Times New Roman" w:hAnsi="Times New Roman"/>
          <w:sz w:val="28"/>
          <w:szCs w:val="28"/>
        </w:rPr>
        <w:t>almente, en cuanto al derecho de acceso a la justicia, indicó que no se materializa esta afectación debido a que el decreto prevé la coordinación y sujeción al marco constitucional cuando se vean involucrados derechos de terceros ajenos a las comunidades i</w:t>
      </w:r>
      <w:r w:rsidRPr="00D93140">
        <w:rPr>
          <w:rFonts w:ascii="Times New Roman" w:hAnsi="Times New Roman"/>
          <w:sz w:val="28"/>
          <w:szCs w:val="28"/>
        </w:rPr>
        <w:t>ndígenas, permitiendo así que las decisiones puedan ser impugnadas y controladas dentro del sistema judicial ordinario. De tal forma, se garantiza el respeto al debido proceso, el juez natural y las garantías procesales, conforme a lo previsto en el artícu</w:t>
      </w:r>
      <w:r w:rsidRPr="00D93140">
        <w:rPr>
          <w:rFonts w:ascii="Times New Roman" w:hAnsi="Times New Roman"/>
          <w:sz w:val="28"/>
          <w:szCs w:val="28"/>
        </w:rPr>
        <w:t>lo 29 de la Constitución Política y la jurisprudencia constitucional.</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Intervención del ciudadano Pablo Esteban Vivas Parra.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El interviniente presentó argumentos orientados a que se declare la inexequibilidad del Decreto 1275 de 2024.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primer lugar, a</w:t>
      </w:r>
      <w:r w:rsidRPr="00D93140">
        <w:rPr>
          <w:rFonts w:ascii="Times New Roman" w:hAnsi="Times New Roman"/>
          <w:sz w:val="28"/>
          <w:szCs w:val="28"/>
          <w:lang w:val="es-ES"/>
        </w:rPr>
        <w:t xml:space="preserve">legó que </w:t>
      </w:r>
      <w:r w:rsidRPr="00D93140">
        <w:rPr>
          <w:rFonts w:ascii="Times New Roman" w:hAnsi="Times New Roman"/>
          <w:sz w:val="28"/>
          <w:szCs w:val="28"/>
        </w:rPr>
        <w:t>el ejecutivo excedió la potestad excepcional que se le confirió por vía del artículo 56 transitorio superior por cuanto “el desarrollo de las competencias ambientales de las autoridades indígenas”, objeto del proyecto de Decreto, es una temática q</w:t>
      </w:r>
      <w:r w:rsidRPr="00D93140">
        <w:rPr>
          <w:rFonts w:ascii="Times New Roman" w:hAnsi="Times New Roman"/>
          <w:sz w:val="28"/>
          <w:szCs w:val="28"/>
        </w:rPr>
        <w:t>ue no se circunscribe dentro del núcleo de los asuntos que el Ejecutivo puede tratar, excediendo así “su limitada, excepcional y no extensiva capacidad, afectando así la constitucionalidad plena del Decreto, su alcance y contenido”</w:t>
      </w:r>
      <w:r w:rsidRPr="00D93140">
        <w:rPr>
          <w:rStyle w:val="Refdenotaalpie"/>
          <w:rFonts w:ascii="Times New Roman" w:hAnsi="Times New Roman"/>
          <w:sz w:val="28"/>
          <w:szCs w:val="28"/>
        </w:rPr>
        <w:footnoteReference w:id="152"/>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En segundo lugar, ind</w:t>
      </w:r>
      <w:r w:rsidRPr="00D93140">
        <w:rPr>
          <w:rFonts w:ascii="Times New Roman" w:hAnsi="Times New Roman"/>
          <w:sz w:val="28"/>
          <w:szCs w:val="28"/>
        </w:rPr>
        <w:t xml:space="preserve">icó que el contenido de la definición del principio de Territorialidad es contrario a lo establecido en disposiciones de rango constitucional, porque contraviene “la autonomía, autodeterminación e independencia que reviste a los Territorios Indígenas como </w:t>
      </w:r>
      <w:r w:rsidRPr="00D93140">
        <w:rPr>
          <w:rFonts w:ascii="Times New Roman" w:hAnsi="Times New Roman"/>
          <w:sz w:val="28"/>
          <w:szCs w:val="28"/>
        </w:rPr>
        <w:t>entidades territoriales, al tiempo que reproduce un contenido que excede las competencias del Ejecutivo en la materia, al imponer a las autoridades ambientales indígenas restricciones que no le corresponden, por carecer de fundamento alguno”</w:t>
      </w:r>
      <w:r w:rsidRPr="00D93140">
        <w:rPr>
          <w:rStyle w:val="Refdenotaalpie"/>
          <w:rFonts w:ascii="Times New Roman" w:hAnsi="Times New Roman"/>
          <w:sz w:val="28"/>
          <w:szCs w:val="28"/>
        </w:rPr>
        <w:footnoteReference w:id="153"/>
      </w:r>
      <w:r w:rsidRPr="00D93140">
        <w:rPr>
          <w:rFonts w:ascii="Times New Roman" w:hAnsi="Times New Roman"/>
          <w:sz w:val="28"/>
          <w:szCs w:val="28"/>
        </w:rPr>
        <w:t>.  De esta for</w:t>
      </w:r>
      <w:r w:rsidRPr="00D93140">
        <w:rPr>
          <w:rFonts w:ascii="Times New Roman" w:hAnsi="Times New Roman"/>
          <w:sz w:val="28"/>
          <w:szCs w:val="28"/>
        </w:rPr>
        <w:t>ma se cercena la autonomía de los pueblos indígenas, ya que deben ser ellos quienes, de manera independiente, decidan si regulan o no la gestión de sus recursos naturales, ambiente y territorio, cómo lo deben hacer, bajo qué criterios y conforme a qué cosm</w:t>
      </w:r>
      <w:r w:rsidRPr="00D93140">
        <w:rPr>
          <w:rFonts w:ascii="Times New Roman" w:hAnsi="Times New Roman"/>
          <w:sz w:val="28"/>
          <w:szCs w:val="28"/>
        </w:rPr>
        <w:t>ovisión.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sz w:val="28"/>
          <w:szCs w:val="28"/>
          <w:lang w:val="es-ES"/>
        </w:rPr>
      </w:pPr>
      <w:r w:rsidRPr="00D93140">
        <w:rPr>
          <w:rFonts w:ascii="Times New Roman" w:hAnsi="Times New Roman"/>
          <w:b/>
          <w:sz w:val="28"/>
          <w:szCs w:val="28"/>
          <w:lang w:val="es-ES"/>
        </w:rPr>
        <w:t>Norman David Bañol Álvarez, representante a la Cámara por la Circunscripción Especial Indígena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Norman David Bañol Álvarez, representante a la Cámara por la Circunscripción Especial Indígena, intervino en el trámite de las demandas acumuladas con</w:t>
      </w:r>
      <w:r w:rsidRPr="00D93140">
        <w:rPr>
          <w:rFonts w:ascii="Times New Roman" w:hAnsi="Times New Roman"/>
          <w:sz w:val="28"/>
          <w:szCs w:val="28"/>
          <w:lang w:val="es-ES"/>
        </w:rPr>
        <w:t>tra el Decreto 1275 de 2024 para oponerse a las pretensiones de inconstitucionalidad, argumentando que esta norma constituye un avance histórico en el desarrollo de derechos territoriales, colectivos y ambientales de los pueblos indígenas, cuyo reconocimie</w:t>
      </w:r>
      <w:r w:rsidRPr="00D93140">
        <w:rPr>
          <w:rFonts w:ascii="Times New Roman" w:hAnsi="Times New Roman"/>
          <w:sz w:val="28"/>
          <w:szCs w:val="28"/>
          <w:lang w:val="es-ES"/>
        </w:rPr>
        <w:t xml:space="preserve">nto y regulación han estado pendientes desde la promulgación de la Constitución de 1991.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Señaló que el decreto responde a un mandato expreso del artículo 56 transitorio de la Constitución, cuya facultad conferida al Ejecutivo no ha perdido vigencia </w:t>
      </w:r>
      <w:r w:rsidRPr="00D93140">
        <w:rPr>
          <w:rFonts w:ascii="Times New Roman" w:hAnsi="Times New Roman"/>
          <w:sz w:val="28"/>
          <w:szCs w:val="28"/>
          <w:lang w:val="es-ES"/>
        </w:rPr>
        <w:t>debido a la omisión legislativa del Congreso en expedir la ley orgánica prevista en el artículo 329.</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sustento de su posición, expresó que la Corte Constitucional, en sentencias como la C - 544 de 1992, C - 370 de 2000 y C - 617 de 2015, ha precisado qu</w:t>
      </w:r>
      <w:r w:rsidRPr="00D93140">
        <w:rPr>
          <w:rFonts w:ascii="Times New Roman" w:hAnsi="Times New Roman"/>
          <w:sz w:val="28"/>
          <w:szCs w:val="28"/>
          <w:lang w:val="es-ES"/>
        </w:rPr>
        <w:t>e los artículos transitorios tienen la misma fuerza normativa que las disposiciones permanentes y que el artículo 56 transitorio otorga una competencia amplia, cualificada y condicionada, habilitando al Ejecutivo para expedir normas sobre el funcionamiento</w:t>
      </w:r>
      <w:r w:rsidRPr="00D93140">
        <w:rPr>
          <w:rFonts w:ascii="Times New Roman" w:hAnsi="Times New Roman"/>
          <w:sz w:val="28"/>
          <w:szCs w:val="28"/>
          <w:lang w:val="es-ES"/>
        </w:rPr>
        <w:t xml:space="preserve"> de los territorios indígenas, incluidas las de naturaleza fiscal, y su coordinación con otras entidades territoriales. Explicó que dicha competencia se mantiene hasta que el Congreso legisle, sin que exista plazo límite, y que las disposiciones expedidas </w:t>
      </w:r>
      <w:r w:rsidRPr="00D93140">
        <w:rPr>
          <w:rFonts w:ascii="Times New Roman" w:hAnsi="Times New Roman"/>
          <w:sz w:val="28"/>
          <w:szCs w:val="28"/>
          <w:lang w:val="es-ES"/>
        </w:rPr>
        <w:t>al amparo de esa facultad deben ser respetadas por el legislador posterior.</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El interviniente subrayó que la expedición del Decreto 1275 de 2024 no fue unilateral, sino fruto de un proceso de consulta y concertación con los pueblos indígenas a través de la</w:t>
      </w:r>
      <w:r w:rsidRPr="00D93140">
        <w:rPr>
          <w:rFonts w:ascii="Times New Roman" w:hAnsi="Times New Roman"/>
          <w:sz w:val="28"/>
          <w:szCs w:val="28"/>
          <w:lang w:val="es-ES"/>
        </w:rPr>
        <w:t xml:space="preserve"> Mesa Permanente de Concertación, cumpliendo así con las obligaciones derivadas del Convenio 169 de la OIT y de la jurisprudencia constitucional en materia de consulta previa. Añadió que, conforme a la sentencia T - 025 de 2004 y al Auto 004 de 2009, el de</w:t>
      </w:r>
      <w:r w:rsidRPr="00D93140">
        <w:rPr>
          <w:rFonts w:ascii="Times New Roman" w:hAnsi="Times New Roman"/>
          <w:sz w:val="28"/>
          <w:szCs w:val="28"/>
          <w:lang w:val="es-ES"/>
        </w:rPr>
        <w:t>recho al territorio es un derecho fundamental cuya protección resulta esencial para la pervivencia física y cultural de las comunidades, e incluye de manera inseparable la gestión ambiental como parte de su autonomía y de los planes de vida.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Frente a los </w:t>
      </w:r>
      <w:r w:rsidRPr="00D93140">
        <w:rPr>
          <w:rFonts w:ascii="Times New Roman" w:hAnsi="Times New Roman"/>
          <w:sz w:val="28"/>
          <w:szCs w:val="28"/>
          <w:lang w:val="es-ES"/>
        </w:rPr>
        <w:t>cargos de la demanda, rechazó que la vigencia del artículo 56 transitorio se haya agotado, que la regulación ambiental contenida en el decreto exceda las competencias presidenciales o que se afecte la autonomía de las corporaciones autónomas regionales. Pr</w:t>
      </w:r>
      <w:r w:rsidRPr="00D93140">
        <w:rPr>
          <w:rFonts w:ascii="Times New Roman" w:hAnsi="Times New Roman"/>
          <w:sz w:val="28"/>
          <w:szCs w:val="28"/>
          <w:lang w:val="es-ES"/>
        </w:rPr>
        <w:t>ecisó que la autonomía indígena es distinta en su naturaleza y alcance, y debe primar en el manejo de sus territorios, aplicando, en caso de concurrencia de competencias, los principios jurisprudenciales de coordinación y armonización normativa. También de</w:t>
      </w:r>
      <w:r w:rsidRPr="00D93140">
        <w:rPr>
          <w:rFonts w:ascii="Times New Roman" w:hAnsi="Times New Roman"/>
          <w:sz w:val="28"/>
          <w:szCs w:val="28"/>
          <w:lang w:val="es-ES"/>
        </w:rPr>
        <w:t>sestimó los señalamientos de que la norma desconoce el interés general o la precaución ambiental, calificando estas afirmaciones como interpretaciones erradas y carentes de sustento. En cuanto al debido proceso, sostuvo que el decreto establece reglas clar</w:t>
      </w:r>
      <w:r w:rsidRPr="00D93140">
        <w:rPr>
          <w:rFonts w:ascii="Times New Roman" w:hAnsi="Times New Roman"/>
          <w:sz w:val="28"/>
          <w:szCs w:val="28"/>
          <w:lang w:val="es-ES"/>
        </w:rPr>
        <w:t>as de coordinación para las personas no sujetas a la jurisdicción indígena y respeta la justicia propia para los comuneros, por lo que no se configura vulneración alguna.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Finalmente, solicitó a la Corte Constitucional negar las demandas de inconstituciona</w:t>
      </w:r>
      <w:r w:rsidRPr="00D93140">
        <w:rPr>
          <w:rFonts w:ascii="Times New Roman" w:hAnsi="Times New Roman"/>
          <w:sz w:val="28"/>
          <w:szCs w:val="28"/>
          <w:lang w:val="es-ES"/>
        </w:rPr>
        <w:t>lidad, mantener la línea jurisprudencial que ha reconocido la vigencia y amplitud de las facultades conferidas por el artículo 56 transitorio de la Constitución, y acoger los estándares internacionales sobre derechos territoriales indígenas, reafirmando el</w:t>
      </w:r>
      <w:r w:rsidRPr="00D93140">
        <w:rPr>
          <w:rFonts w:ascii="Times New Roman" w:hAnsi="Times New Roman"/>
          <w:sz w:val="28"/>
          <w:szCs w:val="28"/>
          <w:lang w:val="es-ES"/>
        </w:rPr>
        <w:t xml:space="preserve"> compromiso del Estado con la protección de la autonomía, la integridad territorial y el ejercicio de la autoridad ambiental por parte de los pueblos originarios.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pStyle w:val="Prrafodelista"/>
        <w:numPr>
          <w:ilvl w:val="0"/>
          <w:numId w:val="2"/>
        </w:numPr>
        <w:spacing w:after="0" w:line="240" w:lineRule="auto"/>
        <w:ind w:left="0" w:firstLine="0"/>
        <w:jc w:val="both"/>
        <w:rPr>
          <w:rFonts w:ascii="Times New Roman" w:hAnsi="Times New Roman"/>
          <w:b/>
          <w:bCs/>
          <w:sz w:val="28"/>
          <w:szCs w:val="28"/>
          <w:lang w:val="es-ES"/>
        </w:rPr>
      </w:pPr>
      <w:r w:rsidRPr="00D93140">
        <w:rPr>
          <w:rFonts w:ascii="Times New Roman" w:hAnsi="Times New Roman"/>
          <w:b/>
          <w:bCs/>
          <w:sz w:val="28"/>
          <w:szCs w:val="28"/>
          <w:lang w:val="es-ES"/>
        </w:rPr>
        <w:t>Intervención del ciudadano Rodrigo Corpus Soscue</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El ciudadano intervino con el propósito de</w:t>
      </w:r>
      <w:r w:rsidRPr="00D93140">
        <w:rPr>
          <w:rFonts w:ascii="Times New Roman" w:hAnsi="Times New Roman"/>
          <w:sz w:val="28"/>
          <w:szCs w:val="28"/>
          <w:lang w:val="es-ES"/>
        </w:rPr>
        <w:t>fender la constitucionalidad del Decreto-Ley 1275 de 2024, en particular, de los artículos 1º (parcial), 2º, 3º [literales (f), (h) e (i, parcial)], 5º, 6º y 10º, ya que, las disposiciones demandadas no vulneran ni desconocen los artículos los artículos de</w:t>
      </w:r>
      <w:r w:rsidRPr="00D93140">
        <w:rPr>
          <w:rFonts w:ascii="Times New Roman" w:hAnsi="Times New Roman"/>
          <w:sz w:val="28"/>
          <w:szCs w:val="28"/>
          <w:lang w:val="es-ES"/>
        </w:rPr>
        <w:t xml:space="preserve"> la Constitución Política.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primer lugar, señaló que los cargos formulados no cumplen con los requisitos de pertinencia y suficiencia. Indicó que si bien, los Decretos 1088 y 1953 fueron expedidos con ocasión del artículo 56 transitorio, no agotaron ni</w:t>
      </w:r>
      <w:r w:rsidRPr="00D93140">
        <w:rPr>
          <w:rFonts w:ascii="Times New Roman" w:hAnsi="Times New Roman"/>
          <w:sz w:val="28"/>
          <w:szCs w:val="28"/>
          <w:lang w:val="es-ES"/>
        </w:rPr>
        <w:t xml:space="preserve"> dieron desarrollo absoluto de las competencias, funciones y derechos que les asisten a los territorios y autoridades indígenas en virtud del artículo 287, 329 y 330. En tal virtud, la competencia prevista por el artículo 56 transitorio de la Constitución </w:t>
      </w:r>
      <w:r w:rsidRPr="00D93140">
        <w:rPr>
          <w:rFonts w:ascii="Times New Roman" w:hAnsi="Times New Roman"/>
          <w:sz w:val="28"/>
          <w:szCs w:val="28"/>
          <w:lang w:val="es-ES"/>
        </w:rPr>
        <w:t>no se ha extinguido y el ejecutivo se encuentra habilitado para dictar normas relativas al funcionamiento de territorios indígenas. En este contexto, el ciudadano considera que los demandantes no demostraron una oposición objetiva entre el Decreto y la Con</w:t>
      </w:r>
      <w:r w:rsidRPr="00D93140">
        <w:rPr>
          <w:rFonts w:ascii="Times New Roman" w:hAnsi="Times New Roman"/>
          <w:sz w:val="28"/>
          <w:szCs w:val="28"/>
          <w:lang w:val="es-ES"/>
        </w:rPr>
        <w:t>stitución Política, por lo que los pretendidos cargos carecen de pertinencia y suficiencia.</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segundo lugar, expuso que el cargo relacionado con la vulneración de los artículos 56 transitorio y 151 y 288 de la Constitución, no cumple con los requisitos d</w:t>
      </w:r>
      <w:r w:rsidRPr="00D93140">
        <w:rPr>
          <w:rFonts w:ascii="Times New Roman" w:hAnsi="Times New Roman"/>
          <w:sz w:val="28"/>
          <w:szCs w:val="28"/>
          <w:lang w:val="es-ES"/>
        </w:rPr>
        <w:t>e pertinencia y suficiencia, lo anterior porque el accionante no demostró una oposición objetiva entre el Decreto y la Constitución Política. Para el interviniente, las competencias ambientales reconocidas en el decreto 1275 de 2024 no exceden de lo dispue</w:t>
      </w:r>
      <w:r w:rsidRPr="00D93140">
        <w:rPr>
          <w:rFonts w:ascii="Times New Roman" w:hAnsi="Times New Roman"/>
          <w:sz w:val="28"/>
          <w:szCs w:val="28"/>
          <w:lang w:val="es-ES"/>
        </w:rPr>
        <w:t>sto en el artículo 288 de la Constitución y reafirma lo dispuesto por el constituyente primario en la necesidad de materializar progresivamente los derechos territoriales y ambientales de los pueblos indígenas sin desconocer la supremacía constitucional, l</w:t>
      </w:r>
      <w:r w:rsidRPr="00D93140">
        <w:rPr>
          <w:rFonts w:ascii="Times New Roman" w:hAnsi="Times New Roman"/>
          <w:sz w:val="28"/>
          <w:szCs w:val="28"/>
          <w:lang w:val="es-ES"/>
        </w:rPr>
        <w:t xml:space="preserve">a competencia de la Nación, los derechos de las entidades territoriales (departamentos, municipios) y las facultades reconocidas a otras entidades en materia ambiental.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tercer lugar, señaló que el cargo por vulneración del artículo 330 de la Constituc</w:t>
      </w:r>
      <w:r w:rsidRPr="00D93140">
        <w:rPr>
          <w:rFonts w:ascii="Times New Roman" w:hAnsi="Times New Roman"/>
          <w:sz w:val="28"/>
          <w:szCs w:val="28"/>
          <w:lang w:val="es-ES"/>
        </w:rPr>
        <w:t>ión Política no cumple con los requisitos de pertinencia y suficiencia. Destacó que en sintonía con las principales preocupaciones internacionales en materia de protección del ambiente y la biodiversidad, así como de las prerrogativas constitucionales y co</w:t>
      </w:r>
      <w:r w:rsidRPr="00D93140">
        <w:rPr>
          <w:rFonts w:ascii="Times New Roman" w:hAnsi="Times New Roman"/>
          <w:sz w:val="28"/>
          <w:szCs w:val="28"/>
          <w:lang w:val="es-ES"/>
        </w:rPr>
        <w:t>nvenciones alrededor de los territorios y el medio natural que hacen parte del entorno vital y de gran significado cultural para la supervivencia de los pueblos indígenas, el Gobierno ratificó competencias ambientales a las autoridades tradiciones y/o ance</w:t>
      </w:r>
      <w:r w:rsidRPr="00D93140">
        <w:rPr>
          <w:rFonts w:ascii="Times New Roman" w:hAnsi="Times New Roman"/>
          <w:sz w:val="28"/>
          <w:szCs w:val="28"/>
          <w:lang w:val="es-ES"/>
        </w:rPr>
        <w:t>strales por constituir un objetivo fundamental dentro de la actual estructura del Estado Social de Derecho, que tiene como pilares la participación, pluralidad y autonomía en las entidades territoriales.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Por lo tanto, estimó que el Decreto 1275 de 2024, a</w:t>
      </w:r>
      <w:r w:rsidRPr="00D93140">
        <w:rPr>
          <w:rFonts w:ascii="Times New Roman" w:hAnsi="Times New Roman"/>
          <w:sz w:val="28"/>
          <w:szCs w:val="28"/>
          <w:lang w:val="es-ES"/>
        </w:rPr>
        <w:t>l poner en funcionamiento los territorios indígenas en materia ambiental y reconocer la potestad para el ordenamiento ambiental territorial, la determinación de mecanismos regulatorios, de gestión y gobierno con fines de protección, restauración, uso y man</w:t>
      </w:r>
      <w:r w:rsidRPr="00D93140">
        <w:rPr>
          <w:rFonts w:ascii="Times New Roman" w:hAnsi="Times New Roman"/>
          <w:sz w:val="28"/>
          <w:szCs w:val="28"/>
          <w:lang w:val="es-ES"/>
        </w:rPr>
        <w:t>ejo de los recursos naturales sobre sus territorios y territorialidades (art. 1, 4y 5) materializa los anteriores presupuestos normativos sin desconocer la Constitución.</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En cuarto lugar, indicó que el cargo relacionado con la vulneración de los artículos </w:t>
      </w:r>
      <w:r w:rsidRPr="00D93140">
        <w:rPr>
          <w:rFonts w:ascii="Times New Roman" w:hAnsi="Times New Roman"/>
          <w:sz w:val="28"/>
          <w:szCs w:val="28"/>
          <w:lang w:val="es-ES"/>
        </w:rPr>
        <w:t>150-7, 325 y 331 de la Constitución Política, no cumple con los requisitos de pertinencia y suficiencia, por cuanto el Decreto no se opone el régimen de autonomía de las Corporaciones Autónomas Regionales- CAR. Para el ciudadano, la interpretación del acto</w:t>
      </w:r>
      <w:r w:rsidRPr="00D93140">
        <w:rPr>
          <w:rFonts w:ascii="Times New Roman" w:hAnsi="Times New Roman"/>
          <w:sz w:val="28"/>
          <w:szCs w:val="28"/>
          <w:lang w:val="es-ES"/>
        </w:rPr>
        <w:t>r excede la literalidad de esas disposiciones y resulta descontextualizada. En criterio del interviniente, la aplicación de los principios de coordinación, concurrencia, complementariedad y subsidiariedad según el artículo 5 demandado, se materializa en vi</w:t>
      </w:r>
      <w:r w:rsidRPr="00D93140">
        <w:rPr>
          <w:rFonts w:ascii="Times New Roman" w:hAnsi="Times New Roman"/>
          <w:sz w:val="28"/>
          <w:szCs w:val="28"/>
          <w:lang w:val="es-ES"/>
        </w:rPr>
        <w:t xml:space="preserve">rtud del ejercicio de las competencias ambientales por parte de las autoridades indígenas y de las demás entidades ambientales.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ese escenario, consideró que los cargos no son pertinentes ni suficientes ya que el actor no identifica en qué medida las f</w:t>
      </w:r>
      <w:r w:rsidRPr="00D93140">
        <w:rPr>
          <w:rFonts w:ascii="Times New Roman" w:hAnsi="Times New Roman"/>
          <w:sz w:val="28"/>
          <w:szCs w:val="28"/>
          <w:lang w:val="es-ES"/>
        </w:rPr>
        <w:t>unciones desarrolladas en el marco de la autonomía constitucional de las CAR se ven reducidas con lo dispuesto en el artículo 5 del decreto 1275 o, en su defecto, en qué medida las competencias previstas en artículo 5 del Decreto demandado despoja las func</w:t>
      </w:r>
      <w:r w:rsidRPr="00D93140">
        <w:rPr>
          <w:rFonts w:ascii="Times New Roman" w:hAnsi="Times New Roman"/>
          <w:sz w:val="28"/>
          <w:szCs w:val="28"/>
          <w:lang w:val="es-ES"/>
        </w:rPr>
        <w:t xml:space="preserve">iones conferidas a las CAR y por qué esto desconocería el mínimo de autonomía funcional de las corporaciones autónomas. Y finalmente, de qué manera se materializa la sustracción de las competencias de las Corporaciones en lo que respecta a los territorios </w:t>
      </w:r>
      <w:r w:rsidRPr="00D93140">
        <w:rPr>
          <w:rFonts w:ascii="Times New Roman" w:hAnsi="Times New Roman"/>
          <w:sz w:val="28"/>
          <w:szCs w:val="28"/>
          <w:lang w:val="es-ES"/>
        </w:rPr>
        <w:t>indígenas.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En quinto lugar, señaló que el cargo por vulneración del artículo 1 de la Constitución Política no cumple con los requisitos de pertinencia y suficiencia, en consecuencia. El interés general definido en la norma debe entenderse bajo una lectura</w:t>
      </w:r>
      <w:r w:rsidRPr="00D93140">
        <w:rPr>
          <w:rFonts w:ascii="Times New Roman" w:hAnsi="Times New Roman"/>
          <w:sz w:val="28"/>
          <w:szCs w:val="28"/>
          <w:lang w:val="es-ES"/>
        </w:rPr>
        <w:t xml:space="preserve"> sistemática y finalista del Decreto 1275, para efectos del funcionamiento de los territorios indígenas en materia ambiental y el desarrollo de las competencias ambientales de las autoridades indígenas y su coordinación efectiva con las demás autoridades y</w:t>
      </w:r>
      <w:r w:rsidRPr="00D93140">
        <w:rPr>
          <w:rFonts w:ascii="Times New Roman" w:hAnsi="Times New Roman"/>
          <w:sz w:val="28"/>
          <w:szCs w:val="28"/>
          <w:lang w:val="es-ES"/>
        </w:rPr>
        <w:t>/o entidades.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Para el ciudadano, el interés general busca consolidar el precedente constitucional que ha sentado las bases para ratificar la categoría de la Constitución Ecológica y el conjunto de principios, derechos y deberes que lo fundamentan en torno</w:t>
      </w:r>
      <w:r w:rsidRPr="00D93140">
        <w:rPr>
          <w:rFonts w:ascii="Times New Roman" w:hAnsi="Times New Roman"/>
          <w:sz w:val="28"/>
          <w:szCs w:val="28"/>
          <w:lang w:val="es-ES"/>
        </w:rPr>
        <w:t xml:space="preserve"> a la protección del medio ambiente. </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lang w:val="es-ES"/>
        </w:rPr>
        <w:t xml:space="preserve">En séptimo lugar, indicó que los cargos por vulneración del artículo 29 de la Constitución Política no cumplen con los requisitos de pertinencia y suficiencia, ello en tanto la norma acusada integra implícitamente la </w:t>
      </w:r>
      <w:r w:rsidRPr="00D93140">
        <w:rPr>
          <w:rFonts w:ascii="Times New Roman" w:hAnsi="Times New Roman"/>
          <w:sz w:val="28"/>
          <w:szCs w:val="28"/>
          <w:lang w:val="es-ES"/>
        </w:rPr>
        <w:t>categoría de la “jurisdicción ambiental intercultural”, en el sentido que, el artículo 6 (núm. 3) no faculta a las autoridades indígenas para sancionar unilateralmente a no indígenas, sino que establece un mecanismo de coordinación con la autoridad ambient</w:t>
      </w:r>
      <w:r w:rsidRPr="00D93140">
        <w:rPr>
          <w:rFonts w:ascii="Times New Roman" w:hAnsi="Times New Roman"/>
          <w:sz w:val="28"/>
          <w:szCs w:val="28"/>
          <w:lang w:val="es-ES"/>
        </w:rPr>
        <w:t>al competente, particularmente las CAR. Por lo tanto, la sanción será impuesta por la entidad ambiental conforme a la ley, con participación consultiva de la autoridad indígena en casos que afecten sus territorios, para garantizar la reparación integral, s</w:t>
      </w:r>
      <w:r w:rsidRPr="00D93140">
        <w:rPr>
          <w:rFonts w:ascii="Times New Roman" w:hAnsi="Times New Roman"/>
          <w:sz w:val="28"/>
          <w:szCs w:val="28"/>
          <w:lang w:val="es-ES"/>
        </w:rPr>
        <w:t>in que ello implique una sustracción de funciones.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En octavo lugar, señaló que el cargo por vulneración del artículo 151 y 334 de la Constitución Política no cumple con los requisitos de pertinencia y suficiencia. Lo anterior, en cuanto el artículo 10 del</w:t>
      </w:r>
      <w:r w:rsidRPr="00D93140">
        <w:rPr>
          <w:rFonts w:ascii="Times New Roman" w:hAnsi="Times New Roman"/>
          <w:sz w:val="28"/>
          <w:szCs w:val="28"/>
        </w:rPr>
        <w:t xml:space="preserve"> decreto no fija un monto específico ni un incremento porcentual obligatorio, sino que ordena al Gobierno Nacional en cabeza del Ministerio de Ambiente y Desarrollo Sostenible a coordinar y a realizar las acciones necesarias para garantizar los recursos de</w:t>
      </w:r>
      <w:r w:rsidRPr="00D93140">
        <w:rPr>
          <w:rFonts w:ascii="Times New Roman" w:hAnsi="Times New Roman"/>
          <w:sz w:val="28"/>
          <w:szCs w:val="28"/>
        </w:rPr>
        <w:t xml:space="preserve"> funcionamiento de las competencias ambientales de las autoridades indígenas. En ese sentido, para el interviniente la norma es un mandato de planeación dentro de los límites fiscales existentes y no una norma fiscal.</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rPr>
      </w:pPr>
      <w:r w:rsidRPr="00D93140">
        <w:rPr>
          <w:rFonts w:ascii="Times New Roman" w:hAnsi="Times New Roman"/>
          <w:sz w:val="28"/>
          <w:szCs w:val="28"/>
        </w:rPr>
        <w:t xml:space="preserve">En noveno lugar, indicó que el cargo </w:t>
      </w:r>
      <w:r w:rsidRPr="00D93140">
        <w:rPr>
          <w:rFonts w:ascii="Times New Roman" w:hAnsi="Times New Roman"/>
          <w:sz w:val="28"/>
          <w:szCs w:val="28"/>
        </w:rPr>
        <w:t xml:space="preserve">por vulneración al proceso de la consulta previa en virtud del artículo 6 del Convenio 169 de la OIT no cumple con los requisitos de pertinencia y suficiencia. En su criterio, el decreto no otorga jurisdicción ambiental exclusiva a pueblos indígenas sobre </w:t>
      </w:r>
      <w:r w:rsidRPr="00D93140">
        <w:rPr>
          <w:rFonts w:ascii="Times New Roman" w:hAnsi="Times New Roman"/>
          <w:sz w:val="28"/>
          <w:szCs w:val="28"/>
        </w:rPr>
        <w:t>territorios de comunidades negras, afrodescendientes, raizales y palenqueras sino que reconoce competencias ambientales a autoridades indígenas en sus territorios titulados (resguardos) o en áreas de ocupación tradicional, en consecuencia, no aplica en ter</w:t>
      </w:r>
      <w:r w:rsidRPr="00D93140">
        <w:rPr>
          <w:rFonts w:ascii="Times New Roman" w:hAnsi="Times New Roman"/>
          <w:sz w:val="28"/>
          <w:szCs w:val="28"/>
        </w:rPr>
        <w:t xml:space="preserve">ritorios colectivos de comunidades negras (Ley 70 de 1993). </w:t>
      </w:r>
    </w:p>
    <w:p w:rsidR="0022327A" w:rsidRPr="00D93140" w:rsidRDefault="00D93140" w:rsidP="0022327A">
      <w:pPr>
        <w:spacing w:after="0" w:line="240" w:lineRule="auto"/>
        <w:jc w:val="both"/>
        <w:rPr>
          <w:rFonts w:ascii="Times New Roman" w:hAnsi="Times New Roman"/>
          <w:sz w:val="28"/>
          <w:szCs w:val="28"/>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Además, señaló que el decreto incluye mecanismos para aplicar los principios de coordinación, concurrencia, complementariedad y subsidiariedad, con la finalidad de garantizar la protección armón</w:t>
      </w:r>
      <w:r w:rsidRPr="00D93140">
        <w:rPr>
          <w:rFonts w:ascii="Times New Roman" w:hAnsi="Times New Roman"/>
          <w:sz w:val="28"/>
          <w:szCs w:val="28"/>
        </w:rPr>
        <w:t>ica de los ecosistemas y territorios en los casos en los que se supere el ámbito de aplicación del presente Decreto y concurran competencias ambientales.</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22327A">
      <w:pPr>
        <w:spacing w:after="0" w:line="240" w:lineRule="auto"/>
        <w:jc w:val="both"/>
        <w:rPr>
          <w:rFonts w:ascii="Times New Roman" w:hAnsi="Times New Roman"/>
          <w:sz w:val="28"/>
          <w:szCs w:val="28"/>
          <w:lang w:val="es-ES"/>
        </w:rPr>
      </w:pPr>
      <w:r w:rsidRPr="00D93140">
        <w:rPr>
          <w:rFonts w:ascii="Times New Roman" w:hAnsi="Times New Roman"/>
          <w:sz w:val="28"/>
          <w:szCs w:val="28"/>
        </w:rPr>
        <w:t>Finalmente, consideró que el cargo por vulneración de los artículos 123, 210 y 229 de la Constitución</w:t>
      </w:r>
      <w:r w:rsidRPr="00D93140">
        <w:rPr>
          <w:rFonts w:ascii="Times New Roman" w:hAnsi="Times New Roman"/>
          <w:sz w:val="28"/>
          <w:szCs w:val="28"/>
        </w:rPr>
        <w:t xml:space="preserve"> no cumplen con los requisitos de pertinencia y suficiencia. Para el ciudadano, las autoridades indígenas ejercen sus funciones en coordinación con las entidades ambientales competentes. Por lo que no existe sustitución, sino articulación de competencias. </w:t>
      </w:r>
      <w:r w:rsidRPr="00D93140">
        <w:rPr>
          <w:rFonts w:ascii="Times New Roman" w:hAnsi="Times New Roman"/>
          <w:sz w:val="28"/>
          <w:szCs w:val="28"/>
        </w:rPr>
        <w:t>En su criterio, el demandante confunde la delegación transitoria de funciones (típica en contratos administrativos) o la delegación a particulares con el reconocimiento de competencias propias de los pueblos indígenas, que por su naturaleza son permanentes</w:t>
      </w:r>
      <w:r w:rsidRPr="00D93140">
        <w:rPr>
          <w:rFonts w:ascii="Times New Roman" w:hAnsi="Times New Roman"/>
          <w:sz w:val="28"/>
          <w:szCs w:val="28"/>
        </w:rPr>
        <w:t>.</w:t>
      </w:r>
    </w:p>
    <w:p w:rsidR="0022327A" w:rsidRPr="00D93140" w:rsidRDefault="00D93140" w:rsidP="0022327A">
      <w:pPr>
        <w:spacing w:after="0" w:line="240" w:lineRule="auto"/>
        <w:jc w:val="both"/>
        <w:rPr>
          <w:rFonts w:ascii="Times New Roman" w:hAnsi="Times New Roman"/>
          <w:sz w:val="28"/>
          <w:szCs w:val="28"/>
          <w:lang w:val="es-ES"/>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22327A" w:rsidRPr="00D93140" w:rsidRDefault="00D93140" w:rsidP="00B018DC">
      <w:pPr>
        <w:spacing w:after="0" w:line="240" w:lineRule="auto"/>
        <w:rPr>
          <w:rFonts w:ascii="Times New Roman" w:hAnsi="Times New Roman"/>
          <w:sz w:val="28"/>
          <w:szCs w:val="28"/>
        </w:rPr>
      </w:pPr>
    </w:p>
    <w:p w:rsidR="00807C98" w:rsidRPr="00D93140" w:rsidRDefault="00D93140" w:rsidP="00177BF0">
      <w:pPr>
        <w:spacing w:after="0" w:line="240" w:lineRule="auto"/>
        <w:ind w:left="720" w:hanging="360"/>
        <w:jc w:val="center"/>
        <w:rPr>
          <w:rFonts w:ascii="Times New Roman" w:hAnsi="Times New Roman"/>
          <w:b/>
          <w:bCs/>
          <w:color w:val="000000"/>
          <w:sz w:val="28"/>
          <w:szCs w:val="28"/>
          <w:lang w:val="es-ES"/>
        </w:rPr>
      </w:pPr>
    </w:p>
    <w:p w:rsidR="00807C98" w:rsidRPr="00D93140" w:rsidRDefault="00D93140" w:rsidP="00177BF0">
      <w:pPr>
        <w:spacing w:after="0" w:line="240" w:lineRule="auto"/>
        <w:ind w:left="720" w:hanging="360"/>
        <w:jc w:val="center"/>
        <w:rPr>
          <w:rFonts w:ascii="Times New Roman" w:hAnsi="Times New Roman"/>
          <w:b/>
          <w:bCs/>
          <w:color w:val="000000"/>
          <w:sz w:val="28"/>
          <w:szCs w:val="28"/>
          <w:lang w:val="es-ES"/>
        </w:rPr>
      </w:pPr>
    </w:p>
    <w:p w:rsidR="00657C59" w:rsidRPr="00D93140" w:rsidRDefault="00D93140" w:rsidP="00177BF0">
      <w:pPr>
        <w:spacing w:after="0" w:line="240" w:lineRule="auto"/>
        <w:ind w:left="720" w:hanging="360"/>
        <w:jc w:val="center"/>
        <w:rPr>
          <w:rFonts w:ascii="Times New Roman" w:hAnsi="Times New Roman"/>
          <w:b/>
          <w:bCs/>
          <w:color w:val="000000"/>
          <w:sz w:val="28"/>
          <w:szCs w:val="28"/>
          <w:lang w:val="es-ES"/>
        </w:rPr>
      </w:pPr>
      <w:r w:rsidRPr="00D93140">
        <w:rPr>
          <w:rFonts w:ascii="Times New Roman" w:hAnsi="Times New Roman"/>
          <w:b/>
          <w:bCs/>
          <w:color w:val="000000"/>
          <w:sz w:val="28"/>
          <w:szCs w:val="28"/>
          <w:lang w:val="es-ES"/>
        </w:rPr>
        <w:t xml:space="preserve">ACLARACIÓN DE VOTO DEL MAGISTRADO </w:t>
      </w:r>
    </w:p>
    <w:p w:rsidR="00657C59" w:rsidRPr="00D93140" w:rsidRDefault="00D93140" w:rsidP="00177BF0">
      <w:pPr>
        <w:spacing w:after="0" w:line="240" w:lineRule="auto"/>
        <w:ind w:left="720" w:hanging="360"/>
        <w:jc w:val="center"/>
        <w:rPr>
          <w:rFonts w:ascii="Times New Roman" w:hAnsi="Times New Roman"/>
          <w:b/>
          <w:bCs/>
          <w:color w:val="000000"/>
          <w:sz w:val="28"/>
          <w:szCs w:val="28"/>
          <w:lang w:val="es-ES"/>
        </w:rPr>
      </w:pPr>
      <w:r w:rsidRPr="00D93140">
        <w:rPr>
          <w:rFonts w:ascii="Times New Roman" w:hAnsi="Times New Roman"/>
          <w:b/>
          <w:bCs/>
          <w:color w:val="000000"/>
          <w:sz w:val="28"/>
          <w:szCs w:val="28"/>
          <w:lang w:val="es-ES"/>
        </w:rPr>
        <w:t xml:space="preserve">VLADIMIR FERNÁNDEZ ANDRADE </w:t>
      </w:r>
    </w:p>
    <w:p w:rsidR="00C12B84" w:rsidRPr="00D93140" w:rsidRDefault="00D93140" w:rsidP="00177BF0">
      <w:pPr>
        <w:spacing w:after="0" w:line="240" w:lineRule="auto"/>
        <w:ind w:left="720" w:hanging="360"/>
        <w:jc w:val="center"/>
        <w:rPr>
          <w:rFonts w:ascii="Times New Roman" w:hAnsi="Times New Roman"/>
          <w:b/>
          <w:bCs/>
          <w:color w:val="000000"/>
          <w:sz w:val="28"/>
          <w:szCs w:val="28"/>
          <w:lang w:val="es-ES"/>
        </w:rPr>
      </w:pPr>
      <w:r w:rsidRPr="00D93140">
        <w:rPr>
          <w:rFonts w:ascii="Times New Roman" w:hAnsi="Times New Roman"/>
          <w:b/>
          <w:bCs/>
          <w:color w:val="000000"/>
          <w:sz w:val="28"/>
          <w:szCs w:val="28"/>
          <w:lang w:val="es-ES"/>
        </w:rPr>
        <w:t>A</w:t>
      </w:r>
      <w:r w:rsidRPr="00D93140">
        <w:rPr>
          <w:rFonts w:ascii="Times New Roman" w:hAnsi="Times New Roman"/>
          <w:b/>
          <w:bCs/>
          <w:color w:val="000000"/>
          <w:sz w:val="28"/>
          <w:szCs w:val="28"/>
          <w:lang w:val="es-ES"/>
        </w:rPr>
        <w:t xml:space="preserve"> </w:t>
      </w:r>
      <w:r w:rsidRPr="00D93140">
        <w:rPr>
          <w:rFonts w:ascii="Times New Roman" w:hAnsi="Times New Roman"/>
          <w:b/>
          <w:bCs/>
          <w:color w:val="000000"/>
          <w:sz w:val="28"/>
          <w:szCs w:val="28"/>
          <w:lang w:val="es-ES"/>
        </w:rPr>
        <w:t xml:space="preserve">LA SENTENCIA </w:t>
      </w:r>
      <w:r w:rsidRPr="00D93140">
        <w:rPr>
          <w:rFonts w:ascii="Times New Roman" w:hAnsi="Times New Roman"/>
          <w:b/>
          <w:bCs/>
          <w:color w:val="000000"/>
          <w:sz w:val="28"/>
          <w:szCs w:val="28"/>
          <w:lang w:val="es-ES"/>
        </w:rPr>
        <w:t>C-</w:t>
      </w:r>
      <w:r w:rsidRPr="00D93140">
        <w:rPr>
          <w:rFonts w:ascii="Times New Roman" w:hAnsi="Times New Roman"/>
          <w:b/>
          <w:bCs/>
          <w:color w:val="000000"/>
          <w:sz w:val="28"/>
          <w:szCs w:val="28"/>
          <w:lang w:val="es-ES"/>
        </w:rPr>
        <w:t>478</w:t>
      </w:r>
      <w:r w:rsidRPr="00D93140">
        <w:rPr>
          <w:rFonts w:ascii="Times New Roman" w:hAnsi="Times New Roman"/>
          <w:b/>
          <w:bCs/>
          <w:color w:val="000000"/>
          <w:sz w:val="28"/>
          <w:szCs w:val="28"/>
          <w:lang w:val="es-ES"/>
        </w:rPr>
        <w:t>/</w:t>
      </w:r>
      <w:r w:rsidRPr="00D93140">
        <w:rPr>
          <w:rFonts w:ascii="Times New Roman" w:hAnsi="Times New Roman"/>
          <w:b/>
          <w:bCs/>
          <w:color w:val="000000"/>
          <w:sz w:val="28"/>
          <w:szCs w:val="28"/>
          <w:lang w:val="es-ES"/>
        </w:rPr>
        <w:t>25</w:t>
      </w:r>
    </w:p>
    <w:p w:rsidR="00C12B84" w:rsidRPr="00D93140" w:rsidRDefault="00D93140" w:rsidP="00177BF0">
      <w:pPr>
        <w:spacing w:after="0" w:line="240" w:lineRule="auto"/>
        <w:ind w:left="720" w:hanging="360"/>
        <w:jc w:val="both"/>
        <w:rPr>
          <w:rFonts w:ascii="Times New Roman" w:hAnsi="Times New Roman"/>
          <w:color w:val="000000"/>
          <w:sz w:val="28"/>
          <w:szCs w:val="28"/>
          <w:lang w:val="es-ES"/>
        </w:rPr>
      </w:pPr>
    </w:p>
    <w:p w:rsidR="00EC3298" w:rsidRPr="00D93140" w:rsidRDefault="00D93140" w:rsidP="00177BF0">
      <w:pPr>
        <w:spacing w:after="0" w:line="240" w:lineRule="auto"/>
        <w:ind w:left="720" w:hanging="360"/>
        <w:jc w:val="both"/>
        <w:rPr>
          <w:rFonts w:ascii="Times New Roman" w:hAnsi="Times New Roman"/>
          <w:color w:val="000000"/>
          <w:sz w:val="28"/>
          <w:szCs w:val="28"/>
          <w:lang w:val="es-ES"/>
        </w:rPr>
      </w:pP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color w:val="000000"/>
          <w:sz w:val="28"/>
          <w:szCs w:val="28"/>
        </w:rPr>
      </w:pPr>
      <w:r w:rsidRPr="00D93140">
        <w:rPr>
          <w:rFonts w:ascii="Times New Roman" w:hAnsi="Times New Roman"/>
          <w:bCs/>
          <w:color w:val="000000"/>
          <w:sz w:val="28"/>
          <w:szCs w:val="28"/>
        </w:rPr>
        <w:t xml:space="preserve">Referencia: expedientes D-16345 y D-16396 (acumulados) </w:t>
      </w: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color w:val="000000"/>
          <w:sz w:val="28"/>
          <w:szCs w:val="28"/>
        </w:rPr>
      </w:pP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i/>
          <w:iCs/>
          <w:color w:val="000000"/>
          <w:sz w:val="28"/>
          <w:szCs w:val="28"/>
        </w:rPr>
      </w:pPr>
      <w:r w:rsidRPr="00D93140">
        <w:rPr>
          <w:rFonts w:ascii="Times New Roman" w:hAnsi="Times New Roman"/>
          <w:bCs/>
          <w:color w:val="000000"/>
          <w:sz w:val="28"/>
          <w:szCs w:val="28"/>
        </w:rPr>
        <w:t>Asunto: demandas de inconstitucionalidad contra el Decreto 1275 de 2024</w:t>
      </w:r>
      <w:r w:rsidRPr="00D93140">
        <w:rPr>
          <w:rFonts w:ascii="Times New Roman" w:hAnsi="Times New Roman"/>
          <w:bCs/>
          <w:color w:val="000000"/>
          <w:sz w:val="28"/>
          <w:szCs w:val="28"/>
          <w:vertAlign w:val="superscript"/>
        </w:rPr>
        <w:footnoteReference w:id="154"/>
      </w: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color w:val="000000"/>
          <w:sz w:val="28"/>
          <w:szCs w:val="28"/>
        </w:rPr>
      </w:pP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color w:val="000000"/>
          <w:sz w:val="28"/>
          <w:szCs w:val="28"/>
        </w:rPr>
      </w:pPr>
      <w:r w:rsidRPr="00D93140">
        <w:rPr>
          <w:rFonts w:ascii="Times New Roman" w:hAnsi="Times New Roman"/>
          <w:bCs/>
          <w:color w:val="000000"/>
          <w:sz w:val="28"/>
          <w:szCs w:val="28"/>
        </w:rPr>
        <w:t>Demandantes: Carlos Bernal</w:t>
      </w:r>
      <w:r w:rsidRPr="00D93140">
        <w:rPr>
          <w:rFonts w:ascii="Times New Roman" w:hAnsi="Times New Roman"/>
          <w:bCs/>
          <w:color w:val="000000"/>
          <w:sz w:val="28"/>
          <w:szCs w:val="28"/>
        </w:rPr>
        <w:t xml:space="preserve"> Pulido y Guillermo Otálora Lozano</w:t>
      </w: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color w:val="000000"/>
          <w:sz w:val="28"/>
          <w:szCs w:val="28"/>
        </w:rPr>
      </w:pP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color w:val="000000"/>
          <w:sz w:val="28"/>
          <w:szCs w:val="28"/>
        </w:rPr>
      </w:pPr>
      <w:r w:rsidRPr="00D93140">
        <w:rPr>
          <w:rFonts w:ascii="Times New Roman" w:hAnsi="Times New Roman"/>
          <w:bCs/>
          <w:color w:val="000000"/>
          <w:sz w:val="28"/>
          <w:szCs w:val="28"/>
        </w:rPr>
        <w:t>Magistrado ponente:</w:t>
      </w:r>
    </w:p>
    <w:p w:rsidR="00EC3298" w:rsidRPr="00D93140" w:rsidRDefault="00D93140" w:rsidP="00657C59">
      <w:pPr>
        <w:tabs>
          <w:tab w:val="left" w:pos="8647"/>
          <w:tab w:val="left" w:pos="8789"/>
        </w:tabs>
        <w:spacing w:after="0" w:line="240" w:lineRule="auto"/>
        <w:ind w:left="3969" w:right="-234"/>
        <w:jc w:val="both"/>
        <w:rPr>
          <w:rFonts w:ascii="Times New Roman" w:hAnsi="Times New Roman"/>
          <w:bCs/>
          <w:color w:val="000000"/>
          <w:sz w:val="28"/>
          <w:szCs w:val="28"/>
        </w:rPr>
      </w:pPr>
      <w:r w:rsidRPr="00D93140">
        <w:rPr>
          <w:rFonts w:ascii="Times New Roman" w:hAnsi="Times New Roman"/>
          <w:bCs/>
          <w:color w:val="000000"/>
          <w:sz w:val="28"/>
          <w:szCs w:val="28"/>
        </w:rPr>
        <w:t>Héctor Alfonso Carvajal Londoño</w:t>
      </w:r>
    </w:p>
    <w:p w:rsidR="00C12B84" w:rsidRPr="00D93140" w:rsidRDefault="00D93140" w:rsidP="00177BF0">
      <w:pPr>
        <w:spacing w:after="0" w:line="240" w:lineRule="auto"/>
        <w:jc w:val="both"/>
        <w:rPr>
          <w:rFonts w:ascii="Times New Roman" w:hAnsi="Times New Roman"/>
          <w:bCs/>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lang w:val="es-ES_tradnl"/>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Con el respeto acostumbrado por las decisiones de la Sala Plena, presento aclaración de voto a la Sentencia C-478 de 2025. Como fundamento, debo indicar que comparto la decisión adoptada por la Corte, </w:t>
      </w:r>
      <w:r w:rsidRPr="00D93140">
        <w:rPr>
          <w:rFonts w:ascii="Times New Roman" w:hAnsi="Times New Roman"/>
          <w:color w:val="000000"/>
          <w:sz w:val="28"/>
          <w:szCs w:val="28"/>
        </w:rPr>
        <w:t xml:space="preserve">y en general, </w:t>
      </w:r>
      <w:r w:rsidRPr="00D93140">
        <w:rPr>
          <w:rFonts w:ascii="Times New Roman" w:hAnsi="Times New Roman"/>
          <w:color w:val="000000"/>
          <w:sz w:val="28"/>
          <w:szCs w:val="28"/>
        </w:rPr>
        <w:t>la necesidad de preservar la constitucion</w:t>
      </w:r>
      <w:r w:rsidRPr="00D93140">
        <w:rPr>
          <w:rFonts w:ascii="Times New Roman" w:hAnsi="Times New Roman"/>
          <w:color w:val="000000"/>
          <w:sz w:val="28"/>
          <w:szCs w:val="28"/>
        </w:rPr>
        <w:t>alidad del Decreto 1275 de 2024 en los términos definidos por la providencia</w:t>
      </w:r>
      <w:r w:rsidRPr="00D93140">
        <w:rPr>
          <w:rStyle w:val="Refdenotaalpie"/>
          <w:rFonts w:ascii="Times New Roman" w:hAnsi="Times New Roman"/>
          <w:color w:val="000000"/>
          <w:sz w:val="28"/>
          <w:szCs w:val="28"/>
        </w:rPr>
        <w:footnoteReference w:id="155"/>
      </w:r>
      <w:r w:rsidRPr="00D93140">
        <w:rPr>
          <w:rFonts w:ascii="Times New Roman" w:hAnsi="Times New Roman"/>
          <w:color w:val="000000"/>
          <w:sz w:val="28"/>
          <w:szCs w:val="28"/>
        </w:rPr>
        <w:t>. No obstante, considero necesario hacer algunas precisiones sobre la metodología empleada para abordar los cargos admitidos y, especialmente, sobre la relevancia constitucional</w:t>
      </w:r>
      <w:r w:rsidRPr="00D93140">
        <w:rPr>
          <w:rFonts w:ascii="Times New Roman" w:hAnsi="Times New Roman"/>
          <w:color w:val="000000"/>
          <w:sz w:val="28"/>
          <w:szCs w:val="28"/>
        </w:rPr>
        <w:t xml:space="preserve"> y</w:t>
      </w:r>
      <w:r w:rsidRPr="00D93140">
        <w:rPr>
          <w:rFonts w:ascii="Times New Roman" w:hAnsi="Times New Roman"/>
          <w:color w:val="000000"/>
          <w:sz w:val="28"/>
          <w:szCs w:val="28"/>
        </w:rPr>
        <w:t xml:space="preserve"> general </w:t>
      </w:r>
      <w:r w:rsidRPr="00D93140">
        <w:rPr>
          <w:rFonts w:ascii="Times New Roman" w:hAnsi="Times New Roman"/>
          <w:color w:val="000000"/>
          <w:sz w:val="28"/>
          <w:szCs w:val="28"/>
        </w:rPr>
        <w:t xml:space="preserve">que tiene este </w:t>
      </w:r>
      <w:r w:rsidRPr="00D93140">
        <w:rPr>
          <w:rFonts w:ascii="Times New Roman" w:hAnsi="Times New Roman"/>
          <w:color w:val="000000"/>
          <w:sz w:val="28"/>
          <w:szCs w:val="28"/>
        </w:rPr>
        <w:t>D</w:t>
      </w:r>
      <w:r w:rsidRPr="00D93140">
        <w:rPr>
          <w:rFonts w:ascii="Times New Roman" w:hAnsi="Times New Roman"/>
          <w:color w:val="000000"/>
          <w:sz w:val="28"/>
          <w:szCs w:val="28"/>
        </w:rPr>
        <w:t xml:space="preserve">ecreto en el marco del pluralismo jurídico, la autonomía indígena y la histórica deuda institucional que el Estado colombiano mantiene respecto de la coordinación interjurisdiccional e interétnica prevista desde la Constitución de </w:t>
      </w:r>
      <w:r w:rsidRPr="00D93140">
        <w:rPr>
          <w:rFonts w:ascii="Times New Roman" w:hAnsi="Times New Roman"/>
          <w:color w:val="000000"/>
          <w:sz w:val="28"/>
          <w:szCs w:val="28"/>
        </w:rPr>
        <w:t>1991.</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Como lo desarrollaré en los siguientes apartados, considero que la Sentencia C-478 de 2025 constituye una decisión importante en materia de reconocimiento de la diversidad étnica y cultural, en tanto reafirma que el desarrollo de competencias ambien</w:t>
      </w:r>
      <w:r w:rsidRPr="00D93140">
        <w:rPr>
          <w:rFonts w:ascii="Times New Roman" w:hAnsi="Times New Roman"/>
          <w:color w:val="000000"/>
          <w:sz w:val="28"/>
          <w:szCs w:val="28"/>
        </w:rPr>
        <w:t>tales por parte de autoridades indígenas no resulta ajeno al modelo constitucional colombiano, sino que se inscribe dentro de la lógica de autonomía territorial, autogobierno y protección reforzada de los pueblos indígenas que deriva de los artículos 1, 7,</w:t>
      </w:r>
      <w:r w:rsidRPr="00D93140">
        <w:rPr>
          <w:rFonts w:ascii="Times New Roman" w:hAnsi="Times New Roman"/>
          <w:color w:val="000000"/>
          <w:sz w:val="28"/>
          <w:szCs w:val="28"/>
        </w:rPr>
        <w:t xml:space="preserve"> 70, 246, 286, 287, 329 y 330 de la Constitución. Pero mi acuerdo con la decisión no parte exclusivamente de las razones expuestas en la parte motiva de la Sentencia, sino sobre todo de una comprensión más amplia del significado constitucional del Decreto </w:t>
      </w:r>
      <w:r w:rsidRPr="00D93140">
        <w:rPr>
          <w:rFonts w:ascii="Times New Roman" w:hAnsi="Times New Roman"/>
          <w:color w:val="000000"/>
          <w:sz w:val="28"/>
          <w:szCs w:val="28"/>
        </w:rPr>
        <w:t>1275 de 2024, como un instrumento</w:t>
      </w:r>
      <w:r w:rsidRPr="00D93140">
        <w:rPr>
          <w:rFonts w:ascii="Times New Roman" w:hAnsi="Times New Roman"/>
          <w:color w:val="000000"/>
          <w:sz w:val="28"/>
          <w:szCs w:val="28"/>
        </w:rPr>
        <w:t xml:space="preserve"> que –de la mano con lo ya indicado por la Corte en otras decisiones sobre esta misma norma–, está</w:t>
      </w:r>
      <w:r w:rsidRPr="00D93140">
        <w:rPr>
          <w:rFonts w:ascii="Times New Roman" w:hAnsi="Times New Roman"/>
          <w:color w:val="000000"/>
          <w:sz w:val="28"/>
          <w:szCs w:val="28"/>
        </w:rPr>
        <w:t xml:space="preserve"> orientado a desarrollar, aunque de manera parcial y todavía insuficiente, la promesa incumplida de articulación entre el Est</w:t>
      </w:r>
      <w:r w:rsidRPr="00D93140">
        <w:rPr>
          <w:rFonts w:ascii="Times New Roman" w:hAnsi="Times New Roman"/>
          <w:color w:val="000000"/>
          <w:sz w:val="28"/>
          <w:szCs w:val="28"/>
        </w:rPr>
        <w:t>ado colombiano y los sistemas normativos, territoriales y ambientales propios de los pueblos indígenas.</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numPr>
          <w:ilvl w:val="0"/>
          <w:numId w:val="3"/>
        </w:numPr>
        <w:spacing w:after="0" w:line="240" w:lineRule="auto"/>
        <w:jc w:val="both"/>
        <w:rPr>
          <w:rFonts w:ascii="Times New Roman" w:hAnsi="Times New Roman"/>
          <w:b/>
          <w:bCs/>
          <w:color w:val="000000"/>
          <w:sz w:val="28"/>
          <w:szCs w:val="28"/>
        </w:rPr>
      </w:pPr>
      <w:r w:rsidRPr="00D93140">
        <w:rPr>
          <w:rFonts w:ascii="Times New Roman" w:hAnsi="Times New Roman"/>
          <w:b/>
          <w:bCs/>
          <w:color w:val="000000"/>
          <w:sz w:val="28"/>
          <w:szCs w:val="28"/>
        </w:rPr>
        <w:t>El pluralismo constitucional como mandato estructural y punto de partida para el análisis del Decreto 1275 de 2024</w:t>
      </w:r>
    </w:p>
    <w:p w:rsidR="00EC3298" w:rsidRPr="00D93140" w:rsidRDefault="00D93140" w:rsidP="00177BF0">
      <w:pPr>
        <w:spacing w:after="0" w:line="240" w:lineRule="auto"/>
        <w:jc w:val="both"/>
        <w:rPr>
          <w:rFonts w:ascii="Times New Roman" w:hAnsi="Times New Roman"/>
          <w:b/>
          <w:bCs/>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Como es sabido, la Constitución </w:t>
      </w:r>
      <w:r w:rsidRPr="00D93140">
        <w:rPr>
          <w:rFonts w:ascii="Times New Roman" w:hAnsi="Times New Roman"/>
          <w:color w:val="000000"/>
          <w:sz w:val="28"/>
          <w:szCs w:val="28"/>
        </w:rPr>
        <w:t xml:space="preserve">Política de 1991 representó una ruptura profunda y radical con la tradición homogeneizadora que caracterizó históricamente la organización del Estado colombiano. De este modo, el constituyente primario abandonó la idea de una nación jurídicamente uniforme </w:t>
      </w:r>
      <w:r w:rsidRPr="00D93140">
        <w:rPr>
          <w:rFonts w:ascii="Times New Roman" w:hAnsi="Times New Roman"/>
          <w:color w:val="000000"/>
          <w:sz w:val="28"/>
          <w:szCs w:val="28"/>
        </w:rPr>
        <w:t>y reconoció, de manera explícita, que Colombia es una sociedad plural y diversa, compuesta por múltiples formas de comprensión del territorio, la autoridad, la justicia y la relación con la naturaleza.</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Por ello, es ciertamente importante no dejar de lado </w:t>
      </w:r>
      <w:r w:rsidRPr="00D93140">
        <w:rPr>
          <w:rFonts w:ascii="Times New Roman" w:hAnsi="Times New Roman"/>
          <w:color w:val="000000"/>
          <w:sz w:val="28"/>
          <w:szCs w:val="28"/>
        </w:rPr>
        <w:t>que el reconocimiento de la diversidad étnica y cultural no constituye un elemento decorativo o meramente retórico de la Carta Política sobre el reconocimiento multicultural</w:t>
      </w:r>
      <w:r w:rsidRPr="00D93140">
        <w:rPr>
          <w:rFonts w:ascii="Times New Roman" w:hAnsi="Times New Roman"/>
          <w:color w:val="000000"/>
          <w:sz w:val="28"/>
          <w:szCs w:val="28"/>
          <w:vertAlign w:val="superscript"/>
        </w:rPr>
        <w:footnoteReference w:id="156"/>
      </w:r>
      <w:r w:rsidRPr="00D93140">
        <w:rPr>
          <w:rFonts w:ascii="Times New Roman" w:hAnsi="Times New Roman"/>
          <w:color w:val="000000"/>
          <w:sz w:val="28"/>
          <w:szCs w:val="28"/>
        </w:rPr>
        <w:t>. Se trata, por el contrario, de uno de los ejes estructurales o axiales de nuestr</w:t>
      </w:r>
      <w:r w:rsidRPr="00D93140">
        <w:rPr>
          <w:rFonts w:ascii="Times New Roman" w:hAnsi="Times New Roman"/>
          <w:color w:val="000000"/>
          <w:sz w:val="28"/>
          <w:szCs w:val="28"/>
        </w:rPr>
        <w:t>o ordenamiento</w:t>
      </w:r>
      <w:r w:rsidRPr="00D93140">
        <w:rPr>
          <w:rFonts w:ascii="Times New Roman" w:hAnsi="Times New Roman"/>
          <w:color w:val="000000"/>
          <w:sz w:val="28"/>
          <w:szCs w:val="28"/>
          <w:vertAlign w:val="superscript"/>
        </w:rPr>
        <w:footnoteReference w:id="157"/>
      </w:r>
      <w:r w:rsidRPr="00D93140">
        <w:rPr>
          <w:rFonts w:ascii="Times New Roman" w:hAnsi="Times New Roman"/>
          <w:color w:val="000000"/>
          <w:sz w:val="28"/>
          <w:szCs w:val="28"/>
        </w:rPr>
        <w:t>. De ahí que los artículos 1, 7, 70, 246, 286, 287, 329 y 330 superiores configuren una estructura constitucional robusta, orientada a garantizar la coexistencia de distintos sistemas normativos, comunitarios, políticos y culturales dentro d</w:t>
      </w:r>
      <w:r w:rsidRPr="00D93140">
        <w:rPr>
          <w:rFonts w:ascii="Times New Roman" w:hAnsi="Times New Roman"/>
          <w:color w:val="000000"/>
          <w:sz w:val="28"/>
          <w:szCs w:val="28"/>
        </w:rPr>
        <w:t>el Estado colombiano</w:t>
      </w:r>
      <w:r w:rsidRPr="00D93140">
        <w:rPr>
          <w:rFonts w:ascii="Times New Roman" w:hAnsi="Times New Roman"/>
          <w:color w:val="000000"/>
          <w:sz w:val="28"/>
          <w:szCs w:val="28"/>
          <w:vertAlign w:val="superscript"/>
        </w:rPr>
        <w:footnoteReference w:id="158"/>
      </w:r>
      <w:r w:rsidRPr="00D93140">
        <w:rPr>
          <w:rFonts w:ascii="Times New Roman" w:hAnsi="Times New Roman"/>
          <w:color w:val="000000"/>
          <w:sz w:val="28"/>
          <w:szCs w:val="28"/>
        </w:rPr>
        <w:t>.</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Consciente de lo anterior, desde sus primeras decisiones esta Corte ha entendido que el pluralismo jurídico no puede reducirse a una simple tolerancia cultural subordinada al derecho estatal mayoritario. Por el contrario, la </w:t>
      </w:r>
      <w:r w:rsidRPr="00D93140">
        <w:rPr>
          <w:rFonts w:ascii="Times New Roman" w:hAnsi="Times New Roman"/>
          <w:color w:val="000000"/>
          <w:sz w:val="28"/>
          <w:szCs w:val="28"/>
        </w:rPr>
        <w:t>jurisdicción especial indígena, la autonomía territorial</w:t>
      </w:r>
      <w:r w:rsidRPr="00D93140">
        <w:rPr>
          <w:rFonts w:ascii="Times New Roman" w:hAnsi="Times New Roman"/>
          <w:color w:val="000000"/>
          <w:sz w:val="28"/>
          <w:szCs w:val="28"/>
          <w:vertAlign w:val="superscript"/>
        </w:rPr>
        <w:footnoteReference w:id="159"/>
      </w:r>
      <w:r w:rsidRPr="00D93140">
        <w:rPr>
          <w:rFonts w:ascii="Times New Roman" w:hAnsi="Times New Roman"/>
          <w:color w:val="000000"/>
          <w:sz w:val="28"/>
          <w:szCs w:val="28"/>
        </w:rPr>
        <w:t>, el autogobierno y el reconocimiento de autoridades propias</w:t>
      </w:r>
      <w:r w:rsidRPr="00D93140">
        <w:rPr>
          <w:rFonts w:ascii="Times New Roman" w:hAnsi="Times New Roman"/>
          <w:color w:val="000000"/>
          <w:sz w:val="28"/>
          <w:szCs w:val="28"/>
          <w:vertAlign w:val="superscript"/>
        </w:rPr>
        <w:footnoteReference w:id="160"/>
      </w:r>
      <w:r w:rsidRPr="00D93140">
        <w:rPr>
          <w:rFonts w:ascii="Times New Roman" w:hAnsi="Times New Roman"/>
          <w:color w:val="000000"/>
          <w:sz w:val="28"/>
          <w:szCs w:val="28"/>
        </w:rPr>
        <w:t xml:space="preserve"> expresan una redefinición sustancial de la relación entre el Estado y los pueblos indígenas, fundada en la autodeterminación, la superviv</w:t>
      </w:r>
      <w:r w:rsidRPr="00D93140">
        <w:rPr>
          <w:rFonts w:ascii="Times New Roman" w:hAnsi="Times New Roman"/>
          <w:color w:val="000000"/>
          <w:sz w:val="28"/>
          <w:szCs w:val="28"/>
        </w:rPr>
        <w:t>encia cultural y la protección reforzada de sus formas propias de organización</w:t>
      </w:r>
      <w:r w:rsidRPr="00D93140">
        <w:rPr>
          <w:rFonts w:ascii="Times New Roman" w:hAnsi="Times New Roman"/>
          <w:color w:val="000000"/>
          <w:sz w:val="28"/>
          <w:szCs w:val="28"/>
          <w:vertAlign w:val="superscript"/>
        </w:rPr>
        <w:footnoteReference w:id="161"/>
      </w:r>
      <w:r w:rsidRPr="00D93140">
        <w:rPr>
          <w:rFonts w:ascii="Times New Roman" w:hAnsi="Times New Roman"/>
          <w:color w:val="000000"/>
          <w:sz w:val="28"/>
          <w:szCs w:val="28"/>
        </w:rPr>
        <w:t>, siempre bajo el amparo y el respeto de los contenidos de la Constitución.</w:t>
      </w:r>
      <w:r w:rsidRPr="00D93140">
        <w:rPr>
          <w:rFonts w:ascii="Times New Roman" w:hAnsi="Times New Roman"/>
          <w:color w:val="000000"/>
          <w:sz w:val="28"/>
          <w:szCs w:val="28"/>
        </w:rPr>
        <w:t xml:space="preserve"> </w:t>
      </w:r>
      <w:r w:rsidRPr="00D93140">
        <w:rPr>
          <w:rFonts w:ascii="Times New Roman" w:hAnsi="Times New Roman"/>
          <w:color w:val="000000"/>
          <w:sz w:val="28"/>
          <w:szCs w:val="28"/>
        </w:rPr>
        <w:t>De ahí que encuentre necesario hacer un llamado a acompañar los esfuerzos institucionales válidamente</w:t>
      </w:r>
      <w:r w:rsidRPr="00D93140">
        <w:rPr>
          <w:rFonts w:ascii="Times New Roman" w:hAnsi="Times New Roman"/>
          <w:color w:val="000000"/>
          <w:sz w:val="28"/>
          <w:szCs w:val="28"/>
        </w:rPr>
        <w:t xml:space="preserve"> enfocados en avanzar hacia la adopción de mecanismos de coordinación efectiva en materia </w:t>
      </w:r>
      <w:r w:rsidRPr="00D93140">
        <w:rPr>
          <w:rFonts w:ascii="Times New Roman" w:hAnsi="Times New Roman"/>
          <w:i/>
          <w:iCs/>
          <w:color w:val="000000"/>
          <w:sz w:val="28"/>
          <w:szCs w:val="28"/>
        </w:rPr>
        <w:t>ambiental</w:t>
      </w:r>
      <w:r w:rsidRPr="00D93140">
        <w:rPr>
          <w:rFonts w:ascii="Times New Roman" w:hAnsi="Times New Roman"/>
          <w:color w:val="000000"/>
          <w:sz w:val="28"/>
          <w:szCs w:val="28"/>
        </w:rPr>
        <w:t>; ámbito en el que los pueblos indígenas han ejercido históricamente formas propias de protección territorial y conservación ecosistémica que están y deben e</w:t>
      </w:r>
      <w:r w:rsidRPr="00D93140">
        <w:rPr>
          <w:rFonts w:ascii="Times New Roman" w:hAnsi="Times New Roman"/>
          <w:color w:val="000000"/>
          <w:sz w:val="28"/>
          <w:szCs w:val="28"/>
        </w:rPr>
        <w:t>star protegidos.</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Con base en lo anterior, considero que la Sentencia C-478 de 2025 debió haber enfatizado con mayor claridad que el punto de partida constitucional de este asunto </w:t>
      </w:r>
      <w:r w:rsidRPr="00D93140">
        <w:rPr>
          <w:rFonts w:ascii="Times New Roman" w:hAnsi="Times New Roman"/>
          <w:color w:val="000000"/>
          <w:sz w:val="28"/>
          <w:szCs w:val="28"/>
        </w:rPr>
        <w:t>es, sobre todo,</w:t>
      </w:r>
      <w:r w:rsidRPr="00D93140">
        <w:rPr>
          <w:rFonts w:ascii="Times New Roman" w:hAnsi="Times New Roman"/>
          <w:color w:val="000000"/>
          <w:sz w:val="28"/>
          <w:szCs w:val="28"/>
        </w:rPr>
        <w:t xml:space="preserve"> el reconocimiento de que el pluralismo jurídico constituye u</w:t>
      </w:r>
      <w:r w:rsidRPr="00D93140">
        <w:rPr>
          <w:rFonts w:ascii="Times New Roman" w:hAnsi="Times New Roman"/>
          <w:color w:val="000000"/>
          <w:sz w:val="28"/>
          <w:szCs w:val="28"/>
        </w:rPr>
        <w:t>no de los ejes estructurales de la Constitución de 1991 y exige la construcción de mecanismos reales y eficaces de coordinación entre autoridades estatales y autoridades indígenas, especialmente en escenarios de gestión ambiental y territorial. Por ello, c</w:t>
      </w:r>
      <w:r w:rsidRPr="00D93140">
        <w:rPr>
          <w:rFonts w:ascii="Times New Roman" w:hAnsi="Times New Roman"/>
          <w:color w:val="000000"/>
          <w:sz w:val="28"/>
          <w:szCs w:val="28"/>
        </w:rPr>
        <w:t>onsidero importante dejar constancia de que los debates constitucionales sobre asuntos como este deben desarrollarse desde una lectura garantista del pluralismo jurídico, capaz de reconocer que la autonomía indígena no constituye una excepción marginal den</w:t>
      </w:r>
      <w:r w:rsidRPr="00D93140">
        <w:rPr>
          <w:rFonts w:ascii="Times New Roman" w:hAnsi="Times New Roman"/>
          <w:color w:val="000000"/>
          <w:sz w:val="28"/>
          <w:szCs w:val="28"/>
        </w:rPr>
        <w:t>tro del orden constitucional colombiano, sino una de las expresiones más profundas del modelo pluralista y democrático de nuestro sistema constitucional.</w:t>
      </w:r>
    </w:p>
    <w:p w:rsidR="00EC3298" w:rsidRPr="00D93140" w:rsidRDefault="00D93140" w:rsidP="00177BF0">
      <w:pPr>
        <w:spacing w:after="0" w:line="240" w:lineRule="auto"/>
        <w:jc w:val="both"/>
        <w:rPr>
          <w:rFonts w:ascii="Times New Roman" w:hAnsi="Times New Roman"/>
          <w:b/>
          <w:bCs/>
          <w:color w:val="000000"/>
          <w:sz w:val="28"/>
          <w:szCs w:val="28"/>
        </w:rPr>
      </w:pPr>
    </w:p>
    <w:p w:rsidR="00EC3298" w:rsidRPr="00D93140" w:rsidRDefault="00D93140" w:rsidP="00177BF0">
      <w:pPr>
        <w:numPr>
          <w:ilvl w:val="0"/>
          <w:numId w:val="3"/>
        </w:numPr>
        <w:spacing w:after="0" w:line="240" w:lineRule="auto"/>
        <w:jc w:val="both"/>
        <w:rPr>
          <w:rFonts w:ascii="Times New Roman" w:hAnsi="Times New Roman"/>
          <w:b/>
          <w:bCs/>
          <w:color w:val="000000"/>
          <w:sz w:val="28"/>
          <w:szCs w:val="28"/>
        </w:rPr>
      </w:pPr>
      <w:r w:rsidRPr="00D93140">
        <w:rPr>
          <w:rFonts w:ascii="Times New Roman" w:hAnsi="Times New Roman"/>
          <w:b/>
          <w:bCs/>
          <w:color w:val="000000"/>
          <w:sz w:val="28"/>
          <w:szCs w:val="28"/>
        </w:rPr>
        <w:t xml:space="preserve">El Decreto 1275 de 2024 </w:t>
      </w:r>
      <w:r w:rsidRPr="00D93140">
        <w:rPr>
          <w:rFonts w:ascii="Times New Roman" w:hAnsi="Times New Roman"/>
          <w:b/>
          <w:bCs/>
          <w:color w:val="000000"/>
          <w:sz w:val="28"/>
          <w:szCs w:val="28"/>
        </w:rPr>
        <w:t>de cara a</w:t>
      </w:r>
      <w:r w:rsidRPr="00D93140">
        <w:rPr>
          <w:rFonts w:ascii="Times New Roman" w:hAnsi="Times New Roman"/>
          <w:b/>
          <w:bCs/>
          <w:color w:val="000000"/>
          <w:sz w:val="28"/>
          <w:szCs w:val="28"/>
        </w:rPr>
        <w:t xml:space="preserve"> una omisión histórica del Estado colombiano y </w:t>
      </w:r>
      <w:r w:rsidRPr="00D93140">
        <w:rPr>
          <w:rFonts w:ascii="Times New Roman" w:hAnsi="Times New Roman"/>
          <w:b/>
          <w:bCs/>
          <w:color w:val="000000"/>
          <w:sz w:val="28"/>
          <w:szCs w:val="28"/>
        </w:rPr>
        <w:t xml:space="preserve">a la necesidad de </w:t>
      </w:r>
      <w:r w:rsidRPr="00D93140">
        <w:rPr>
          <w:rFonts w:ascii="Times New Roman" w:hAnsi="Times New Roman"/>
          <w:b/>
          <w:bCs/>
          <w:color w:val="000000"/>
          <w:sz w:val="28"/>
          <w:szCs w:val="28"/>
        </w:rPr>
        <w:t>aun</w:t>
      </w:r>
      <w:r w:rsidRPr="00D93140">
        <w:rPr>
          <w:rFonts w:ascii="Times New Roman" w:hAnsi="Times New Roman"/>
          <w:b/>
          <w:bCs/>
          <w:color w:val="000000"/>
          <w:sz w:val="28"/>
          <w:szCs w:val="28"/>
        </w:rPr>
        <w:t>ar esfuerzos de protección ambiental</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Dicho lo anterior, uno de los aspectos que, en mi criterio, merecía un desarrollo particularmente amplio en la Sentencia C-478 de 2025 es el carácter históricamente excepcional del Decreto 1275 de 2024 dentro del const</w:t>
      </w:r>
      <w:r w:rsidRPr="00D93140">
        <w:rPr>
          <w:rFonts w:ascii="Times New Roman" w:hAnsi="Times New Roman"/>
          <w:color w:val="000000"/>
          <w:sz w:val="28"/>
          <w:szCs w:val="28"/>
        </w:rPr>
        <w:t>itucionalismo colombiano. Por su relevancia, quiero detenerme en este aspecto que considero esencial.</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Durante más de tres décadas, el Estado colombiano ha mantenido una deuda estructural con </w:t>
      </w:r>
      <w:r w:rsidRPr="00D93140">
        <w:rPr>
          <w:rFonts w:ascii="Times New Roman" w:hAnsi="Times New Roman"/>
          <w:color w:val="000000"/>
          <w:sz w:val="28"/>
          <w:szCs w:val="28"/>
        </w:rPr>
        <w:t>e</w:t>
      </w:r>
      <w:r w:rsidRPr="00D93140">
        <w:rPr>
          <w:rFonts w:ascii="Times New Roman" w:hAnsi="Times New Roman"/>
          <w:color w:val="000000"/>
          <w:sz w:val="28"/>
          <w:szCs w:val="28"/>
        </w:rPr>
        <w:t xml:space="preserve">l desarrollo efectivo de las entidades territoriales indígenas </w:t>
      </w:r>
      <w:r w:rsidRPr="00D93140">
        <w:rPr>
          <w:rFonts w:ascii="Times New Roman" w:hAnsi="Times New Roman"/>
          <w:color w:val="000000"/>
          <w:sz w:val="28"/>
          <w:szCs w:val="28"/>
        </w:rPr>
        <w:t>y los mecanismos de articulación institucional previstos en la Constitución de 1991. La ausencia de expedición de la ley orgánica contemplada en el artículo 329 superior ha producido un escenario de incumplimiento constitucional persistente que ha dificult</w:t>
      </w:r>
      <w:r w:rsidRPr="00D93140">
        <w:rPr>
          <w:rFonts w:ascii="Times New Roman" w:hAnsi="Times New Roman"/>
          <w:color w:val="000000"/>
          <w:sz w:val="28"/>
          <w:szCs w:val="28"/>
        </w:rPr>
        <w:t>ado el ejercicio pleno de la autonomía territorial indígena</w:t>
      </w:r>
      <w:r w:rsidRPr="00D93140">
        <w:rPr>
          <w:rFonts w:ascii="Times New Roman" w:hAnsi="Times New Roman"/>
          <w:color w:val="000000"/>
          <w:sz w:val="28"/>
          <w:szCs w:val="28"/>
          <w:vertAlign w:val="superscript"/>
        </w:rPr>
        <w:footnoteReference w:id="162"/>
      </w:r>
      <w:r w:rsidRPr="00D93140">
        <w:rPr>
          <w:rFonts w:ascii="Times New Roman" w:hAnsi="Times New Roman"/>
          <w:color w:val="000000"/>
          <w:sz w:val="28"/>
          <w:szCs w:val="28"/>
        </w:rPr>
        <w:t>.</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En este contexto, el Decreto 1275 de 2024 no puede ser entendido como una medida normativa aislada, ni como una expansión general y arbitraria de competencias. Tal como lo señalaron varias </w:t>
      </w:r>
      <w:r w:rsidRPr="00D93140">
        <w:rPr>
          <w:rFonts w:ascii="Times New Roman" w:hAnsi="Times New Roman"/>
          <w:color w:val="000000"/>
          <w:sz w:val="28"/>
          <w:szCs w:val="28"/>
        </w:rPr>
        <w:t>intervenciones ciudadanas y académicas dentro del proceso, este Decreto debe ser entendido como el resultado de un proceso prolongado de concertación intercultural (particularmente en el marco de la Mesa Permanente de Concertación creada mediante el Decret</w:t>
      </w:r>
      <w:r w:rsidRPr="00D93140">
        <w:rPr>
          <w:rFonts w:ascii="Times New Roman" w:hAnsi="Times New Roman"/>
          <w:color w:val="000000"/>
          <w:sz w:val="28"/>
          <w:szCs w:val="28"/>
        </w:rPr>
        <w:t>o 1397 de 1996), por lo que pretende responder a una omisión histórica del Estado en el desarrollo de las entidades territoriales indígenas y de mecanismos efectivos de coordinación institucional</w:t>
      </w:r>
      <w:r w:rsidRPr="00D93140">
        <w:rPr>
          <w:rFonts w:ascii="Times New Roman" w:hAnsi="Times New Roman"/>
          <w:color w:val="000000"/>
          <w:sz w:val="28"/>
          <w:szCs w:val="28"/>
          <w:vertAlign w:val="superscript"/>
        </w:rPr>
        <w:footnoteReference w:id="163"/>
      </w:r>
      <w:r w:rsidRPr="00D93140">
        <w:rPr>
          <w:rFonts w:ascii="Times New Roman" w:hAnsi="Times New Roman"/>
          <w:color w:val="000000"/>
          <w:sz w:val="28"/>
          <w:szCs w:val="28"/>
        </w:rPr>
        <w:t>. Las intervenciones también destacaron que el Decreto prete</w:t>
      </w:r>
      <w:r w:rsidRPr="00D93140">
        <w:rPr>
          <w:rFonts w:ascii="Times New Roman" w:hAnsi="Times New Roman"/>
          <w:color w:val="000000"/>
          <w:sz w:val="28"/>
          <w:szCs w:val="28"/>
        </w:rPr>
        <w:t xml:space="preserve">nde responder a un vacío histórico de coordinación institucional en materia ambiental y territorial, especialmente en escenarios donde los pueblos indígenas han desarrollado, durante siglos, sistemas propios de protección ecosistémica y de relacionamiento </w:t>
      </w:r>
      <w:r w:rsidRPr="00D93140">
        <w:rPr>
          <w:rFonts w:ascii="Times New Roman" w:hAnsi="Times New Roman"/>
          <w:color w:val="000000"/>
          <w:sz w:val="28"/>
          <w:szCs w:val="28"/>
        </w:rPr>
        <w:t>armónico con el territorio.</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Este elemento posee una marcada relevancia constitucional, pues, como ha quedado claro, la Constitución de 1991 no puede interpretarse al margen del reconocimiento de los pueblos indígenas como sujetos colectivos de especial pr</w:t>
      </w:r>
      <w:r w:rsidRPr="00D93140">
        <w:rPr>
          <w:rFonts w:ascii="Times New Roman" w:hAnsi="Times New Roman"/>
          <w:color w:val="000000"/>
          <w:sz w:val="28"/>
          <w:szCs w:val="28"/>
        </w:rPr>
        <w:t xml:space="preserve">otección constitucional y como actores centrales en la </w:t>
      </w:r>
      <w:r w:rsidRPr="00D93140">
        <w:rPr>
          <w:rFonts w:ascii="Times New Roman" w:hAnsi="Times New Roman"/>
          <w:i/>
          <w:iCs/>
          <w:color w:val="000000"/>
          <w:sz w:val="28"/>
          <w:szCs w:val="28"/>
        </w:rPr>
        <w:t>preservación ambiental.</w:t>
      </w:r>
      <w:r w:rsidRPr="00D93140">
        <w:rPr>
          <w:rFonts w:ascii="Times New Roman" w:hAnsi="Times New Roman"/>
          <w:color w:val="000000"/>
          <w:sz w:val="28"/>
          <w:szCs w:val="28"/>
        </w:rPr>
        <w:t xml:space="preserve"> La relación espiritual, cultural, territorial y política que los pueblos indígenas mantienen con sus territorios excede las categorías tradicionales del derecho ordinario y del </w:t>
      </w:r>
      <w:r w:rsidRPr="00D93140">
        <w:rPr>
          <w:rFonts w:ascii="Times New Roman" w:hAnsi="Times New Roman"/>
          <w:color w:val="000000"/>
          <w:sz w:val="28"/>
          <w:szCs w:val="28"/>
        </w:rPr>
        <w:t xml:space="preserve">modelo clásico de gestión ambiental estatal. Por ello, el Decreto 1275 de 2024 representa también un avance relevante en la construcción de formas de gobernanza ambiental que, vistas en general, son compatibles con el pluralismo jurídico reconocido por la </w:t>
      </w:r>
      <w:r w:rsidRPr="00D93140">
        <w:rPr>
          <w:rFonts w:ascii="Times New Roman" w:hAnsi="Times New Roman"/>
          <w:color w:val="000000"/>
          <w:sz w:val="28"/>
          <w:szCs w:val="28"/>
        </w:rPr>
        <w:t>Constitución.</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Ciertamente, la protección de los ecosistemas y de la diversidad biológica no constituye una responsabilidad exclusiva de las autoridades estatales centralizadas; por el contrario, la experiencia histórica y la propia evidencia constituciona</w:t>
      </w:r>
      <w:r w:rsidRPr="00D93140">
        <w:rPr>
          <w:rFonts w:ascii="Times New Roman" w:hAnsi="Times New Roman"/>
          <w:color w:val="000000"/>
          <w:sz w:val="28"/>
          <w:szCs w:val="28"/>
        </w:rPr>
        <w:t>l muestran que los pueblos indígenas han ejercido, durante siglos, funciones materiales de conservación, protección y manejo sostenible de los territorios y de los bienes naturales que habitan</w:t>
      </w:r>
      <w:r w:rsidRPr="00D93140">
        <w:rPr>
          <w:rFonts w:ascii="Times New Roman" w:hAnsi="Times New Roman"/>
          <w:color w:val="000000"/>
          <w:sz w:val="28"/>
          <w:szCs w:val="28"/>
          <w:vertAlign w:val="superscript"/>
        </w:rPr>
        <w:footnoteReference w:id="164"/>
      </w:r>
      <w:r w:rsidRPr="00D93140">
        <w:rPr>
          <w:rFonts w:ascii="Times New Roman" w:hAnsi="Times New Roman"/>
          <w:color w:val="000000"/>
          <w:sz w:val="28"/>
          <w:szCs w:val="28"/>
        </w:rPr>
        <w:t>. Sus formas de organización social, sus sistemas normativos pr</w:t>
      </w:r>
      <w:r w:rsidRPr="00D93140">
        <w:rPr>
          <w:rFonts w:ascii="Times New Roman" w:hAnsi="Times New Roman"/>
          <w:color w:val="000000"/>
          <w:sz w:val="28"/>
          <w:szCs w:val="28"/>
        </w:rPr>
        <w:t>opios y sus cosmovisiones incorporan concepciones de equilibrio ecológico y de protección territorial que resultan indispensables para la realización efectiva de los mandatos ambientales superiores</w:t>
      </w:r>
      <w:r w:rsidRPr="00D93140">
        <w:rPr>
          <w:rFonts w:ascii="Times New Roman" w:hAnsi="Times New Roman"/>
          <w:color w:val="000000"/>
          <w:sz w:val="28"/>
          <w:szCs w:val="28"/>
          <w:vertAlign w:val="superscript"/>
        </w:rPr>
        <w:footnoteReference w:id="165"/>
      </w:r>
      <w:r w:rsidRPr="00D93140">
        <w:rPr>
          <w:rFonts w:ascii="Times New Roman" w:hAnsi="Times New Roman"/>
          <w:color w:val="000000"/>
          <w:sz w:val="28"/>
          <w:szCs w:val="28"/>
        </w:rPr>
        <w:t>.</w:t>
      </w:r>
    </w:p>
    <w:p w:rsidR="00EC3298" w:rsidRPr="00D93140" w:rsidRDefault="00D93140" w:rsidP="00177BF0">
      <w:pPr>
        <w:spacing w:after="0" w:line="240" w:lineRule="auto"/>
        <w:jc w:val="both"/>
        <w:rPr>
          <w:rFonts w:ascii="Times New Roman" w:hAnsi="Times New Roman"/>
          <w:color w:val="000000"/>
          <w:sz w:val="28"/>
          <w:szCs w:val="28"/>
        </w:rPr>
      </w:pPr>
    </w:p>
    <w:p w:rsidR="00EC7E23"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Así, el pluralismo jurídico no debe comprenderse desde </w:t>
      </w:r>
      <w:r w:rsidRPr="00D93140">
        <w:rPr>
          <w:rFonts w:ascii="Times New Roman" w:hAnsi="Times New Roman"/>
          <w:color w:val="000000"/>
          <w:sz w:val="28"/>
          <w:szCs w:val="28"/>
        </w:rPr>
        <w:t xml:space="preserve">una lógica de fragmentación institucional o de desarticulación de competencias entre el Estado y las autoridades indígenas. Más bien, el reconocimiento de la autonomía indígena exige construir mecanismos de articulación y coordinación que permitan avanzar </w:t>
      </w:r>
      <w:r w:rsidRPr="00D93140">
        <w:rPr>
          <w:rFonts w:ascii="Times New Roman" w:hAnsi="Times New Roman"/>
          <w:color w:val="000000"/>
          <w:sz w:val="28"/>
          <w:szCs w:val="28"/>
        </w:rPr>
        <w:t>conjuntamente en la consecución de fines constitucionales comunes y urgentes, como la preservación de los ecosistemas, la protección de la biodiversidad y la mitigación de la crisis climática. De ahí que sea indispensable partir de que la coordinación inte</w:t>
      </w:r>
      <w:r w:rsidRPr="00D93140">
        <w:rPr>
          <w:rFonts w:ascii="Times New Roman" w:hAnsi="Times New Roman"/>
          <w:color w:val="000000"/>
          <w:sz w:val="28"/>
          <w:szCs w:val="28"/>
        </w:rPr>
        <w:t xml:space="preserve">rétnica e intercultural no debilita la unidad del Estado; sino que fortalece la capacidad institucional de protección ambiental mediante la articulación de saberes y formas de autoridad históricamente excluidas por modelos uniformes de administración. </w:t>
      </w:r>
    </w:p>
    <w:p w:rsidR="00EC7E23"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De</w:t>
      </w:r>
      <w:r w:rsidRPr="00D93140">
        <w:rPr>
          <w:rFonts w:ascii="Times New Roman" w:hAnsi="Times New Roman"/>
          <w:color w:val="000000"/>
          <w:sz w:val="28"/>
          <w:szCs w:val="28"/>
        </w:rPr>
        <w:t xml:space="preserve">sde esta perspectiva, </w:t>
      </w:r>
      <w:r w:rsidRPr="00D93140">
        <w:rPr>
          <w:rFonts w:ascii="Times New Roman" w:hAnsi="Times New Roman"/>
          <w:color w:val="000000"/>
          <w:sz w:val="28"/>
          <w:szCs w:val="28"/>
        </w:rPr>
        <w:t xml:space="preserve">y como ya lo reconoció la Corte en la Sentencia T-106 de 2025, el Decreto 1275 de 2024 tiene una relevancia constitucional especial, que trasciende ampliamente el análisis estrictamente </w:t>
      </w:r>
      <w:r w:rsidRPr="00D93140">
        <w:rPr>
          <w:rFonts w:ascii="Times New Roman" w:hAnsi="Times New Roman"/>
          <w:i/>
          <w:iCs/>
          <w:color w:val="000000"/>
          <w:sz w:val="28"/>
          <w:szCs w:val="28"/>
        </w:rPr>
        <w:t>legal</w:t>
      </w:r>
      <w:r w:rsidRPr="00D93140">
        <w:rPr>
          <w:rFonts w:ascii="Times New Roman" w:hAnsi="Times New Roman"/>
          <w:color w:val="000000"/>
          <w:sz w:val="28"/>
          <w:szCs w:val="28"/>
        </w:rPr>
        <w:t xml:space="preserve"> desarrollado en la Sentencia C-478 de 2025</w:t>
      </w:r>
      <w:r w:rsidRPr="00D93140">
        <w:rPr>
          <w:rFonts w:ascii="Times New Roman" w:hAnsi="Times New Roman"/>
          <w:color w:val="000000"/>
          <w:sz w:val="28"/>
          <w:szCs w:val="28"/>
        </w:rPr>
        <w:t xml:space="preserve">. Sin duda, </w:t>
      </w:r>
      <w:r w:rsidRPr="00D93140">
        <w:rPr>
          <w:rFonts w:ascii="Times New Roman" w:hAnsi="Times New Roman"/>
          <w:color w:val="000000"/>
          <w:sz w:val="28"/>
          <w:szCs w:val="28"/>
        </w:rPr>
        <w:t xml:space="preserve">es posible sostener que, en general, </w:t>
      </w:r>
      <w:r w:rsidRPr="00D93140">
        <w:rPr>
          <w:rFonts w:ascii="Times New Roman" w:hAnsi="Times New Roman"/>
          <w:color w:val="000000"/>
          <w:sz w:val="28"/>
          <w:szCs w:val="28"/>
        </w:rPr>
        <w:t>este Decreto se inserta en nuestro ordenamiento como uno de los intentos más significativos para avanzar en la construcción de mecanismos efectivos de coordinación entre las autoridades indígenas y las estru</w:t>
      </w:r>
      <w:r w:rsidRPr="00D93140">
        <w:rPr>
          <w:rFonts w:ascii="Times New Roman" w:hAnsi="Times New Roman"/>
          <w:color w:val="000000"/>
          <w:sz w:val="28"/>
          <w:szCs w:val="28"/>
        </w:rPr>
        <w:t>cturas institucionales del Estado</w:t>
      </w:r>
      <w:r w:rsidRPr="00D93140">
        <w:rPr>
          <w:rFonts w:ascii="Times New Roman" w:hAnsi="Times New Roman"/>
          <w:color w:val="000000"/>
          <w:sz w:val="28"/>
          <w:szCs w:val="28"/>
        </w:rPr>
        <w:t>;</w:t>
      </w:r>
      <w:r w:rsidRPr="00D93140">
        <w:rPr>
          <w:rFonts w:ascii="Times New Roman" w:hAnsi="Times New Roman"/>
          <w:color w:val="000000"/>
          <w:sz w:val="28"/>
          <w:szCs w:val="28"/>
          <w:vertAlign w:val="superscript"/>
        </w:rPr>
        <w:footnoteReference w:id="166"/>
      </w:r>
      <w:r w:rsidRPr="00D93140">
        <w:rPr>
          <w:rFonts w:ascii="Times New Roman" w:hAnsi="Times New Roman"/>
          <w:color w:val="000000"/>
          <w:sz w:val="28"/>
          <w:szCs w:val="28"/>
        </w:rPr>
        <w:t xml:space="preserve"> y en términos generales</w:t>
      </w:r>
      <w:r w:rsidRPr="00D93140">
        <w:rPr>
          <w:rFonts w:ascii="Times New Roman" w:hAnsi="Times New Roman"/>
          <w:color w:val="000000"/>
          <w:sz w:val="28"/>
          <w:szCs w:val="28"/>
        </w:rPr>
        <w:t>,</w:t>
      </w:r>
      <w:r w:rsidRPr="00D93140">
        <w:rPr>
          <w:rFonts w:ascii="Times New Roman" w:hAnsi="Times New Roman"/>
          <w:color w:val="000000"/>
          <w:sz w:val="28"/>
          <w:szCs w:val="28"/>
        </w:rPr>
        <w:t xml:space="preserve"> estructura</w:t>
      </w:r>
      <w:r w:rsidRPr="00D93140">
        <w:rPr>
          <w:rFonts w:ascii="Times New Roman" w:hAnsi="Times New Roman"/>
          <w:color w:val="000000"/>
          <w:sz w:val="28"/>
          <w:szCs w:val="28"/>
        </w:rPr>
        <w:t>r</w:t>
      </w:r>
      <w:r w:rsidRPr="00D93140">
        <w:rPr>
          <w:rFonts w:ascii="Times New Roman" w:hAnsi="Times New Roman"/>
          <w:color w:val="000000"/>
          <w:sz w:val="28"/>
          <w:szCs w:val="28"/>
        </w:rPr>
        <w:t xml:space="preserve"> u</w:t>
      </w:r>
      <w:r w:rsidRPr="00D93140">
        <w:rPr>
          <w:rFonts w:ascii="Times New Roman" w:hAnsi="Times New Roman"/>
          <w:color w:val="000000"/>
          <w:sz w:val="28"/>
          <w:szCs w:val="28"/>
        </w:rPr>
        <w:t xml:space="preserve">na apuesta orientada a integrar saberes, formas de autoridad y sistemas de protección ambiental históricamente excluidos. </w:t>
      </w:r>
      <w:r w:rsidRPr="00D93140">
        <w:rPr>
          <w:rFonts w:ascii="Times New Roman" w:hAnsi="Times New Roman"/>
          <w:color w:val="000000"/>
          <w:sz w:val="28"/>
          <w:szCs w:val="28"/>
        </w:rPr>
        <w:t xml:space="preserve">En tal virtud, </w:t>
      </w:r>
      <w:r w:rsidRPr="00D93140">
        <w:rPr>
          <w:rFonts w:ascii="Times New Roman" w:hAnsi="Times New Roman"/>
          <w:color w:val="000000"/>
          <w:sz w:val="28"/>
          <w:szCs w:val="28"/>
        </w:rPr>
        <w:t>debe</w:t>
      </w:r>
      <w:r w:rsidRPr="00D93140">
        <w:rPr>
          <w:rFonts w:ascii="Times New Roman" w:hAnsi="Times New Roman"/>
          <w:color w:val="000000"/>
          <w:sz w:val="28"/>
          <w:szCs w:val="28"/>
        </w:rPr>
        <w:t xml:space="preserve"> reafirmar</w:t>
      </w:r>
      <w:r w:rsidRPr="00D93140">
        <w:rPr>
          <w:rFonts w:ascii="Times New Roman" w:hAnsi="Times New Roman"/>
          <w:color w:val="000000"/>
          <w:sz w:val="28"/>
          <w:szCs w:val="28"/>
        </w:rPr>
        <w:t xml:space="preserve">se </w:t>
      </w:r>
      <w:r w:rsidRPr="00D93140">
        <w:rPr>
          <w:rFonts w:ascii="Times New Roman" w:hAnsi="Times New Roman"/>
          <w:color w:val="000000"/>
          <w:sz w:val="28"/>
          <w:szCs w:val="28"/>
        </w:rPr>
        <w:t xml:space="preserve">que </w:t>
      </w:r>
      <w:r w:rsidRPr="00D93140">
        <w:rPr>
          <w:rFonts w:ascii="Times New Roman" w:hAnsi="Times New Roman"/>
          <w:color w:val="000000"/>
          <w:sz w:val="28"/>
          <w:szCs w:val="28"/>
        </w:rPr>
        <w:t>la coordinación intercul</w:t>
      </w:r>
      <w:r w:rsidRPr="00D93140">
        <w:rPr>
          <w:rFonts w:ascii="Times New Roman" w:hAnsi="Times New Roman"/>
          <w:color w:val="000000"/>
          <w:sz w:val="28"/>
          <w:szCs w:val="28"/>
        </w:rPr>
        <w:t xml:space="preserve">tural </w:t>
      </w:r>
      <w:r w:rsidRPr="00D93140">
        <w:rPr>
          <w:rFonts w:ascii="Times New Roman" w:hAnsi="Times New Roman"/>
          <w:color w:val="000000"/>
          <w:sz w:val="28"/>
          <w:szCs w:val="28"/>
        </w:rPr>
        <w:t>con propósitos ambientales de ninguna manera</w:t>
      </w:r>
      <w:r w:rsidRPr="00D93140">
        <w:rPr>
          <w:rFonts w:ascii="Times New Roman" w:hAnsi="Times New Roman"/>
          <w:color w:val="000000"/>
          <w:sz w:val="28"/>
          <w:szCs w:val="28"/>
        </w:rPr>
        <w:t xml:space="preserve"> debilita la unidad del Estado, sino que fortalece la capacidad </w:t>
      </w:r>
      <w:r w:rsidRPr="00D93140">
        <w:rPr>
          <w:rFonts w:ascii="Times New Roman" w:hAnsi="Times New Roman"/>
          <w:color w:val="000000"/>
          <w:sz w:val="28"/>
          <w:szCs w:val="28"/>
        </w:rPr>
        <w:t>institucional</w:t>
      </w:r>
      <w:r w:rsidRPr="00D93140">
        <w:rPr>
          <w:rFonts w:ascii="Times New Roman" w:hAnsi="Times New Roman"/>
          <w:color w:val="000000"/>
          <w:sz w:val="28"/>
          <w:szCs w:val="28"/>
        </w:rPr>
        <w:t xml:space="preserve"> mediante la articulación de conocimientos y herramientas concurrentes al servicio de un objetivo común, como lo es la defensa in</w:t>
      </w:r>
      <w:r w:rsidRPr="00D93140">
        <w:rPr>
          <w:rFonts w:ascii="Times New Roman" w:hAnsi="Times New Roman"/>
          <w:color w:val="000000"/>
          <w:sz w:val="28"/>
          <w:szCs w:val="28"/>
        </w:rPr>
        <w:t>tegral de la vida, del territorio, de la naturaleza y de las culturas.</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numPr>
          <w:ilvl w:val="0"/>
          <w:numId w:val="3"/>
        </w:numPr>
        <w:spacing w:after="0" w:line="240" w:lineRule="auto"/>
        <w:jc w:val="both"/>
        <w:rPr>
          <w:rFonts w:ascii="Times New Roman" w:hAnsi="Times New Roman"/>
          <w:b/>
          <w:bCs/>
          <w:color w:val="000000"/>
          <w:sz w:val="28"/>
          <w:szCs w:val="28"/>
        </w:rPr>
      </w:pPr>
      <w:r w:rsidRPr="00D93140">
        <w:rPr>
          <w:rFonts w:ascii="Times New Roman" w:hAnsi="Times New Roman"/>
          <w:b/>
          <w:bCs/>
          <w:color w:val="000000"/>
          <w:sz w:val="28"/>
          <w:szCs w:val="28"/>
        </w:rPr>
        <w:t xml:space="preserve">Los condicionamientos y medidas adoptadas en la Sentencia C-478 de 2025 como resultado de una armonización constitucional válida, no como la constatación de vicios estructurales del </w:t>
      </w:r>
      <w:r w:rsidRPr="00D93140">
        <w:rPr>
          <w:rFonts w:ascii="Times New Roman" w:hAnsi="Times New Roman"/>
          <w:b/>
          <w:bCs/>
          <w:color w:val="000000"/>
          <w:sz w:val="28"/>
          <w:szCs w:val="28"/>
        </w:rPr>
        <w:t>Decreto 1275 de 2024</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De lo expuesto hasta ahora resulta claro que la Constitución de 1991 no diseñó un modelo de simple descentralización administrativa respecto de los pueblos indígenas, sino que estableció un esquema complejo de coexistencia entre disti</w:t>
      </w:r>
      <w:r w:rsidRPr="00D93140">
        <w:rPr>
          <w:rFonts w:ascii="Times New Roman" w:hAnsi="Times New Roman"/>
          <w:color w:val="000000"/>
          <w:sz w:val="28"/>
          <w:szCs w:val="28"/>
        </w:rPr>
        <w:t>ntos sistemas normativos y modelos de relación con el territorio y la naturaleza.</w:t>
      </w:r>
      <w:r w:rsidRPr="00D93140">
        <w:rPr>
          <w:rFonts w:ascii="Times New Roman" w:hAnsi="Times New Roman"/>
          <w:color w:val="000000"/>
          <w:sz w:val="28"/>
          <w:szCs w:val="28"/>
          <w:vertAlign w:val="superscript"/>
        </w:rPr>
        <w:footnoteReference w:id="167"/>
      </w:r>
      <w:r w:rsidRPr="00D93140">
        <w:rPr>
          <w:rFonts w:ascii="Times New Roman" w:hAnsi="Times New Roman"/>
          <w:color w:val="000000"/>
          <w:sz w:val="28"/>
          <w:szCs w:val="28"/>
        </w:rPr>
        <w:t xml:space="preserve"> Por el contrario, el constitucionalismo pluralista parte de una premisa distinta, según la cual la coordinación entre jurisdicciones y autoridades implica la construcción de</w:t>
      </w:r>
      <w:r w:rsidRPr="00D93140">
        <w:rPr>
          <w:rFonts w:ascii="Times New Roman" w:hAnsi="Times New Roman"/>
          <w:color w:val="000000"/>
          <w:sz w:val="28"/>
          <w:szCs w:val="28"/>
        </w:rPr>
        <w:t xml:space="preserve"> mecanismos de articulación compatibles con la autonomía de los pueblos indígenas y con el deber estatal de garantizar la </w:t>
      </w:r>
      <w:r w:rsidRPr="00D93140">
        <w:rPr>
          <w:rFonts w:ascii="Times New Roman" w:hAnsi="Times New Roman"/>
          <w:i/>
          <w:iCs/>
          <w:color w:val="000000"/>
          <w:sz w:val="28"/>
          <w:szCs w:val="28"/>
        </w:rPr>
        <w:t>coexistencia armónica</w:t>
      </w:r>
      <w:r w:rsidRPr="00D93140">
        <w:rPr>
          <w:rFonts w:ascii="Times New Roman" w:hAnsi="Times New Roman"/>
          <w:color w:val="000000"/>
          <w:sz w:val="28"/>
          <w:szCs w:val="28"/>
        </w:rPr>
        <w:t xml:space="preserve"> entre distintos sistemas jurídicos dentro de un mismo orden constitucional y siembre en respeto de éste.</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Desde </w:t>
      </w:r>
      <w:r w:rsidRPr="00D93140">
        <w:rPr>
          <w:rFonts w:ascii="Times New Roman" w:hAnsi="Times New Roman"/>
          <w:color w:val="000000"/>
          <w:sz w:val="28"/>
          <w:szCs w:val="28"/>
        </w:rPr>
        <w:t xml:space="preserve">esa lógica necesaria y garantista, considero importante advertir que los condicionamientos e interpretaciones conformes introducidos en la Sentencia C-478 de 2025 deben entenderse como ejercicios legítimos de armonización constitucional y conservación del </w:t>
      </w:r>
      <w:r w:rsidRPr="00D93140">
        <w:rPr>
          <w:rFonts w:ascii="Times New Roman" w:hAnsi="Times New Roman"/>
          <w:color w:val="000000"/>
          <w:sz w:val="28"/>
          <w:szCs w:val="28"/>
        </w:rPr>
        <w:t>derecho, y no como mecanismos orientados a negar la legitimidad de las autoridades indígenas, ni como expresiones de desconfianza constitucional frente a sus formas propias de gobierno y administración territorial. Como fundamento, es necesario recordar qu</w:t>
      </w:r>
      <w:r w:rsidRPr="00D93140">
        <w:rPr>
          <w:rFonts w:ascii="Times New Roman" w:hAnsi="Times New Roman"/>
          <w:color w:val="000000"/>
          <w:sz w:val="28"/>
          <w:szCs w:val="28"/>
        </w:rPr>
        <w:t xml:space="preserve">e el pluralismo jurídico no supone la existencia de órdenes jurídicos </w:t>
      </w:r>
      <w:r w:rsidRPr="00D93140">
        <w:rPr>
          <w:rFonts w:ascii="Times New Roman" w:hAnsi="Times New Roman"/>
          <w:i/>
          <w:iCs/>
          <w:color w:val="000000"/>
          <w:sz w:val="28"/>
          <w:szCs w:val="28"/>
        </w:rPr>
        <w:t>completamente aislados entre sí, ni la configuración de espacios inmunes al diálogo constitucional</w:t>
      </w:r>
      <w:r w:rsidRPr="00D93140">
        <w:rPr>
          <w:rFonts w:ascii="Times New Roman" w:hAnsi="Times New Roman"/>
          <w:color w:val="000000"/>
          <w:sz w:val="28"/>
          <w:szCs w:val="28"/>
        </w:rPr>
        <w:t xml:space="preserve">. La Constitución de 1991 diseñó un modelo de </w:t>
      </w:r>
      <w:r w:rsidRPr="00D93140">
        <w:rPr>
          <w:rFonts w:ascii="Times New Roman" w:hAnsi="Times New Roman"/>
          <w:i/>
          <w:iCs/>
          <w:color w:val="000000"/>
          <w:sz w:val="28"/>
          <w:szCs w:val="28"/>
        </w:rPr>
        <w:t>pluralismo articulado</w:t>
      </w:r>
      <w:r w:rsidRPr="00D93140">
        <w:rPr>
          <w:rFonts w:ascii="Times New Roman" w:hAnsi="Times New Roman"/>
          <w:color w:val="000000"/>
          <w:sz w:val="28"/>
          <w:szCs w:val="28"/>
        </w:rPr>
        <w:t>, en el que la autono</w:t>
      </w:r>
      <w:r w:rsidRPr="00D93140">
        <w:rPr>
          <w:rFonts w:ascii="Times New Roman" w:hAnsi="Times New Roman"/>
          <w:color w:val="000000"/>
          <w:sz w:val="28"/>
          <w:szCs w:val="28"/>
        </w:rPr>
        <w:t>mía indígena alcanza una protección especialmente robusta, pero coexiste con principios estructurales comunes del Estado constitucional, entre ellos el debido proceso, la protección de terceros y la posibilidad de control jurisdiccional frente al ejercicio</w:t>
      </w:r>
      <w:r w:rsidRPr="00D93140">
        <w:rPr>
          <w:rFonts w:ascii="Times New Roman" w:hAnsi="Times New Roman"/>
          <w:color w:val="000000"/>
          <w:sz w:val="28"/>
          <w:szCs w:val="28"/>
        </w:rPr>
        <w:t xml:space="preserve"> de funciones públicas</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Desde ese punto de vista, la exequibilidad</w:t>
      </w:r>
      <w:r w:rsidRPr="00D93140">
        <w:rPr>
          <w:rFonts w:ascii="Times New Roman" w:hAnsi="Times New Roman"/>
          <w:color w:val="000000"/>
          <w:sz w:val="28"/>
          <w:szCs w:val="28"/>
        </w:rPr>
        <w:t xml:space="preserve"> condicionada de la expresión “sanciones y” contenida en el numeral 3 del artículo 6 del Decreto 1275 de 2024, en el entendido de que las autoridades indígenas no podrán imponer sanciones a personas que no integran sus comunidades y de que las autoridades </w:t>
      </w:r>
      <w:r w:rsidRPr="00D93140">
        <w:rPr>
          <w:rFonts w:ascii="Times New Roman" w:hAnsi="Times New Roman"/>
          <w:color w:val="000000"/>
          <w:sz w:val="28"/>
          <w:szCs w:val="28"/>
        </w:rPr>
        <w:t>ambientales competentes deberán regirse, en esos casos, por las disposiciones legales del régimen sancionatorio ambiental, así como el entendido según el cual las actuaciones administrativas proferidas por las autoridades indígenas son susceptibles de cont</w:t>
      </w:r>
      <w:r w:rsidRPr="00D93140">
        <w:rPr>
          <w:rFonts w:ascii="Times New Roman" w:hAnsi="Times New Roman"/>
          <w:color w:val="000000"/>
          <w:sz w:val="28"/>
          <w:szCs w:val="28"/>
        </w:rPr>
        <w:t>rol ante la jurisdicción de lo contencioso administrativo o ante la jurisdicción constitucional, no vacían de contenido las competencias reconocidas a las autoridades indígenas ni desnaturalizan el modelo de gobernanza ambiental intercultural previsto en e</w:t>
      </w:r>
      <w:r w:rsidRPr="00D93140">
        <w:rPr>
          <w:rFonts w:ascii="Times New Roman" w:hAnsi="Times New Roman"/>
          <w:color w:val="000000"/>
          <w:sz w:val="28"/>
          <w:szCs w:val="28"/>
        </w:rPr>
        <w:t xml:space="preserve">l Decreto. </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Por el contrario, dichos entendimientos permiten el ejercicio de las competencias ambientales indígenas dentro de un esquema de coordinación constitucional más amplio, en el que distintas autoridades concurren en la protección simultánea de la</w:t>
      </w:r>
      <w:r w:rsidRPr="00D93140">
        <w:rPr>
          <w:rFonts w:ascii="Times New Roman" w:hAnsi="Times New Roman"/>
          <w:color w:val="000000"/>
          <w:sz w:val="28"/>
          <w:szCs w:val="28"/>
        </w:rPr>
        <w:t xml:space="preserve"> diversidad étnica y cultural, del ambiente, de los derechos fundamentales y de las garantías procesales de terceros. En otras palabras, lejos de debilitar el pluralismo jurídico, estos condicionamientos buscan asegurar su estabilidad y viabilidad práctica</w:t>
      </w:r>
      <w:r w:rsidRPr="00D93140">
        <w:rPr>
          <w:rFonts w:ascii="Times New Roman" w:hAnsi="Times New Roman"/>
          <w:color w:val="000000"/>
          <w:sz w:val="28"/>
          <w:szCs w:val="28"/>
        </w:rPr>
        <w:t xml:space="preserve"> dentro del Estado social y democrático de derecho porque armonizan el ejercicio de competencias ambientales con otros principios constitucionales concurrentes dentro de un esquema que reconoce la diversidad étnica y cultural, como objetivo común.</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De igua</w:t>
      </w:r>
      <w:r w:rsidRPr="00D93140">
        <w:rPr>
          <w:rFonts w:ascii="Times New Roman" w:hAnsi="Times New Roman"/>
          <w:color w:val="000000"/>
          <w:sz w:val="28"/>
          <w:szCs w:val="28"/>
        </w:rPr>
        <w:t>l manera, la inexequibilidad de la expresión “en los casos en los que se supere el ámbito de aplicación del presente decreto y concurran competencias ambientales”, contenida en el artículo 5, debe entenderse (tal como lo hizo la Sala) como una corrección p</w:t>
      </w:r>
      <w:r w:rsidRPr="00D93140">
        <w:rPr>
          <w:rFonts w:ascii="Times New Roman" w:hAnsi="Times New Roman"/>
          <w:color w:val="000000"/>
          <w:sz w:val="28"/>
          <w:szCs w:val="28"/>
        </w:rPr>
        <w:t>untual orientada precisamente a fortalecer el alcance del pluralismo jurídico y de la coordinación interinstitucional, pues limitar los principios de coordinación, concurrencia, complementariedad y subsidiariedad únicamente a escenarios externos a los terr</w:t>
      </w:r>
      <w:r w:rsidRPr="00D93140">
        <w:rPr>
          <w:rFonts w:ascii="Times New Roman" w:hAnsi="Times New Roman"/>
          <w:color w:val="000000"/>
          <w:sz w:val="28"/>
          <w:szCs w:val="28"/>
        </w:rPr>
        <w:t>itorios indígenas habría terminado reproduciendo una visión fragmentada de la gestión ambiental y reduciendo el alcance constitucional de la articulación entre autoridades estatales e indígenas. Así, la decisión consolida una lectura del Decreto que es coh</w:t>
      </w:r>
      <w:r w:rsidRPr="00D93140">
        <w:rPr>
          <w:rFonts w:ascii="Times New Roman" w:hAnsi="Times New Roman"/>
          <w:color w:val="000000"/>
          <w:sz w:val="28"/>
          <w:szCs w:val="28"/>
        </w:rPr>
        <w:t xml:space="preserve">erente con el modelo de gestión ambiental participativo, concurrente y articulado, previsto en el artículo 288 de la Constitución. </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Por ello, es particularmente importante insistir en que el pluralismo jurídico no puede convertirse en una categoría vacía </w:t>
      </w:r>
      <w:r w:rsidRPr="00D93140">
        <w:rPr>
          <w:rFonts w:ascii="Times New Roman" w:hAnsi="Times New Roman"/>
          <w:color w:val="000000"/>
          <w:sz w:val="28"/>
          <w:szCs w:val="28"/>
        </w:rPr>
        <w:t>o puramente declarativa, pues la autonomía indígena exige espacios reales de ejercicio competencial y mecanismos efectivos de coordinación institucional, para que la diversidad constituya una fórmula con capacidad real de transformación institucional.</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 xml:space="preserve">En </w:t>
      </w:r>
      <w:r w:rsidRPr="00D93140">
        <w:rPr>
          <w:rFonts w:ascii="Times New Roman" w:hAnsi="Times New Roman"/>
          <w:color w:val="000000"/>
          <w:sz w:val="28"/>
          <w:szCs w:val="28"/>
        </w:rPr>
        <w:t xml:space="preserve">consecuencia, esta aclaración de voto busca subrayar que lo decidido en la Sentencia C-478 de 2025 de ninguna manera reduce </w:t>
      </w:r>
      <w:r w:rsidRPr="00D93140">
        <w:rPr>
          <w:rFonts w:ascii="Times New Roman" w:hAnsi="Times New Roman"/>
          <w:color w:val="000000"/>
          <w:sz w:val="28"/>
          <w:szCs w:val="28"/>
        </w:rPr>
        <w:t>la</w:t>
      </w:r>
      <w:r w:rsidRPr="00D93140">
        <w:rPr>
          <w:rFonts w:ascii="Times New Roman" w:hAnsi="Times New Roman"/>
          <w:color w:val="000000"/>
          <w:sz w:val="28"/>
          <w:szCs w:val="28"/>
        </w:rPr>
        <w:t xml:space="preserve"> relevancia</w:t>
      </w:r>
      <w:r w:rsidRPr="00D93140">
        <w:rPr>
          <w:rFonts w:ascii="Times New Roman" w:hAnsi="Times New Roman"/>
          <w:color w:val="000000"/>
          <w:sz w:val="28"/>
          <w:szCs w:val="28"/>
        </w:rPr>
        <w:t xml:space="preserve"> constitucional</w:t>
      </w:r>
      <w:r w:rsidRPr="00D93140">
        <w:rPr>
          <w:rFonts w:ascii="Times New Roman" w:hAnsi="Times New Roman"/>
          <w:color w:val="000000"/>
          <w:sz w:val="28"/>
          <w:szCs w:val="28"/>
        </w:rPr>
        <w:t xml:space="preserve"> que, en principio, tiene </w:t>
      </w:r>
      <w:r w:rsidRPr="00D93140">
        <w:rPr>
          <w:rFonts w:ascii="Times New Roman" w:hAnsi="Times New Roman"/>
          <w:color w:val="000000"/>
          <w:sz w:val="28"/>
          <w:szCs w:val="28"/>
        </w:rPr>
        <w:t>el Decreto 1275 de 2024. Por el contrario, lo entiende como un desarrollo rele</w:t>
      </w:r>
      <w:r w:rsidRPr="00D93140">
        <w:rPr>
          <w:rFonts w:ascii="Times New Roman" w:hAnsi="Times New Roman"/>
          <w:color w:val="000000"/>
          <w:sz w:val="28"/>
          <w:szCs w:val="28"/>
        </w:rPr>
        <w:t>vante de la promesa constitucional de coordinación interjurisdiccional e interétnica prevista desde 1991, así como una expresión concreta del pluralismo jurídico, la autonomía indígena y la construcción de formas de gobernanza ambiental intercultural compa</w:t>
      </w:r>
      <w:r w:rsidRPr="00D93140">
        <w:rPr>
          <w:rFonts w:ascii="Times New Roman" w:hAnsi="Times New Roman"/>
          <w:color w:val="000000"/>
          <w:sz w:val="28"/>
          <w:szCs w:val="28"/>
        </w:rPr>
        <w:t>tibles con el Estado social y democrático de derecho; haciéndolo armónico con principios como el debido proceso y el control constitucional legítimo que deben tener todas las decisiones de las autoridades públicas, incluidas las de los territorios étnicos.</w:t>
      </w:r>
      <w:r w:rsidRPr="00D93140">
        <w:rPr>
          <w:rFonts w:ascii="Times New Roman" w:hAnsi="Times New Roman"/>
          <w:color w:val="000000"/>
          <w:sz w:val="28"/>
          <w:szCs w:val="28"/>
        </w:rPr>
        <w:t xml:space="preserve">  </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En los anteriores términos, dejo planteadas las razones que me han llevado a aclarar mi voto a la Sentencia C-478 de 2025.</w:t>
      </w:r>
    </w:p>
    <w:p w:rsidR="00EC3298" w:rsidRPr="00D93140" w:rsidRDefault="00D93140" w:rsidP="00177BF0">
      <w:pPr>
        <w:spacing w:after="0" w:line="240" w:lineRule="auto"/>
        <w:jc w:val="both"/>
        <w:rPr>
          <w:rFonts w:ascii="Times New Roman" w:hAnsi="Times New Roman"/>
          <w:color w:val="000000"/>
          <w:sz w:val="28"/>
          <w:szCs w:val="28"/>
        </w:rPr>
      </w:pPr>
    </w:p>
    <w:p w:rsidR="00EC3298" w:rsidRPr="00D93140" w:rsidRDefault="00D93140" w:rsidP="00177BF0">
      <w:pPr>
        <w:spacing w:after="0" w:line="240" w:lineRule="auto"/>
        <w:jc w:val="both"/>
        <w:rPr>
          <w:rFonts w:ascii="Times New Roman" w:hAnsi="Times New Roman"/>
          <w:color w:val="000000"/>
          <w:sz w:val="28"/>
          <w:szCs w:val="28"/>
        </w:rPr>
      </w:pPr>
      <w:r w:rsidRPr="00D93140">
        <w:rPr>
          <w:rFonts w:ascii="Times New Roman" w:hAnsi="Times New Roman"/>
          <w:color w:val="000000"/>
          <w:sz w:val="28"/>
          <w:szCs w:val="28"/>
        </w:rPr>
        <w:t>En la fecha arriba indicada,</w:t>
      </w:r>
    </w:p>
    <w:p w:rsidR="000E19D0" w:rsidRPr="00D93140" w:rsidRDefault="00D93140" w:rsidP="00177BF0">
      <w:pPr>
        <w:spacing w:after="0" w:line="240" w:lineRule="auto"/>
        <w:jc w:val="both"/>
        <w:rPr>
          <w:rFonts w:ascii="Times New Roman" w:hAnsi="Times New Roman"/>
          <w:color w:val="000000"/>
          <w:sz w:val="28"/>
          <w:szCs w:val="28"/>
        </w:rPr>
      </w:pPr>
    </w:p>
    <w:p w:rsidR="000E19D0" w:rsidRPr="00D93140" w:rsidRDefault="00D93140" w:rsidP="00177BF0">
      <w:pPr>
        <w:spacing w:after="0" w:line="240" w:lineRule="auto"/>
        <w:jc w:val="both"/>
        <w:rPr>
          <w:rFonts w:ascii="Times New Roman" w:hAnsi="Times New Roman"/>
          <w:color w:val="000000"/>
          <w:sz w:val="28"/>
          <w:szCs w:val="28"/>
        </w:rPr>
      </w:pPr>
    </w:p>
    <w:p w:rsidR="00F30171" w:rsidRPr="00D93140" w:rsidRDefault="00D93140" w:rsidP="00177BF0">
      <w:pPr>
        <w:spacing w:after="0" w:line="240" w:lineRule="auto"/>
        <w:jc w:val="both"/>
        <w:rPr>
          <w:rFonts w:ascii="Times New Roman" w:hAnsi="Times New Roman"/>
          <w:color w:val="000000"/>
          <w:sz w:val="28"/>
          <w:szCs w:val="28"/>
          <w:lang w:val="es-ES"/>
        </w:rPr>
      </w:pPr>
    </w:p>
    <w:p w:rsidR="00F30171" w:rsidRPr="00D93140" w:rsidRDefault="00D93140" w:rsidP="00177BF0">
      <w:pPr>
        <w:spacing w:after="0" w:line="240" w:lineRule="auto"/>
        <w:jc w:val="both"/>
        <w:rPr>
          <w:rFonts w:ascii="Times New Roman" w:hAnsi="Times New Roman"/>
          <w:color w:val="000000"/>
          <w:sz w:val="28"/>
          <w:szCs w:val="28"/>
          <w:lang w:val="es-ES"/>
        </w:rPr>
      </w:pPr>
    </w:p>
    <w:p w:rsidR="00255E87" w:rsidRPr="00D93140" w:rsidRDefault="00D93140" w:rsidP="00255E87">
      <w:pPr>
        <w:spacing w:after="0" w:line="240" w:lineRule="auto"/>
        <w:jc w:val="center"/>
        <w:rPr>
          <w:rFonts w:ascii="Times New Roman" w:hAnsi="Times New Roman"/>
          <w:b/>
          <w:bCs/>
          <w:color w:val="000000"/>
          <w:sz w:val="28"/>
          <w:szCs w:val="28"/>
          <w:lang w:val="es-ES"/>
        </w:rPr>
      </w:pPr>
      <w:r w:rsidRPr="00D93140">
        <w:rPr>
          <w:rFonts w:ascii="Times New Roman" w:hAnsi="Times New Roman"/>
          <w:b/>
          <w:bCs/>
          <w:color w:val="000000"/>
          <w:sz w:val="28"/>
          <w:szCs w:val="28"/>
          <w:lang w:val="es-ES"/>
        </w:rPr>
        <w:t>VLADIMIR FERNÁNDEZ ANDRADE</w:t>
      </w:r>
    </w:p>
    <w:p w:rsidR="00255E87" w:rsidRPr="00D93140" w:rsidRDefault="00D93140" w:rsidP="00255E87">
      <w:pPr>
        <w:spacing w:after="0" w:line="240" w:lineRule="auto"/>
        <w:jc w:val="center"/>
        <w:rPr>
          <w:rFonts w:ascii="Times New Roman" w:hAnsi="Times New Roman"/>
          <w:b/>
          <w:bCs/>
          <w:color w:val="000000"/>
          <w:sz w:val="28"/>
          <w:szCs w:val="28"/>
          <w:lang w:val="es-ES"/>
        </w:rPr>
      </w:pPr>
      <w:r w:rsidRPr="00D93140">
        <w:rPr>
          <w:rFonts w:ascii="Times New Roman" w:hAnsi="Times New Roman"/>
          <w:b/>
          <w:bCs/>
          <w:color w:val="000000"/>
          <w:sz w:val="28"/>
          <w:szCs w:val="28"/>
          <w:lang w:val="es-ES"/>
        </w:rPr>
        <w:t>Magistrado</w:t>
      </w:r>
    </w:p>
    <w:sectPr w:rsidR="00255E87" w:rsidRPr="00D93140">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93140">
      <w:pPr>
        <w:spacing w:after="0" w:line="240" w:lineRule="auto"/>
      </w:pPr>
      <w:r>
        <w:separator/>
      </w:r>
    </w:p>
  </w:endnote>
  <w:endnote w:type="continuationSeparator" w:id="0">
    <w:p w:rsidR="00000000" w:rsidRDefault="00D93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93140">
      <w:pPr>
        <w:spacing w:after="0" w:line="240" w:lineRule="auto"/>
      </w:pPr>
      <w:r>
        <w:separator/>
      </w:r>
    </w:p>
  </w:footnote>
  <w:footnote w:type="continuationSeparator" w:id="0">
    <w:p w:rsidR="00000000" w:rsidRDefault="00D93140">
      <w:pPr>
        <w:spacing w:after="0" w:line="240" w:lineRule="auto"/>
      </w:pPr>
      <w:r>
        <w:continuationSeparator/>
      </w:r>
    </w:p>
  </w:footnote>
  <w:footnote w:id="1">
    <w:p w:rsidR="009F48D9" w:rsidRPr="00EA54CD" w:rsidRDefault="00D93140" w:rsidP="001A6B32">
      <w:pPr>
        <w:pStyle w:val="Textonotapie"/>
        <w:jc w:val="both"/>
        <w:rPr>
          <w:sz w:val="20"/>
        </w:rPr>
      </w:pPr>
      <w:r w:rsidRPr="00EA54CD">
        <w:rPr>
          <w:rStyle w:val="Refdenotaalpie"/>
          <w:sz w:val="20"/>
        </w:rPr>
        <w:footnoteRef/>
      </w:r>
      <w:r w:rsidRPr="00EA54CD">
        <w:rPr>
          <w:sz w:val="20"/>
        </w:rPr>
        <w:t xml:space="preserve"> “</w:t>
      </w:r>
      <w:r w:rsidRPr="00EA54CD">
        <w:rPr>
          <w:iCs/>
          <w:sz w:val="20"/>
        </w:rPr>
        <w:t xml:space="preserve">Por el cual se establecen las normas requeridas para </w:t>
      </w:r>
      <w:r w:rsidRPr="00EA54CD">
        <w:rPr>
          <w:iCs/>
          <w:sz w:val="20"/>
        </w:rPr>
        <w:t>el funcionamiento de los territorios indígenas en materia ambiental y el desarrollo de las competencias ambientales de las autoridades indígenas y su coordinación efectiva con las demás autoridades y/o entidades</w:t>
      </w:r>
      <w:r w:rsidRPr="00EA54CD">
        <w:rPr>
          <w:i/>
          <w:iCs/>
          <w:sz w:val="20"/>
        </w:rPr>
        <w:t>”.</w:t>
      </w:r>
    </w:p>
  </w:footnote>
  <w:footnote w:id="2">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Ver texto completo en Anexo I.</w:t>
      </w:r>
    </w:p>
  </w:footnote>
  <w:footnote w:id="3">
    <w:p w:rsidR="009F48D9" w:rsidRPr="00EA54CD" w:rsidRDefault="00D93140" w:rsidP="00666A42">
      <w:pPr>
        <w:pStyle w:val="Textonotapie"/>
        <w:jc w:val="both"/>
        <w:rPr>
          <w:sz w:val="20"/>
        </w:rPr>
      </w:pPr>
      <w:r w:rsidRPr="00EA54CD">
        <w:rPr>
          <w:rStyle w:val="Refdenotaalpie"/>
          <w:sz w:val="20"/>
        </w:rPr>
        <w:footnoteRef/>
      </w:r>
      <w:r w:rsidRPr="00EA54CD">
        <w:rPr>
          <w:sz w:val="20"/>
        </w:rPr>
        <w:t xml:space="preserve"> El acci</w:t>
      </w:r>
      <w:r w:rsidRPr="00EA54CD">
        <w:rPr>
          <w:sz w:val="20"/>
        </w:rPr>
        <w:t>onante, Guillermo Otálora manifestó que aceptaba los argumentos de la inadmisión respecto de los cargos segundo y sexto y se limitaría a corregir el cargo tercero, también inadmitido</w:t>
      </w:r>
    </w:p>
  </w:footnote>
  <w:footnote w:id="4">
    <w:p w:rsidR="009F48D9" w:rsidRPr="00EA54CD" w:rsidRDefault="00D93140" w:rsidP="00E814A7">
      <w:pPr>
        <w:pStyle w:val="Textonotapie"/>
        <w:rPr>
          <w:sz w:val="20"/>
        </w:rPr>
      </w:pPr>
      <w:r w:rsidRPr="00EA54CD">
        <w:rPr>
          <w:rStyle w:val="Refdenotaalpie"/>
          <w:sz w:val="20"/>
        </w:rPr>
        <w:footnoteRef/>
      </w:r>
      <w:r w:rsidRPr="00EA54CD">
        <w:rPr>
          <w:sz w:val="20"/>
        </w:rPr>
        <w:t xml:space="preserve"> “Por el cual se regula la creación de Asociaciones de Cabildos y Autori</w:t>
      </w:r>
      <w:r w:rsidRPr="00EA54CD">
        <w:rPr>
          <w:sz w:val="20"/>
        </w:rPr>
        <w:t>dades Tradicionales”.</w:t>
      </w:r>
    </w:p>
  </w:footnote>
  <w:footnote w:id="5">
    <w:p w:rsidR="009F48D9" w:rsidRPr="00EA54CD" w:rsidRDefault="00D93140" w:rsidP="00E814A7">
      <w:pPr>
        <w:pStyle w:val="Textonotapie"/>
        <w:jc w:val="both"/>
        <w:rPr>
          <w:sz w:val="20"/>
        </w:rPr>
      </w:pPr>
      <w:r w:rsidRPr="00EA54CD">
        <w:rPr>
          <w:rStyle w:val="Refdenotaalpie"/>
          <w:sz w:val="20"/>
        </w:rPr>
        <w:footnoteRef/>
      </w:r>
      <w:r w:rsidRPr="00EA54CD">
        <w:rPr>
          <w:sz w:val="20"/>
        </w:rPr>
        <w:t xml:space="preserve"> “</w:t>
      </w:r>
      <w:r w:rsidRPr="00EA54CD">
        <w:rPr>
          <w:bCs/>
          <w:sz w:val="20"/>
        </w:rPr>
        <w:t>Por el cual se crea un régimen especial con el fin de poner en funcionamiento los Territorios Indígenas respecto de la administración de los sistemas propios de los pueblos indígenas hasta que el Congreso expida la ley de que trata</w:t>
      </w:r>
      <w:r w:rsidRPr="00EA54CD">
        <w:rPr>
          <w:bCs/>
          <w:sz w:val="20"/>
        </w:rPr>
        <w:t xml:space="preserve"> el artículo 329 de la Constitución Política”.</w:t>
      </w:r>
    </w:p>
  </w:footnote>
  <w:footnote w:id="6">
    <w:p w:rsidR="009F48D9" w:rsidRPr="00EA54CD" w:rsidRDefault="00D93140" w:rsidP="00E814A7">
      <w:pPr>
        <w:pStyle w:val="Textonotapie"/>
        <w:rPr>
          <w:sz w:val="20"/>
        </w:rPr>
      </w:pPr>
      <w:r w:rsidRPr="00EA54CD">
        <w:rPr>
          <w:rStyle w:val="Refdenotaalpie"/>
          <w:sz w:val="20"/>
        </w:rPr>
        <w:footnoteRef/>
      </w:r>
      <w:r w:rsidRPr="00EA54CD">
        <w:rPr>
          <w:sz w:val="20"/>
        </w:rPr>
        <w:t xml:space="preserve"> Ley 99 de 1993.</w:t>
      </w:r>
    </w:p>
  </w:footnote>
  <w:footnote w:id="7">
    <w:p w:rsidR="009F48D9" w:rsidRPr="00EA54CD" w:rsidRDefault="00D93140" w:rsidP="00EF7D0C">
      <w:pPr>
        <w:pStyle w:val="Textonotapie"/>
        <w:rPr>
          <w:sz w:val="20"/>
        </w:rPr>
      </w:pPr>
      <w:r w:rsidRPr="00EA54CD">
        <w:rPr>
          <w:rStyle w:val="Refdenotaalpie"/>
          <w:sz w:val="20"/>
        </w:rPr>
        <w:footnoteRef/>
      </w:r>
      <w:r w:rsidRPr="00EA54CD">
        <w:rPr>
          <w:sz w:val="20"/>
        </w:rPr>
        <w:t xml:space="preserve"> Ver en Anexo II el contenido de cada intervención.</w:t>
      </w:r>
    </w:p>
  </w:footnote>
  <w:footnote w:id="8">
    <w:p w:rsidR="009F48D9" w:rsidRPr="00EA54CD" w:rsidRDefault="00D93140" w:rsidP="00BC39E4">
      <w:pPr>
        <w:pStyle w:val="Textonotapie"/>
        <w:jc w:val="both"/>
        <w:rPr>
          <w:sz w:val="20"/>
        </w:rPr>
      </w:pPr>
      <w:r w:rsidRPr="00EA54CD">
        <w:rPr>
          <w:rStyle w:val="Refdenotaalpie"/>
          <w:sz w:val="20"/>
        </w:rPr>
        <w:footnoteRef/>
      </w:r>
      <w:r w:rsidRPr="00EA54CD">
        <w:rPr>
          <w:sz w:val="20"/>
        </w:rPr>
        <w:t xml:space="preserve"> Según constancia secretarial, el término de fijación en lista inició el 10 de junio de 2025 a las 8:00 de la mañana por diez (10) días, </w:t>
      </w:r>
      <w:r w:rsidRPr="00EA54CD">
        <w:rPr>
          <w:sz w:val="20"/>
        </w:rPr>
        <w:t>hasta el 24 de junio a las 5:00 pm. Antes de la mencionada fecha, además de los escritos de coadyuvancia, se recibieron las siguientes intervenciones: Asociación Nacional de Usuarios Campesinos – ANUC y la intervención del ciudadano Pablo Esteban Vivas Par</w:t>
      </w:r>
      <w:r w:rsidRPr="00EA54CD">
        <w:rPr>
          <w:sz w:val="20"/>
        </w:rPr>
        <w:t>ra.</w:t>
      </w:r>
      <w:r w:rsidRPr="00EA54CD">
        <w:rPr>
          <w:sz w:val="20"/>
          <w:highlight w:val="yellow"/>
        </w:rPr>
        <w:t xml:space="preserve"> </w:t>
      </w:r>
    </w:p>
  </w:footnote>
  <w:footnote w:id="9">
    <w:p w:rsidR="009F48D9" w:rsidRPr="00EA54CD" w:rsidRDefault="00D93140" w:rsidP="00BC39E4">
      <w:pPr>
        <w:pStyle w:val="Textonotapie"/>
        <w:jc w:val="both"/>
        <w:rPr>
          <w:sz w:val="20"/>
        </w:rPr>
      </w:pPr>
      <w:r w:rsidRPr="00EA54CD">
        <w:rPr>
          <w:rStyle w:val="Refdenotaalpie"/>
          <w:sz w:val="20"/>
        </w:rPr>
        <w:footnoteRef/>
      </w:r>
      <w:r w:rsidRPr="00EA54CD">
        <w:rPr>
          <w:sz w:val="20"/>
        </w:rPr>
        <w:t xml:space="preserve"> De conformidad con el artículo 109 del CGP «Los memoriales, incluidos los mensajes de datos, se entenderán presentados oportunamente si son recibidos antes del cierre del despacho del día en que vence el término». A su vez, el artículo 101 del Reglamento </w:t>
      </w:r>
      <w:r w:rsidRPr="00EA54CD">
        <w:rPr>
          <w:sz w:val="20"/>
        </w:rPr>
        <w:t>Interno de la Corte Constitucional dispone: «Horario de trabajo y de atención al público. El horario de trabajo en la Corte Constitucional será de lunes a viernes de 8:00 a.m. a 5:00 p.m., con una hora de descanso al mediodía». El día 24 de junio de 2025 v</w:t>
      </w:r>
      <w:r w:rsidRPr="00EA54CD">
        <w:rPr>
          <w:sz w:val="20"/>
        </w:rPr>
        <w:t>enció el término de fijación en lista y, con posterioridad a las 5:00 de la tarde de ese día, se recibieron las siguientes intervenciones: Universidad Externado de Colombia, Academia Colombiana de Jurisprudencia, Universidad del Rosario, Universidad Javeri</w:t>
      </w:r>
      <w:r w:rsidRPr="00EA54CD">
        <w:rPr>
          <w:sz w:val="20"/>
        </w:rPr>
        <w:t>ana, Defensoría del Pueblo y Fundación Gaia Amazonas. En atención a que los memoriales fueron remitidos fuera del término establecido, no serán considerados por esta corporación.</w:t>
      </w:r>
    </w:p>
  </w:footnote>
  <w:footnote w:id="10">
    <w:p w:rsidR="009F48D9" w:rsidRPr="00EA54CD" w:rsidRDefault="00D93140" w:rsidP="003305E5">
      <w:pPr>
        <w:pStyle w:val="Textonotapie"/>
        <w:jc w:val="both"/>
        <w:rPr>
          <w:sz w:val="20"/>
        </w:rPr>
      </w:pPr>
      <w:r w:rsidRPr="00EA54CD">
        <w:rPr>
          <w:rStyle w:val="Refdenotaalpie"/>
          <w:sz w:val="20"/>
        </w:rPr>
        <w:footnoteRef/>
      </w:r>
      <w:r w:rsidRPr="00EA54CD">
        <w:rPr>
          <w:sz w:val="20"/>
        </w:rPr>
        <w:t xml:space="preserve"> Universidad de Antioquia, Ministerio de Ambiente y Desarrollo Sostenible y </w:t>
      </w:r>
      <w:r w:rsidRPr="00EA54CD">
        <w:rPr>
          <w:bCs/>
          <w:sz w:val="20"/>
          <w:lang w:val="es-ES_tradnl"/>
        </w:rPr>
        <w:t>Amazon Conservation Team Colombia (ACT-COL)</w:t>
      </w:r>
      <w:r w:rsidRPr="00EA54CD">
        <w:rPr>
          <w:sz w:val="20"/>
        </w:rPr>
        <w:t>.</w:t>
      </w:r>
    </w:p>
  </w:footnote>
  <w:footnote w:id="11">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Procurador. Página 32.</w:t>
      </w:r>
    </w:p>
  </w:footnote>
  <w:footnote w:id="12">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Procurador. Página 37.</w:t>
      </w:r>
    </w:p>
  </w:footnote>
  <w:footnote w:id="13">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Procurador. Página 44.</w:t>
      </w:r>
    </w:p>
  </w:footnote>
  <w:footnote w:id="14">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Procurador. Página 45.</w:t>
      </w:r>
    </w:p>
  </w:footnote>
  <w:footnote w:id="15">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Procurador. Página 49.</w:t>
      </w:r>
    </w:p>
  </w:footnote>
  <w:footnote w:id="16">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w:t>
      </w:r>
      <w:r w:rsidRPr="00EA54CD">
        <w:rPr>
          <w:sz w:val="20"/>
        </w:rPr>
        <w:t>ador. Página 50.</w:t>
      </w:r>
    </w:p>
  </w:footnote>
  <w:footnote w:id="17">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Procurador. Página 52.</w:t>
      </w:r>
    </w:p>
  </w:footnote>
  <w:footnote w:id="18">
    <w:p w:rsidR="009F48D9" w:rsidRPr="00EA54CD" w:rsidRDefault="00D93140" w:rsidP="0080276F">
      <w:pPr>
        <w:pStyle w:val="Textonotapie"/>
        <w:rPr>
          <w:sz w:val="20"/>
        </w:rPr>
      </w:pPr>
      <w:r w:rsidRPr="00EA54CD">
        <w:rPr>
          <w:rStyle w:val="Refdenotaalpie"/>
          <w:sz w:val="20"/>
        </w:rPr>
        <w:footnoteRef/>
      </w:r>
      <w:r w:rsidRPr="00EA54CD">
        <w:rPr>
          <w:sz w:val="20"/>
        </w:rPr>
        <w:t xml:space="preserve"> </w:t>
      </w:r>
      <w:r w:rsidRPr="00EA54CD">
        <w:rPr>
          <w:i/>
          <w:sz w:val="20"/>
        </w:rPr>
        <w:t>Ibid</w:t>
      </w:r>
      <w:r w:rsidRPr="00EA54CD">
        <w:rPr>
          <w:sz w:val="20"/>
        </w:rPr>
        <w:t xml:space="preserve">. </w:t>
      </w:r>
    </w:p>
  </w:footnote>
  <w:footnote w:id="19">
    <w:p w:rsidR="009F48D9" w:rsidRPr="00EA54CD" w:rsidRDefault="00D93140" w:rsidP="0080276F">
      <w:pPr>
        <w:pStyle w:val="Textonotapie"/>
        <w:rPr>
          <w:sz w:val="20"/>
        </w:rPr>
      </w:pPr>
      <w:r w:rsidRPr="00EA54CD">
        <w:rPr>
          <w:rStyle w:val="Refdenotaalpie"/>
          <w:sz w:val="20"/>
        </w:rPr>
        <w:footnoteRef/>
      </w:r>
      <w:r w:rsidRPr="00EA54CD">
        <w:rPr>
          <w:sz w:val="20"/>
        </w:rPr>
        <w:t xml:space="preserve"> Concepto del Procurador. Página 55.</w:t>
      </w:r>
    </w:p>
  </w:footnote>
  <w:footnote w:id="20">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s C-049 de 2012, C-617 de 2015 y C-362 de 2023</w:t>
      </w:r>
    </w:p>
  </w:footnote>
  <w:footnote w:id="21">
    <w:p w:rsidR="009F48D9" w:rsidRPr="00EA54CD" w:rsidRDefault="00D93140" w:rsidP="00AB0F5E">
      <w:pPr>
        <w:pStyle w:val="Textonotapie"/>
        <w:rPr>
          <w:sz w:val="20"/>
        </w:rPr>
      </w:pPr>
      <w:r w:rsidRPr="00EA54CD">
        <w:rPr>
          <w:rStyle w:val="Refdenotaalpie"/>
          <w:sz w:val="20"/>
        </w:rPr>
        <w:footnoteRef/>
      </w:r>
      <w:r w:rsidRPr="00EA54CD">
        <w:rPr>
          <w:sz w:val="20"/>
        </w:rPr>
        <w:t xml:space="preserve"> Ver entre otras, las </w:t>
      </w:r>
      <w:r>
        <w:rPr>
          <w:sz w:val="20"/>
        </w:rPr>
        <w:t>Sentencia</w:t>
      </w:r>
      <w:r w:rsidRPr="00EA54CD">
        <w:rPr>
          <w:sz w:val="20"/>
        </w:rPr>
        <w:t>s C-212 de 2024, C-128 de 2023, C-190 de 2</w:t>
      </w:r>
      <w:r w:rsidRPr="00EA54CD">
        <w:rPr>
          <w:sz w:val="20"/>
        </w:rPr>
        <w:t xml:space="preserve">022, C-165 de 2019, C-281 de 2013 y C-894 de 2009. </w:t>
      </w:r>
    </w:p>
  </w:footnote>
  <w:footnote w:id="22">
    <w:p w:rsidR="009F48D9" w:rsidRPr="00EA54CD" w:rsidRDefault="00D93140" w:rsidP="00C40E24">
      <w:pPr>
        <w:pStyle w:val="Textonotapie"/>
        <w:jc w:val="both"/>
        <w:rPr>
          <w:sz w:val="20"/>
        </w:rPr>
      </w:pPr>
      <w:r w:rsidRPr="00EA54CD">
        <w:rPr>
          <w:rStyle w:val="Refdenotaalpie"/>
          <w:sz w:val="20"/>
        </w:rPr>
        <w:footnoteRef/>
      </w:r>
      <w:r w:rsidRPr="00EA54CD">
        <w:rPr>
          <w:sz w:val="20"/>
        </w:rPr>
        <w:t xml:space="preserve"> Al respecto ver las intervenciones de la Ministerio de Ambiente y Desarrollo Sostenible, la Universidad de Antioquia, Amazon Conservation Team Colombia (ACT-COL) y la Organización Nacional Indígena de C</w:t>
      </w:r>
      <w:r w:rsidRPr="00EA54CD">
        <w:rPr>
          <w:sz w:val="20"/>
        </w:rPr>
        <w:t>olombia, ONIC</w:t>
      </w:r>
    </w:p>
  </w:footnote>
  <w:footnote w:id="23">
    <w:p w:rsidR="009F48D9" w:rsidRPr="00EA54CD" w:rsidRDefault="00D93140" w:rsidP="00A5612F">
      <w:pPr>
        <w:pStyle w:val="Textonotapie"/>
        <w:jc w:val="both"/>
        <w:rPr>
          <w:sz w:val="20"/>
        </w:rPr>
      </w:pPr>
      <w:r w:rsidRPr="00EA54CD">
        <w:rPr>
          <w:rStyle w:val="Refdenotaalpie"/>
          <w:sz w:val="20"/>
        </w:rPr>
        <w:footnoteRef/>
      </w:r>
      <w:r w:rsidRPr="00EA54CD">
        <w:rPr>
          <w:sz w:val="20"/>
        </w:rPr>
        <w:t xml:space="preserve"> Se aclara que en caso de que los cargos presenten una similitud de argumentos, se analizarán de manera conjunta.</w:t>
      </w:r>
    </w:p>
  </w:footnote>
  <w:footnote w:id="24">
    <w:p w:rsidR="009F48D9" w:rsidRPr="00EA54CD" w:rsidRDefault="00D93140" w:rsidP="00E8713C">
      <w:pPr>
        <w:pStyle w:val="Textonotapie"/>
        <w:jc w:val="both"/>
        <w:rPr>
          <w:sz w:val="20"/>
        </w:rPr>
      </w:pPr>
      <w:r w:rsidRPr="00EA54CD">
        <w:rPr>
          <w:rStyle w:val="Refdenotaalpie"/>
          <w:sz w:val="20"/>
        </w:rPr>
        <w:footnoteRef/>
      </w:r>
      <w:r w:rsidRPr="00EA54CD">
        <w:rPr>
          <w:sz w:val="20"/>
        </w:rPr>
        <w:t xml:space="preserve"> “En materia de ordenamiento de los territorios indígenas la Corte Constitucional señaló en la </w:t>
      </w:r>
      <w:r>
        <w:rPr>
          <w:sz w:val="20"/>
        </w:rPr>
        <w:t>Sentencia</w:t>
      </w:r>
      <w:r w:rsidRPr="00EA54CD">
        <w:rPr>
          <w:sz w:val="20"/>
        </w:rPr>
        <w:t xml:space="preserve"> C-795 de 2000: “El te</w:t>
      </w:r>
      <w:r w:rsidRPr="00EA54CD">
        <w:rPr>
          <w:sz w:val="20"/>
        </w:rPr>
        <w:t>ma territorial y la distribución de competencias para su ordenación y desarrollo, afecta en grado superlativo a las comunidades indígenas cuyas culturas y cosmovisiones, como se sabe, plantean un profundo e inescindible arraigo con la tierra. La ley orgáni</w:t>
      </w:r>
      <w:r w:rsidRPr="00EA54CD">
        <w:rPr>
          <w:sz w:val="20"/>
        </w:rPr>
        <w:t xml:space="preserve">ca de ordenamiento territorial - sea que se expida mediante una ley única o a través de distintas leyes del mismo tipo -, necesariamente debe ocuparse de las comunidades indígenas asentadas dentro de los límites de las entidades territoriales existentes o </w:t>
      </w:r>
      <w:r w:rsidRPr="00EA54CD">
        <w:rPr>
          <w:sz w:val="20"/>
        </w:rPr>
        <w:t xml:space="preserve">de las que en el futuro se erijan. Aquí se puede identificar un conjunto de exigencias normativas y de tensiones, que no pueden ser soslayadas por la ley orgánica. Esto último no puede ser resuelto por una ley ordinaria (…).”  </w:t>
      </w:r>
    </w:p>
  </w:footnote>
  <w:footnote w:id="25">
    <w:p w:rsidR="009F48D9" w:rsidRPr="00EA54CD" w:rsidRDefault="00D93140" w:rsidP="00E8713C">
      <w:pPr>
        <w:pStyle w:val="Textonotapie"/>
        <w:jc w:val="both"/>
        <w:rPr>
          <w:sz w:val="20"/>
        </w:rPr>
      </w:pPr>
      <w:r w:rsidRPr="00EA54CD">
        <w:rPr>
          <w:rStyle w:val="Refdenotaalpie"/>
          <w:sz w:val="20"/>
        </w:rPr>
        <w:footnoteRef/>
      </w:r>
      <w:r w:rsidRPr="00EA54CD">
        <w:rPr>
          <w:sz w:val="20"/>
        </w:rPr>
        <w:t xml:space="preserve"> “Sobre el particular en la</w:t>
      </w:r>
      <w:r w:rsidRPr="00EA54CD">
        <w:rPr>
          <w:sz w:val="20"/>
        </w:rPr>
        <w:t xml:space="preserve"> </w:t>
      </w:r>
      <w:r>
        <w:rPr>
          <w:sz w:val="20"/>
        </w:rPr>
        <w:t>Sentencia</w:t>
      </w:r>
      <w:r w:rsidRPr="00EA54CD">
        <w:rPr>
          <w:sz w:val="20"/>
        </w:rPr>
        <w:t xml:space="preserve"> C-921 explicó la Corte: “El aludido cargo no está llamado a prosperar, por cuanto parte del equívoco consistente en considerar que la facultad que se otorga al Gobierno en el artículo 56 transitorio de la Constitución, que dispone que “Mientras </w:t>
      </w:r>
      <w:r w:rsidRPr="00EA54CD">
        <w:rPr>
          <w:sz w:val="20"/>
        </w:rPr>
        <w:t>se expide la ley a que se refiere el artículo 329, el gobierno podrá dictar las normas fiscales necesarias y las demás relativas al funcionamiento de los territorios indígenas y su coordinación con las demás entidades territoriales”, es una facultad exclus</w:t>
      </w:r>
      <w:r w:rsidRPr="00EA54CD">
        <w:rPr>
          <w:sz w:val="20"/>
        </w:rPr>
        <w:t>iva y excluyente de cualquier posibilidad de ejercicio de función legislativa diferente a la consistente en la conformación de las entidades territoriales indígenas, mediante la ley orgánica de ordenamiento territorial. //Sin embargo, contra lo aseverado p</w:t>
      </w:r>
      <w:r w:rsidRPr="00EA54CD">
        <w:rPr>
          <w:sz w:val="20"/>
        </w:rPr>
        <w:t>or el demandante, el artículo 56 transitorio de la Constitución utiliza la expresión “podrá”, la cual indica que no se entrega al gobierno un mandato imperativo para expedir normas de manera que excluya el ejercicio de la cláusula general de competencia de</w:t>
      </w:r>
      <w:r w:rsidRPr="00EA54CD">
        <w:rPr>
          <w:sz w:val="20"/>
        </w:rPr>
        <w:t>l Congreso de la República en relación con los temas los señalados específicamente en la aludida disposición superior transitoria u otros conexos, pues otras normas constitucionales como los artículos 356 y 357 dispusieron que correspondía a la ley la dete</w:t>
      </w:r>
      <w:r w:rsidRPr="00EA54CD">
        <w:rPr>
          <w:sz w:val="20"/>
        </w:rPr>
        <w:t>rminación de asuntos relacionados con la participación de entidades territoriales en los recursos de la Nación.”</w:t>
      </w:r>
    </w:p>
  </w:footnote>
  <w:footnote w:id="26">
    <w:p w:rsidR="009F48D9" w:rsidRPr="00EA54CD" w:rsidRDefault="00D93140" w:rsidP="00235627">
      <w:pPr>
        <w:pStyle w:val="Textonotapie"/>
        <w:jc w:val="both"/>
        <w:rPr>
          <w:sz w:val="20"/>
        </w:rPr>
      </w:pPr>
      <w:r w:rsidRPr="00EA54CD">
        <w:rPr>
          <w:rStyle w:val="Refdenotaalpie"/>
          <w:sz w:val="20"/>
        </w:rPr>
        <w:footnoteRef/>
      </w:r>
      <w:r w:rsidRPr="00EA54CD">
        <w:rPr>
          <w:sz w:val="20"/>
        </w:rPr>
        <w:t xml:space="preserve"> En esta </w:t>
      </w:r>
      <w:r>
        <w:rPr>
          <w:sz w:val="20"/>
        </w:rPr>
        <w:t>Sentencia</w:t>
      </w:r>
      <w:r w:rsidRPr="00EA54CD">
        <w:rPr>
          <w:sz w:val="20"/>
        </w:rPr>
        <w:t>, la Corte destacó: “6.2.2.3. Considerando que el artículo 329 de la Constitución emplea en singular la expresión “</w:t>
      </w:r>
      <w:r w:rsidRPr="00EA54CD">
        <w:rPr>
          <w:i/>
          <w:iCs/>
          <w:sz w:val="20"/>
        </w:rPr>
        <w:t xml:space="preserve">ley </w:t>
      </w:r>
      <w:r w:rsidRPr="00EA54CD">
        <w:rPr>
          <w:i/>
          <w:iCs/>
          <w:sz w:val="20"/>
        </w:rPr>
        <w:t>orgánica de ordenamiento territorial</w:t>
      </w:r>
      <w:r w:rsidRPr="00EA54CD">
        <w:rPr>
          <w:sz w:val="20"/>
        </w:rPr>
        <w:t>”, podría sugerirse que la extinción de la competencia se produce cuando tal ley se expida con independencia de su contenido. Sin embargo sobre el particular debe tenerse en cuenta, de una parte, que la jurisprudencia de</w:t>
      </w:r>
      <w:r w:rsidRPr="00EA54CD">
        <w:rPr>
          <w:sz w:val="20"/>
        </w:rPr>
        <w:t xml:space="preserve"> esta corporación ha sostenido que la regulación en materia de ordenamiento territorial puede estar contenida en diferentes estatutos -de hecho es posible que se encuentre integrada a leyes ordinarias o a leyes orgánicas según la existencia o no de una res</w:t>
      </w:r>
      <w:r w:rsidRPr="00EA54CD">
        <w:rPr>
          <w:sz w:val="20"/>
        </w:rPr>
        <w:t>erva específica en la materia- y, de otra, que el artículo 329 no se refiere a cualquier ley orgánica de ordenamiento territorial sino a aquella que se ocupe de la conformación de las entidades territoriales indígenas”.</w:t>
      </w:r>
    </w:p>
  </w:footnote>
  <w:footnote w:id="27">
    <w:p w:rsidR="009F48D9" w:rsidRPr="00EA54CD" w:rsidRDefault="00D93140">
      <w:pPr>
        <w:pStyle w:val="Textonotapie"/>
        <w:rPr>
          <w:sz w:val="20"/>
        </w:rPr>
      </w:pPr>
      <w:r w:rsidRPr="00EA54CD">
        <w:rPr>
          <w:rStyle w:val="Refdenotaalpie"/>
          <w:sz w:val="20"/>
        </w:rPr>
        <w:footnoteRef/>
      </w:r>
      <w:r w:rsidRPr="00EA54CD">
        <w:rPr>
          <w:sz w:val="20"/>
        </w:rPr>
        <w:t xml:space="preserve"> El Decreto 1071 de 2015 compiló en</w:t>
      </w:r>
      <w:r w:rsidRPr="00EA54CD">
        <w:rPr>
          <w:sz w:val="20"/>
        </w:rPr>
        <w:t>tre otros el Decreto 2164 de 1995.</w:t>
      </w:r>
    </w:p>
  </w:footnote>
  <w:footnote w:id="28">
    <w:p w:rsidR="009F48D9" w:rsidRPr="00EA54CD" w:rsidRDefault="00D93140">
      <w:pPr>
        <w:pStyle w:val="Textonotapie"/>
        <w:rPr>
          <w:sz w:val="20"/>
        </w:rPr>
      </w:pPr>
      <w:r w:rsidRPr="00EA54CD">
        <w:rPr>
          <w:rStyle w:val="Refdenotaalpie"/>
          <w:sz w:val="20"/>
        </w:rPr>
        <w:footnoteRef/>
      </w:r>
      <w:r w:rsidRPr="00EA54CD">
        <w:rPr>
          <w:sz w:val="20"/>
        </w:rPr>
        <w:t xml:space="preserve"> Ver entre otras, la </w:t>
      </w:r>
      <w:r>
        <w:rPr>
          <w:sz w:val="20"/>
        </w:rPr>
        <w:t>Sentencia</w:t>
      </w:r>
      <w:r w:rsidRPr="00EA54CD">
        <w:rPr>
          <w:sz w:val="20"/>
        </w:rPr>
        <w:t xml:space="preserve"> C-617 de 2015.</w:t>
      </w:r>
    </w:p>
  </w:footnote>
  <w:footnote w:id="29">
    <w:p w:rsidR="009F48D9" w:rsidRPr="00EA54CD" w:rsidRDefault="00D93140">
      <w:pPr>
        <w:pStyle w:val="Textonotapie"/>
        <w:rPr>
          <w:sz w:val="20"/>
        </w:rPr>
      </w:pPr>
      <w:r w:rsidRPr="00EA54CD">
        <w:rPr>
          <w:rStyle w:val="Refdenotaalpie"/>
          <w:sz w:val="20"/>
        </w:rPr>
        <w:footnoteRef/>
      </w:r>
      <w:r w:rsidRPr="00EA54CD">
        <w:rPr>
          <w:sz w:val="20"/>
        </w:rPr>
        <w:t xml:space="preserve"> </w:t>
      </w:r>
      <w:r w:rsidRPr="00EA54CD">
        <w:rPr>
          <w:i/>
          <w:sz w:val="20"/>
        </w:rPr>
        <w:t>Supra</w:t>
      </w:r>
      <w:r w:rsidRPr="00EA54CD">
        <w:rPr>
          <w:sz w:val="20"/>
        </w:rPr>
        <w:t xml:space="preserve"> F.J.84</w:t>
      </w:r>
    </w:p>
  </w:footnote>
  <w:footnote w:id="30">
    <w:p w:rsidR="009F48D9" w:rsidRPr="00EA54CD" w:rsidRDefault="00D93140">
      <w:pPr>
        <w:pStyle w:val="Textonotapie"/>
        <w:rPr>
          <w:sz w:val="20"/>
        </w:rPr>
      </w:pPr>
      <w:r w:rsidRPr="00EA54CD">
        <w:rPr>
          <w:rStyle w:val="Refdenotaalpie"/>
          <w:sz w:val="20"/>
        </w:rPr>
        <w:footnoteRef/>
      </w:r>
      <w:r w:rsidRPr="00EA54CD">
        <w:rPr>
          <w:sz w:val="20"/>
        </w:rPr>
        <w:t xml:space="preserve"> Ver entre otras, las </w:t>
      </w:r>
      <w:r>
        <w:rPr>
          <w:sz w:val="20"/>
        </w:rPr>
        <w:t>Sentencia</w:t>
      </w:r>
      <w:r w:rsidRPr="00EA54CD">
        <w:rPr>
          <w:sz w:val="20"/>
        </w:rPr>
        <w:t>s C-535 de 1996, C-064 de 1998 y T-955 de 2003.</w:t>
      </w:r>
    </w:p>
  </w:footnote>
  <w:footnote w:id="31">
    <w:p w:rsidR="009F48D9" w:rsidRPr="00EA54CD" w:rsidRDefault="00D93140" w:rsidP="00565D7E">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T-106 de 2025.</w:t>
      </w:r>
    </w:p>
  </w:footnote>
  <w:footnote w:id="32">
    <w:p w:rsidR="009F48D9" w:rsidRPr="00EA54CD" w:rsidRDefault="00D93140" w:rsidP="00DC216A">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s T-236 de 2012, T- 530 de 2016, C- 389 de 2016, T-063 de 2019, T-248 de 2024 y T-286 de 2024, entre otras.</w:t>
      </w:r>
    </w:p>
  </w:footnote>
  <w:footnote w:id="33">
    <w:p w:rsidR="009F48D9" w:rsidRPr="00EA54CD" w:rsidRDefault="00D93140" w:rsidP="00565D7E">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T-106 de 2025.</w:t>
      </w:r>
    </w:p>
  </w:footnote>
  <w:footnote w:id="34">
    <w:p w:rsidR="009F48D9" w:rsidRPr="00EA54CD" w:rsidRDefault="00D93140">
      <w:pPr>
        <w:pStyle w:val="Textonotapie"/>
        <w:rPr>
          <w:sz w:val="20"/>
        </w:rPr>
      </w:pPr>
      <w:r w:rsidRPr="00EA54CD">
        <w:rPr>
          <w:rStyle w:val="Refdenotaalpie"/>
          <w:sz w:val="20"/>
        </w:rPr>
        <w:footnoteRef/>
      </w:r>
      <w:r w:rsidRPr="00EA54CD">
        <w:rPr>
          <w:sz w:val="20"/>
        </w:rPr>
        <w:t xml:space="preserve"> Ibidem.</w:t>
      </w:r>
    </w:p>
  </w:footnote>
  <w:footnote w:id="35">
    <w:p w:rsidR="009F48D9" w:rsidRPr="00EA54CD" w:rsidRDefault="00D93140">
      <w:pPr>
        <w:pStyle w:val="Textonotapie"/>
        <w:rPr>
          <w:sz w:val="20"/>
        </w:rPr>
      </w:pPr>
      <w:r w:rsidRPr="00EA54CD">
        <w:rPr>
          <w:rStyle w:val="Refdenotaalpie"/>
          <w:sz w:val="20"/>
        </w:rPr>
        <w:footnoteRef/>
      </w:r>
      <w:r w:rsidRPr="00EA54CD">
        <w:rPr>
          <w:sz w:val="20"/>
        </w:rPr>
        <w:t xml:space="preserve"> Constitución Política. Artículo 330 numeral 5.</w:t>
      </w:r>
    </w:p>
  </w:footnote>
  <w:footnote w:id="36">
    <w:p w:rsidR="009F48D9" w:rsidRPr="00EA54CD" w:rsidRDefault="00D93140" w:rsidP="002A729F">
      <w:pPr>
        <w:pStyle w:val="Textonotapie"/>
        <w:jc w:val="both"/>
        <w:rPr>
          <w:sz w:val="20"/>
        </w:rPr>
      </w:pPr>
      <w:r w:rsidRPr="00EA54CD">
        <w:rPr>
          <w:rStyle w:val="Refdenotaalpie"/>
          <w:sz w:val="20"/>
        </w:rPr>
        <w:footnoteRef/>
      </w:r>
      <w:r w:rsidRPr="00EA54CD">
        <w:rPr>
          <w:sz w:val="20"/>
        </w:rPr>
        <w:t xml:space="preserve"> “Por medio de la cual se apru</w:t>
      </w:r>
      <w:r w:rsidRPr="00EA54CD">
        <w:rPr>
          <w:sz w:val="20"/>
        </w:rPr>
        <w:t>eba el Convenio número 169 sobre pueblos indígenas y tribales en países independientes, adoptado por la 76a. reunión de la Conferencia General de la O.I.T., Ginebra 1989”</w:t>
      </w:r>
    </w:p>
  </w:footnote>
  <w:footnote w:id="37">
    <w:p w:rsidR="009F48D9" w:rsidRPr="00EA54CD" w:rsidRDefault="00D93140" w:rsidP="002A729F">
      <w:pPr>
        <w:pStyle w:val="Textonotapie"/>
        <w:jc w:val="both"/>
        <w:rPr>
          <w:sz w:val="20"/>
        </w:rPr>
      </w:pPr>
      <w:r w:rsidRPr="00EA54CD">
        <w:rPr>
          <w:rStyle w:val="Refdenotaalpie"/>
          <w:sz w:val="20"/>
        </w:rPr>
        <w:footnoteRef/>
      </w:r>
      <w:r w:rsidRPr="00EA54CD">
        <w:rPr>
          <w:sz w:val="20"/>
        </w:rPr>
        <w:t xml:space="preserve"> “Por la cual se crea el Ministerio del Medio Ambiente, se reordena el Sector Públic</w:t>
      </w:r>
      <w:r w:rsidRPr="00EA54CD">
        <w:rPr>
          <w:sz w:val="20"/>
        </w:rPr>
        <w:t>o encargado de la gestión y conservación del medio ambiente y los recursos naturales renovables, se organiza el Sistema Nacional Ambiental, SINA, y se dictan otras disposiciones”</w:t>
      </w:r>
    </w:p>
  </w:footnote>
  <w:footnote w:id="38">
    <w:p w:rsidR="009F48D9" w:rsidRPr="00EA54CD" w:rsidRDefault="00D93140">
      <w:pPr>
        <w:pStyle w:val="Textonotapie"/>
        <w:rPr>
          <w:sz w:val="20"/>
        </w:rPr>
      </w:pPr>
      <w:r w:rsidRPr="00EA54CD">
        <w:rPr>
          <w:rStyle w:val="Refdenotaalpie"/>
          <w:sz w:val="20"/>
        </w:rPr>
        <w:footnoteRef/>
      </w:r>
      <w:r w:rsidRPr="00EA54CD">
        <w:rPr>
          <w:sz w:val="20"/>
        </w:rPr>
        <w:t xml:space="preserve"> “Por el cual se reglamenta la consulta previa con las comunidades indígenas</w:t>
      </w:r>
      <w:r w:rsidRPr="00EA54CD">
        <w:rPr>
          <w:sz w:val="20"/>
        </w:rPr>
        <w:t xml:space="preserve"> y negras para la explotación de los recursos naturales dentro de su territorio” (compilado en el Decreto 1066 de 2015).</w:t>
      </w:r>
    </w:p>
  </w:footnote>
  <w:footnote w:id="39">
    <w:p w:rsidR="009F48D9" w:rsidRPr="00EA54CD" w:rsidRDefault="00D93140" w:rsidP="00126733">
      <w:pPr>
        <w:pStyle w:val="Textonotapie"/>
        <w:jc w:val="both"/>
        <w:rPr>
          <w:sz w:val="20"/>
        </w:rPr>
      </w:pPr>
      <w:r w:rsidRPr="00EA54CD">
        <w:rPr>
          <w:rStyle w:val="Refdenotaalpie"/>
          <w:sz w:val="20"/>
        </w:rPr>
        <w:footnoteRef/>
      </w:r>
      <w:r w:rsidRPr="00EA54CD">
        <w:rPr>
          <w:sz w:val="20"/>
        </w:rPr>
        <w:t xml:space="preserve"> “Por el cual se crea un régimen especial con el fin de poner en funcionamiento los Territorios Indígenas respecto de la administració</w:t>
      </w:r>
      <w:r w:rsidRPr="00EA54CD">
        <w:rPr>
          <w:sz w:val="20"/>
        </w:rPr>
        <w:t>n de los sistemas propios de los pueblos indígenas hasta que el Congreso expida la ley de que trata el artículo 329 de la Constitución Política”.</w:t>
      </w:r>
    </w:p>
  </w:footnote>
  <w:footnote w:id="40">
    <w:p w:rsidR="009F48D9" w:rsidRPr="00EA54CD" w:rsidRDefault="00D93140">
      <w:pPr>
        <w:pStyle w:val="Textonotapie"/>
        <w:rPr>
          <w:sz w:val="20"/>
        </w:rPr>
      </w:pPr>
      <w:r w:rsidRPr="00EA54CD">
        <w:rPr>
          <w:rStyle w:val="Refdenotaalpie"/>
          <w:sz w:val="20"/>
        </w:rPr>
        <w:footnoteRef/>
      </w:r>
      <w:r w:rsidRPr="00EA54CD">
        <w:rPr>
          <w:sz w:val="20"/>
        </w:rPr>
        <w:t xml:space="preserve"> “Cfr. </w:t>
      </w:r>
      <w:r>
        <w:rPr>
          <w:sz w:val="20"/>
        </w:rPr>
        <w:t>Sentencia</w:t>
      </w:r>
      <w:r w:rsidRPr="00EA54CD">
        <w:rPr>
          <w:sz w:val="20"/>
        </w:rPr>
        <w:t xml:space="preserve">s C-085 de 2022, C-075 de 2022 y C-373 de 2009”. </w:t>
      </w:r>
    </w:p>
  </w:footnote>
  <w:footnote w:id="41">
    <w:p w:rsidR="009F48D9" w:rsidRPr="00EA54CD" w:rsidRDefault="00D93140">
      <w:pPr>
        <w:pStyle w:val="Textonotapie"/>
        <w:rPr>
          <w:sz w:val="20"/>
        </w:rPr>
      </w:pPr>
      <w:r w:rsidRPr="00EA54CD">
        <w:rPr>
          <w:rStyle w:val="Refdenotaalpie"/>
          <w:sz w:val="20"/>
        </w:rPr>
        <w:footnoteRef/>
      </w:r>
      <w:r w:rsidRPr="00EA54CD">
        <w:rPr>
          <w:sz w:val="20"/>
        </w:rPr>
        <w:t xml:space="preserve"> Ley 99 de 1993. Artículo 26.</w:t>
      </w:r>
    </w:p>
  </w:footnote>
  <w:footnote w:id="42">
    <w:p w:rsidR="009F48D9" w:rsidRPr="00EA54CD" w:rsidRDefault="00D93140">
      <w:pPr>
        <w:pStyle w:val="Textonotapie"/>
        <w:rPr>
          <w:sz w:val="20"/>
        </w:rPr>
      </w:pPr>
      <w:r w:rsidRPr="00EA54CD">
        <w:rPr>
          <w:rStyle w:val="Refdenotaalpie"/>
          <w:sz w:val="20"/>
        </w:rPr>
        <w:footnoteRef/>
      </w:r>
      <w:r w:rsidRPr="00EA54CD">
        <w:rPr>
          <w:sz w:val="20"/>
        </w:rPr>
        <w:t xml:space="preserve"> Ley 99 de </w:t>
      </w:r>
      <w:r w:rsidRPr="00EA54CD">
        <w:rPr>
          <w:sz w:val="20"/>
        </w:rPr>
        <w:t>1993. Artículo 13.</w:t>
      </w:r>
    </w:p>
  </w:footnote>
  <w:footnote w:id="43">
    <w:p w:rsidR="009F48D9" w:rsidRPr="00EA54CD" w:rsidRDefault="00D93140">
      <w:pPr>
        <w:pStyle w:val="Textonotapie"/>
        <w:rPr>
          <w:sz w:val="20"/>
        </w:rPr>
      </w:pPr>
      <w:r w:rsidRPr="00EA54CD">
        <w:rPr>
          <w:rStyle w:val="Refdenotaalpie"/>
          <w:sz w:val="20"/>
        </w:rPr>
        <w:footnoteRef/>
      </w:r>
      <w:r w:rsidRPr="00EA54CD">
        <w:rPr>
          <w:sz w:val="20"/>
        </w:rPr>
        <w:t xml:space="preserve"> A</w:t>
      </w:r>
      <w:r w:rsidRPr="00EA54CD">
        <w:rPr>
          <w:sz w:val="20"/>
          <w:lang w:val="es-ES"/>
        </w:rPr>
        <w:t>probado mediante la Ley 21 de 1991.</w:t>
      </w:r>
    </w:p>
  </w:footnote>
  <w:footnote w:id="44">
    <w:p w:rsidR="009F48D9" w:rsidRDefault="00D93140" w:rsidP="00837FC8">
      <w:pPr>
        <w:pStyle w:val="Textonotapie"/>
        <w:jc w:val="both"/>
      </w:pPr>
      <w:r w:rsidRPr="00837FC8">
        <w:rPr>
          <w:rStyle w:val="Refdenotaalpie"/>
          <w:sz w:val="20"/>
        </w:rPr>
        <w:footnoteRef/>
      </w:r>
      <w:r w:rsidRPr="00837FC8">
        <w:rPr>
          <w:sz w:val="20"/>
        </w:rPr>
        <w:t xml:space="preserve"> </w:t>
      </w:r>
      <w:r>
        <w:rPr>
          <w:sz w:val="20"/>
        </w:rPr>
        <w:t>Se precisa</w:t>
      </w:r>
      <w:r w:rsidRPr="00837FC8">
        <w:rPr>
          <w:sz w:val="20"/>
        </w:rPr>
        <w:t xml:space="preserve"> que, si bien la Declaración de las Naciones Unidas sobre los derechos de los pueblos indígenas constituye un instrumento relevante en el ámbito internacional y orienta la interpretación</w:t>
      </w:r>
      <w:r w:rsidRPr="00837FC8">
        <w:rPr>
          <w:sz w:val="20"/>
        </w:rPr>
        <w:t xml:space="preserve"> de los derechos de las comunidades étnicas, no hace parte del bloque de constitucionalidad ni constituye parámetro de control de constitucionalidad, dado que no es un tratado internacional ratificado por Colombia. Su referencia se realiza para ilustrar el</w:t>
      </w:r>
      <w:r w:rsidRPr="00837FC8">
        <w:rPr>
          <w:sz w:val="20"/>
        </w:rPr>
        <w:t xml:space="preserve"> alcance del derecho a la libre determinación</w:t>
      </w:r>
    </w:p>
  </w:footnote>
  <w:footnote w:id="45">
    <w:p w:rsidR="009F48D9" w:rsidRPr="00EA54CD" w:rsidRDefault="00D93140" w:rsidP="00DA6619">
      <w:pPr>
        <w:pStyle w:val="Textonotapie"/>
        <w:jc w:val="both"/>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T-514 de 2009. </w:t>
      </w:r>
    </w:p>
  </w:footnote>
  <w:footnote w:id="46">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T-001 de 2019.</w:t>
      </w:r>
    </w:p>
  </w:footnote>
  <w:footnote w:id="47">
    <w:p w:rsidR="009F48D9" w:rsidRPr="00EA54CD" w:rsidRDefault="00D93140" w:rsidP="00E348A3">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C-047 de 2022.</w:t>
      </w:r>
    </w:p>
  </w:footnote>
  <w:footnote w:id="48">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T-315 de 2019.</w:t>
      </w:r>
    </w:p>
  </w:footnote>
  <w:footnote w:id="49">
    <w:p w:rsidR="009F48D9" w:rsidRPr="00EA54CD" w:rsidRDefault="00D93140" w:rsidP="002B628E">
      <w:pPr>
        <w:pStyle w:val="Textonotapie"/>
        <w:jc w:val="both"/>
        <w:rPr>
          <w:sz w:val="20"/>
        </w:rPr>
      </w:pPr>
      <w:r w:rsidRPr="00EA54CD">
        <w:rPr>
          <w:rStyle w:val="Refdenotaalpie"/>
          <w:sz w:val="20"/>
        </w:rPr>
        <w:footnoteRef/>
      </w:r>
      <w:r w:rsidRPr="00EA54CD">
        <w:rPr>
          <w:sz w:val="20"/>
        </w:rPr>
        <w:t xml:space="preserve"> </w:t>
      </w:r>
      <w:r w:rsidRPr="00EA54CD">
        <w:rPr>
          <w:color w:val="2D2D2D"/>
          <w:sz w:val="20"/>
          <w:shd w:val="clear" w:color="auto" w:fill="FFFFFF"/>
        </w:rPr>
        <w:t xml:space="preserve">En ejercicio del artículo 56 transitorio de la Constitución y ante la ausencia de la ley que crea las entidades territoriales indígenas (ETI), el </w:t>
      </w:r>
      <w:r w:rsidRPr="00EA54CD">
        <w:rPr>
          <w:sz w:val="20"/>
        </w:rPr>
        <w:t>Decreto 1953 de 2014 creó un régimen especial de administración de los sistemas propios de los pueblos indígen</w:t>
      </w:r>
      <w:r w:rsidRPr="00EA54CD">
        <w:rPr>
          <w:sz w:val="20"/>
        </w:rPr>
        <w:t>as y determinó las funciones de los territorios indígenas y sus mecanismos de financiación, control y vigilancia, que se orientan a la garantía de los derechos de estos pueblos y a la protección de su diversidad étnica y cultural</w:t>
      </w:r>
      <w:r>
        <w:rPr>
          <w:sz w:val="20"/>
        </w:rPr>
        <w:t>.</w:t>
      </w:r>
    </w:p>
  </w:footnote>
  <w:footnote w:id="50">
    <w:p w:rsidR="009F48D9" w:rsidRPr="00EA54CD" w:rsidRDefault="00D93140">
      <w:pPr>
        <w:pStyle w:val="Textonotapie"/>
        <w:rPr>
          <w:sz w:val="20"/>
        </w:rPr>
      </w:pPr>
      <w:r w:rsidRPr="00EA54CD">
        <w:rPr>
          <w:rStyle w:val="Refdenotaalpie"/>
          <w:sz w:val="20"/>
        </w:rPr>
        <w:footnoteRef/>
      </w:r>
      <w:r w:rsidRPr="00EA54CD">
        <w:rPr>
          <w:sz w:val="20"/>
        </w:rPr>
        <w:t xml:space="preserve"> Ver entre otras la </w:t>
      </w:r>
      <w:r>
        <w:rPr>
          <w:sz w:val="20"/>
        </w:rPr>
        <w:t>Sent</w:t>
      </w:r>
      <w:r>
        <w:rPr>
          <w:sz w:val="20"/>
        </w:rPr>
        <w:t>encia</w:t>
      </w:r>
      <w:r w:rsidRPr="00EA54CD">
        <w:rPr>
          <w:sz w:val="20"/>
        </w:rPr>
        <w:t xml:space="preserve"> C-047 de 2022.</w:t>
      </w:r>
    </w:p>
  </w:footnote>
  <w:footnote w:id="51">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T-315 de 2019.</w:t>
      </w:r>
    </w:p>
  </w:footnote>
  <w:footnote w:id="52">
    <w:p w:rsidR="009F48D9" w:rsidRPr="00EA54CD" w:rsidRDefault="00D93140">
      <w:pPr>
        <w:pStyle w:val="Textonotapie"/>
        <w:rPr>
          <w:sz w:val="20"/>
        </w:rPr>
      </w:pPr>
      <w:r w:rsidRPr="00EA54CD">
        <w:rPr>
          <w:rStyle w:val="Refdenotaalpie"/>
          <w:sz w:val="20"/>
        </w:rPr>
        <w:footnoteRef/>
      </w:r>
      <w:r w:rsidRPr="00EA54CD">
        <w:rPr>
          <w:sz w:val="20"/>
        </w:rPr>
        <w:t xml:space="preserve"> Ibidem.</w:t>
      </w:r>
    </w:p>
  </w:footnote>
  <w:footnote w:id="53">
    <w:p w:rsidR="009F48D9" w:rsidRPr="00EA54CD" w:rsidRDefault="00D93140" w:rsidP="003B1C49">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s T-254 de 1994, C-139 de 1996, SU-510 de 1998, T-778 de 2005</w:t>
      </w:r>
      <w:r>
        <w:rPr>
          <w:sz w:val="20"/>
        </w:rPr>
        <w:t>, SU-111 de 2020</w:t>
      </w:r>
      <w:r w:rsidRPr="00EA54CD">
        <w:rPr>
          <w:sz w:val="20"/>
        </w:rPr>
        <w:t xml:space="preserve"> entre otras.</w:t>
      </w:r>
    </w:p>
  </w:footnote>
  <w:footnote w:id="54">
    <w:p w:rsidR="009F48D9" w:rsidRPr="001464D0" w:rsidRDefault="00D93140">
      <w:pPr>
        <w:pStyle w:val="Textonotapie"/>
        <w:rPr>
          <w:sz w:val="20"/>
        </w:rPr>
      </w:pPr>
      <w:r w:rsidRPr="001464D0">
        <w:rPr>
          <w:rStyle w:val="Refdenotaalpie"/>
          <w:sz w:val="20"/>
        </w:rPr>
        <w:footnoteRef/>
      </w:r>
      <w:r w:rsidRPr="001464D0">
        <w:rPr>
          <w:sz w:val="20"/>
        </w:rPr>
        <w:t xml:space="preserve"> Corte Constitucional. </w:t>
      </w:r>
      <w:r>
        <w:rPr>
          <w:sz w:val="20"/>
        </w:rPr>
        <w:t xml:space="preserve">Sentencia </w:t>
      </w:r>
      <w:r w:rsidRPr="001464D0">
        <w:rPr>
          <w:sz w:val="20"/>
        </w:rPr>
        <w:t>SU-111 de 2020.</w:t>
      </w:r>
    </w:p>
  </w:footnote>
  <w:footnote w:id="55">
    <w:p w:rsidR="009F48D9" w:rsidRPr="00E27020" w:rsidRDefault="00D93140">
      <w:pPr>
        <w:pStyle w:val="Textonotapie"/>
        <w:rPr>
          <w:sz w:val="20"/>
        </w:rPr>
      </w:pPr>
      <w:r w:rsidRPr="00E27020">
        <w:rPr>
          <w:rStyle w:val="Refdenotaalpie"/>
          <w:sz w:val="20"/>
        </w:rPr>
        <w:footnoteRef/>
      </w:r>
      <w:r w:rsidRPr="00E27020">
        <w:rPr>
          <w:sz w:val="20"/>
        </w:rPr>
        <w:t xml:space="preserve"> Corte Constitucional. </w:t>
      </w:r>
      <w:r>
        <w:rPr>
          <w:sz w:val="20"/>
        </w:rPr>
        <w:t>Sentencia</w:t>
      </w:r>
      <w:r w:rsidRPr="00E27020">
        <w:rPr>
          <w:sz w:val="20"/>
        </w:rPr>
        <w:t xml:space="preserve"> T-405 de 1993.</w:t>
      </w:r>
    </w:p>
  </w:footnote>
  <w:footnote w:id="56">
    <w:p w:rsidR="009F48D9" w:rsidRPr="00EA54CD" w:rsidRDefault="00D93140">
      <w:pPr>
        <w:pStyle w:val="Textonotapie"/>
        <w:rPr>
          <w:sz w:val="20"/>
        </w:rPr>
      </w:pPr>
      <w:r w:rsidRPr="00EA54CD">
        <w:rPr>
          <w:rStyle w:val="Refdenotaalpie"/>
          <w:sz w:val="20"/>
        </w:rPr>
        <w:footnoteRef/>
      </w:r>
      <w:r w:rsidRPr="00EA54CD">
        <w:rPr>
          <w:sz w:val="20"/>
        </w:rPr>
        <w:t xml:space="preserve"> Ver artículo 65 de la Ley 99 de 1993.</w:t>
      </w:r>
    </w:p>
  </w:footnote>
  <w:footnote w:id="57">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T-286 de 2024.</w:t>
      </w:r>
    </w:p>
  </w:footnote>
  <w:footnote w:id="58">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s T- 530 de 2016, C- 389 de 2016, T-063 de 2019, T-248 de 2024 y T-106 de 2025.</w:t>
      </w:r>
    </w:p>
  </w:footnote>
  <w:footnote w:id="59">
    <w:p w:rsidR="009F48D9" w:rsidRPr="00EA54CD" w:rsidRDefault="00D93140">
      <w:pPr>
        <w:pStyle w:val="Textonotapie"/>
        <w:rPr>
          <w:sz w:val="20"/>
        </w:rPr>
      </w:pPr>
      <w:r w:rsidRPr="00EA54CD">
        <w:rPr>
          <w:rStyle w:val="Refdenotaalpie"/>
          <w:sz w:val="20"/>
        </w:rPr>
        <w:footnoteRef/>
      </w:r>
      <w:r w:rsidRPr="00EA54CD">
        <w:rPr>
          <w:sz w:val="20"/>
        </w:rPr>
        <w:t xml:space="preserve"> Cort</w:t>
      </w:r>
      <w:r w:rsidRPr="00EA54CD">
        <w:rPr>
          <w:sz w:val="20"/>
        </w:rPr>
        <w:t xml:space="preserve">e Constitucional. </w:t>
      </w:r>
      <w:r>
        <w:rPr>
          <w:sz w:val="20"/>
        </w:rPr>
        <w:t>Sentencia</w:t>
      </w:r>
      <w:r w:rsidRPr="00EA54CD">
        <w:rPr>
          <w:sz w:val="20"/>
        </w:rPr>
        <w:t xml:space="preserve"> T-106 de 2025</w:t>
      </w:r>
    </w:p>
  </w:footnote>
  <w:footnote w:id="60">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C-389 de 2016.</w:t>
      </w:r>
    </w:p>
  </w:footnote>
  <w:footnote w:id="61">
    <w:p w:rsidR="009F48D9" w:rsidRPr="00EA54CD" w:rsidRDefault="00D93140" w:rsidP="00171DF2">
      <w:pPr>
        <w:pStyle w:val="Textonotapie"/>
        <w:jc w:val="both"/>
        <w:rPr>
          <w:sz w:val="20"/>
        </w:rPr>
      </w:pPr>
      <w:r w:rsidRPr="00EA54CD">
        <w:rPr>
          <w:rStyle w:val="Refdenotaalpie"/>
          <w:sz w:val="20"/>
        </w:rPr>
        <w:footnoteRef/>
      </w:r>
      <w:r w:rsidRPr="00EA54CD">
        <w:rPr>
          <w:sz w:val="20"/>
        </w:rPr>
        <w:t xml:space="preserve"> “En este sentido, el Decreto 1953 de 2014 “Por el cual se crea un régimen especial con el fin de poner en funcionamiento los Territorios Indígenas respecto de la a</w:t>
      </w:r>
      <w:r w:rsidRPr="00EA54CD">
        <w:rPr>
          <w:sz w:val="20"/>
        </w:rPr>
        <w:t>dministración de los sistemas propios de los pueblos indígenas hasta que el Congreso expida la ley de que trata el artículo 329 de la Constitución Política”, en su artículo 2, inciso 2º señala que “se reconoce a los territorios indígenas su condición de or</w:t>
      </w:r>
      <w:r w:rsidRPr="00EA54CD">
        <w:rPr>
          <w:sz w:val="20"/>
        </w:rPr>
        <w:t>ganización político administrativa de carácter especial, que les permite el ejercicio de las competencias y funciones públicas establecidas en el presente decreto, a través de sus autoridades propias (…)”.”</w:t>
      </w:r>
    </w:p>
  </w:footnote>
  <w:footnote w:id="62">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T-601 de 2011.</w:t>
      </w:r>
    </w:p>
  </w:footnote>
  <w:footnote w:id="63">
    <w:p w:rsidR="009F48D9" w:rsidRPr="00EA54CD" w:rsidRDefault="00D93140" w:rsidP="00C74009">
      <w:pPr>
        <w:pStyle w:val="Textonotapie"/>
        <w:jc w:val="both"/>
        <w:rPr>
          <w:sz w:val="20"/>
        </w:rPr>
      </w:pPr>
      <w:r w:rsidRPr="00EA54CD">
        <w:rPr>
          <w:rStyle w:val="Refdenotaalpie"/>
          <w:sz w:val="20"/>
        </w:rPr>
        <w:footnoteRef/>
      </w:r>
      <w:r w:rsidRPr="00EA54CD">
        <w:rPr>
          <w:sz w:val="20"/>
        </w:rPr>
        <w:t xml:space="preserve"> “La Corte justifica ese consenso así: PIDCP, artículos 1º, y 2º; CEDH, artículos 1º, 2º; CADH, artículo 27; Convención contra la Tortura y otros Tratos o Penas Crueles, Inhumanos o Degradantes, artículo 2º, parágrafo 2; Convenios de Ginebra, artículo 3º </w:t>
      </w:r>
      <w:r w:rsidRPr="00EA54CD">
        <w:rPr>
          <w:sz w:val="20"/>
        </w:rPr>
        <w:t xml:space="preserve">común a los 4. Cfr. </w:t>
      </w:r>
      <w:r>
        <w:rPr>
          <w:sz w:val="20"/>
        </w:rPr>
        <w:t>Sentencia</w:t>
      </w:r>
      <w:r w:rsidRPr="00EA54CD">
        <w:rPr>
          <w:sz w:val="20"/>
        </w:rPr>
        <w:t xml:space="preserve"> T-349 de 1996”.</w:t>
      </w:r>
    </w:p>
  </w:footnote>
  <w:footnote w:id="64">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T-601 de 2011.</w:t>
      </w:r>
    </w:p>
  </w:footnote>
  <w:footnote w:id="65">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C-463 de 2014 y T-617 de 2010.</w:t>
      </w:r>
    </w:p>
  </w:footnote>
  <w:footnote w:id="66">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T-372 de 2022. En esta providencia se puede revisar la definic</w:t>
      </w:r>
      <w:r w:rsidRPr="00EA54CD">
        <w:rPr>
          <w:sz w:val="20"/>
        </w:rPr>
        <w:t>ión y alcance de estos elementos.</w:t>
      </w:r>
    </w:p>
  </w:footnote>
  <w:footnote w:id="67">
    <w:p w:rsidR="009F48D9" w:rsidRPr="00EA54CD" w:rsidRDefault="00D93140" w:rsidP="00534A45">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C-463 de 2014.</w:t>
      </w:r>
    </w:p>
  </w:footnote>
  <w:footnote w:id="68">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C-053 de 2001.</w:t>
      </w:r>
    </w:p>
  </w:footnote>
  <w:footnote w:id="69">
    <w:p w:rsidR="009F48D9" w:rsidRPr="00EA54CD" w:rsidRDefault="00D93140">
      <w:pPr>
        <w:pStyle w:val="Textonotapie"/>
        <w:rPr>
          <w:sz w:val="20"/>
        </w:rPr>
      </w:pPr>
      <w:r w:rsidRPr="00EA54CD">
        <w:rPr>
          <w:rStyle w:val="Refdenotaalpie"/>
          <w:sz w:val="20"/>
        </w:rPr>
        <w:footnoteRef/>
      </w:r>
      <w:r w:rsidRPr="00EA54CD">
        <w:rPr>
          <w:sz w:val="20"/>
        </w:rPr>
        <w:t xml:space="preserve"> Ibídem.</w:t>
      </w:r>
    </w:p>
  </w:footnote>
  <w:footnote w:id="70">
    <w:p w:rsidR="009F48D9" w:rsidRPr="00EA54CD" w:rsidRDefault="00D93140" w:rsidP="009C0246">
      <w:pPr>
        <w:pStyle w:val="Textonotapie"/>
        <w:jc w:val="both"/>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s T-406 de 1992, T-451 de 1992, C-472 de 1992, C-539 de 1999.</w:t>
      </w:r>
    </w:p>
  </w:footnote>
  <w:footnote w:id="71">
    <w:p w:rsidR="009F48D9" w:rsidRPr="00EA54CD" w:rsidRDefault="00D93140">
      <w:pPr>
        <w:pStyle w:val="Textonotapie"/>
        <w:rPr>
          <w:sz w:val="20"/>
        </w:rPr>
      </w:pPr>
      <w:r w:rsidRPr="00EA54CD">
        <w:rPr>
          <w:rStyle w:val="Refdenotaalpie"/>
          <w:sz w:val="20"/>
        </w:rPr>
        <w:footnoteRef/>
      </w:r>
      <w:r w:rsidRPr="00EA54CD">
        <w:rPr>
          <w:sz w:val="20"/>
        </w:rPr>
        <w:t xml:space="preserve"> Corte Constitucio</w:t>
      </w:r>
      <w:r w:rsidRPr="00EA54CD">
        <w:rPr>
          <w:sz w:val="20"/>
        </w:rPr>
        <w:t xml:space="preserve">nal. </w:t>
      </w:r>
      <w:r>
        <w:rPr>
          <w:sz w:val="20"/>
        </w:rPr>
        <w:t>Sentencia</w:t>
      </w:r>
      <w:r w:rsidRPr="00EA54CD">
        <w:rPr>
          <w:sz w:val="20"/>
        </w:rPr>
        <w:t xml:space="preserve"> SU-383 de 2003.</w:t>
      </w:r>
    </w:p>
  </w:footnote>
  <w:footnote w:id="72">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C-539 de 1999. </w:t>
      </w:r>
    </w:p>
  </w:footnote>
  <w:footnote w:id="73">
    <w:p w:rsidR="009F48D9" w:rsidRPr="00EA54CD" w:rsidRDefault="00D93140" w:rsidP="00BE012B">
      <w:pPr>
        <w:pStyle w:val="Textonotapie"/>
        <w:jc w:val="both"/>
        <w:rPr>
          <w:sz w:val="20"/>
        </w:rPr>
      </w:pPr>
      <w:r w:rsidRPr="00EA54CD">
        <w:rPr>
          <w:rStyle w:val="Refdenotaalpie"/>
          <w:sz w:val="20"/>
        </w:rPr>
        <w:footnoteRef/>
      </w:r>
      <w:r w:rsidRPr="00EA54CD">
        <w:rPr>
          <w:sz w:val="20"/>
        </w:rPr>
        <w:t xml:space="preserve"> Por medio de la cual se “</w:t>
      </w:r>
      <w:r w:rsidRPr="00EA54CD">
        <w:rPr>
          <w:i/>
          <w:iCs/>
          <w:sz w:val="20"/>
        </w:rPr>
        <w:t xml:space="preserve">crea el Ministerio del Medio Ambiente, se reordena el Sector Público encargado de la gestión y conservación del medio ambiente y los recursos </w:t>
      </w:r>
      <w:r w:rsidRPr="00EA54CD">
        <w:rPr>
          <w:i/>
          <w:iCs/>
          <w:sz w:val="20"/>
        </w:rPr>
        <w:t>naturales renovables, se organiza el Sistema Nacional Ambiental, SINA, y se dictan otras disposiciones</w:t>
      </w:r>
      <w:r w:rsidRPr="00EA54CD">
        <w:rPr>
          <w:sz w:val="20"/>
        </w:rPr>
        <w:t>”.</w:t>
      </w:r>
    </w:p>
  </w:footnote>
  <w:footnote w:id="74">
    <w:p w:rsidR="009F48D9" w:rsidRPr="00EA54CD" w:rsidRDefault="00D93140" w:rsidP="00EA647B">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C-596 de 1998.</w:t>
      </w:r>
    </w:p>
  </w:footnote>
  <w:footnote w:id="75">
    <w:p w:rsidR="009F48D9" w:rsidRPr="00EA54CD" w:rsidRDefault="00D93140" w:rsidP="00BE012B">
      <w:pPr>
        <w:pStyle w:val="Textonotapie"/>
        <w:rPr>
          <w:sz w:val="20"/>
        </w:rPr>
      </w:pPr>
      <w:r w:rsidRPr="00EA54CD">
        <w:rPr>
          <w:rStyle w:val="Refdenotaalpie"/>
          <w:sz w:val="20"/>
        </w:rPr>
        <w:footnoteRef/>
      </w:r>
      <w:r w:rsidRPr="00EA54CD">
        <w:rPr>
          <w:sz w:val="20"/>
        </w:rPr>
        <w:t xml:space="preserve"> Ley 99 de 1993, artículo 31, numeral 2º.</w:t>
      </w:r>
    </w:p>
  </w:footnote>
  <w:footnote w:id="76">
    <w:p w:rsidR="009F48D9" w:rsidRPr="00C45D74" w:rsidRDefault="00D93140">
      <w:pPr>
        <w:pStyle w:val="Textonotapie"/>
        <w:rPr>
          <w:sz w:val="20"/>
        </w:rPr>
      </w:pPr>
      <w:r w:rsidRPr="00C45D74">
        <w:rPr>
          <w:rStyle w:val="Refdenotaalpie"/>
          <w:sz w:val="20"/>
        </w:rPr>
        <w:footnoteRef/>
      </w:r>
      <w:r w:rsidRPr="00C45D74">
        <w:rPr>
          <w:sz w:val="20"/>
        </w:rPr>
        <w:t xml:space="preserve"> Corte Constitucional. </w:t>
      </w:r>
      <w:r>
        <w:rPr>
          <w:sz w:val="20"/>
        </w:rPr>
        <w:t>Sentencia</w:t>
      </w:r>
      <w:r w:rsidRPr="00C45D74">
        <w:rPr>
          <w:sz w:val="20"/>
        </w:rPr>
        <w:t xml:space="preserve"> C-152 de 2023.</w:t>
      </w:r>
    </w:p>
  </w:footnote>
  <w:footnote w:id="77">
    <w:p w:rsidR="009F48D9" w:rsidRPr="00EA54CD" w:rsidRDefault="00D93140" w:rsidP="00BE012B">
      <w:pPr>
        <w:pStyle w:val="Textonotapie"/>
        <w:rPr>
          <w:sz w:val="20"/>
        </w:rPr>
      </w:pPr>
      <w:r w:rsidRPr="00EA54CD">
        <w:rPr>
          <w:rStyle w:val="Refdenotaalpie"/>
          <w:sz w:val="20"/>
        </w:rPr>
        <w:footnoteRef/>
      </w:r>
      <w:r w:rsidRPr="00EA54CD">
        <w:rPr>
          <w:sz w:val="20"/>
        </w:rPr>
        <w:t xml:space="preserve"> Corte Co</w:t>
      </w:r>
      <w:r w:rsidRPr="00EA54CD">
        <w:rPr>
          <w:sz w:val="20"/>
        </w:rPr>
        <w:t xml:space="preserve">nstitucional. </w:t>
      </w:r>
      <w:r>
        <w:rPr>
          <w:sz w:val="20"/>
        </w:rPr>
        <w:t>Sentencia</w:t>
      </w:r>
      <w:r w:rsidRPr="00EA54CD">
        <w:rPr>
          <w:sz w:val="20"/>
        </w:rPr>
        <w:t xml:space="preserve"> C-462 de 2008.</w:t>
      </w:r>
    </w:p>
  </w:footnote>
  <w:footnote w:id="78">
    <w:p w:rsidR="009F48D9" w:rsidRPr="00EA54CD" w:rsidRDefault="00D93140" w:rsidP="009C102B">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C-578 de 1999”.</w:t>
      </w:r>
    </w:p>
  </w:footnote>
  <w:footnote w:id="79">
    <w:p w:rsidR="009F48D9" w:rsidRPr="00EA54CD" w:rsidRDefault="00D93140" w:rsidP="009C102B">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C-570 de 2012”.</w:t>
      </w:r>
    </w:p>
  </w:footnote>
  <w:footnote w:id="80">
    <w:p w:rsidR="009F48D9" w:rsidRPr="005935A5" w:rsidRDefault="00D93140" w:rsidP="009C102B">
      <w:pPr>
        <w:pStyle w:val="Textonotapie"/>
        <w:rPr>
          <w:sz w:val="20"/>
        </w:rPr>
      </w:pPr>
      <w:r w:rsidRPr="00EA54CD">
        <w:rPr>
          <w:rStyle w:val="Refdenotaalpie"/>
          <w:sz w:val="20"/>
        </w:rPr>
        <w:footnoteRef/>
      </w:r>
      <w:r w:rsidRPr="00EA54CD">
        <w:rPr>
          <w:sz w:val="20"/>
        </w:rPr>
        <w:t xml:space="preserve"> </w:t>
      </w:r>
      <w:r w:rsidRPr="005935A5">
        <w:rPr>
          <w:sz w:val="20"/>
        </w:rPr>
        <w:t>“Id.”</w:t>
      </w:r>
    </w:p>
  </w:footnote>
  <w:footnote w:id="81">
    <w:p w:rsidR="009F48D9" w:rsidRPr="00EA54CD" w:rsidRDefault="00D93140" w:rsidP="001E519E">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C-578 de 1999”.</w:t>
      </w:r>
    </w:p>
  </w:footnote>
  <w:footnote w:id="82">
    <w:p w:rsidR="009F48D9" w:rsidRPr="00EA54CD" w:rsidRDefault="00D93140" w:rsidP="001E519E">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C-578 de 1999”.</w:t>
      </w:r>
    </w:p>
  </w:footnote>
  <w:footnote w:id="83">
    <w:p w:rsidR="009F48D9" w:rsidRPr="00F83DF1" w:rsidRDefault="00D93140">
      <w:pPr>
        <w:pStyle w:val="Textonotapie"/>
        <w:rPr>
          <w:sz w:val="20"/>
        </w:rPr>
      </w:pPr>
      <w:r w:rsidRPr="00F83DF1">
        <w:rPr>
          <w:rStyle w:val="Refdenotaalpie"/>
          <w:sz w:val="20"/>
        </w:rPr>
        <w:footnoteRef/>
      </w:r>
      <w:r w:rsidRPr="00F83DF1">
        <w:rPr>
          <w:sz w:val="20"/>
        </w:rPr>
        <w:t xml:space="preserve"> Cor</w:t>
      </w:r>
      <w:r w:rsidRPr="00F83DF1">
        <w:rPr>
          <w:sz w:val="20"/>
        </w:rPr>
        <w:t xml:space="preserve">te Constitucional. </w:t>
      </w:r>
      <w:r>
        <w:rPr>
          <w:sz w:val="20"/>
        </w:rPr>
        <w:t>Sentencia</w:t>
      </w:r>
      <w:r w:rsidRPr="00F83DF1">
        <w:rPr>
          <w:sz w:val="20"/>
        </w:rPr>
        <w:t xml:space="preserve"> C-145 de 2021.</w:t>
      </w:r>
    </w:p>
  </w:footnote>
  <w:footnote w:id="84">
    <w:p w:rsidR="009F48D9" w:rsidRPr="00F83DF1" w:rsidRDefault="00D93140">
      <w:pPr>
        <w:pStyle w:val="Textonotapie"/>
        <w:rPr>
          <w:sz w:val="20"/>
        </w:rPr>
      </w:pPr>
      <w:r w:rsidRPr="00F83DF1">
        <w:rPr>
          <w:rStyle w:val="Refdenotaalpie"/>
          <w:sz w:val="20"/>
        </w:rPr>
        <w:footnoteRef/>
      </w:r>
      <w:r w:rsidRPr="00F83DF1">
        <w:rPr>
          <w:sz w:val="20"/>
        </w:rPr>
        <w:t xml:space="preserve"> Ibidem.</w:t>
      </w:r>
    </w:p>
  </w:footnote>
  <w:footnote w:id="85">
    <w:p w:rsidR="009F48D9" w:rsidRPr="00EA54CD" w:rsidRDefault="00D93140" w:rsidP="00B84DE2">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C-145 de 2019.</w:t>
      </w:r>
    </w:p>
  </w:footnote>
  <w:footnote w:id="86">
    <w:p w:rsidR="009F48D9" w:rsidRPr="00747E8F" w:rsidRDefault="00D93140">
      <w:pPr>
        <w:pStyle w:val="Textonotapie"/>
        <w:rPr>
          <w:sz w:val="20"/>
        </w:rPr>
      </w:pPr>
      <w:r w:rsidRPr="00747E8F">
        <w:rPr>
          <w:rStyle w:val="Refdenotaalpie"/>
          <w:sz w:val="20"/>
        </w:rPr>
        <w:footnoteRef/>
      </w:r>
      <w:r w:rsidRPr="00747E8F">
        <w:rPr>
          <w:sz w:val="20"/>
        </w:rPr>
        <w:t xml:space="preserve"> Corte Constitucional, </w:t>
      </w:r>
      <w:r>
        <w:rPr>
          <w:sz w:val="20"/>
        </w:rPr>
        <w:t>Sentencia</w:t>
      </w:r>
      <w:r w:rsidRPr="00747E8F">
        <w:rPr>
          <w:sz w:val="20"/>
        </w:rPr>
        <w:t xml:space="preserve"> C-534 de 1996</w:t>
      </w:r>
      <w:r>
        <w:rPr>
          <w:sz w:val="20"/>
        </w:rPr>
        <w:t>.</w:t>
      </w:r>
    </w:p>
  </w:footnote>
  <w:footnote w:id="87">
    <w:p w:rsidR="009F48D9" w:rsidRPr="005D629A" w:rsidRDefault="00D93140">
      <w:pPr>
        <w:pStyle w:val="Textonotapie"/>
        <w:rPr>
          <w:sz w:val="20"/>
        </w:rPr>
      </w:pPr>
      <w:r w:rsidRPr="005D629A">
        <w:rPr>
          <w:rStyle w:val="Refdenotaalpie"/>
          <w:sz w:val="20"/>
        </w:rPr>
        <w:footnoteRef/>
      </w:r>
      <w:r w:rsidRPr="005D629A">
        <w:rPr>
          <w:sz w:val="20"/>
        </w:rPr>
        <w:t xml:space="preserve"> </w:t>
      </w:r>
      <w:r w:rsidRPr="005D629A">
        <w:rPr>
          <w:color w:val="000000"/>
          <w:sz w:val="20"/>
          <w:shd w:val="clear" w:color="auto" w:fill="FFFFFF"/>
        </w:rPr>
        <w:t xml:space="preserve">Corte Constitucional, </w:t>
      </w:r>
      <w:r>
        <w:rPr>
          <w:color w:val="000000"/>
          <w:sz w:val="20"/>
          <w:shd w:val="clear" w:color="auto" w:fill="FFFFFF"/>
        </w:rPr>
        <w:t>Sentencia</w:t>
      </w:r>
      <w:r w:rsidRPr="005D629A">
        <w:rPr>
          <w:color w:val="000000"/>
          <w:sz w:val="20"/>
          <w:shd w:val="clear" w:color="auto" w:fill="FFFFFF"/>
        </w:rPr>
        <w:t xml:space="preserve"> C-894 de 2003</w:t>
      </w:r>
      <w:r>
        <w:rPr>
          <w:color w:val="000000"/>
          <w:sz w:val="20"/>
          <w:shd w:val="clear" w:color="auto" w:fill="FFFFFF"/>
        </w:rPr>
        <w:t>.</w:t>
      </w:r>
    </w:p>
  </w:footnote>
  <w:footnote w:id="88">
    <w:p w:rsidR="009F48D9" w:rsidRPr="008D07C8" w:rsidRDefault="00D93140">
      <w:pPr>
        <w:pStyle w:val="Textonotapie"/>
        <w:rPr>
          <w:sz w:val="20"/>
        </w:rPr>
      </w:pPr>
      <w:r w:rsidRPr="008D07C8">
        <w:rPr>
          <w:rStyle w:val="Refdenotaalpie"/>
          <w:sz w:val="20"/>
        </w:rPr>
        <w:footnoteRef/>
      </w:r>
      <w:r w:rsidRPr="008D07C8">
        <w:rPr>
          <w:sz w:val="20"/>
        </w:rPr>
        <w:t xml:space="preserve"> </w:t>
      </w:r>
      <w:r w:rsidRPr="008D07C8">
        <w:rPr>
          <w:color w:val="000000"/>
          <w:sz w:val="20"/>
          <w:shd w:val="clear" w:color="auto" w:fill="FFFFFF"/>
        </w:rPr>
        <w:t xml:space="preserve">Corte Constitucional, </w:t>
      </w:r>
      <w:r>
        <w:rPr>
          <w:color w:val="000000"/>
          <w:sz w:val="20"/>
          <w:shd w:val="clear" w:color="auto" w:fill="FFFFFF"/>
        </w:rPr>
        <w:t>Sentencia</w:t>
      </w:r>
      <w:r w:rsidRPr="008D07C8">
        <w:rPr>
          <w:color w:val="000000"/>
          <w:sz w:val="20"/>
          <w:shd w:val="clear" w:color="auto" w:fill="FFFFFF"/>
        </w:rPr>
        <w:t xml:space="preserve"> C-894 de 2003.</w:t>
      </w:r>
    </w:p>
  </w:footnote>
  <w:footnote w:id="89">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 xml:space="preserve">Corte Constitucional. </w:t>
      </w:r>
      <w:r>
        <w:rPr>
          <w:sz w:val="20"/>
          <w:lang w:val="es-ES"/>
        </w:rPr>
        <w:t>Sentencia</w:t>
      </w:r>
      <w:r w:rsidRPr="00EA54CD">
        <w:rPr>
          <w:sz w:val="20"/>
          <w:lang w:val="es-ES"/>
        </w:rPr>
        <w:t xml:space="preserve"> C</w:t>
      </w:r>
      <w:r w:rsidRPr="00EA54CD">
        <w:rPr>
          <w:sz w:val="20"/>
        </w:rPr>
        <w:t>-293 de 2002.</w:t>
      </w:r>
    </w:p>
  </w:footnote>
  <w:footnote w:id="90">
    <w:p w:rsidR="009F48D9" w:rsidRPr="00EA54CD" w:rsidRDefault="00D93140">
      <w:pPr>
        <w:pStyle w:val="Textonotapie"/>
        <w:rPr>
          <w:sz w:val="20"/>
          <w:lang w:val="es-ES"/>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C-818 de 2005.</w:t>
      </w:r>
    </w:p>
  </w:footnote>
  <w:footnote w:id="91">
    <w:p w:rsidR="009F48D9" w:rsidRPr="00EA54CD" w:rsidRDefault="00D93140">
      <w:pPr>
        <w:pStyle w:val="Textonotapie"/>
        <w:rPr>
          <w:sz w:val="20"/>
          <w:lang w:val="es-ES"/>
        </w:rPr>
      </w:pPr>
      <w:r w:rsidRPr="00EA54CD">
        <w:rPr>
          <w:rStyle w:val="Refdenotaalpie"/>
          <w:sz w:val="20"/>
        </w:rPr>
        <w:footnoteRef/>
      </w:r>
      <w:r w:rsidRPr="00EA54CD">
        <w:rPr>
          <w:sz w:val="20"/>
        </w:rPr>
        <w:t xml:space="preserve"> Ver entre otras, las </w:t>
      </w:r>
      <w:r>
        <w:rPr>
          <w:sz w:val="20"/>
        </w:rPr>
        <w:t>Sentencia</w:t>
      </w:r>
      <w:r w:rsidRPr="00EA54CD">
        <w:rPr>
          <w:sz w:val="20"/>
        </w:rPr>
        <w:t>s C-597 de 1996, C-595 de 2010, C-135 de 2016 y C-044 de 2023.</w:t>
      </w:r>
    </w:p>
  </w:footnote>
  <w:footnote w:id="92">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 xml:space="preserve">Corte Constitucional. </w:t>
      </w:r>
      <w:r>
        <w:rPr>
          <w:sz w:val="20"/>
          <w:lang w:val="es-ES"/>
        </w:rPr>
        <w:t>Sentencia</w:t>
      </w:r>
      <w:r w:rsidRPr="00EA54CD">
        <w:rPr>
          <w:sz w:val="20"/>
          <w:lang w:val="es-ES"/>
        </w:rPr>
        <w:t xml:space="preserve"> C-632 de 2011.</w:t>
      </w:r>
    </w:p>
  </w:footnote>
  <w:footnote w:id="93">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 xml:space="preserve">Corte Constitucional. </w:t>
      </w:r>
      <w:r>
        <w:rPr>
          <w:sz w:val="20"/>
          <w:lang w:val="es-ES"/>
        </w:rPr>
        <w:t>Sentencia</w:t>
      </w:r>
      <w:r w:rsidRPr="00EA54CD">
        <w:rPr>
          <w:sz w:val="20"/>
          <w:lang w:val="es-ES"/>
        </w:rPr>
        <w:t xml:space="preserve"> C-632 de 2011.</w:t>
      </w:r>
    </w:p>
  </w:footnote>
  <w:footnote w:id="94">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 xml:space="preserve">Corte Constitucional. </w:t>
      </w:r>
      <w:r>
        <w:rPr>
          <w:sz w:val="20"/>
          <w:lang w:val="es-ES"/>
        </w:rPr>
        <w:t>Sentencia</w:t>
      </w:r>
      <w:r w:rsidRPr="00EA54CD">
        <w:rPr>
          <w:sz w:val="20"/>
          <w:lang w:val="es-ES"/>
        </w:rPr>
        <w:t xml:space="preserve"> C-044 de 2023.</w:t>
      </w:r>
    </w:p>
  </w:footnote>
  <w:footnote w:id="95">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 xml:space="preserve">Corte Constitucional. </w:t>
      </w:r>
      <w:r>
        <w:rPr>
          <w:sz w:val="20"/>
          <w:lang w:val="es-ES"/>
        </w:rPr>
        <w:t>Sentencia</w:t>
      </w:r>
      <w:r w:rsidRPr="00EA54CD">
        <w:rPr>
          <w:sz w:val="20"/>
          <w:lang w:val="es-ES"/>
        </w:rPr>
        <w:t>s C-406 de 2004, C-835 de 2005 y C-044 de 2023.</w:t>
      </w:r>
    </w:p>
  </w:footnote>
  <w:footnote w:id="96">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 xml:space="preserve">Corte Constitucional. </w:t>
      </w:r>
      <w:r>
        <w:rPr>
          <w:sz w:val="20"/>
          <w:lang w:val="es-ES"/>
        </w:rPr>
        <w:t>Sentencia</w:t>
      </w:r>
      <w:r w:rsidRPr="00EA54CD">
        <w:rPr>
          <w:sz w:val="20"/>
          <w:lang w:val="es-ES"/>
        </w:rPr>
        <w:t xml:space="preserve"> C-343 de 2006.</w:t>
      </w:r>
    </w:p>
  </w:footnote>
  <w:footnote w:id="97">
    <w:p w:rsidR="009F48D9" w:rsidRPr="00EA54CD" w:rsidRDefault="00D93140">
      <w:pPr>
        <w:pStyle w:val="Textonotapie"/>
        <w:rPr>
          <w:sz w:val="20"/>
          <w:lang w:val="es-ES"/>
        </w:rPr>
      </w:pPr>
      <w:r w:rsidRPr="00EA54CD">
        <w:rPr>
          <w:rStyle w:val="Refdenotaalpie"/>
          <w:sz w:val="20"/>
        </w:rPr>
        <w:footnoteRef/>
      </w:r>
      <w:r w:rsidRPr="00EA54CD">
        <w:rPr>
          <w:sz w:val="20"/>
        </w:rPr>
        <w:t xml:space="preserve"> </w:t>
      </w:r>
      <w:r w:rsidRPr="00EA54CD">
        <w:rPr>
          <w:sz w:val="20"/>
          <w:lang w:val="es-ES"/>
        </w:rPr>
        <w:t xml:space="preserve">Corte Constitucional. </w:t>
      </w:r>
      <w:r>
        <w:rPr>
          <w:sz w:val="20"/>
          <w:lang w:val="es-ES"/>
        </w:rPr>
        <w:t>Senten</w:t>
      </w:r>
      <w:r>
        <w:rPr>
          <w:sz w:val="20"/>
          <w:lang w:val="es-ES"/>
        </w:rPr>
        <w:t>cia</w:t>
      </w:r>
      <w:r w:rsidRPr="00EA54CD">
        <w:rPr>
          <w:sz w:val="20"/>
          <w:lang w:val="es-ES"/>
        </w:rPr>
        <w:t xml:space="preserve"> C-044 de 2023.</w:t>
      </w:r>
    </w:p>
  </w:footnote>
  <w:footnote w:id="98">
    <w:p w:rsidR="009F48D9" w:rsidRPr="00B01B41" w:rsidRDefault="00D93140" w:rsidP="00983183">
      <w:pPr>
        <w:pStyle w:val="Textonotapie"/>
        <w:rPr>
          <w:sz w:val="20"/>
        </w:rPr>
      </w:pPr>
      <w:r w:rsidRPr="00B01B41">
        <w:rPr>
          <w:rStyle w:val="Refdenotaalpie"/>
          <w:sz w:val="20"/>
        </w:rPr>
        <w:footnoteRef/>
      </w:r>
      <w:r w:rsidRPr="00B01B41">
        <w:rPr>
          <w:sz w:val="20"/>
        </w:rPr>
        <w:t xml:space="preserve"> Supra 178 y ss.</w:t>
      </w:r>
    </w:p>
  </w:footnote>
  <w:footnote w:id="99">
    <w:p w:rsidR="009F48D9" w:rsidRPr="003F658A" w:rsidRDefault="00D93140">
      <w:pPr>
        <w:pStyle w:val="Textonotapie"/>
        <w:rPr>
          <w:sz w:val="20"/>
        </w:rPr>
      </w:pPr>
      <w:r w:rsidRPr="003F658A">
        <w:rPr>
          <w:rStyle w:val="Refdenotaalpie"/>
          <w:sz w:val="20"/>
        </w:rPr>
        <w:footnoteRef/>
      </w:r>
      <w:r w:rsidRPr="003F658A">
        <w:rPr>
          <w:sz w:val="20"/>
        </w:rPr>
        <w:t xml:space="preserve"> Corte Constitucional. </w:t>
      </w:r>
      <w:r>
        <w:rPr>
          <w:sz w:val="20"/>
        </w:rPr>
        <w:t>Sentencia</w:t>
      </w:r>
      <w:r w:rsidRPr="003F658A">
        <w:rPr>
          <w:sz w:val="20"/>
        </w:rPr>
        <w:t xml:space="preserve"> C-152 de 2023.</w:t>
      </w:r>
    </w:p>
  </w:footnote>
  <w:footnote w:id="100">
    <w:p w:rsidR="009F48D9" w:rsidRPr="00F34A34" w:rsidRDefault="00D93140">
      <w:pPr>
        <w:pStyle w:val="Textonotapie"/>
        <w:rPr>
          <w:sz w:val="20"/>
        </w:rPr>
      </w:pPr>
      <w:r w:rsidRPr="00F34A34">
        <w:rPr>
          <w:rStyle w:val="Refdenotaalpie"/>
          <w:sz w:val="20"/>
        </w:rPr>
        <w:footnoteRef/>
      </w:r>
      <w:r w:rsidRPr="00F34A34">
        <w:rPr>
          <w:sz w:val="20"/>
        </w:rPr>
        <w:t xml:space="preserve"> Ibidem.</w:t>
      </w:r>
    </w:p>
  </w:footnote>
  <w:footnote w:id="101">
    <w:p w:rsidR="009F48D9" w:rsidRPr="00EA54CD" w:rsidRDefault="00D93140" w:rsidP="00051CB1">
      <w:pPr>
        <w:pStyle w:val="Textonotapie"/>
        <w:rPr>
          <w:sz w:val="20"/>
        </w:rPr>
      </w:pPr>
      <w:r w:rsidRPr="00EA54CD">
        <w:rPr>
          <w:rStyle w:val="Refdenotaalpie"/>
          <w:sz w:val="20"/>
        </w:rPr>
        <w:footnoteRef/>
      </w:r>
      <w:r w:rsidRPr="00EA54CD">
        <w:rPr>
          <w:sz w:val="20"/>
        </w:rPr>
        <w:t xml:space="preserve"> Ley 99 de 1993, artículo 31 numeral 21.</w:t>
      </w:r>
    </w:p>
  </w:footnote>
  <w:footnote w:id="102">
    <w:p w:rsidR="009F48D9" w:rsidRPr="00EA54CD" w:rsidRDefault="00D93140" w:rsidP="00051CB1">
      <w:pPr>
        <w:pStyle w:val="Textonotapie"/>
        <w:rPr>
          <w:sz w:val="20"/>
        </w:rPr>
      </w:pPr>
      <w:r w:rsidRPr="00EA54CD">
        <w:rPr>
          <w:rStyle w:val="Refdenotaalpie"/>
          <w:sz w:val="20"/>
        </w:rPr>
        <w:footnoteRef/>
      </w:r>
      <w:r w:rsidRPr="00EA54CD">
        <w:rPr>
          <w:sz w:val="20"/>
        </w:rPr>
        <w:t xml:space="preserve"> Ley 99 de 1993, artículo 31 numeral 17.</w:t>
      </w:r>
    </w:p>
  </w:footnote>
  <w:footnote w:id="103">
    <w:p w:rsidR="009F48D9" w:rsidRPr="002B536E" w:rsidRDefault="00D93140">
      <w:pPr>
        <w:pStyle w:val="Textonotapie"/>
        <w:rPr>
          <w:sz w:val="20"/>
        </w:rPr>
      </w:pPr>
      <w:r w:rsidRPr="002B536E">
        <w:rPr>
          <w:rStyle w:val="Refdenotaalpie"/>
          <w:sz w:val="20"/>
        </w:rPr>
        <w:footnoteRef/>
      </w:r>
      <w:r w:rsidRPr="002B536E">
        <w:rPr>
          <w:sz w:val="20"/>
        </w:rPr>
        <w:t xml:space="preserve"> Corte Constitucional. </w:t>
      </w:r>
      <w:r>
        <w:rPr>
          <w:sz w:val="20"/>
        </w:rPr>
        <w:t>Sentencia</w:t>
      </w:r>
      <w:r w:rsidRPr="002B536E">
        <w:rPr>
          <w:sz w:val="20"/>
        </w:rPr>
        <w:t xml:space="preserve"> C-145 de 2021.</w:t>
      </w:r>
    </w:p>
  </w:footnote>
  <w:footnote w:id="104">
    <w:p w:rsidR="009F48D9" w:rsidRPr="00EA54CD" w:rsidRDefault="00D93140" w:rsidP="00983183">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s T-650 de 2017 y T-072 de 2021.</w:t>
      </w:r>
    </w:p>
  </w:footnote>
  <w:footnote w:id="105">
    <w:p w:rsidR="009F48D9" w:rsidRPr="00EA54CD" w:rsidRDefault="00D93140" w:rsidP="00983183">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T-286 de 2024.</w:t>
      </w:r>
    </w:p>
  </w:footnote>
  <w:footnote w:id="106">
    <w:p w:rsidR="009F48D9" w:rsidRPr="00EA54CD" w:rsidRDefault="00D93140" w:rsidP="000E0F38">
      <w:pPr>
        <w:pStyle w:val="Textonotapie"/>
        <w:jc w:val="both"/>
        <w:rPr>
          <w:sz w:val="20"/>
          <w:lang w:val="es-ES"/>
        </w:rPr>
      </w:pPr>
      <w:r w:rsidRPr="00EA54CD">
        <w:rPr>
          <w:rStyle w:val="Refdenotaalpie"/>
          <w:sz w:val="20"/>
        </w:rPr>
        <w:footnoteRef/>
      </w:r>
      <w:r w:rsidRPr="00EA54CD">
        <w:rPr>
          <w:sz w:val="20"/>
        </w:rPr>
        <w:t xml:space="preserve"> El artículo 67 de la Ley 99 de 1993 dispone que los territorios indígenas tendrán las mismas funciones y deberes definidos para los municipios en materia ambiental</w:t>
      </w:r>
      <w:r w:rsidRPr="00EA54CD">
        <w:rPr>
          <w:sz w:val="20"/>
        </w:rPr>
        <w:t>.</w:t>
      </w:r>
    </w:p>
  </w:footnote>
  <w:footnote w:id="107">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Auto 302 de 2023.</w:t>
      </w:r>
    </w:p>
  </w:footnote>
  <w:footnote w:id="108">
    <w:p w:rsidR="009F48D9" w:rsidRPr="00EA54CD" w:rsidRDefault="00D93140">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T-106 de 2025.</w:t>
      </w:r>
    </w:p>
  </w:footnote>
  <w:footnote w:id="109">
    <w:p w:rsidR="009F48D9" w:rsidRPr="00EA54CD" w:rsidRDefault="00D93140" w:rsidP="00921423">
      <w:pPr>
        <w:pStyle w:val="Textonotapie"/>
        <w:rPr>
          <w:sz w:val="20"/>
        </w:rPr>
      </w:pPr>
      <w:r w:rsidRPr="00EA54CD">
        <w:rPr>
          <w:rStyle w:val="Refdenotaalpie"/>
          <w:sz w:val="20"/>
        </w:rPr>
        <w:footnoteRef/>
      </w:r>
      <w:r w:rsidRPr="00EA54CD">
        <w:rPr>
          <w:sz w:val="20"/>
        </w:rPr>
        <w:t xml:space="preserve"> Corte Constitucional. </w:t>
      </w:r>
      <w:r>
        <w:rPr>
          <w:sz w:val="20"/>
        </w:rPr>
        <w:t>Sentencia</w:t>
      </w:r>
      <w:r w:rsidRPr="00EA54CD">
        <w:rPr>
          <w:sz w:val="20"/>
        </w:rPr>
        <w:t xml:space="preserve"> T-379 de 2024.</w:t>
      </w:r>
    </w:p>
  </w:footnote>
  <w:footnote w:id="110">
    <w:p w:rsidR="0022327A" w:rsidRPr="00564E40" w:rsidRDefault="00D93140" w:rsidP="0022327A">
      <w:pPr>
        <w:pStyle w:val="Textonotapie"/>
        <w:rPr>
          <w:lang w:val="es-ES"/>
        </w:rPr>
      </w:pPr>
      <w:r>
        <w:rPr>
          <w:rStyle w:val="Refdenotaalpie"/>
        </w:rPr>
        <w:footnoteRef/>
      </w:r>
      <w:r>
        <w:t xml:space="preserve"> </w:t>
      </w:r>
      <w:r>
        <w:rPr>
          <w:lang w:val="es-ES"/>
        </w:rPr>
        <w:t>Esta solicitud fue resuelta negativamente mediante auto de fecha xx de 2025.</w:t>
      </w:r>
    </w:p>
  </w:footnote>
  <w:footnote w:id="111">
    <w:p w:rsidR="0022327A" w:rsidRDefault="00D93140" w:rsidP="0022327A">
      <w:pPr>
        <w:pStyle w:val="Textonotapie"/>
      </w:pPr>
      <w:r>
        <w:rPr>
          <w:rStyle w:val="Refdenotaalpie"/>
        </w:rPr>
        <w:footnoteRef/>
      </w:r>
      <w:r>
        <w:t xml:space="preserve"> Escrito coadyuvancia. Folio 11.</w:t>
      </w:r>
    </w:p>
  </w:footnote>
  <w:footnote w:id="112">
    <w:p w:rsidR="0022327A" w:rsidRDefault="00D93140" w:rsidP="0022327A">
      <w:pPr>
        <w:pStyle w:val="Textonotapie"/>
      </w:pPr>
      <w:r>
        <w:rPr>
          <w:rStyle w:val="Refdenotaalpie"/>
        </w:rPr>
        <w:footnoteRef/>
      </w:r>
      <w:r>
        <w:t xml:space="preserve"> Escrito coadyuvancia. Folio 13.</w:t>
      </w:r>
    </w:p>
  </w:footnote>
  <w:footnote w:id="113">
    <w:p w:rsidR="0022327A" w:rsidRDefault="00D93140" w:rsidP="0022327A">
      <w:pPr>
        <w:pStyle w:val="Textonotapie"/>
      </w:pPr>
      <w:r>
        <w:rPr>
          <w:rStyle w:val="Refdenotaalpie"/>
        </w:rPr>
        <w:footnoteRef/>
      </w:r>
      <w:r>
        <w:t xml:space="preserve"> Escrito coadyuvancia. Folio 16.</w:t>
      </w:r>
    </w:p>
  </w:footnote>
  <w:footnote w:id="114">
    <w:p w:rsidR="0022327A" w:rsidRDefault="00D93140" w:rsidP="0022327A">
      <w:pPr>
        <w:pStyle w:val="Textonotapie"/>
      </w:pPr>
      <w:r>
        <w:rPr>
          <w:rStyle w:val="Refdenotaalpie"/>
        </w:rPr>
        <w:footnoteRef/>
      </w:r>
      <w:r>
        <w:t xml:space="preserve"> Escrito coadyuvancia. Folio 18.</w:t>
      </w:r>
    </w:p>
  </w:footnote>
  <w:footnote w:id="115">
    <w:p w:rsidR="0022327A" w:rsidRPr="002C3D6C" w:rsidRDefault="00D93140" w:rsidP="0022327A">
      <w:pPr>
        <w:pStyle w:val="Textonotapie"/>
        <w:rPr>
          <w:lang w:val="es-ES"/>
        </w:rPr>
      </w:pPr>
      <w:r>
        <w:rPr>
          <w:rStyle w:val="Refdenotaalpie"/>
        </w:rPr>
        <w:footnoteRef/>
      </w:r>
      <w:r>
        <w:t xml:space="preserve"> Escrito coadyuvancia. Folio 2.</w:t>
      </w:r>
    </w:p>
  </w:footnote>
  <w:footnote w:id="116">
    <w:p w:rsidR="0022327A" w:rsidRPr="00C2618E" w:rsidRDefault="00D93140" w:rsidP="0022327A">
      <w:pPr>
        <w:pStyle w:val="Textonotapie"/>
        <w:rPr>
          <w:lang w:val="es-ES"/>
        </w:rPr>
      </w:pPr>
      <w:r>
        <w:rPr>
          <w:rStyle w:val="Refdenotaalpie"/>
        </w:rPr>
        <w:footnoteRef/>
      </w:r>
      <w:r>
        <w:t xml:space="preserve"> Escrito coadyuvancia. Folio 4.</w:t>
      </w:r>
    </w:p>
  </w:footnote>
  <w:footnote w:id="117">
    <w:p w:rsidR="0022327A" w:rsidRPr="00022E89" w:rsidRDefault="00D93140" w:rsidP="0022327A">
      <w:pPr>
        <w:pStyle w:val="Textonotapie"/>
        <w:rPr>
          <w:lang w:val="es-ES"/>
        </w:rPr>
      </w:pPr>
      <w:r>
        <w:rPr>
          <w:rStyle w:val="Refdenotaalpie"/>
        </w:rPr>
        <w:footnoteRef/>
      </w:r>
      <w:r>
        <w:t xml:space="preserve"> Escrito coadyuvancia. Folio 6.</w:t>
      </w:r>
    </w:p>
  </w:footnote>
  <w:footnote w:id="118">
    <w:p w:rsidR="0022327A" w:rsidRPr="0077777E" w:rsidRDefault="00D93140" w:rsidP="0022327A">
      <w:pPr>
        <w:pStyle w:val="Textonotapie"/>
        <w:rPr>
          <w:lang w:val="es-ES"/>
        </w:rPr>
      </w:pPr>
      <w:r>
        <w:rPr>
          <w:rStyle w:val="Refdenotaalpie"/>
        </w:rPr>
        <w:footnoteRef/>
      </w:r>
      <w:r>
        <w:t xml:space="preserve"> Escrito coadyuvancia. Folio 7.</w:t>
      </w:r>
    </w:p>
  </w:footnote>
  <w:footnote w:id="119">
    <w:p w:rsidR="0022327A" w:rsidRPr="00C21BA6" w:rsidRDefault="00D93140" w:rsidP="0022327A">
      <w:pPr>
        <w:pStyle w:val="Textonotapie"/>
        <w:rPr>
          <w:lang w:val="es-ES"/>
        </w:rPr>
      </w:pPr>
      <w:r>
        <w:rPr>
          <w:rStyle w:val="Refdenotaalpie"/>
        </w:rPr>
        <w:footnoteRef/>
      </w:r>
      <w:r>
        <w:t xml:space="preserve"> Escrito coadyuvancia. Folio 8.</w:t>
      </w:r>
    </w:p>
  </w:footnote>
  <w:footnote w:id="120">
    <w:p w:rsidR="0022327A" w:rsidRPr="007E5DA0" w:rsidRDefault="00D93140" w:rsidP="0022327A">
      <w:pPr>
        <w:pStyle w:val="Textonotapie"/>
        <w:rPr>
          <w:lang w:val="es-ES"/>
        </w:rPr>
      </w:pPr>
      <w:r>
        <w:rPr>
          <w:rStyle w:val="Refdenotaalpie"/>
        </w:rPr>
        <w:footnoteRef/>
      </w:r>
      <w:r>
        <w:t xml:space="preserve"> Escrito coadyuvancia. Folio 5.</w:t>
      </w:r>
    </w:p>
  </w:footnote>
  <w:footnote w:id="121">
    <w:p w:rsidR="0022327A" w:rsidRPr="00FB5661" w:rsidRDefault="00D93140" w:rsidP="0022327A">
      <w:pPr>
        <w:pStyle w:val="Textonotapie"/>
        <w:rPr>
          <w:lang w:val="es-ES"/>
        </w:rPr>
      </w:pPr>
      <w:r>
        <w:rPr>
          <w:rStyle w:val="Refdenotaalpie"/>
        </w:rPr>
        <w:footnoteRef/>
      </w:r>
      <w:r>
        <w:t xml:space="preserve"> Escrito coadyuvancia. Folio 6.</w:t>
      </w:r>
    </w:p>
  </w:footnote>
  <w:footnote w:id="122">
    <w:p w:rsidR="0022327A" w:rsidRPr="00172434" w:rsidRDefault="00D93140" w:rsidP="0022327A">
      <w:pPr>
        <w:pStyle w:val="Textonotapie"/>
        <w:rPr>
          <w:lang w:val="es-ES"/>
        </w:rPr>
      </w:pPr>
      <w:r>
        <w:rPr>
          <w:rStyle w:val="Refdenotaalpie"/>
        </w:rPr>
        <w:footnoteRef/>
      </w:r>
      <w:r>
        <w:t xml:space="preserve"> Escrito coadyuvancia. Folio 11.</w:t>
      </w:r>
    </w:p>
  </w:footnote>
  <w:footnote w:id="123">
    <w:p w:rsidR="0022327A" w:rsidRPr="0058115C" w:rsidRDefault="00D93140" w:rsidP="0022327A">
      <w:pPr>
        <w:pStyle w:val="Textonotapie"/>
        <w:rPr>
          <w:lang w:val="es-ES"/>
        </w:rPr>
      </w:pPr>
      <w:r>
        <w:rPr>
          <w:rStyle w:val="Refdenotaalpie"/>
        </w:rPr>
        <w:footnoteRef/>
      </w:r>
      <w:r>
        <w:t xml:space="preserve"> Escrito coadyuvancia. Folio 13.</w:t>
      </w:r>
    </w:p>
  </w:footnote>
  <w:footnote w:id="124">
    <w:p w:rsidR="0022327A" w:rsidRPr="00476139" w:rsidRDefault="00D93140" w:rsidP="0022327A">
      <w:pPr>
        <w:pStyle w:val="Textonotapie"/>
        <w:rPr>
          <w:lang w:val="es-ES"/>
        </w:rPr>
      </w:pPr>
      <w:r>
        <w:rPr>
          <w:rStyle w:val="Refdenotaalpie"/>
        </w:rPr>
        <w:footnoteRef/>
      </w:r>
      <w:r>
        <w:t xml:space="preserve"> Escrito coadyuvancia. Folio 6.</w:t>
      </w:r>
    </w:p>
  </w:footnote>
  <w:footnote w:id="125">
    <w:p w:rsidR="0022327A" w:rsidRPr="00C50A51" w:rsidRDefault="00D93140" w:rsidP="0022327A">
      <w:pPr>
        <w:pStyle w:val="Textonotapie"/>
        <w:rPr>
          <w:lang w:val="es-ES"/>
        </w:rPr>
      </w:pPr>
      <w:r>
        <w:rPr>
          <w:rStyle w:val="Refdenotaalpie"/>
        </w:rPr>
        <w:footnoteRef/>
      </w:r>
      <w:r>
        <w:t xml:space="preserve"> Escrito coadyuvancia. Folio 16.</w:t>
      </w:r>
    </w:p>
  </w:footnote>
  <w:footnote w:id="126">
    <w:p w:rsidR="0022327A" w:rsidRPr="003D7EB9" w:rsidRDefault="00D93140" w:rsidP="0022327A">
      <w:pPr>
        <w:pStyle w:val="Textonotapie"/>
        <w:rPr>
          <w:lang w:val="es-ES"/>
        </w:rPr>
      </w:pPr>
      <w:r>
        <w:rPr>
          <w:rStyle w:val="Refdenotaalpie"/>
        </w:rPr>
        <w:footnoteRef/>
      </w:r>
      <w:r>
        <w:t xml:space="preserve"> Escrito coadyuvancia. Folio 18.</w:t>
      </w:r>
    </w:p>
  </w:footnote>
  <w:footnote w:id="127">
    <w:p w:rsidR="0022327A" w:rsidRPr="00AE5774" w:rsidRDefault="00D93140" w:rsidP="0022327A">
      <w:pPr>
        <w:pStyle w:val="Textonotapie"/>
        <w:rPr>
          <w:lang w:val="es-ES"/>
        </w:rPr>
      </w:pPr>
      <w:r>
        <w:rPr>
          <w:rStyle w:val="Refdenotaalpie"/>
        </w:rPr>
        <w:footnoteRef/>
      </w:r>
      <w:r>
        <w:t xml:space="preserve"> Escrito coadyuvancia. Folio 24. </w:t>
      </w:r>
    </w:p>
  </w:footnote>
  <w:footnote w:id="128">
    <w:p w:rsidR="0022327A" w:rsidRPr="00A26B5E" w:rsidRDefault="00D93140" w:rsidP="0022327A">
      <w:pPr>
        <w:pStyle w:val="Textonotapie"/>
        <w:rPr>
          <w:lang w:val="es-ES"/>
        </w:rPr>
      </w:pPr>
      <w:r>
        <w:rPr>
          <w:rStyle w:val="Refdenotaalpie"/>
        </w:rPr>
        <w:footnoteRef/>
      </w:r>
      <w:r>
        <w:t xml:space="preserve"> Escrito coadyuvancia. Folio 25.</w:t>
      </w:r>
    </w:p>
  </w:footnote>
  <w:footnote w:id="129">
    <w:p w:rsidR="0022327A" w:rsidRPr="00844888" w:rsidRDefault="00D93140" w:rsidP="0022327A">
      <w:pPr>
        <w:pStyle w:val="Textonotapie"/>
        <w:rPr>
          <w:lang w:val="es-ES"/>
        </w:rPr>
      </w:pPr>
      <w:r>
        <w:rPr>
          <w:rStyle w:val="Refdenotaalpie"/>
        </w:rPr>
        <w:footnoteRef/>
      </w:r>
      <w:r>
        <w:t xml:space="preserve"> Escrito coadyuvancia. Folio 7.</w:t>
      </w:r>
    </w:p>
  </w:footnote>
  <w:footnote w:id="130">
    <w:p w:rsidR="0022327A" w:rsidRPr="002035CB" w:rsidRDefault="00D93140" w:rsidP="0022327A">
      <w:pPr>
        <w:pStyle w:val="Textonotapie"/>
        <w:rPr>
          <w:lang w:val="es-ES"/>
        </w:rPr>
      </w:pPr>
      <w:r>
        <w:rPr>
          <w:rStyle w:val="Refdenotaalpie"/>
        </w:rPr>
        <w:footnoteRef/>
      </w:r>
      <w:r>
        <w:t xml:space="preserve"> Escrito coadyuvancia. Folio 9.</w:t>
      </w:r>
    </w:p>
  </w:footnote>
  <w:footnote w:id="131">
    <w:p w:rsidR="0022327A" w:rsidRDefault="00D93140" w:rsidP="0022327A">
      <w:pPr>
        <w:pStyle w:val="Textonotapie"/>
      </w:pPr>
      <w:r>
        <w:rPr>
          <w:rStyle w:val="Refdenotaalpie"/>
        </w:rPr>
        <w:footnoteRef/>
      </w:r>
      <w:r>
        <w:t xml:space="preserve"> Escrito coadyuvancia. Folio 17.</w:t>
      </w:r>
    </w:p>
  </w:footnote>
  <w:footnote w:id="132">
    <w:p w:rsidR="0022327A" w:rsidRDefault="00D93140" w:rsidP="0022327A">
      <w:pPr>
        <w:pStyle w:val="Textonotapie"/>
      </w:pPr>
      <w:r>
        <w:rPr>
          <w:rStyle w:val="Refdenotaalpie"/>
        </w:rPr>
        <w:footnoteRef/>
      </w:r>
      <w:r>
        <w:t xml:space="preserve"> Escrito coadyuvancia. Folio 18</w:t>
      </w:r>
    </w:p>
  </w:footnote>
  <w:footnote w:id="133">
    <w:p w:rsidR="0022327A" w:rsidRDefault="00D93140" w:rsidP="0022327A">
      <w:pPr>
        <w:pStyle w:val="Textonotapie"/>
      </w:pPr>
      <w:r>
        <w:rPr>
          <w:rStyle w:val="Refdenotaalpie"/>
        </w:rPr>
        <w:footnoteRef/>
      </w:r>
      <w:r>
        <w:t xml:space="preserve"> Escrito de intervención. Folio 15.</w:t>
      </w:r>
    </w:p>
  </w:footnote>
  <w:footnote w:id="134">
    <w:p w:rsidR="0022327A" w:rsidRDefault="00D93140" w:rsidP="0022327A">
      <w:pPr>
        <w:pStyle w:val="Textonotapie"/>
      </w:pPr>
      <w:r>
        <w:rPr>
          <w:rStyle w:val="Refdenotaalpie"/>
        </w:rPr>
        <w:footnoteRef/>
      </w:r>
      <w:r>
        <w:t xml:space="preserve"> Escrito de intervención. Folio 16.</w:t>
      </w:r>
    </w:p>
  </w:footnote>
  <w:footnote w:id="135">
    <w:p w:rsidR="0022327A" w:rsidRDefault="00D93140" w:rsidP="0022327A">
      <w:pPr>
        <w:pStyle w:val="Textonotapie"/>
      </w:pPr>
      <w:r>
        <w:rPr>
          <w:rStyle w:val="Refdenotaalpie"/>
        </w:rPr>
        <w:footnoteRef/>
      </w:r>
      <w:r>
        <w:t xml:space="preserve"> Escrito de intervención. Folio 27.</w:t>
      </w:r>
    </w:p>
  </w:footnote>
  <w:footnote w:id="136">
    <w:p w:rsidR="0022327A" w:rsidRDefault="00D93140" w:rsidP="0022327A">
      <w:pPr>
        <w:pStyle w:val="Textonotapie"/>
      </w:pPr>
      <w:r>
        <w:rPr>
          <w:rStyle w:val="Refdenotaalpie"/>
        </w:rPr>
        <w:footnoteRef/>
      </w:r>
      <w:r>
        <w:t xml:space="preserve"> Escrito de intervención. Folio 33.</w:t>
      </w:r>
    </w:p>
  </w:footnote>
  <w:footnote w:id="137">
    <w:p w:rsidR="0022327A" w:rsidRDefault="00D93140" w:rsidP="0022327A">
      <w:pPr>
        <w:pStyle w:val="Textonotapie"/>
      </w:pPr>
      <w:r>
        <w:rPr>
          <w:rStyle w:val="Refdenotaalpie"/>
        </w:rPr>
        <w:footnoteRef/>
      </w:r>
      <w:r>
        <w:t xml:space="preserve"> Escrito de intervención. Folio 5.</w:t>
      </w:r>
    </w:p>
  </w:footnote>
  <w:footnote w:id="138">
    <w:p w:rsidR="0022327A" w:rsidRDefault="00D93140" w:rsidP="0022327A">
      <w:pPr>
        <w:pStyle w:val="Textonotapie"/>
      </w:pPr>
      <w:r>
        <w:rPr>
          <w:rStyle w:val="Refdenotaalpie"/>
        </w:rPr>
        <w:footnoteRef/>
      </w:r>
      <w:r>
        <w:t xml:space="preserve"> Escrito de intervención. Folio 6.</w:t>
      </w:r>
    </w:p>
  </w:footnote>
  <w:footnote w:id="139">
    <w:p w:rsidR="0022327A" w:rsidRDefault="00D93140" w:rsidP="0022327A">
      <w:pPr>
        <w:pStyle w:val="Textonotapie"/>
      </w:pPr>
      <w:r>
        <w:rPr>
          <w:rStyle w:val="Refdenotaalpie"/>
        </w:rPr>
        <w:footnoteRef/>
      </w:r>
      <w:r>
        <w:t xml:space="preserve"> Escrito de intervención. Folio 10.</w:t>
      </w:r>
    </w:p>
  </w:footnote>
  <w:footnote w:id="140">
    <w:p w:rsidR="0022327A" w:rsidRDefault="00D93140" w:rsidP="0022327A">
      <w:pPr>
        <w:pStyle w:val="Textonotapie"/>
      </w:pPr>
      <w:r>
        <w:rPr>
          <w:rStyle w:val="Refdenotaalpie"/>
        </w:rPr>
        <w:footnoteRef/>
      </w:r>
      <w:r>
        <w:t xml:space="preserve"> Escrito de intervención. Folio 12.</w:t>
      </w:r>
    </w:p>
  </w:footnote>
  <w:footnote w:id="141">
    <w:p w:rsidR="0022327A" w:rsidRDefault="00D93140" w:rsidP="0022327A">
      <w:pPr>
        <w:pStyle w:val="Textonotapie"/>
      </w:pPr>
      <w:r>
        <w:rPr>
          <w:rStyle w:val="Refdenotaalpie"/>
        </w:rPr>
        <w:footnoteRef/>
      </w:r>
      <w:r>
        <w:t xml:space="preserve"> Escrito de intervención. Folio 21.</w:t>
      </w:r>
    </w:p>
  </w:footnote>
  <w:footnote w:id="142">
    <w:p w:rsidR="0022327A" w:rsidRDefault="00D93140" w:rsidP="0022327A">
      <w:pPr>
        <w:pStyle w:val="Textonotapie"/>
      </w:pPr>
      <w:r>
        <w:rPr>
          <w:rStyle w:val="Refdenotaalpie"/>
        </w:rPr>
        <w:footnoteRef/>
      </w:r>
      <w:r>
        <w:t xml:space="preserve"> Escrito de intervención. Folio 23.</w:t>
      </w:r>
    </w:p>
  </w:footnote>
  <w:footnote w:id="143">
    <w:p w:rsidR="0022327A" w:rsidRDefault="00D93140" w:rsidP="0022327A">
      <w:pPr>
        <w:pStyle w:val="Textonotapie"/>
      </w:pPr>
      <w:r>
        <w:rPr>
          <w:rStyle w:val="Refdenotaalpie"/>
        </w:rPr>
        <w:footnoteRef/>
      </w:r>
      <w:r>
        <w:t xml:space="preserve"> Escrito de intervención. Folio 42.</w:t>
      </w:r>
    </w:p>
  </w:footnote>
  <w:footnote w:id="144">
    <w:p w:rsidR="0022327A" w:rsidRDefault="00D93140" w:rsidP="0022327A">
      <w:pPr>
        <w:pStyle w:val="Textonotapie"/>
      </w:pPr>
      <w:r>
        <w:rPr>
          <w:rStyle w:val="Refdenotaalpie"/>
        </w:rPr>
        <w:footnoteRef/>
      </w:r>
      <w:r>
        <w:t xml:space="preserve"> Escrito de intervención. Folio 42.</w:t>
      </w:r>
    </w:p>
  </w:footnote>
  <w:footnote w:id="145">
    <w:p w:rsidR="0022327A" w:rsidRDefault="00D93140" w:rsidP="0022327A">
      <w:pPr>
        <w:pStyle w:val="Textonotapie"/>
      </w:pPr>
      <w:r>
        <w:rPr>
          <w:rStyle w:val="Refdenotaalpie"/>
        </w:rPr>
        <w:footnoteRef/>
      </w:r>
      <w:r>
        <w:t xml:space="preserve"> Escrito de intervención. Folio 47.</w:t>
      </w:r>
    </w:p>
  </w:footnote>
  <w:footnote w:id="146">
    <w:p w:rsidR="0022327A" w:rsidRDefault="00D93140" w:rsidP="0022327A">
      <w:pPr>
        <w:pStyle w:val="Textonotapie"/>
      </w:pPr>
      <w:r>
        <w:rPr>
          <w:rStyle w:val="Refdenotaalpie"/>
        </w:rPr>
        <w:footnoteRef/>
      </w:r>
      <w:r>
        <w:t xml:space="preserve"> Escrito de intervención. Folio 5</w:t>
      </w:r>
      <w:r>
        <w:t>1.</w:t>
      </w:r>
    </w:p>
  </w:footnote>
  <w:footnote w:id="147">
    <w:p w:rsidR="0022327A" w:rsidRPr="00A15788" w:rsidRDefault="00D93140" w:rsidP="0022327A">
      <w:pPr>
        <w:pStyle w:val="Textonotapie"/>
        <w:rPr>
          <w:lang w:val="es-ES"/>
        </w:rPr>
      </w:pPr>
      <w:r>
        <w:rPr>
          <w:rStyle w:val="Refdenotaalpie"/>
        </w:rPr>
        <w:footnoteRef/>
      </w:r>
      <w:r>
        <w:t xml:space="preserve"> </w:t>
      </w:r>
      <w:r>
        <w:rPr>
          <w:lang w:val="es-ES"/>
        </w:rPr>
        <w:t>Escrito de intervención. Folio 4.</w:t>
      </w:r>
    </w:p>
  </w:footnote>
  <w:footnote w:id="148">
    <w:p w:rsidR="0022327A" w:rsidRPr="00BF375C" w:rsidRDefault="00D93140" w:rsidP="0022327A">
      <w:pPr>
        <w:pStyle w:val="Textonotapie"/>
        <w:rPr>
          <w:lang w:val="es-ES"/>
        </w:rPr>
      </w:pPr>
      <w:r>
        <w:rPr>
          <w:rStyle w:val="Refdenotaalpie"/>
        </w:rPr>
        <w:footnoteRef/>
      </w:r>
      <w:r>
        <w:t xml:space="preserve"> </w:t>
      </w:r>
      <w:r>
        <w:rPr>
          <w:lang w:val="es-ES"/>
        </w:rPr>
        <w:t>Escrito de intervención. Folio 4.</w:t>
      </w:r>
    </w:p>
  </w:footnote>
  <w:footnote w:id="149">
    <w:p w:rsidR="0022327A" w:rsidRPr="00527680" w:rsidRDefault="00D93140" w:rsidP="0022327A">
      <w:pPr>
        <w:pStyle w:val="Textonotapie"/>
        <w:rPr>
          <w:lang w:val="es-ES"/>
        </w:rPr>
      </w:pPr>
      <w:r>
        <w:rPr>
          <w:rStyle w:val="Refdenotaalpie"/>
        </w:rPr>
        <w:footnoteRef/>
      </w:r>
      <w:r>
        <w:t xml:space="preserve"> </w:t>
      </w:r>
      <w:r>
        <w:rPr>
          <w:lang w:val="es-ES"/>
        </w:rPr>
        <w:t>Escrito de intervención. Folio 7</w:t>
      </w:r>
    </w:p>
  </w:footnote>
  <w:footnote w:id="150">
    <w:p w:rsidR="0022327A" w:rsidRDefault="00D93140" w:rsidP="0022327A">
      <w:pPr>
        <w:pStyle w:val="Textonotapie"/>
      </w:pPr>
      <w:r>
        <w:rPr>
          <w:rStyle w:val="Refdenotaalpie"/>
        </w:rPr>
        <w:footnoteRef/>
      </w:r>
      <w:r>
        <w:t xml:space="preserve"> Escrito de intervención. Folio 5.</w:t>
      </w:r>
    </w:p>
  </w:footnote>
  <w:footnote w:id="151">
    <w:p w:rsidR="0022327A" w:rsidRPr="0022405F" w:rsidRDefault="00D93140" w:rsidP="0022327A">
      <w:pPr>
        <w:pStyle w:val="Textonotapie"/>
        <w:rPr>
          <w:lang w:val="es-ES"/>
        </w:rPr>
      </w:pPr>
      <w:r>
        <w:rPr>
          <w:rStyle w:val="Refdenotaalpie"/>
        </w:rPr>
        <w:footnoteRef/>
      </w:r>
      <w:r>
        <w:t xml:space="preserve"> </w:t>
      </w:r>
      <w:r>
        <w:rPr>
          <w:lang w:val="es-ES"/>
        </w:rPr>
        <w:t>Escrito de intervención. Folio 4.</w:t>
      </w:r>
    </w:p>
  </w:footnote>
  <w:footnote w:id="152">
    <w:p w:rsidR="0022327A" w:rsidRDefault="00D93140" w:rsidP="0022327A">
      <w:pPr>
        <w:pStyle w:val="Textonotapie"/>
      </w:pPr>
      <w:r>
        <w:rPr>
          <w:rStyle w:val="Refdenotaalpie"/>
        </w:rPr>
        <w:footnoteRef/>
      </w:r>
      <w:r>
        <w:t xml:space="preserve"> Escrito de intervención. Folio 3.</w:t>
      </w:r>
    </w:p>
  </w:footnote>
  <w:footnote w:id="153">
    <w:p w:rsidR="0022327A" w:rsidRDefault="00D93140" w:rsidP="0022327A">
      <w:pPr>
        <w:pStyle w:val="Textonotapie"/>
      </w:pPr>
      <w:r>
        <w:rPr>
          <w:rStyle w:val="Refdenotaalpie"/>
        </w:rPr>
        <w:footnoteRef/>
      </w:r>
      <w:r>
        <w:t xml:space="preserve"> Escrito de intervención. Folio 4.</w:t>
      </w:r>
    </w:p>
  </w:footnote>
  <w:footnote w:id="154">
    <w:p w:rsidR="00EC3298" w:rsidRPr="00D93140" w:rsidRDefault="00D93140" w:rsidP="00EC7E23">
      <w:pPr>
        <w:pStyle w:val="Textonotapie"/>
        <w:jc w:val="both"/>
        <w:rPr>
          <w:rFonts w:ascii="Times New Roman" w:hAnsi="Times New Roman"/>
          <w:color w:val="000000"/>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iCs/>
          <w:color w:val="000000"/>
        </w:rPr>
        <w:t>Por el cual se establecen las normas requeridas para el funcionamiento de los territorios indígenas en materia ambiental y el desarrollo de las competencias ambientales de las autoridades indígenas y su coordinación efectiva con las demás autoridades y/o</w:t>
      </w:r>
      <w:r w:rsidRPr="00D93140">
        <w:rPr>
          <w:rFonts w:ascii="Times New Roman" w:hAnsi="Times New Roman"/>
          <w:iCs/>
          <w:color w:val="000000"/>
        </w:rPr>
        <w:t xml:space="preserve"> entidades</w:t>
      </w:r>
      <w:r w:rsidRPr="00D93140">
        <w:rPr>
          <w:rFonts w:ascii="Times New Roman" w:hAnsi="Times New Roman"/>
          <w:i/>
          <w:iCs/>
          <w:color w:val="000000"/>
        </w:rPr>
        <w:t>”.</w:t>
      </w:r>
    </w:p>
  </w:footnote>
  <w:footnote w:id="155">
    <w:p w:rsidR="00EC7E23" w:rsidRPr="00EC7E23" w:rsidRDefault="00D93140" w:rsidP="00EC7E23">
      <w:pPr>
        <w:pStyle w:val="Textonotapie"/>
        <w:jc w:val="both"/>
        <w:rPr>
          <w:rFonts w:ascii="Times New Roman" w:hAnsi="Times New Roman"/>
          <w:lang w:val="es-ES"/>
        </w:rPr>
      </w:pPr>
      <w:r w:rsidRPr="00EC7E23">
        <w:rPr>
          <w:rStyle w:val="Refdenotaalpie"/>
          <w:rFonts w:ascii="Times New Roman" w:hAnsi="Times New Roman"/>
        </w:rPr>
        <w:footnoteRef/>
      </w:r>
      <w:r w:rsidRPr="00EC7E23">
        <w:rPr>
          <w:rFonts w:ascii="Times New Roman" w:hAnsi="Times New Roman"/>
        </w:rPr>
        <w:t xml:space="preserve"> </w:t>
      </w:r>
      <w:r w:rsidRPr="00EC7E23">
        <w:rPr>
          <w:rFonts w:ascii="Times New Roman" w:hAnsi="Times New Roman"/>
          <w:lang w:val="es-ES"/>
        </w:rPr>
        <w:t>Cabe recordar que el análisis de la Corte llevó a la adopción de distintas decisiones en la parte resolutiva de la sentencia, a saber: “PRIMERO. Declararse INHIBIDA respecto de los cargos presentados en los expedientes D-16345 y D-16396 rela</w:t>
      </w:r>
      <w:r w:rsidRPr="00EC7E23">
        <w:rPr>
          <w:rFonts w:ascii="Times New Roman" w:hAnsi="Times New Roman"/>
          <w:lang w:val="es-ES"/>
        </w:rPr>
        <w:t>cionados con la vulneración de los artículos 123, 151, 210, 288, 330, 334, y 56 transitorio de la Constitución, así como respecto del artículo 6 del Convenio 169 de la OIT por las razones expuestas en la presente decisión. || SEGUNDO. Declarar EXEQUIBLE el</w:t>
      </w:r>
      <w:r w:rsidRPr="00EC7E23">
        <w:rPr>
          <w:rFonts w:ascii="Times New Roman" w:hAnsi="Times New Roman"/>
          <w:lang w:val="es-ES"/>
        </w:rPr>
        <w:t xml:space="preserve"> artículo 2 del Decreto 1275 de 2024, por las razones expuestas en la presente providencia. || TERCERO. Declarar EXEQUIBLE la expresión “sanciones y” contenida en el numeral 3 del artículo 6 del Decreto 1275 de 2024 en el entendido de que: i) las autoridad</w:t>
      </w:r>
      <w:r w:rsidRPr="00EC7E23">
        <w:rPr>
          <w:rFonts w:ascii="Times New Roman" w:hAnsi="Times New Roman"/>
          <w:lang w:val="es-ES"/>
        </w:rPr>
        <w:t>es indígenas no podrán imponer sanciones a personas que no integran sus comunidades y ii) que las autoridades ambientales competentes al proceder a su imposición, previa coordinación con las autoridades indígenas respectivas, deberán regirse por las dispos</w:t>
      </w:r>
      <w:r w:rsidRPr="00EC7E23">
        <w:rPr>
          <w:rFonts w:ascii="Times New Roman" w:hAnsi="Times New Roman"/>
          <w:lang w:val="es-ES"/>
        </w:rPr>
        <w:t>iciones legales que regulan el régimen sancionatorio ambiental. || CUARTO. Declarar INEXEQUIBLE la expresión “en los casos en los que se supere el ámbito de aplicación del presente Decreto y concurran competencias ambientales” contenida en el artículo 5 de</w:t>
      </w:r>
      <w:r w:rsidRPr="00EC7E23">
        <w:rPr>
          <w:rFonts w:ascii="Times New Roman" w:hAnsi="Times New Roman"/>
          <w:lang w:val="es-ES"/>
        </w:rPr>
        <w:t>l Decreto 1275 de 2024 por las razones expuestas en la presente providencia || QUINTO. Declarar EXEQUIBLE los artículos 5 y 6 del Decreto 1275 de 2024 en el entendido de que las personas que no pertenezcan a las comunidades indígenas que resulten afectadas</w:t>
      </w:r>
      <w:r w:rsidRPr="00EC7E23">
        <w:rPr>
          <w:rFonts w:ascii="Times New Roman" w:hAnsi="Times New Roman"/>
          <w:lang w:val="es-ES"/>
        </w:rPr>
        <w:t xml:space="preserve"> por las decisiones que tomen sus autoridades en materia ambiental podrán acudir a los mecanismos judiciales ordinarios.”</w:t>
      </w:r>
    </w:p>
  </w:footnote>
  <w:footnote w:id="156">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Corte Constitucional. Sentencia SU-510 de 1998.</w:t>
      </w:r>
    </w:p>
  </w:footnote>
  <w:footnote w:id="157">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Corte Constitucional. Sentencia T-955 de 2003.</w:t>
      </w:r>
    </w:p>
  </w:footnote>
  <w:footnote w:id="158">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 xml:space="preserve">Sentencias T-380 de 1993 y T-072 </w:t>
      </w:r>
      <w:r w:rsidRPr="00D93140">
        <w:rPr>
          <w:rFonts w:ascii="Times New Roman" w:hAnsi="Times New Roman"/>
          <w:color w:val="000000"/>
          <w:lang w:val="es-ES"/>
        </w:rPr>
        <w:t>de 2021, entre otras.</w:t>
      </w:r>
    </w:p>
  </w:footnote>
  <w:footnote w:id="159">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Sentencias T-072 de 2021 y T-180 de 2024, entre otras.</w:t>
      </w:r>
    </w:p>
  </w:footnote>
  <w:footnote w:id="160">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Sentencias T-955 de 2003 y T-248 de 2024, entre otras.</w:t>
      </w:r>
    </w:p>
  </w:footnote>
  <w:footnote w:id="161">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Sentencias T-380 de 1993, C-371 de 2014 y T-005 de 2016, entre otras. En es</w:t>
      </w:r>
      <w:r w:rsidRPr="00D93140">
        <w:rPr>
          <w:rFonts w:ascii="Times New Roman" w:hAnsi="Times New Roman"/>
          <w:color w:val="000000"/>
          <w:lang w:val="es-ES"/>
        </w:rPr>
        <w:t>a</w:t>
      </w:r>
      <w:r w:rsidRPr="00D93140">
        <w:rPr>
          <w:rFonts w:ascii="Times New Roman" w:hAnsi="Times New Roman"/>
          <w:color w:val="000000"/>
          <w:lang w:val="es-ES"/>
        </w:rPr>
        <w:t xml:space="preserve"> esencia, la Corte ha partido de considerar que la relación entre el Estado y los pueblos indígenas se basa en una interlocución horizontal donde los sistemas de conocimiento indígenas tienen el mismo estatus que la ciencia y la ley nacional en la gestión </w:t>
      </w:r>
      <w:r w:rsidRPr="00D93140">
        <w:rPr>
          <w:rFonts w:ascii="Times New Roman" w:hAnsi="Times New Roman"/>
          <w:color w:val="000000"/>
          <w:lang w:val="es-ES"/>
        </w:rPr>
        <w:t>de sus territorios, siempre sobre la base del respeto por de la Constitución de 1991.</w:t>
      </w:r>
    </w:p>
  </w:footnote>
  <w:footnote w:id="162">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Corte Constitucional. Sentencia T-072 de 2021.</w:t>
      </w:r>
    </w:p>
  </w:footnote>
  <w:footnote w:id="163">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Al respecto, en la Sentencia T-106 de 2025, la Corte fue enfática en señalar que “Al amparo del actual marco constituci</w:t>
      </w:r>
      <w:r w:rsidRPr="00D93140">
        <w:rPr>
          <w:rFonts w:ascii="Times New Roman" w:hAnsi="Times New Roman"/>
          <w:color w:val="000000"/>
          <w:lang w:val="es-ES"/>
        </w:rPr>
        <w:t xml:space="preserve">onal exige la constitución efectiva de las entidades territoriales indígenas (ETI) como parte de la estructura político–administrativa definida y prevista en los artículos 1º y 286 superiores. Solo a partir de este mecanismo, que aún hoy se mantiene en un </w:t>
      </w:r>
      <w:r w:rsidRPr="00D93140">
        <w:rPr>
          <w:rFonts w:ascii="Times New Roman" w:hAnsi="Times New Roman"/>
          <w:color w:val="000000"/>
          <w:lang w:val="es-ES"/>
        </w:rPr>
        <w:t xml:space="preserve">nivel aspiracional, pese a que han transcurrido tres décadas desde la entrada en vigencia de la Constitución Política de 1991, es posible garantizar de manera plena, adecuada, integral e interdependiente los derechos humanos asociados a la construcción de </w:t>
      </w:r>
      <w:r w:rsidRPr="00D93140">
        <w:rPr>
          <w:rFonts w:ascii="Times New Roman" w:hAnsi="Times New Roman"/>
          <w:color w:val="000000"/>
          <w:lang w:val="es-ES"/>
        </w:rPr>
        <w:t>los planes de vida y a la gestión territorial, así como de aquellos que reivindican la dignidad en términos de un ‘buen vivir’”. Y previamente, la Sentencia T-180 de 2024 fue contundente al indicar que “[l]a Corte Constitucional ha sostenido que la Ley 145</w:t>
      </w:r>
      <w:r w:rsidRPr="00D93140">
        <w:rPr>
          <w:rFonts w:ascii="Times New Roman" w:hAnsi="Times New Roman"/>
          <w:color w:val="000000"/>
          <w:lang w:val="es-ES"/>
        </w:rPr>
        <w:t xml:space="preserve">4 de 2011 no configuró un régimen jurídico que permita el funcionamiento de las ETI como entidades territoriales. Esto, porque no señaló unas condiciones mínimas para poner en funcionamiento las ETI y “se limitó a establecer los principios y reglas que se </w:t>
      </w:r>
      <w:r w:rsidRPr="00D93140">
        <w:rPr>
          <w:rFonts w:ascii="Times New Roman" w:hAnsi="Times New Roman"/>
          <w:color w:val="000000"/>
          <w:lang w:val="es-ES"/>
        </w:rPr>
        <w:t>deben seguir en la expedición de las respectivas leyes, a prever la posibilidad de asociación entre entidades territoriales y a delimitar el alcance de ciertas competencias asignadas a la Nación y a otras entidades territoriales”. En tales términos, a part</w:t>
      </w:r>
      <w:r w:rsidRPr="00D93140">
        <w:rPr>
          <w:rFonts w:ascii="Times New Roman" w:hAnsi="Times New Roman"/>
          <w:color w:val="000000"/>
          <w:lang w:val="es-ES"/>
        </w:rPr>
        <w:t>ir de la sentencia C-489 de 2012, la Corte Constitucional ha reiterado que existe una omisión legislativa absoluta respecto del régimen de conformación y puesta en marcha de las ETI, por lo que ha exhortado al Congreso y al Gobierno, a fin de que se “regul</w:t>
      </w:r>
      <w:r w:rsidRPr="00D93140">
        <w:rPr>
          <w:rFonts w:ascii="Times New Roman" w:hAnsi="Times New Roman"/>
          <w:color w:val="000000"/>
          <w:lang w:val="es-ES"/>
        </w:rPr>
        <w:t>e lo concerniente a las regiones como entidades territoriales y expidan el proyecto de ley especial que reglamente lo relativo a la conformación de las Entidades Territoriales Indígenas”. Pese a que desde el 2012 se evidenció la inexistencia de la regulaci</w:t>
      </w:r>
      <w:r w:rsidRPr="00D93140">
        <w:rPr>
          <w:rFonts w:ascii="Times New Roman" w:hAnsi="Times New Roman"/>
          <w:color w:val="000000"/>
          <w:lang w:val="es-ES"/>
        </w:rPr>
        <w:t>ón a la que se refiere el artículo 329 de la Constitución, dicho exhorto no se ha cumplido”.</w:t>
      </w:r>
    </w:p>
  </w:footnote>
  <w:footnote w:id="164">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 xml:space="preserve">Al respecto ver, especialmente, las sentencias T-955 de 2003 y T-248 de 2024. </w:t>
      </w:r>
    </w:p>
  </w:footnote>
  <w:footnote w:id="165">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 xml:space="preserve">Sobre este punto es importante no perder de vista el desarrollo del concepto de </w:t>
      </w:r>
      <w:r w:rsidRPr="00D93140">
        <w:rPr>
          <w:rFonts w:ascii="Times New Roman" w:hAnsi="Times New Roman"/>
          <w:color w:val="000000"/>
          <w:lang w:val="es-ES"/>
        </w:rPr>
        <w:t>bioculturalidad abordado por la Corte, sobre todo, desde la Sentencia T-622 de 2016, así como la comprensión holística del territorio a la que se hizo referencia en la Sentencia T-106 de 2025.</w:t>
      </w:r>
    </w:p>
  </w:footnote>
  <w:footnote w:id="166">
    <w:p w:rsidR="00EC7E23"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Así, de hecho, lo reconoció expresamente la propia Corte en l</w:t>
      </w:r>
      <w:r w:rsidRPr="00D93140">
        <w:rPr>
          <w:rFonts w:ascii="Times New Roman" w:hAnsi="Times New Roman"/>
          <w:color w:val="000000"/>
          <w:lang w:val="es-ES"/>
        </w:rPr>
        <w:t xml:space="preserve">a Sentencia T-106 de 2025 en el marco de la protección de las competencias ambientales de las autoridades indígenas inmersas en la controversia constitucional resuelta en dicha oportunidad. </w:t>
      </w:r>
    </w:p>
  </w:footnote>
  <w:footnote w:id="167">
    <w:p w:rsidR="00EC3298" w:rsidRPr="00D93140" w:rsidRDefault="00D93140" w:rsidP="00EC7E23">
      <w:pPr>
        <w:pStyle w:val="Textonotapie"/>
        <w:jc w:val="both"/>
        <w:rPr>
          <w:rFonts w:ascii="Times New Roman" w:hAnsi="Times New Roman"/>
          <w:color w:val="000000"/>
          <w:lang w:val="es-ES"/>
        </w:rPr>
      </w:pPr>
      <w:r w:rsidRPr="00D93140">
        <w:rPr>
          <w:rStyle w:val="Refdenotaalpie"/>
          <w:rFonts w:ascii="Times New Roman" w:hAnsi="Times New Roman"/>
          <w:color w:val="000000"/>
        </w:rPr>
        <w:footnoteRef/>
      </w:r>
      <w:r w:rsidRPr="00D93140">
        <w:rPr>
          <w:rFonts w:ascii="Times New Roman" w:hAnsi="Times New Roman"/>
          <w:color w:val="000000"/>
        </w:rPr>
        <w:t xml:space="preserve"> </w:t>
      </w:r>
      <w:r w:rsidRPr="00D93140">
        <w:rPr>
          <w:rFonts w:ascii="Times New Roman" w:hAnsi="Times New Roman"/>
          <w:color w:val="000000"/>
          <w:lang w:val="es-ES"/>
        </w:rPr>
        <w:t>Tal como se indicó en la Sentencia T-072 de 2021, “[l]a protecc</w:t>
      </w:r>
      <w:r w:rsidRPr="00D93140">
        <w:rPr>
          <w:rFonts w:ascii="Times New Roman" w:hAnsi="Times New Roman"/>
          <w:color w:val="000000"/>
          <w:lang w:val="es-ES"/>
        </w:rPr>
        <w:t>ión de la diversidad étnica y cultural de la Nación significó un cambio trascendental en la concepción del Estado implementada en la Constitución de 1991. Una de las principales garantías reconocidas a las comunidades indígenas fue la autonomía o autodeter</w:t>
      </w:r>
      <w:r w:rsidRPr="00D93140">
        <w:rPr>
          <w:rFonts w:ascii="Times New Roman" w:hAnsi="Times New Roman"/>
          <w:color w:val="000000"/>
          <w:lang w:val="es-ES"/>
        </w:rPr>
        <w:t>minación de los pueblos. Esto es, el derecho que les asiste a decidir sobre los asuntos culturales, espirituales, políticos y jurídicos, de acuerdo con sus usos y costumbres. Dentro de los ámbitos de aplicación de la autonomía de los pueblos indígenas se e</w:t>
      </w:r>
      <w:r w:rsidRPr="00D93140">
        <w:rPr>
          <w:rFonts w:ascii="Times New Roman" w:hAnsi="Times New Roman"/>
          <w:color w:val="000000"/>
          <w:lang w:val="es-ES"/>
        </w:rPr>
        <w:t>ncuentra el derecho al autogobierno. Este busca garantizar la autonomía en el establecimiento de sus instituciones jurídicas y sistemas tanto normativos como de gobierno. En consecuencia, no son las comunidades indígenas las que deben ajustar su funcionami</w:t>
      </w:r>
      <w:r w:rsidRPr="00D93140">
        <w:rPr>
          <w:rFonts w:ascii="Times New Roman" w:hAnsi="Times New Roman"/>
          <w:color w:val="000000"/>
          <w:lang w:val="es-ES"/>
        </w:rPr>
        <w:t>ento interno a la normatividad de la sociedad mayoritaria. Es esta última la que debe respetar el derecho de los pueblos a autoidentificarse e identificar a sus miembros, es decir, reconocer la existencia y validez legal del sistema de derecho propio indíg</w:t>
      </w:r>
      <w:r w:rsidRPr="00D93140">
        <w:rPr>
          <w:rFonts w:ascii="Times New Roman" w:hAnsi="Times New Roman"/>
          <w:color w:val="000000"/>
          <w:lang w:val="es-ES"/>
        </w:rPr>
        <w:t>ena.”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2444B"/>
    <w:multiLevelType w:val="hybridMultilevel"/>
    <w:tmpl w:val="E48ECA4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0C524EF"/>
    <w:multiLevelType w:val="hybridMultilevel"/>
    <w:tmpl w:val="D0C6B3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683272D"/>
    <w:multiLevelType w:val="multilevel"/>
    <w:tmpl w:val="FE26AD34"/>
    <w:lvl w:ilvl="0">
      <w:start w:val="1"/>
      <w:numFmt w:val="decimal"/>
      <w:lvlText w:val="%1."/>
      <w:lvlJc w:val="left"/>
      <w:pPr>
        <w:ind w:left="750" w:hanging="390"/>
      </w:pPr>
      <w:rPr>
        <w:rFonts w:hint="default"/>
        <w:b w:val="0"/>
        <w:bCs w:val="0"/>
        <w:i w:val="0"/>
        <w:iCs w:val="0"/>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11AA"/>
    <w:rsid w:val="00D93140"/>
    <w:rsid w:val="00F511AA"/>
    <w:rsid w:val="00F943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6E5A4354-C35B-4803-B991-EEAD33D90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uiPriority w:val="9"/>
    <w:qFormat/>
    <w:rsid w:val="00EB76FB"/>
    <w:pPr>
      <w:keepNext/>
      <w:keepLines/>
      <w:spacing w:before="360" w:after="80"/>
      <w:outlineLvl w:val="0"/>
    </w:pPr>
    <w:rPr>
      <w:b/>
      <w:sz w:val="30"/>
      <w:szCs w:val="40"/>
    </w:rPr>
  </w:style>
  <w:style w:type="paragraph" w:styleId="Ttulo2">
    <w:name w:val="heading 2"/>
    <w:basedOn w:val="Normal"/>
    <w:next w:val="Normal"/>
    <w:link w:val="Ttulo2Car"/>
    <w:uiPriority w:val="9"/>
    <w:unhideWhenUsed/>
    <w:qFormat/>
    <w:rsid w:val="00EB76FB"/>
    <w:pPr>
      <w:keepNext/>
      <w:keepLines/>
      <w:spacing w:before="160" w:after="80"/>
      <w:outlineLvl w:val="1"/>
    </w:pPr>
    <w:rPr>
      <w:szCs w:val="32"/>
    </w:rPr>
  </w:style>
  <w:style w:type="paragraph" w:styleId="Ttulo3">
    <w:name w:val="heading 3"/>
    <w:basedOn w:val="Normal"/>
    <w:next w:val="Normal"/>
    <w:link w:val="Ttulo3Car"/>
    <w:uiPriority w:val="9"/>
    <w:unhideWhenUsed/>
    <w:qFormat/>
    <w:rsid w:val="00EB76FB"/>
    <w:pPr>
      <w:keepNext/>
      <w:keepLines/>
      <w:spacing w:before="160" w:after="80"/>
      <w:jc w:val="both"/>
      <w:outlineLvl w:val="2"/>
    </w:pPr>
    <w:rPr>
      <w:b/>
      <w:szCs w:val="28"/>
    </w:rPr>
  </w:style>
  <w:style w:type="paragraph" w:styleId="Ttulo4">
    <w:name w:val="heading 4"/>
    <w:basedOn w:val="Normal"/>
    <w:next w:val="Normal"/>
    <w:link w:val="Ttulo4Car"/>
    <w:uiPriority w:val="9"/>
    <w:unhideWhenUsed/>
    <w:qFormat/>
    <w:rsid w:val="00EB76FB"/>
    <w:pPr>
      <w:keepNext/>
      <w:keepLines/>
      <w:spacing w:before="80" w:after="40"/>
      <w:jc w:val="both"/>
      <w:outlineLvl w:val="3"/>
    </w:pPr>
    <w:rPr>
      <w:b/>
      <w:i/>
      <w:iCs/>
    </w:rPr>
  </w:style>
  <w:style w:type="paragraph" w:styleId="Ttulo5">
    <w:name w:val="heading 5"/>
    <w:basedOn w:val="Normal"/>
    <w:next w:val="Normal"/>
    <w:link w:val="Ttulo5Car"/>
    <w:uiPriority w:val="9"/>
    <w:semiHidden/>
    <w:unhideWhenUsed/>
    <w:qFormat/>
    <w:rsid w:val="00135D8C"/>
    <w:pPr>
      <w:keepNext/>
      <w:keepLines/>
      <w:spacing w:before="80" w:after="40"/>
      <w:outlineLvl w:val="4"/>
    </w:pPr>
    <w:rPr>
      <w:color w:val="2F5496"/>
    </w:rPr>
  </w:style>
  <w:style w:type="paragraph" w:styleId="Ttulo6">
    <w:name w:val="heading 6"/>
    <w:basedOn w:val="Normal"/>
    <w:next w:val="Normal"/>
    <w:link w:val="Ttulo6Car"/>
    <w:uiPriority w:val="9"/>
    <w:semiHidden/>
    <w:unhideWhenUsed/>
    <w:qFormat/>
    <w:rsid w:val="00135D8C"/>
    <w:pPr>
      <w:keepNext/>
      <w:keepLines/>
      <w:spacing w:before="40"/>
      <w:outlineLvl w:val="5"/>
    </w:pPr>
    <w:rPr>
      <w:i/>
      <w:iCs/>
      <w:color w:val="595959"/>
    </w:rPr>
  </w:style>
  <w:style w:type="paragraph" w:styleId="Ttulo7">
    <w:name w:val="heading 7"/>
    <w:basedOn w:val="Normal"/>
    <w:next w:val="Normal"/>
    <w:link w:val="Ttulo7Car"/>
    <w:uiPriority w:val="9"/>
    <w:semiHidden/>
    <w:unhideWhenUsed/>
    <w:qFormat/>
    <w:rsid w:val="00135D8C"/>
    <w:pPr>
      <w:keepNext/>
      <w:keepLines/>
      <w:spacing w:before="40"/>
      <w:outlineLvl w:val="6"/>
    </w:pPr>
    <w:rPr>
      <w:color w:val="595959"/>
    </w:rPr>
  </w:style>
  <w:style w:type="paragraph" w:styleId="Ttulo8">
    <w:name w:val="heading 8"/>
    <w:basedOn w:val="Normal"/>
    <w:next w:val="Normal"/>
    <w:link w:val="Ttulo8Car"/>
    <w:uiPriority w:val="9"/>
    <w:semiHidden/>
    <w:unhideWhenUsed/>
    <w:qFormat/>
    <w:rsid w:val="00135D8C"/>
    <w:pPr>
      <w:keepNext/>
      <w:keepLines/>
      <w:outlineLvl w:val="7"/>
    </w:pPr>
    <w:rPr>
      <w:i/>
      <w:iCs/>
      <w:color w:val="272727"/>
    </w:rPr>
  </w:style>
  <w:style w:type="paragraph" w:styleId="Ttulo9">
    <w:name w:val="heading 9"/>
    <w:basedOn w:val="Normal"/>
    <w:next w:val="Normal"/>
    <w:link w:val="Ttulo9Car"/>
    <w:uiPriority w:val="9"/>
    <w:semiHidden/>
    <w:unhideWhenUsed/>
    <w:qFormat/>
    <w:rsid w:val="00135D8C"/>
    <w:pPr>
      <w:keepNext/>
      <w:keepLines/>
      <w:outlineLvl w:val="8"/>
    </w:pPr>
    <w:rPr>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EB76FB"/>
    <w:rPr>
      <w:rFonts w:eastAsia="Times New Roman" w:cs="Times New Roman"/>
      <w:b/>
      <w:sz w:val="30"/>
      <w:szCs w:val="40"/>
    </w:rPr>
  </w:style>
  <w:style w:type="character" w:customStyle="1" w:styleId="Ttulo2Car">
    <w:name w:val="Título 2 Car"/>
    <w:link w:val="Ttulo2"/>
    <w:uiPriority w:val="9"/>
    <w:rsid w:val="00EB76FB"/>
    <w:rPr>
      <w:rFonts w:eastAsia="Times New Roman" w:cs="Times New Roman"/>
      <w:sz w:val="28"/>
      <w:szCs w:val="32"/>
    </w:rPr>
  </w:style>
  <w:style w:type="character" w:customStyle="1" w:styleId="Ttulo3Car">
    <w:name w:val="Título 3 Car"/>
    <w:link w:val="Ttulo3"/>
    <w:rsid w:val="00EB76FB"/>
    <w:rPr>
      <w:rFonts w:eastAsia="Times New Roman" w:cs="Times New Roman"/>
      <w:b/>
      <w:sz w:val="28"/>
      <w:szCs w:val="28"/>
    </w:rPr>
  </w:style>
  <w:style w:type="character" w:customStyle="1" w:styleId="Ttulo4Car">
    <w:name w:val="Título 4 Car"/>
    <w:link w:val="Ttulo4"/>
    <w:uiPriority w:val="9"/>
    <w:rsid w:val="00EB76FB"/>
    <w:rPr>
      <w:rFonts w:eastAsia="Times New Roman" w:cs="Times New Roman"/>
      <w:b/>
      <w:i/>
      <w:iCs/>
      <w:sz w:val="28"/>
    </w:rPr>
  </w:style>
  <w:style w:type="character" w:customStyle="1" w:styleId="Ttulo5Car">
    <w:name w:val="Título 5 Car"/>
    <w:link w:val="Ttulo5"/>
    <w:uiPriority w:val="9"/>
    <w:semiHidden/>
    <w:rsid w:val="00135D8C"/>
    <w:rPr>
      <w:rFonts w:ascii="Calibri" w:eastAsia="Times New Roman" w:hAnsi="Calibri" w:cs="Times New Roman"/>
      <w:color w:val="2F5496"/>
    </w:rPr>
  </w:style>
  <w:style w:type="character" w:customStyle="1" w:styleId="Ttulo6Car">
    <w:name w:val="Título 6 Car"/>
    <w:link w:val="Ttulo6"/>
    <w:uiPriority w:val="9"/>
    <w:semiHidden/>
    <w:rsid w:val="00135D8C"/>
    <w:rPr>
      <w:rFonts w:ascii="Calibri" w:eastAsia="Times New Roman" w:hAnsi="Calibri" w:cs="Times New Roman"/>
      <w:i/>
      <w:iCs/>
      <w:color w:val="595959"/>
    </w:rPr>
  </w:style>
  <w:style w:type="character" w:customStyle="1" w:styleId="Ttulo7Car">
    <w:name w:val="Título 7 Car"/>
    <w:link w:val="Ttulo7"/>
    <w:uiPriority w:val="9"/>
    <w:semiHidden/>
    <w:rsid w:val="00135D8C"/>
    <w:rPr>
      <w:rFonts w:ascii="Calibri" w:eastAsia="Times New Roman" w:hAnsi="Calibri" w:cs="Times New Roman"/>
      <w:color w:val="595959"/>
    </w:rPr>
  </w:style>
  <w:style w:type="character" w:customStyle="1" w:styleId="Ttulo8Car">
    <w:name w:val="Título 8 Car"/>
    <w:link w:val="Ttulo8"/>
    <w:uiPriority w:val="9"/>
    <w:semiHidden/>
    <w:rsid w:val="00135D8C"/>
    <w:rPr>
      <w:rFonts w:ascii="Calibri" w:eastAsia="Times New Roman" w:hAnsi="Calibri" w:cs="Times New Roman"/>
      <w:i/>
      <w:iCs/>
      <w:color w:val="272727"/>
    </w:rPr>
  </w:style>
  <w:style w:type="character" w:customStyle="1" w:styleId="Ttulo9Car">
    <w:name w:val="Título 9 Car"/>
    <w:link w:val="Ttulo9"/>
    <w:uiPriority w:val="9"/>
    <w:semiHidden/>
    <w:rsid w:val="00135D8C"/>
    <w:rPr>
      <w:rFonts w:ascii="Calibri" w:eastAsia="Times New Roman" w:hAnsi="Calibri" w:cs="Times New Roman"/>
      <w:color w:val="272727"/>
    </w:rPr>
  </w:style>
  <w:style w:type="paragraph" w:styleId="Ttulo">
    <w:name w:val="Title"/>
    <w:basedOn w:val="Normal"/>
    <w:next w:val="Normal"/>
    <w:link w:val="TtuloCar"/>
    <w:uiPriority w:val="10"/>
    <w:qFormat/>
    <w:rsid w:val="00135D8C"/>
    <w:pPr>
      <w:spacing w:after="80"/>
      <w:contextualSpacing/>
    </w:pPr>
    <w:rPr>
      <w:rFonts w:ascii="Calibri Light" w:hAnsi="Calibri Light"/>
      <w:spacing w:val="-10"/>
      <w:kern w:val="28"/>
      <w:sz w:val="56"/>
      <w:szCs w:val="56"/>
    </w:rPr>
  </w:style>
  <w:style w:type="character" w:customStyle="1" w:styleId="TtuloCar">
    <w:name w:val="Título Car"/>
    <w:link w:val="Ttulo"/>
    <w:uiPriority w:val="10"/>
    <w:rsid w:val="00135D8C"/>
    <w:rPr>
      <w:rFonts w:ascii="Calibri Light" w:eastAsia="Times New Roman" w:hAnsi="Calibri Light" w:cs="Times New Roman"/>
      <w:spacing w:val="-10"/>
      <w:kern w:val="28"/>
      <w:sz w:val="56"/>
      <w:szCs w:val="56"/>
    </w:rPr>
  </w:style>
  <w:style w:type="paragraph" w:styleId="Subttulo">
    <w:name w:val="Subtitle"/>
    <w:basedOn w:val="Normal"/>
    <w:next w:val="Normal"/>
    <w:link w:val="SubttuloCar"/>
    <w:uiPriority w:val="11"/>
    <w:qFormat/>
    <w:rsid w:val="00135D8C"/>
    <w:pPr>
      <w:numPr>
        <w:ilvl w:val="1"/>
      </w:numPr>
    </w:pPr>
    <w:rPr>
      <w:color w:val="595959"/>
      <w:spacing w:val="15"/>
      <w:szCs w:val="28"/>
    </w:rPr>
  </w:style>
  <w:style w:type="character" w:customStyle="1" w:styleId="SubttuloCar">
    <w:name w:val="Subtítulo Car"/>
    <w:link w:val="Subttulo"/>
    <w:uiPriority w:val="11"/>
    <w:rsid w:val="00135D8C"/>
    <w:rPr>
      <w:rFonts w:ascii="Calibri" w:eastAsia="Times New Roman" w:hAnsi="Calibri" w:cs="Times New Roman"/>
      <w:color w:val="595959"/>
      <w:spacing w:val="15"/>
      <w:sz w:val="28"/>
      <w:szCs w:val="28"/>
    </w:rPr>
  </w:style>
  <w:style w:type="paragraph" w:styleId="Cita">
    <w:name w:val="Quote"/>
    <w:basedOn w:val="Normal"/>
    <w:next w:val="Normal"/>
    <w:link w:val="CitaCar"/>
    <w:uiPriority w:val="29"/>
    <w:qFormat/>
    <w:rsid w:val="00135D8C"/>
    <w:pPr>
      <w:spacing w:before="160"/>
      <w:jc w:val="center"/>
    </w:pPr>
    <w:rPr>
      <w:i/>
      <w:iCs/>
      <w:color w:val="404040"/>
    </w:rPr>
  </w:style>
  <w:style w:type="character" w:customStyle="1" w:styleId="CitaCar">
    <w:name w:val="Cita Car"/>
    <w:link w:val="Cita"/>
    <w:uiPriority w:val="29"/>
    <w:rsid w:val="00135D8C"/>
    <w:rPr>
      <w:i/>
      <w:iCs/>
      <w:color w:val="404040"/>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135D8C"/>
    <w:pPr>
      <w:ind w:left="720"/>
      <w:contextualSpacing/>
    </w:pPr>
  </w:style>
  <w:style w:type="character" w:styleId="nfasisintenso">
    <w:name w:val="Intense Emphasis"/>
    <w:uiPriority w:val="21"/>
    <w:qFormat/>
    <w:rsid w:val="00135D8C"/>
    <w:rPr>
      <w:i/>
      <w:iCs/>
      <w:color w:val="2F5496"/>
    </w:rPr>
  </w:style>
  <w:style w:type="paragraph" w:styleId="Citadestacada">
    <w:name w:val="Intense Quote"/>
    <w:basedOn w:val="Normal"/>
    <w:next w:val="Normal"/>
    <w:link w:val="CitadestacadaCar"/>
    <w:uiPriority w:val="30"/>
    <w:qFormat/>
    <w:rsid w:val="00135D8C"/>
    <w:pPr>
      <w:pBdr>
        <w:top w:val="single" w:sz="4" w:space="10" w:color="2F5496"/>
        <w:bottom w:val="single" w:sz="4" w:space="10" w:color="2F5496"/>
      </w:pBdr>
      <w:spacing w:before="360" w:after="360"/>
      <w:ind w:left="864" w:right="864"/>
      <w:jc w:val="center"/>
    </w:pPr>
    <w:rPr>
      <w:i/>
      <w:iCs/>
      <w:color w:val="2F5496"/>
    </w:rPr>
  </w:style>
  <w:style w:type="character" w:customStyle="1" w:styleId="CitadestacadaCar">
    <w:name w:val="Cita destacada Car"/>
    <w:link w:val="Citadestacada"/>
    <w:uiPriority w:val="30"/>
    <w:rsid w:val="00135D8C"/>
    <w:rPr>
      <w:i/>
      <w:iCs/>
      <w:color w:val="2F5496"/>
    </w:rPr>
  </w:style>
  <w:style w:type="character" w:styleId="Referenciaintensa">
    <w:name w:val="Intense Reference"/>
    <w:uiPriority w:val="32"/>
    <w:qFormat/>
    <w:rsid w:val="00135D8C"/>
    <w:rPr>
      <w:b/>
      <w:bCs/>
      <w:smallCaps/>
      <w:color w:val="2F5496"/>
      <w:spacing w:val="5"/>
    </w:rPr>
  </w:style>
  <w:style w:type="paragraph" w:styleId="Encabezado">
    <w:name w:val="header"/>
    <w:basedOn w:val="Normal"/>
    <w:link w:val="EncabezadoCar"/>
    <w:uiPriority w:val="99"/>
    <w:unhideWhenUsed/>
    <w:rsid w:val="00135D8C"/>
    <w:pPr>
      <w:tabs>
        <w:tab w:val="center" w:pos="4419"/>
        <w:tab w:val="right" w:pos="8838"/>
      </w:tabs>
    </w:pPr>
  </w:style>
  <w:style w:type="character" w:customStyle="1" w:styleId="EncabezadoCar">
    <w:name w:val="Encabezado Car"/>
    <w:basedOn w:val="Fuentedeprrafopredeter"/>
    <w:link w:val="Encabezado"/>
    <w:uiPriority w:val="99"/>
    <w:rsid w:val="00135D8C"/>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135D8C"/>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135D8C"/>
  </w:style>
  <w:style w:type="character" w:styleId="Refdenotaalpie">
    <w:name w:val="footnote reference"/>
    <w:aliases w:val="16 Point,Superscript 6 Point,Footnote symbol,R,4_G,Ref,F,Texto nota al pie,Footnote Reference Char3,Footnote Reference Char1 Char,Ref1,Ref11,Nota de pie,f1,Ref. de nota al pie.,de nota al pie,Texto de nota al pie,Footnotes refss,f,FC"/>
    <w:link w:val="Piedepagina"/>
    <w:uiPriority w:val="99"/>
    <w:unhideWhenUsed/>
    <w:qFormat/>
    <w:rsid w:val="00135D8C"/>
    <w:rPr>
      <w:vertAlign w:val="superscript"/>
    </w:rPr>
  </w:style>
  <w:style w:type="character" w:styleId="Nmerodepgina">
    <w:name w:val="page number"/>
    <w:basedOn w:val="Fuentedeprrafopredeter"/>
    <w:rsid w:val="00233DFC"/>
  </w:style>
  <w:style w:type="character" w:styleId="Referenciasutil">
    <w:name w:val="Subtle Reference"/>
    <w:uiPriority w:val="31"/>
    <w:qFormat/>
    <w:rsid w:val="00233DFC"/>
    <w:rPr>
      <w:lang w:val="es-CO"/>
    </w:rPr>
  </w:style>
  <w:style w:type="paragraph" w:styleId="Encabezadodemensaje">
    <w:name w:val="Message Header"/>
    <w:basedOn w:val="Normal"/>
    <w:link w:val="EncabezadodemensajeCar"/>
    <w:uiPriority w:val="99"/>
    <w:unhideWhenUsed/>
    <w:rsid w:val="00BB646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 w:val="24"/>
      <w:szCs w:val="24"/>
    </w:rPr>
  </w:style>
  <w:style w:type="character" w:customStyle="1" w:styleId="EncabezadodemensajeCar">
    <w:name w:val="Encabezado de mensaje Car"/>
    <w:link w:val="Encabezadodemensaje"/>
    <w:uiPriority w:val="99"/>
    <w:rsid w:val="00BB646A"/>
    <w:rPr>
      <w:rFonts w:ascii="Calibri Light" w:eastAsia="Times New Roman" w:hAnsi="Calibri Light" w:cs="Times New Roman"/>
      <w:sz w:val="24"/>
      <w:szCs w:val="24"/>
      <w:shd w:val="pct20" w:color="auto" w:fill="auto"/>
    </w:rPr>
  </w:style>
  <w:style w:type="paragraph" w:styleId="Textoindependiente">
    <w:name w:val="Body Text"/>
    <w:basedOn w:val="Normal"/>
    <w:link w:val="TextoindependienteCar"/>
    <w:uiPriority w:val="99"/>
    <w:unhideWhenUsed/>
    <w:rsid w:val="00BB646A"/>
    <w:pPr>
      <w:spacing w:after="120"/>
    </w:pPr>
  </w:style>
  <w:style w:type="character" w:customStyle="1" w:styleId="TextoindependienteCar">
    <w:name w:val="Texto independiente Car"/>
    <w:basedOn w:val="Fuentedeprrafopredeter"/>
    <w:link w:val="Textoindependiente"/>
    <w:uiPriority w:val="99"/>
    <w:rsid w:val="00BB646A"/>
  </w:style>
  <w:style w:type="paragraph" w:styleId="Sangradetextonormal">
    <w:name w:val="Body Text Indent"/>
    <w:basedOn w:val="Normal"/>
    <w:link w:val="SangradetextonormalCar"/>
    <w:uiPriority w:val="99"/>
    <w:unhideWhenUsed/>
    <w:rsid w:val="00BB646A"/>
    <w:pPr>
      <w:spacing w:after="120"/>
      <w:ind w:left="283"/>
    </w:pPr>
  </w:style>
  <w:style w:type="character" w:customStyle="1" w:styleId="SangradetextonormalCar">
    <w:name w:val="Sangría de texto normal Car"/>
    <w:basedOn w:val="Fuentedeprrafopredeter"/>
    <w:link w:val="Sangradetextonormal"/>
    <w:uiPriority w:val="99"/>
    <w:rsid w:val="00BB646A"/>
  </w:style>
  <w:style w:type="paragraph" w:styleId="Textoindependienteprimerasangra2">
    <w:name w:val="Body Text First Indent 2"/>
    <w:basedOn w:val="Sangradetextonormal"/>
    <w:link w:val="Textoindependienteprimerasangra2Car"/>
    <w:uiPriority w:val="99"/>
    <w:unhideWhenUsed/>
    <w:rsid w:val="00BB646A"/>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B646A"/>
  </w:style>
  <w:style w:type="paragraph" w:styleId="Piedepgina">
    <w:name w:val="footer"/>
    <w:basedOn w:val="Normal"/>
    <w:link w:val="PiedepginaCar"/>
    <w:uiPriority w:val="99"/>
    <w:unhideWhenUsed/>
    <w:rsid w:val="000B0CA2"/>
    <w:pPr>
      <w:tabs>
        <w:tab w:val="center" w:pos="4419"/>
        <w:tab w:val="right" w:pos="8838"/>
      </w:tabs>
    </w:pPr>
  </w:style>
  <w:style w:type="character" w:customStyle="1" w:styleId="PiedepginaCar">
    <w:name w:val="Pie de página Car"/>
    <w:basedOn w:val="Fuentedeprrafopredeter"/>
    <w:link w:val="Piedepgina"/>
    <w:uiPriority w:val="99"/>
    <w:rsid w:val="000B0CA2"/>
  </w:style>
  <w:style w:type="character" w:styleId="Refdecomentario">
    <w:name w:val="annotation reference"/>
    <w:uiPriority w:val="99"/>
    <w:semiHidden/>
    <w:unhideWhenUsed/>
    <w:rsid w:val="008571EE"/>
    <w:rPr>
      <w:sz w:val="16"/>
      <w:szCs w:val="16"/>
    </w:rPr>
  </w:style>
  <w:style w:type="paragraph" w:styleId="Textocomentario">
    <w:name w:val="annotation text"/>
    <w:basedOn w:val="Normal"/>
    <w:link w:val="TextocomentarioCar"/>
    <w:uiPriority w:val="99"/>
    <w:semiHidden/>
    <w:unhideWhenUsed/>
    <w:rsid w:val="008571EE"/>
  </w:style>
  <w:style w:type="character" w:customStyle="1" w:styleId="TextocomentarioCar">
    <w:name w:val="Texto comentario Car"/>
    <w:basedOn w:val="Fuentedeprrafopredeter"/>
    <w:link w:val="Textocomentario"/>
    <w:uiPriority w:val="99"/>
    <w:semiHidden/>
    <w:rsid w:val="008571EE"/>
  </w:style>
  <w:style w:type="paragraph" w:styleId="Asuntodelcomentario">
    <w:name w:val="annotation subject"/>
    <w:basedOn w:val="Textocomentario"/>
    <w:next w:val="Textocomentario"/>
    <w:link w:val="AsuntodelcomentarioCar"/>
    <w:uiPriority w:val="99"/>
    <w:semiHidden/>
    <w:unhideWhenUsed/>
    <w:rsid w:val="008571EE"/>
    <w:rPr>
      <w:b/>
      <w:bCs/>
    </w:rPr>
  </w:style>
  <w:style w:type="character" w:customStyle="1" w:styleId="AsuntodelcomentarioCar">
    <w:name w:val="Asunto del comentario Car"/>
    <w:link w:val="Asuntodelcomentario"/>
    <w:uiPriority w:val="99"/>
    <w:semiHidden/>
    <w:rsid w:val="008571EE"/>
    <w:rPr>
      <w:b/>
      <w:bCs/>
    </w:rPr>
  </w:style>
  <w:style w:type="paragraph" w:styleId="Textodeglobo">
    <w:name w:val="Balloon Text"/>
    <w:basedOn w:val="Normal"/>
    <w:link w:val="TextodegloboCar"/>
    <w:uiPriority w:val="99"/>
    <w:semiHidden/>
    <w:unhideWhenUsed/>
    <w:rsid w:val="008571EE"/>
    <w:rPr>
      <w:rFonts w:ascii="Segoe UI" w:hAnsi="Segoe UI" w:cs="Segoe UI"/>
      <w:sz w:val="18"/>
      <w:szCs w:val="18"/>
    </w:rPr>
  </w:style>
  <w:style w:type="character" w:customStyle="1" w:styleId="TextodegloboCar">
    <w:name w:val="Texto de globo Car"/>
    <w:link w:val="Textodeglobo"/>
    <w:uiPriority w:val="99"/>
    <w:semiHidden/>
    <w:rsid w:val="008571EE"/>
    <w:rPr>
      <w:rFonts w:ascii="Segoe UI" w:hAnsi="Segoe UI" w:cs="Segoe UI"/>
      <w:sz w:val="18"/>
      <w:szCs w:val="18"/>
    </w:rPr>
  </w:style>
  <w:style w:type="character" w:styleId="Hipervnculo">
    <w:name w:val="Hyperlink"/>
    <w:uiPriority w:val="99"/>
    <w:unhideWhenUsed/>
    <w:rsid w:val="00517D4F"/>
    <w:rPr>
      <w:color w:val="0563C1"/>
      <w:u w:val="single"/>
    </w:rPr>
  </w:style>
  <w:style w:type="character" w:customStyle="1" w:styleId="uv3um">
    <w:name w:val="uv3um"/>
    <w:basedOn w:val="Fuentedeprrafopredeter"/>
    <w:rsid w:val="00ED5056"/>
  </w:style>
  <w:style w:type="character" w:customStyle="1" w:styleId="oxzekf">
    <w:name w:val="oxzekf"/>
    <w:basedOn w:val="Fuentedeprrafopredeter"/>
    <w:rsid w:val="00ED5056"/>
  </w:style>
  <w:style w:type="table" w:styleId="Tablaconcuadrcula">
    <w:name w:val="Table Grid"/>
    <w:basedOn w:val="Tablanormal"/>
    <w:uiPriority w:val="39"/>
    <w:rsid w:val="008039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depagina">
    <w:name w:val="Pie de pagina"/>
    <w:aliases w:val="Ref. de nota al pie2"/>
    <w:basedOn w:val="Normal"/>
    <w:link w:val="Refdenotaalpie"/>
    <w:uiPriority w:val="99"/>
    <w:qFormat/>
    <w:rsid w:val="00EE44CB"/>
    <w:pPr>
      <w:spacing w:line="240" w:lineRule="exact"/>
    </w:pPr>
    <w:rPr>
      <w:vertAlign w:val="superscript"/>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EE44CB"/>
  </w:style>
  <w:style w:type="paragraph" w:styleId="Sinespaciado">
    <w:name w:val="No Spacing"/>
    <w:aliases w:val="Párrafos Comunes"/>
    <w:link w:val="SinespaciadoCar"/>
    <w:uiPriority w:val="1"/>
    <w:qFormat/>
    <w:rsid w:val="00D10F23"/>
    <w:pPr>
      <w:spacing w:after="160" w:line="259" w:lineRule="auto"/>
    </w:pPr>
    <w:rPr>
      <w:sz w:val="24"/>
      <w:szCs w:val="24"/>
    </w:rPr>
  </w:style>
  <w:style w:type="character" w:customStyle="1" w:styleId="SinespaciadoCar">
    <w:name w:val="Sin espaciado Car"/>
    <w:aliases w:val="Párrafos Comunes Car"/>
    <w:link w:val="Sinespaciado"/>
    <w:uiPriority w:val="1"/>
    <w:rsid w:val="00D10F23"/>
    <w:rPr>
      <w:rFonts w:ascii="Calibri" w:hAnsi="Calibri" w:cs="Times New Roman"/>
      <w:sz w:val="24"/>
      <w:szCs w:val="24"/>
    </w:rPr>
  </w:style>
  <w:style w:type="paragraph" w:styleId="Revisin">
    <w:name w:val="Revision"/>
    <w:hidden/>
    <w:uiPriority w:val="99"/>
    <w:semiHidden/>
    <w:rsid w:val="00821A68"/>
    <w:pPr>
      <w:spacing w:after="160" w:line="259" w:lineRule="auto"/>
    </w:pPr>
    <w:rPr>
      <w:sz w:val="22"/>
      <w:szCs w:val="22"/>
    </w:rPr>
  </w:style>
  <w:style w:type="paragraph" w:styleId="TtuloTDC">
    <w:name w:val="TOC Heading"/>
    <w:basedOn w:val="Ttulo1"/>
    <w:next w:val="Normal"/>
    <w:uiPriority w:val="39"/>
    <w:unhideWhenUsed/>
    <w:qFormat/>
    <w:rsid w:val="003C3E37"/>
    <w:pPr>
      <w:spacing w:before="240" w:after="0"/>
      <w:outlineLvl w:val="9"/>
    </w:pPr>
    <w:rPr>
      <w:sz w:val="32"/>
      <w:szCs w:val="32"/>
    </w:rPr>
  </w:style>
  <w:style w:type="paragraph" w:styleId="TDC1">
    <w:name w:val="toc 1"/>
    <w:basedOn w:val="Normal"/>
    <w:next w:val="Normal"/>
    <w:autoRedefine/>
    <w:uiPriority w:val="39"/>
    <w:unhideWhenUsed/>
    <w:rsid w:val="003C3E37"/>
    <w:pPr>
      <w:spacing w:after="100"/>
    </w:pPr>
  </w:style>
  <w:style w:type="paragraph" w:styleId="TDC3">
    <w:name w:val="toc 3"/>
    <w:basedOn w:val="Normal"/>
    <w:next w:val="Normal"/>
    <w:autoRedefine/>
    <w:uiPriority w:val="39"/>
    <w:unhideWhenUsed/>
    <w:rsid w:val="00E7723D"/>
    <w:pPr>
      <w:tabs>
        <w:tab w:val="right" w:leader="dot" w:pos="8828"/>
      </w:tabs>
      <w:spacing w:after="100"/>
      <w:ind w:left="400"/>
      <w:jc w:val="both"/>
    </w:pPr>
  </w:style>
  <w:style w:type="paragraph" w:styleId="TDC2">
    <w:name w:val="toc 2"/>
    <w:basedOn w:val="Normal"/>
    <w:next w:val="Normal"/>
    <w:autoRedefine/>
    <w:uiPriority w:val="39"/>
    <w:unhideWhenUsed/>
    <w:rsid w:val="003C3E37"/>
    <w:pPr>
      <w:spacing w:after="100"/>
      <w:ind w:left="200"/>
    </w:pPr>
  </w:style>
  <w:style w:type="paragraph" w:customStyle="1" w:styleId="paragraph">
    <w:name w:val="paragraph"/>
    <w:basedOn w:val="Normal"/>
    <w:rsid w:val="0022327A"/>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Fuentedeprrafopredeter"/>
    <w:rsid w:val="0022327A"/>
  </w:style>
  <w:style w:type="character" w:customStyle="1" w:styleId="eop">
    <w:name w:val="eop"/>
    <w:basedOn w:val="Fuentedeprrafopredeter"/>
    <w:rsid w:val="0022327A"/>
  </w:style>
  <w:style w:type="character" w:customStyle="1" w:styleId="Mencinsinresolver1">
    <w:name w:val="Mención sin resolver1"/>
    <w:uiPriority w:val="99"/>
    <w:semiHidden/>
    <w:unhideWhenUsed/>
    <w:rsid w:val="00483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caldiabogota.gov.co/sisjur/normas/Norma1.jsp?i=4125" TargetMode="External"/><Relationship Id="rId18" Type="http://schemas.openxmlformats.org/officeDocument/2006/relationships/hyperlink" Target="https://www.alcaldiabogota.gov.co/sisjur/normas/Norma1.jsp?i=62505" TargetMode="External"/><Relationship Id="rId26" Type="http://schemas.openxmlformats.org/officeDocument/2006/relationships/hyperlink" Target="https://www.alcaldiabogota.gov.co/sisjur/normas/Norma1.jsp?i=4125" TargetMode="External"/><Relationship Id="rId39" Type="http://schemas.openxmlformats.org/officeDocument/2006/relationships/hyperlink" Target="https://www.alcaldiabogota.gov.co/sisjur/normas/Norma1.jsp?i=41249" TargetMode="External"/><Relationship Id="rId21" Type="http://schemas.openxmlformats.org/officeDocument/2006/relationships/hyperlink" Target="https://www.alcaldiabogota.gov.co/sisjur/normas/Norma1.jsp?i=166039" TargetMode="External"/><Relationship Id="rId34" Type="http://schemas.openxmlformats.org/officeDocument/2006/relationships/hyperlink" Target="https://www.alcaldiabogota.gov.co/sisjur/normas/Norma1.jsp?i=64812" TargetMode="External"/><Relationship Id="rId42" Type="http://schemas.openxmlformats.org/officeDocument/2006/relationships/hyperlink" Target="https://www.alcaldiabogota.gov.co/sisjur/normas/Norma1.jsp?i=142257" TargetMode="External"/><Relationship Id="rId47" Type="http://schemas.openxmlformats.org/officeDocument/2006/relationships/hyperlink" Target="https://www.alcaldiabogota.gov.co/sisjur/normas/Norma1.jsp?i=4125" TargetMode="External"/><Relationship Id="rId50" Type="http://schemas.openxmlformats.org/officeDocument/2006/relationships/hyperlink" Target="https://www.alcaldiabogota.gov.co/sisjur/normas/Norma1.jsp?i=142257" TargetMode="External"/><Relationship Id="rId55" Type="http://schemas.openxmlformats.org/officeDocument/2006/relationships/hyperlink" Target="https://www.alcaldiabogota.gov.co/sisjur/normas/Norma1.jsp?i=166039"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lcaldiabogota.gov.co/sisjur/normas/Norma1.jsp?i=339" TargetMode="External"/><Relationship Id="rId29" Type="http://schemas.openxmlformats.org/officeDocument/2006/relationships/hyperlink" Target="https://www.alcaldiabogota.gov.co/sisjur/normas/Norma1.jsp?i=37807" TargetMode="External"/><Relationship Id="rId11" Type="http://schemas.openxmlformats.org/officeDocument/2006/relationships/hyperlink" Target="https://www.alcaldiabogota.gov.co/sisjur/normas/Norma1.jsp?i=4125" TargetMode="External"/><Relationship Id="rId24" Type="http://schemas.openxmlformats.org/officeDocument/2006/relationships/hyperlink" Target="https://www.alcaldiabogota.gov.co/sisjur/normas/Norma1.jsp?i=4125" TargetMode="External"/><Relationship Id="rId32" Type="http://schemas.openxmlformats.org/officeDocument/2006/relationships/hyperlink" Target="https://www.alcaldiabogota.gov.co/sisjur/normas/Norma1.jsp?i=59636" TargetMode="External"/><Relationship Id="rId37" Type="http://schemas.openxmlformats.org/officeDocument/2006/relationships/hyperlink" Target="https://www.alcaldiabogota.gov.co/sisjur/normas/Norma1.jsp?i=4125" TargetMode="External"/><Relationship Id="rId40" Type="http://schemas.openxmlformats.org/officeDocument/2006/relationships/hyperlink" Target="https://www.alcaldiabogota.gov.co/sisjur/normas/Norma1.jsp?i=41249" TargetMode="External"/><Relationship Id="rId45" Type="http://schemas.openxmlformats.org/officeDocument/2006/relationships/hyperlink" Target="https://www.alcaldiabogota.gov.co/sisjur/normas/Norma1.jsp?i=4125" TargetMode="External"/><Relationship Id="rId53" Type="http://schemas.openxmlformats.org/officeDocument/2006/relationships/hyperlink" Target="https://www.alcaldiabogota.gov.co/sisjur/normas/Norma1.jsp?i=62505"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alcaldiabogota.gov.co/sisjur/normas/Norma1.jsp?i=166039" TargetMode="External"/><Relationship Id="rId4" Type="http://schemas.openxmlformats.org/officeDocument/2006/relationships/webSettings" Target="webSettings.xml"/><Relationship Id="rId9" Type="http://schemas.openxmlformats.org/officeDocument/2006/relationships/hyperlink" Target="https://www.alcaldiabogota.gov.co/sisjur/normas/Norma1.jsp?i=297" TargetMode="External"/><Relationship Id="rId14" Type="http://schemas.openxmlformats.org/officeDocument/2006/relationships/hyperlink" Target="https://www.alcaldiabogota.gov.co/sisjur/normas/Norma1.jsp?i=59636" TargetMode="External"/><Relationship Id="rId22" Type="http://schemas.openxmlformats.org/officeDocument/2006/relationships/hyperlink" Target="https://www.alcaldiabogota.gov.co/sisjur/normas/Norma1.jsp?i=166039" TargetMode="External"/><Relationship Id="rId27" Type="http://schemas.openxmlformats.org/officeDocument/2006/relationships/hyperlink" Target="https://www.alcaldiabogota.gov.co/sisjur/normas/Norma1.jsp?i=37032" TargetMode="External"/><Relationship Id="rId30" Type="http://schemas.openxmlformats.org/officeDocument/2006/relationships/hyperlink" Target="https://www.alcaldiabogota.gov.co/sisjur/normas/Norma1.jsp?i=59636" TargetMode="External"/><Relationship Id="rId35" Type="http://schemas.openxmlformats.org/officeDocument/2006/relationships/hyperlink" Target="https://www.alcaldiabogota.gov.co/sisjur/normas/Norma1.jsp?i=59636" TargetMode="External"/><Relationship Id="rId43" Type="http://schemas.openxmlformats.org/officeDocument/2006/relationships/hyperlink" Target="https://www.alcaldiabogota.gov.co/sisjur/normas/Norma1.jsp?i=59636" TargetMode="External"/><Relationship Id="rId48" Type="http://schemas.openxmlformats.org/officeDocument/2006/relationships/hyperlink" Target="https://www.alcaldiabogota.gov.co/sisjur/normas/Norma1.jsp?i=4125" TargetMode="External"/><Relationship Id="rId56" Type="http://schemas.openxmlformats.org/officeDocument/2006/relationships/hyperlink" Target="https://www.alcaldiabogota.gov.co/sisjur/normas/Norma1.jsp?i=166039" TargetMode="External"/><Relationship Id="rId8" Type="http://schemas.openxmlformats.org/officeDocument/2006/relationships/hyperlink" Target="https://www.alcaldiabogota.gov.co/sisjur/normas/Norma1.jsp?i=59636" TargetMode="External"/><Relationship Id="rId51" Type="http://schemas.openxmlformats.org/officeDocument/2006/relationships/hyperlink" Target="https://www.alcaldiabogota.gov.co/sisjur/normas/Norma1.jsp?i=339" TargetMode="External"/><Relationship Id="rId3" Type="http://schemas.openxmlformats.org/officeDocument/2006/relationships/settings" Target="settings.xml"/><Relationship Id="rId12" Type="http://schemas.openxmlformats.org/officeDocument/2006/relationships/hyperlink" Target="https://www.alcaldiabogota.gov.co/sisjur/normas/Norma1.jsp?i=4125" TargetMode="External"/><Relationship Id="rId17" Type="http://schemas.openxmlformats.org/officeDocument/2006/relationships/hyperlink" Target="https://www.alcaldiabogota.gov.co/sisjur/normas/Norma1.jsp?i=69286" TargetMode="External"/><Relationship Id="rId25" Type="http://schemas.openxmlformats.org/officeDocument/2006/relationships/hyperlink" Target="https://www.alcaldiabogota.gov.co/sisjur/normas/Norma1.jsp?i=4125" TargetMode="External"/><Relationship Id="rId33" Type="http://schemas.openxmlformats.org/officeDocument/2006/relationships/hyperlink" Target="https://www.alcaldiabogota.gov.co/sisjur/normas/Norma1.jsp?i=4125" TargetMode="External"/><Relationship Id="rId38" Type="http://schemas.openxmlformats.org/officeDocument/2006/relationships/hyperlink" Target="https://www.alcaldiabogota.gov.co/sisjur/normas/Norma1.jsp?i=4125" TargetMode="External"/><Relationship Id="rId46" Type="http://schemas.openxmlformats.org/officeDocument/2006/relationships/hyperlink" Target="https://www.alcaldiabogota.gov.co/sisjur/normas/Norma1.jsp?i=4125" TargetMode="External"/><Relationship Id="rId59" Type="http://schemas.openxmlformats.org/officeDocument/2006/relationships/theme" Target="theme/theme1.xml"/><Relationship Id="rId20" Type="http://schemas.openxmlformats.org/officeDocument/2006/relationships/hyperlink" Target="https://www.alcaldiabogota.gov.co/sisjur/normas/Norma1.jsp?i=166039" TargetMode="External"/><Relationship Id="rId41" Type="http://schemas.openxmlformats.org/officeDocument/2006/relationships/hyperlink" Target="https://www.alcaldiabogota.gov.co/sisjur/normas/Norma1.jsp?i=142257" TargetMode="External"/><Relationship Id="rId54" Type="http://schemas.openxmlformats.org/officeDocument/2006/relationships/hyperlink" Target="https://www.alcaldiabogota.gov.co/sisjur/normas/Norma1.jsp?i=16603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lcaldiabogota.gov.co/sisjur/normas/Norma1.jsp?i=142257" TargetMode="External"/><Relationship Id="rId23" Type="http://schemas.openxmlformats.org/officeDocument/2006/relationships/hyperlink" Target="https://www.alcaldiabogota.gov.co/sisjur/normas/Norma1.jsp?i=4125" TargetMode="External"/><Relationship Id="rId28" Type="http://schemas.openxmlformats.org/officeDocument/2006/relationships/hyperlink" Target="https://www.alcaldiabogota.gov.co/sisjur/normas/Norma1.jsp?i=37807" TargetMode="External"/><Relationship Id="rId36" Type="http://schemas.openxmlformats.org/officeDocument/2006/relationships/hyperlink" Target="https://www.alcaldiabogota.gov.co/sisjur/normas/Norma1.jsp?i=4125" TargetMode="External"/><Relationship Id="rId49" Type="http://schemas.openxmlformats.org/officeDocument/2006/relationships/hyperlink" Target="https://www.alcaldiabogota.gov.co/sisjur/normas/Norma1.jsp?i=59636" TargetMode="External"/><Relationship Id="rId57" Type="http://schemas.openxmlformats.org/officeDocument/2006/relationships/hyperlink" Target="https://www.alcaldiabogota.gov.co/sisjur/normas/Norma1.jsp?i=166039" TargetMode="External"/><Relationship Id="rId10" Type="http://schemas.openxmlformats.org/officeDocument/2006/relationships/hyperlink" Target="https://www.alcaldiabogota.gov.co/sisjur/normas/Norma1.jsp?i=4125" TargetMode="External"/><Relationship Id="rId31" Type="http://schemas.openxmlformats.org/officeDocument/2006/relationships/hyperlink" Target="https://www.alcaldiabogota.gov.co/sisjur/normas/Norma1.jsp?i=4125" TargetMode="External"/><Relationship Id="rId44" Type="http://schemas.openxmlformats.org/officeDocument/2006/relationships/hyperlink" Target="https://www.alcaldiabogota.gov.co/sisjur/normas/Norma1.jsp?i=297" TargetMode="External"/><Relationship Id="rId52" Type="http://schemas.openxmlformats.org/officeDocument/2006/relationships/hyperlink" Target="https://www.alcaldiabogota.gov.co/sisjur/normas/Norma1.jsp?i=6928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58503</Words>
  <Characters>321768</Characters>
  <Application>Microsoft Office Word</Application>
  <DocSecurity>0</DocSecurity>
  <Lines>2681</Lines>
  <Paragraphs>759</Paragraphs>
  <ScaleCrop>false</ScaleCrop>
  <Company/>
  <LinksUpToDate>false</LinksUpToDate>
  <CharactersWithSpaces>379512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2026-05-20T16:06:00Z</dcterms:created>
  <dcterms:modified xsi:type="dcterms:W3CDTF">2026-05-20T16:06:00Z</dcterms:modified>
</cp:coreProperties>
</file>