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79B" w:rsidRPr="00045BB7" w:rsidRDefault="005829F0">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045BB7">
        <w:rPr>
          <w:rFonts w:ascii="Times New Roman" w:hAnsi="Times New Roman" w:cs="Times New Roman"/>
          <w:sz w:val="28"/>
          <w:szCs w:val="24"/>
        </w:rPr>
        <w:t xml:space="preserve"> </w:t>
      </w:r>
    </w:p>
    <w:p w:rsidR="00C5779B" w:rsidRPr="00045BB7" w:rsidRDefault="00C5779B">
      <w:pPr>
        <w:widowControl w:val="0"/>
        <w:autoSpaceDE w:val="0"/>
        <w:autoSpaceDN w:val="0"/>
        <w:adjustRightInd w:val="0"/>
        <w:spacing w:after="0" w:line="240" w:lineRule="auto"/>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center"/>
        <w:rPr>
          <w:rFonts w:ascii="Times New Roman" w:hAnsi="Times New Roman" w:cs="Times New Roman"/>
          <w:b/>
          <w:bCs/>
          <w:sz w:val="28"/>
          <w:szCs w:val="28"/>
        </w:rPr>
      </w:pPr>
      <w:r w:rsidRPr="00045BB7">
        <w:rPr>
          <w:rFonts w:ascii="Times New Roman" w:hAnsi="Times New Roman" w:cs="Times New Roman"/>
          <w:b/>
          <w:bCs/>
          <w:sz w:val="28"/>
          <w:szCs w:val="28"/>
        </w:rPr>
        <w:t xml:space="preserve">TEMAS-SUBTEMAS </w:t>
      </w:r>
    </w:p>
    <w:p w:rsidR="00C5779B" w:rsidRPr="00045BB7" w:rsidRDefault="00C5779B">
      <w:pPr>
        <w:widowControl w:val="0"/>
        <w:autoSpaceDE w:val="0"/>
        <w:autoSpaceDN w:val="0"/>
        <w:adjustRightInd w:val="0"/>
        <w:spacing w:after="0" w:line="240" w:lineRule="auto"/>
        <w:jc w:val="center"/>
        <w:rPr>
          <w:rFonts w:ascii="Times New Roman" w:hAnsi="Times New Roman" w:cs="Times New Roman"/>
          <w:b/>
          <w:bCs/>
          <w:sz w:val="28"/>
          <w:szCs w:val="28"/>
        </w:rPr>
      </w:pPr>
    </w:p>
    <w:p w:rsidR="00C5779B" w:rsidRPr="00045BB7" w:rsidRDefault="005829F0">
      <w:pPr>
        <w:widowControl w:val="0"/>
        <w:autoSpaceDE w:val="0"/>
        <w:autoSpaceDN w:val="0"/>
        <w:adjustRightInd w:val="0"/>
        <w:spacing w:after="0" w:line="240" w:lineRule="auto"/>
        <w:jc w:val="center"/>
        <w:rPr>
          <w:rFonts w:ascii="Times New Roman" w:hAnsi="Times New Roman" w:cs="Times New Roman"/>
          <w:sz w:val="28"/>
          <w:szCs w:val="28"/>
        </w:rPr>
      </w:pPr>
      <w:r w:rsidRPr="00045BB7">
        <w:rPr>
          <w:rFonts w:ascii="Times New Roman" w:hAnsi="Times New Roman" w:cs="Times New Roman"/>
          <w:b/>
          <w:bCs/>
          <w:sz w:val="28"/>
          <w:szCs w:val="28"/>
        </w:rPr>
        <w:t xml:space="preserve">Sentencia C-483/24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both"/>
        <w:rPr>
          <w:rFonts w:ascii="Times New Roman" w:hAnsi="Times New Roman" w:cs="Times New Roman"/>
          <w:sz w:val="28"/>
          <w:szCs w:val="28"/>
        </w:rPr>
      </w:pPr>
      <w:r w:rsidRPr="00045BB7">
        <w:rPr>
          <w:rFonts w:ascii="Times New Roman" w:hAnsi="Times New Roman" w:cs="Times New Roman"/>
          <w:b/>
          <w:bCs/>
          <w:sz w:val="28"/>
          <w:szCs w:val="28"/>
        </w:rPr>
        <w:t>COSA JUZGADA CONSTITUCIONAL</w:t>
      </w:r>
      <w:r w:rsidRPr="00045BB7">
        <w:rPr>
          <w:rFonts w:ascii="Times New Roman" w:hAnsi="Times New Roman" w:cs="Times New Roman"/>
          <w:sz w:val="28"/>
          <w:szCs w:val="28"/>
        </w:rPr>
        <w:t xml:space="preserve">-Concepto y alcance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both"/>
        <w:rPr>
          <w:rFonts w:ascii="Times New Roman" w:hAnsi="Times New Roman" w:cs="Times New Roman"/>
          <w:sz w:val="28"/>
          <w:szCs w:val="28"/>
        </w:rPr>
      </w:pPr>
      <w:r w:rsidRPr="00045BB7">
        <w:rPr>
          <w:rFonts w:ascii="Times New Roman" w:hAnsi="Times New Roman" w:cs="Times New Roman"/>
          <w:b/>
          <w:bCs/>
          <w:sz w:val="28"/>
          <w:szCs w:val="28"/>
        </w:rPr>
        <w:t>COSA JUZGADA CONSTITUCIONAL</w:t>
      </w:r>
      <w:r w:rsidRPr="00045BB7">
        <w:rPr>
          <w:rFonts w:ascii="Times New Roman" w:hAnsi="Times New Roman" w:cs="Times New Roman"/>
          <w:sz w:val="28"/>
          <w:szCs w:val="28"/>
        </w:rPr>
        <w:t xml:space="preserve">-Requisitos para su configuración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both"/>
        <w:rPr>
          <w:rFonts w:ascii="Times New Roman" w:hAnsi="Times New Roman" w:cs="Times New Roman"/>
          <w:sz w:val="28"/>
          <w:szCs w:val="28"/>
        </w:rPr>
      </w:pPr>
      <w:r w:rsidRPr="00045BB7">
        <w:rPr>
          <w:rFonts w:ascii="Times New Roman" w:hAnsi="Times New Roman" w:cs="Times New Roman"/>
          <w:b/>
          <w:bCs/>
          <w:sz w:val="28"/>
          <w:szCs w:val="28"/>
        </w:rPr>
        <w:t>COSA JUZGADA CONSTITUCIONAL</w:t>
      </w:r>
      <w:r w:rsidRPr="00045BB7">
        <w:rPr>
          <w:rFonts w:ascii="Times New Roman" w:hAnsi="Times New Roman" w:cs="Times New Roman"/>
          <w:sz w:val="28"/>
          <w:szCs w:val="28"/>
        </w:rPr>
        <w:t xml:space="preserve">-Inexistencia por cargo diferente y por contenido normativo y alcance distintos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both"/>
        <w:rPr>
          <w:rFonts w:ascii="Times New Roman" w:hAnsi="Times New Roman" w:cs="Times New Roman"/>
          <w:sz w:val="28"/>
          <w:szCs w:val="28"/>
        </w:rPr>
      </w:pPr>
      <w:r w:rsidRPr="00045BB7">
        <w:rPr>
          <w:rFonts w:ascii="Times New Roman" w:hAnsi="Times New Roman" w:cs="Times New Roman"/>
          <w:b/>
          <w:bCs/>
          <w:sz w:val="28"/>
          <w:szCs w:val="28"/>
        </w:rPr>
        <w:t>CONCEPTO DE VIOLACION EN DEMANDA DE INCONSTITUCIONALIDAD</w:t>
      </w:r>
      <w:r w:rsidRPr="00045BB7">
        <w:rPr>
          <w:rFonts w:ascii="Times New Roman" w:hAnsi="Times New Roman" w:cs="Times New Roman"/>
          <w:sz w:val="28"/>
          <w:szCs w:val="28"/>
        </w:rPr>
        <w:t xml:space="preserve">-Razones claras, ciertas, específicas, pertinentes y suficientes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both"/>
        <w:rPr>
          <w:rFonts w:ascii="Times New Roman" w:hAnsi="Times New Roman" w:cs="Times New Roman"/>
          <w:sz w:val="28"/>
          <w:szCs w:val="28"/>
        </w:rPr>
      </w:pPr>
      <w:r w:rsidRPr="00045BB7">
        <w:rPr>
          <w:rFonts w:ascii="Times New Roman" w:hAnsi="Times New Roman" w:cs="Times New Roman"/>
          <w:b/>
          <w:bCs/>
          <w:sz w:val="28"/>
          <w:szCs w:val="28"/>
        </w:rPr>
        <w:t>INHIBICION DE LA CORTE CONSTITUCIONAL</w:t>
      </w:r>
      <w:r w:rsidRPr="00045BB7">
        <w:rPr>
          <w:rFonts w:ascii="Times New Roman" w:hAnsi="Times New Roman" w:cs="Times New Roman"/>
          <w:sz w:val="28"/>
          <w:szCs w:val="28"/>
        </w:rPr>
        <w:t xml:space="preserve">-Ineptitud sustantiva de la demanda por presunta violación del derecho a la vivienda digna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both"/>
        <w:rPr>
          <w:rFonts w:ascii="Times New Roman" w:hAnsi="Times New Roman" w:cs="Times New Roman"/>
          <w:sz w:val="28"/>
          <w:szCs w:val="28"/>
        </w:rPr>
      </w:pPr>
      <w:r w:rsidRPr="00045BB7">
        <w:rPr>
          <w:rFonts w:ascii="Times New Roman" w:hAnsi="Times New Roman" w:cs="Times New Roman"/>
          <w:b/>
          <w:bCs/>
          <w:sz w:val="28"/>
          <w:szCs w:val="28"/>
        </w:rPr>
        <w:t>INHIBICION DE LA CORTE CONSTITUCIONAL POR INEPTITUD SUSTANTIVA DE LA DEMANDA</w:t>
      </w:r>
      <w:r w:rsidRPr="00045BB7">
        <w:rPr>
          <w:rFonts w:ascii="Times New Roman" w:hAnsi="Times New Roman" w:cs="Times New Roman"/>
          <w:sz w:val="28"/>
          <w:szCs w:val="28"/>
        </w:rPr>
        <w:t xml:space="preserve">-Incumplimiento de requisitos de certeza, especificidad, pertinencia y suficiencia en los cargos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both"/>
        <w:rPr>
          <w:rFonts w:ascii="Times New Roman" w:hAnsi="Times New Roman" w:cs="Times New Roman"/>
          <w:sz w:val="28"/>
          <w:szCs w:val="28"/>
        </w:rPr>
      </w:pPr>
      <w:r w:rsidRPr="00045BB7">
        <w:rPr>
          <w:rFonts w:ascii="Times New Roman" w:hAnsi="Times New Roman" w:cs="Times New Roman"/>
          <w:b/>
          <w:bCs/>
          <w:sz w:val="28"/>
          <w:szCs w:val="28"/>
        </w:rPr>
        <w:t>REGIMEN DE INSOLVENCIA EMPRESARIAL</w:t>
      </w:r>
      <w:r w:rsidRPr="00045BB7">
        <w:rPr>
          <w:rFonts w:ascii="Times New Roman" w:hAnsi="Times New Roman" w:cs="Times New Roman"/>
          <w:sz w:val="28"/>
          <w:szCs w:val="28"/>
        </w:rPr>
        <w:t xml:space="preserve">-Contenido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both"/>
        <w:rPr>
          <w:rFonts w:ascii="Times New Roman" w:hAnsi="Times New Roman" w:cs="Times New Roman"/>
          <w:sz w:val="28"/>
          <w:szCs w:val="28"/>
        </w:rPr>
      </w:pPr>
      <w:r w:rsidRPr="00045BB7">
        <w:rPr>
          <w:rFonts w:ascii="Times New Roman" w:hAnsi="Times New Roman" w:cs="Times New Roman"/>
          <w:b/>
          <w:bCs/>
          <w:sz w:val="28"/>
          <w:szCs w:val="28"/>
        </w:rPr>
        <w:t>REGIMEN DE INSOLVENCIA EMPRESARIAL</w:t>
      </w:r>
      <w:r w:rsidRPr="00045BB7">
        <w:rPr>
          <w:rFonts w:ascii="Times New Roman" w:hAnsi="Times New Roman" w:cs="Times New Roman"/>
          <w:sz w:val="28"/>
          <w:szCs w:val="28"/>
        </w:rPr>
        <w:t xml:space="preserve">-Finalidad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5829F0">
      <w:pPr>
        <w:widowControl w:val="0"/>
        <w:autoSpaceDE w:val="0"/>
        <w:autoSpaceDN w:val="0"/>
        <w:adjustRightInd w:val="0"/>
        <w:spacing w:after="0" w:line="240" w:lineRule="auto"/>
        <w:jc w:val="both"/>
        <w:rPr>
          <w:rFonts w:ascii="Times New Roman" w:hAnsi="Times New Roman" w:cs="Times New Roman"/>
          <w:sz w:val="28"/>
          <w:szCs w:val="28"/>
        </w:rPr>
      </w:pPr>
      <w:r w:rsidRPr="00045BB7">
        <w:rPr>
          <w:rFonts w:ascii="Times New Roman" w:hAnsi="Times New Roman" w:cs="Times New Roman"/>
          <w:b/>
          <w:bCs/>
          <w:sz w:val="28"/>
          <w:szCs w:val="28"/>
        </w:rPr>
        <w:t>PROCESOS CONCURSALES</w:t>
      </w:r>
      <w:r w:rsidRPr="00045BB7">
        <w:rPr>
          <w:rFonts w:ascii="Times New Roman" w:hAnsi="Times New Roman" w:cs="Times New Roman"/>
          <w:sz w:val="28"/>
          <w:szCs w:val="28"/>
        </w:rPr>
        <w:t xml:space="preserve">-Finalidad </w:t>
      </w:r>
    </w:p>
    <w:p w:rsidR="00C5779B" w:rsidRPr="00045BB7" w:rsidRDefault="00C5779B">
      <w:pPr>
        <w:widowControl w:val="0"/>
        <w:autoSpaceDE w:val="0"/>
        <w:autoSpaceDN w:val="0"/>
        <w:adjustRightInd w:val="0"/>
        <w:spacing w:after="0" w:line="240" w:lineRule="auto"/>
        <w:jc w:val="both"/>
        <w:rPr>
          <w:rFonts w:ascii="Times New Roman" w:hAnsi="Times New Roman" w:cs="Times New Roman"/>
          <w:sz w:val="28"/>
          <w:szCs w:val="28"/>
        </w:rPr>
      </w:pPr>
    </w:p>
    <w:p w:rsidR="00C5779B" w:rsidRPr="00045BB7" w:rsidRDefault="00045BB7">
      <w:pPr>
        <w:widowControl w:val="0"/>
        <w:autoSpaceDE w:val="0"/>
        <w:autoSpaceDN w:val="0"/>
        <w:adjustRightInd w:val="0"/>
        <w:spacing w:after="0" w:line="240" w:lineRule="auto"/>
        <w:jc w:val="both"/>
        <w:rPr>
          <w:rFonts w:ascii="Times New Roman" w:hAnsi="Times New Roman" w:cs="Times New Roman"/>
          <w:sz w:val="28"/>
        </w:rPr>
      </w:pPr>
      <w:r w:rsidRPr="00045BB7">
        <w:rPr>
          <w:rFonts w:ascii="Times New Roman" w:hAnsi="Times New Roman" w:cs="Times New Roman"/>
          <w:sz w:val="28"/>
          <w:szCs w:val="28"/>
        </w:rPr>
        <w:pict>
          <v:rect id="_x0000_i1025" style="width:0;height:1.5pt" o:hralign="center" o:hrstd="t" o:hr="t" fillcolor="#a0a0a0" stroked="f"/>
        </w:pict>
      </w:r>
    </w:p>
    <w:p w:rsidR="00400ADE" w:rsidRPr="00045BB7" w:rsidRDefault="00045BB7" w:rsidP="00495A59">
      <w:pPr>
        <w:pStyle w:val="Encabezado"/>
        <w:jc w:val="center"/>
        <w:rPr>
          <w:rFonts w:ascii="Times New Roman" w:hAnsi="Times New Roman" w:cs="Times New Roman"/>
          <w:b/>
          <w:bCs/>
          <w:szCs w:val="28"/>
          <w:lang w:val="es-ES"/>
        </w:rPr>
      </w:pPr>
      <w:bookmarkStart w:id="1" w:name="_Hlk111191308"/>
      <w:bookmarkStart w:id="2" w:name="_Hlk125009284"/>
      <w:r w:rsidRPr="00045BB7">
        <w:rPr>
          <w:rFonts w:ascii="Times New Roman" w:hAnsi="Times New Roman" w:cs="Times New Roman"/>
          <w:b/>
          <w:bCs/>
          <w:szCs w:val="28"/>
          <w:lang w:val="es-ES"/>
        </w:rPr>
        <w:t>REPÚBLICA DE COLOMBIA</w:t>
      </w:r>
    </w:p>
    <w:p w:rsidR="00400ADE" w:rsidRPr="00045BB7" w:rsidRDefault="00045BB7" w:rsidP="00495A59">
      <w:pPr>
        <w:pStyle w:val="Encabezado"/>
        <w:jc w:val="center"/>
        <w:rPr>
          <w:rFonts w:ascii="Times New Roman" w:hAnsi="Times New Roman" w:cs="Times New Roman"/>
          <w:b/>
          <w:bCs/>
          <w:szCs w:val="28"/>
          <w:lang w:val="es-ES"/>
        </w:rPr>
      </w:pPr>
      <w:r w:rsidRPr="00045BB7">
        <w:rPr>
          <w:rFonts w:ascii="Times New Roman" w:hAnsi="Times New Roman" w:cs="Times New Roman"/>
          <w:b/>
          <w:bCs/>
          <w:noProof/>
          <w:szCs w:val="28"/>
          <w:lang w:eastAsia="es-CO"/>
        </w:rPr>
        <w:drawing>
          <wp:inline distT="0" distB="0" distL="0" distR="0" wp14:anchorId="4F9E3C25" wp14:editId="4544C81F">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400ADE" w:rsidRPr="00045BB7" w:rsidRDefault="00045BB7" w:rsidP="00495A59">
      <w:pPr>
        <w:pStyle w:val="Encabezado"/>
        <w:jc w:val="center"/>
        <w:rPr>
          <w:rFonts w:ascii="Times New Roman" w:hAnsi="Times New Roman" w:cs="Times New Roman"/>
          <w:b/>
          <w:bCs/>
          <w:szCs w:val="28"/>
          <w:lang w:val="es-ES"/>
        </w:rPr>
      </w:pPr>
      <w:r w:rsidRPr="00045BB7">
        <w:rPr>
          <w:rFonts w:ascii="Times New Roman" w:hAnsi="Times New Roman" w:cs="Times New Roman"/>
          <w:b/>
          <w:bCs/>
          <w:szCs w:val="28"/>
          <w:lang w:val="es-ES"/>
        </w:rPr>
        <w:t>CORTE CONSTITUCIONAL</w:t>
      </w:r>
    </w:p>
    <w:p w:rsidR="00400ADE" w:rsidRPr="00045BB7" w:rsidRDefault="00045BB7" w:rsidP="00495A59">
      <w:pPr>
        <w:pStyle w:val="Encabezado"/>
        <w:tabs>
          <w:tab w:val="clear" w:pos="8504"/>
        </w:tabs>
        <w:jc w:val="center"/>
        <w:rPr>
          <w:rFonts w:ascii="Times New Roman" w:hAnsi="Times New Roman" w:cs="Times New Roman"/>
          <w:b/>
          <w:bCs/>
          <w:szCs w:val="28"/>
          <w:lang w:val="es-ES"/>
        </w:rPr>
      </w:pPr>
      <w:r w:rsidRPr="00045BB7">
        <w:rPr>
          <w:rFonts w:ascii="Times New Roman" w:hAnsi="Times New Roman" w:cs="Times New Roman"/>
          <w:b/>
          <w:bCs/>
          <w:szCs w:val="28"/>
          <w:lang w:val="es-ES"/>
        </w:rPr>
        <w:t xml:space="preserve">Sala </w:t>
      </w:r>
      <w:r w:rsidRPr="00045BB7">
        <w:rPr>
          <w:rFonts w:ascii="Times New Roman" w:hAnsi="Times New Roman" w:cs="Times New Roman"/>
          <w:b/>
          <w:bCs/>
          <w:szCs w:val="28"/>
          <w:lang w:val="es-ES"/>
        </w:rPr>
        <w:t>Plena</w:t>
      </w:r>
    </w:p>
    <w:p w:rsidR="00E36A8D" w:rsidRPr="00045BB7" w:rsidRDefault="00045BB7" w:rsidP="00E36A8D">
      <w:pPr>
        <w:jc w:val="both"/>
        <w:rPr>
          <w:rFonts w:ascii="Times New Roman" w:hAnsi="Times New Roman" w:cs="Times New Roman"/>
          <w:b/>
          <w:bCs/>
          <w:sz w:val="28"/>
          <w:szCs w:val="28"/>
          <w:lang w:val="es-ES_tradnl"/>
        </w:rPr>
      </w:pPr>
    </w:p>
    <w:p w:rsidR="0081415E" w:rsidRPr="00045BB7" w:rsidRDefault="00045BB7" w:rsidP="0081415E">
      <w:pPr>
        <w:jc w:val="center"/>
        <w:rPr>
          <w:rFonts w:ascii="Times New Roman" w:hAnsi="Times New Roman" w:cs="Times New Roman"/>
          <w:b/>
          <w:bCs/>
          <w:sz w:val="28"/>
          <w:szCs w:val="28"/>
          <w:lang w:val="es-ES_tradnl"/>
        </w:rPr>
      </w:pPr>
      <w:r w:rsidRPr="00045BB7">
        <w:rPr>
          <w:rFonts w:ascii="Times New Roman" w:hAnsi="Times New Roman" w:cs="Times New Roman"/>
          <w:b/>
          <w:bCs/>
          <w:sz w:val="28"/>
          <w:szCs w:val="28"/>
          <w:lang w:val="es-ES_tradnl"/>
        </w:rPr>
        <w:t xml:space="preserve">SENTENCIA </w:t>
      </w:r>
      <w:r w:rsidRPr="00045BB7">
        <w:rPr>
          <w:rFonts w:ascii="Times New Roman" w:hAnsi="Times New Roman" w:cs="Times New Roman"/>
          <w:b/>
          <w:bCs/>
          <w:sz w:val="28"/>
          <w:szCs w:val="28"/>
          <w:lang w:val="es-ES_tradnl"/>
        </w:rPr>
        <w:t>483</w:t>
      </w:r>
      <w:r w:rsidRPr="00045BB7">
        <w:rPr>
          <w:rFonts w:ascii="Times New Roman" w:hAnsi="Times New Roman" w:cs="Times New Roman"/>
          <w:b/>
          <w:bCs/>
          <w:sz w:val="28"/>
          <w:szCs w:val="28"/>
          <w:lang w:val="es-ES_tradnl"/>
        </w:rPr>
        <w:t xml:space="preserve"> </w:t>
      </w:r>
      <w:r w:rsidRPr="00045BB7">
        <w:rPr>
          <w:rFonts w:ascii="Times New Roman" w:hAnsi="Times New Roman" w:cs="Times New Roman"/>
          <w:b/>
          <w:bCs/>
          <w:sz w:val="28"/>
          <w:szCs w:val="28"/>
          <w:lang w:val="es-ES_tradnl"/>
        </w:rPr>
        <w:t>DE</w:t>
      </w:r>
      <w:r w:rsidRPr="00045BB7">
        <w:rPr>
          <w:rFonts w:ascii="Times New Roman" w:hAnsi="Times New Roman" w:cs="Times New Roman"/>
          <w:b/>
          <w:bCs/>
          <w:sz w:val="28"/>
          <w:szCs w:val="28"/>
          <w:lang w:val="es-ES_tradnl"/>
        </w:rPr>
        <w:t xml:space="preserve"> 202</w:t>
      </w:r>
      <w:r w:rsidRPr="00045BB7">
        <w:rPr>
          <w:rFonts w:ascii="Times New Roman" w:hAnsi="Times New Roman" w:cs="Times New Roman"/>
          <w:b/>
          <w:bCs/>
          <w:sz w:val="28"/>
          <w:szCs w:val="28"/>
          <w:lang w:val="es-ES_tradnl"/>
        </w:rPr>
        <w:t>4</w:t>
      </w:r>
    </w:p>
    <w:p w:rsidR="0081415E" w:rsidRPr="00045BB7" w:rsidRDefault="00045BB7" w:rsidP="0081415E">
      <w:pPr>
        <w:kinsoku w:val="0"/>
        <w:overflowPunct w:val="0"/>
        <w:autoSpaceDE w:val="0"/>
        <w:autoSpaceDN w:val="0"/>
        <w:adjustRightInd w:val="0"/>
        <w:ind w:left="3827" w:right="51"/>
        <w:jc w:val="both"/>
        <w:rPr>
          <w:rFonts w:ascii="Times New Roman" w:hAnsi="Times New Roman" w:cs="Times New Roman"/>
          <w:b/>
          <w:bCs/>
          <w:sz w:val="28"/>
          <w:szCs w:val="28"/>
          <w:lang w:val="es-ES_tradnl"/>
        </w:rPr>
      </w:pPr>
    </w:p>
    <w:p w:rsidR="0081415E" w:rsidRPr="00045BB7" w:rsidRDefault="00045BB7" w:rsidP="00DF0264">
      <w:pPr>
        <w:kinsoku w:val="0"/>
        <w:overflowPunct w:val="0"/>
        <w:autoSpaceDE w:val="0"/>
        <w:autoSpaceDN w:val="0"/>
        <w:adjustRightInd w:val="0"/>
        <w:ind w:left="3969" w:right="51"/>
        <w:jc w:val="both"/>
        <w:rPr>
          <w:rFonts w:ascii="Times New Roman" w:hAnsi="Times New Roman" w:cs="Times New Roman"/>
          <w:sz w:val="28"/>
          <w:szCs w:val="28"/>
          <w:lang w:val="es-ES_tradnl"/>
        </w:rPr>
      </w:pPr>
      <w:r w:rsidRPr="00045BB7">
        <w:rPr>
          <w:rFonts w:ascii="Times New Roman" w:hAnsi="Times New Roman" w:cs="Times New Roman"/>
          <w:b/>
          <w:bCs/>
          <w:sz w:val="28"/>
          <w:szCs w:val="28"/>
          <w:lang w:val="es-ES_tradnl"/>
        </w:rPr>
        <w:t xml:space="preserve">Referencia: </w:t>
      </w:r>
      <w:r w:rsidRPr="00045BB7">
        <w:rPr>
          <w:rFonts w:ascii="Times New Roman" w:hAnsi="Times New Roman" w:cs="Times New Roman"/>
          <w:sz w:val="28"/>
          <w:szCs w:val="28"/>
          <w:lang w:val="es-ES_tradnl"/>
        </w:rPr>
        <w:t>e</w:t>
      </w:r>
      <w:r w:rsidRPr="00045BB7">
        <w:rPr>
          <w:rFonts w:ascii="Times New Roman" w:hAnsi="Times New Roman" w:cs="Times New Roman"/>
          <w:sz w:val="28"/>
          <w:szCs w:val="28"/>
          <w:lang w:val="es-ES_tradnl"/>
        </w:rPr>
        <w:t>xpediente</w:t>
      </w:r>
      <w:r w:rsidRPr="00045BB7">
        <w:rPr>
          <w:rFonts w:ascii="Times New Roman" w:hAnsi="Times New Roman" w:cs="Times New Roman"/>
          <w:sz w:val="28"/>
          <w:szCs w:val="28"/>
          <w:lang w:val="es-ES_tradnl"/>
        </w:rPr>
        <w:t xml:space="preserve"> </w:t>
      </w:r>
      <w:r w:rsidRPr="00045BB7">
        <w:rPr>
          <w:rFonts w:ascii="Times New Roman" w:hAnsi="Times New Roman" w:cs="Times New Roman"/>
          <w:sz w:val="28"/>
          <w:szCs w:val="28"/>
          <w:lang w:val="es-ES_tradnl"/>
        </w:rPr>
        <w:t>D-15.813</w:t>
      </w:r>
    </w:p>
    <w:p w:rsidR="0081415E" w:rsidRPr="00045BB7" w:rsidRDefault="00045BB7" w:rsidP="00DF0264">
      <w:pPr>
        <w:kinsoku w:val="0"/>
        <w:overflowPunct w:val="0"/>
        <w:autoSpaceDE w:val="0"/>
        <w:autoSpaceDN w:val="0"/>
        <w:adjustRightInd w:val="0"/>
        <w:ind w:left="3969" w:right="51"/>
        <w:jc w:val="both"/>
        <w:rPr>
          <w:rFonts w:ascii="Times New Roman" w:hAnsi="Times New Roman" w:cs="Times New Roman"/>
          <w:sz w:val="28"/>
          <w:szCs w:val="28"/>
          <w:lang w:val="es-ES_tradnl"/>
        </w:rPr>
      </w:pPr>
    </w:p>
    <w:p w:rsidR="0018629A" w:rsidRPr="00045BB7" w:rsidRDefault="00045BB7" w:rsidP="00DF0264">
      <w:pPr>
        <w:kinsoku w:val="0"/>
        <w:overflowPunct w:val="0"/>
        <w:autoSpaceDE w:val="0"/>
        <w:autoSpaceDN w:val="0"/>
        <w:adjustRightInd w:val="0"/>
        <w:ind w:left="3969" w:right="51"/>
        <w:jc w:val="both"/>
        <w:rPr>
          <w:rFonts w:ascii="Times New Roman" w:hAnsi="Times New Roman" w:cs="Times New Roman"/>
          <w:sz w:val="28"/>
          <w:szCs w:val="28"/>
          <w:lang w:val="es-ES"/>
        </w:rPr>
      </w:pPr>
      <w:r w:rsidRPr="00045BB7">
        <w:rPr>
          <w:rFonts w:ascii="Times New Roman" w:hAnsi="Times New Roman" w:cs="Times New Roman"/>
          <w:b/>
          <w:bCs/>
          <w:sz w:val="28"/>
          <w:szCs w:val="28"/>
          <w:lang w:val="es-ES"/>
        </w:rPr>
        <w:t xml:space="preserve">Asunto: </w:t>
      </w:r>
      <w:r w:rsidRPr="00045BB7">
        <w:rPr>
          <w:rFonts w:ascii="Times New Roman" w:hAnsi="Times New Roman" w:cs="Times New Roman"/>
          <w:sz w:val="28"/>
          <w:szCs w:val="28"/>
          <w:lang w:val="es-ES"/>
        </w:rPr>
        <w:t>d</w:t>
      </w:r>
      <w:r w:rsidRPr="00045BB7">
        <w:rPr>
          <w:rFonts w:ascii="Times New Roman" w:hAnsi="Times New Roman" w:cs="Times New Roman"/>
          <w:sz w:val="28"/>
          <w:szCs w:val="28"/>
          <w:lang w:val="es-ES"/>
        </w:rPr>
        <w:t xml:space="preserve">emanda </w:t>
      </w:r>
      <w:r w:rsidRPr="00045BB7">
        <w:rPr>
          <w:rFonts w:ascii="Times New Roman" w:hAnsi="Times New Roman" w:cs="Times New Roman"/>
          <w:sz w:val="28"/>
          <w:szCs w:val="28"/>
          <w:lang w:val="es-ES"/>
        </w:rPr>
        <w:t>de inconstitucionalidad en contra de los</w:t>
      </w:r>
      <w:r w:rsidRPr="00045BB7">
        <w:rPr>
          <w:rFonts w:ascii="Times New Roman" w:hAnsi="Times New Roman" w:cs="Times New Roman"/>
          <w:sz w:val="28"/>
          <w:szCs w:val="28"/>
          <w:lang w:val="es-ES"/>
        </w:rPr>
        <w:t xml:space="preserve"> artículos 50, 51 y 52 </w:t>
      </w:r>
      <w:r w:rsidRPr="00045BB7">
        <w:rPr>
          <w:rFonts w:ascii="Times New Roman" w:hAnsi="Times New Roman" w:cs="Times New Roman"/>
          <w:sz w:val="28"/>
          <w:szCs w:val="28"/>
          <w:lang w:val="es-ES"/>
        </w:rPr>
        <w:t xml:space="preserve">(parciales) </w:t>
      </w:r>
      <w:r w:rsidRPr="00045BB7">
        <w:rPr>
          <w:rFonts w:ascii="Times New Roman" w:hAnsi="Times New Roman" w:cs="Times New Roman"/>
          <w:sz w:val="28"/>
          <w:szCs w:val="28"/>
          <w:lang w:val="es-ES"/>
        </w:rPr>
        <w:t>de la Ley 1676 de 2013</w:t>
      </w:r>
      <w:r w:rsidRPr="00045BB7">
        <w:rPr>
          <w:rFonts w:ascii="Times New Roman" w:hAnsi="Times New Roman" w:cs="Times New Roman"/>
          <w:sz w:val="28"/>
          <w:szCs w:val="28"/>
          <w:lang w:val="es-ES"/>
        </w:rPr>
        <w:t>,</w:t>
      </w:r>
      <w:r w:rsidRPr="00045BB7">
        <w:rPr>
          <w:rFonts w:ascii="Times New Roman" w:hAnsi="Times New Roman" w:cs="Times New Roman"/>
          <w:sz w:val="28"/>
          <w:szCs w:val="28"/>
          <w:lang w:val="es-ES"/>
        </w:rPr>
        <w:t xml:space="preserve"> “Por la cual se promueve el acceso al crédito y se dictan normas sobre garantías mobiliares”</w:t>
      </w:r>
      <w:r w:rsidRPr="00045BB7">
        <w:rPr>
          <w:rFonts w:ascii="Times New Roman" w:hAnsi="Times New Roman" w:cs="Times New Roman"/>
          <w:sz w:val="28"/>
          <w:szCs w:val="28"/>
          <w:lang w:val="es-ES"/>
        </w:rPr>
        <w:t>.</w:t>
      </w:r>
    </w:p>
    <w:p w:rsidR="0081415E" w:rsidRPr="00045BB7" w:rsidRDefault="00045BB7" w:rsidP="00DF0264">
      <w:pPr>
        <w:kinsoku w:val="0"/>
        <w:overflowPunct w:val="0"/>
        <w:autoSpaceDE w:val="0"/>
        <w:autoSpaceDN w:val="0"/>
        <w:adjustRightInd w:val="0"/>
        <w:ind w:left="3969" w:right="51"/>
        <w:jc w:val="both"/>
        <w:rPr>
          <w:rFonts w:ascii="Times New Roman" w:hAnsi="Times New Roman" w:cs="Times New Roman"/>
          <w:iCs/>
          <w:sz w:val="28"/>
          <w:szCs w:val="28"/>
          <w:lang w:val="es-ES"/>
        </w:rPr>
      </w:pPr>
    </w:p>
    <w:p w:rsidR="0081415E" w:rsidRPr="00045BB7" w:rsidRDefault="00045BB7" w:rsidP="00DF0264">
      <w:pPr>
        <w:kinsoku w:val="0"/>
        <w:overflowPunct w:val="0"/>
        <w:autoSpaceDE w:val="0"/>
        <w:autoSpaceDN w:val="0"/>
        <w:adjustRightInd w:val="0"/>
        <w:ind w:left="3969" w:right="51"/>
        <w:jc w:val="both"/>
        <w:rPr>
          <w:rFonts w:ascii="Times New Roman" w:hAnsi="Times New Roman" w:cs="Times New Roman"/>
          <w:iCs/>
          <w:sz w:val="28"/>
          <w:szCs w:val="28"/>
          <w:lang w:val="es-ES_tradnl"/>
        </w:rPr>
      </w:pPr>
      <w:r w:rsidRPr="00045BB7">
        <w:rPr>
          <w:rFonts w:ascii="Times New Roman" w:hAnsi="Times New Roman" w:cs="Times New Roman"/>
          <w:b/>
          <w:bCs/>
          <w:iCs/>
          <w:sz w:val="28"/>
          <w:szCs w:val="28"/>
          <w:lang w:val="es-ES_tradnl"/>
        </w:rPr>
        <w:t>Magistrada ponente</w:t>
      </w:r>
      <w:r w:rsidRPr="00045BB7">
        <w:rPr>
          <w:rFonts w:ascii="Times New Roman" w:hAnsi="Times New Roman" w:cs="Times New Roman"/>
          <w:iCs/>
          <w:sz w:val="28"/>
          <w:szCs w:val="28"/>
          <w:lang w:val="es-ES_tradnl"/>
        </w:rPr>
        <w:t xml:space="preserve">: </w:t>
      </w:r>
      <w:r w:rsidRPr="00045BB7">
        <w:rPr>
          <w:rFonts w:ascii="Times New Roman" w:hAnsi="Times New Roman" w:cs="Times New Roman"/>
          <w:sz w:val="28"/>
          <w:szCs w:val="28"/>
          <w:lang w:val="es-ES_tradnl"/>
        </w:rPr>
        <w:t>Paola Andrea Meneses Mosquera</w:t>
      </w:r>
    </w:p>
    <w:p w:rsidR="0081415E" w:rsidRPr="00045BB7" w:rsidRDefault="00045BB7" w:rsidP="0081415E">
      <w:pPr>
        <w:jc w:val="both"/>
        <w:rPr>
          <w:rFonts w:ascii="Times New Roman" w:hAnsi="Times New Roman" w:cs="Times New Roman"/>
          <w:sz w:val="28"/>
          <w:szCs w:val="28"/>
          <w:lang w:val="es-ES_tradnl"/>
        </w:rPr>
      </w:pPr>
    </w:p>
    <w:p w:rsidR="0081415E" w:rsidRPr="00045BB7" w:rsidRDefault="00045BB7" w:rsidP="0081415E">
      <w:pPr>
        <w:jc w:val="both"/>
        <w:rPr>
          <w:rFonts w:ascii="Times New Roman" w:hAnsi="Times New Roman" w:cs="Times New Roman"/>
          <w:sz w:val="28"/>
          <w:szCs w:val="28"/>
          <w:lang w:val="es-ES_tradnl" w:eastAsia="es-ES"/>
        </w:rPr>
      </w:pPr>
      <w:r w:rsidRPr="00045BB7">
        <w:rPr>
          <w:rFonts w:ascii="Times New Roman" w:hAnsi="Times New Roman" w:cs="Times New Roman"/>
          <w:sz w:val="28"/>
          <w:szCs w:val="28"/>
        </w:rPr>
        <w:t>Bo</w:t>
      </w:r>
      <w:r w:rsidRPr="00045BB7">
        <w:rPr>
          <w:rFonts w:ascii="Times New Roman" w:hAnsi="Times New Roman" w:cs="Times New Roman"/>
          <w:sz w:val="28"/>
          <w:szCs w:val="28"/>
        </w:rPr>
        <w:t>gotá</w:t>
      </w:r>
      <w:r w:rsidRPr="00045BB7">
        <w:rPr>
          <w:rFonts w:ascii="Times New Roman" w:hAnsi="Times New Roman" w:cs="Times New Roman"/>
          <w:sz w:val="28"/>
          <w:szCs w:val="28"/>
          <w:lang w:val="es-ES_tradnl" w:eastAsia="es-ES"/>
        </w:rPr>
        <w:t xml:space="preserve">, D. C., </w:t>
      </w:r>
      <w:r w:rsidRPr="00045BB7">
        <w:rPr>
          <w:rFonts w:ascii="Times New Roman" w:hAnsi="Times New Roman" w:cs="Times New Roman"/>
          <w:sz w:val="28"/>
          <w:szCs w:val="28"/>
          <w:lang w:val="es-ES_tradnl" w:eastAsia="es-ES"/>
        </w:rPr>
        <w:t xml:space="preserve">veinte </w:t>
      </w:r>
      <w:r w:rsidRPr="00045BB7">
        <w:rPr>
          <w:rFonts w:ascii="Times New Roman" w:hAnsi="Times New Roman" w:cs="Times New Roman"/>
          <w:sz w:val="28"/>
          <w:szCs w:val="28"/>
          <w:lang w:val="es-ES_tradnl" w:eastAsia="es-ES"/>
        </w:rPr>
        <w:t>(</w:t>
      </w:r>
      <w:r w:rsidRPr="00045BB7">
        <w:rPr>
          <w:rFonts w:ascii="Times New Roman" w:hAnsi="Times New Roman" w:cs="Times New Roman"/>
          <w:sz w:val="28"/>
          <w:szCs w:val="28"/>
          <w:lang w:val="es-ES_tradnl" w:eastAsia="es-ES"/>
        </w:rPr>
        <w:t>20</w:t>
      </w:r>
      <w:r w:rsidRPr="00045BB7">
        <w:rPr>
          <w:rFonts w:ascii="Times New Roman" w:hAnsi="Times New Roman" w:cs="Times New Roman"/>
          <w:sz w:val="28"/>
          <w:szCs w:val="28"/>
          <w:lang w:val="es-ES_tradnl" w:eastAsia="es-ES"/>
        </w:rPr>
        <w:t xml:space="preserve">) de </w:t>
      </w:r>
      <w:r w:rsidRPr="00045BB7">
        <w:rPr>
          <w:rFonts w:ascii="Times New Roman" w:hAnsi="Times New Roman" w:cs="Times New Roman"/>
          <w:sz w:val="28"/>
          <w:szCs w:val="28"/>
          <w:lang w:val="es-ES_tradnl" w:eastAsia="es-ES"/>
        </w:rPr>
        <w:t xml:space="preserve">noviembre </w:t>
      </w:r>
      <w:r w:rsidRPr="00045BB7">
        <w:rPr>
          <w:rFonts w:ascii="Times New Roman" w:hAnsi="Times New Roman" w:cs="Times New Roman"/>
          <w:sz w:val="28"/>
          <w:szCs w:val="28"/>
          <w:lang w:val="es-ES_tradnl" w:eastAsia="es-ES"/>
        </w:rPr>
        <w:t>de dos mil veinti</w:t>
      </w:r>
      <w:r w:rsidRPr="00045BB7">
        <w:rPr>
          <w:rFonts w:ascii="Times New Roman" w:hAnsi="Times New Roman" w:cs="Times New Roman"/>
          <w:sz w:val="28"/>
          <w:szCs w:val="28"/>
          <w:lang w:val="es-ES_tradnl" w:eastAsia="es-ES"/>
        </w:rPr>
        <w:t>cuatro</w:t>
      </w:r>
      <w:r w:rsidRPr="00045BB7">
        <w:rPr>
          <w:rFonts w:ascii="Times New Roman" w:hAnsi="Times New Roman" w:cs="Times New Roman"/>
          <w:sz w:val="28"/>
          <w:szCs w:val="28"/>
          <w:lang w:val="es-ES_tradnl" w:eastAsia="es-ES"/>
        </w:rPr>
        <w:t xml:space="preserve"> (202</w:t>
      </w:r>
      <w:r w:rsidRPr="00045BB7">
        <w:rPr>
          <w:rFonts w:ascii="Times New Roman" w:hAnsi="Times New Roman" w:cs="Times New Roman"/>
          <w:sz w:val="28"/>
          <w:szCs w:val="28"/>
          <w:lang w:val="es-ES_tradnl" w:eastAsia="es-ES"/>
        </w:rPr>
        <w:t>4</w:t>
      </w:r>
      <w:r w:rsidRPr="00045BB7">
        <w:rPr>
          <w:rFonts w:ascii="Times New Roman" w:hAnsi="Times New Roman" w:cs="Times New Roman"/>
          <w:sz w:val="28"/>
          <w:szCs w:val="28"/>
          <w:lang w:val="es-ES_tradnl" w:eastAsia="es-ES"/>
        </w:rPr>
        <w:t>)</w:t>
      </w:r>
    </w:p>
    <w:p w:rsidR="009D1053" w:rsidRPr="00045BB7" w:rsidRDefault="00045BB7" w:rsidP="00410A27">
      <w:pPr>
        <w:jc w:val="both"/>
        <w:rPr>
          <w:rFonts w:ascii="Times New Roman" w:hAnsi="Times New Roman" w:cs="Times New Roman"/>
          <w:iCs/>
          <w:sz w:val="28"/>
          <w:szCs w:val="28"/>
          <w:lang w:val="es-ES_tradnl" w:eastAsia="es-ES"/>
        </w:rPr>
      </w:pPr>
    </w:p>
    <w:p w:rsidR="00F27950" w:rsidRPr="00045BB7" w:rsidRDefault="00045BB7" w:rsidP="00410A27">
      <w:pPr>
        <w:jc w:val="both"/>
        <w:rPr>
          <w:rFonts w:ascii="Times New Roman" w:hAnsi="Times New Roman" w:cs="Times New Roman"/>
          <w:iCs/>
          <w:sz w:val="28"/>
          <w:szCs w:val="28"/>
          <w:lang w:val="es-ES_tradnl"/>
        </w:rPr>
      </w:pPr>
      <w:r w:rsidRPr="00045BB7">
        <w:rPr>
          <w:rFonts w:ascii="Times New Roman" w:hAnsi="Times New Roman" w:cs="Times New Roman"/>
          <w:iCs/>
          <w:sz w:val="28"/>
          <w:szCs w:val="28"/>
          <w:lang w:val="es-ES_tradnl"/>
        </w:rPr>
        <w:t>La Sala Plena en ejercicio de sus competencias constitucionales y</w:t>
      </w:r>
      <w:r w:rsidRPr="00045BB7">
        <w:rPr>
          <w:rFonts w:ascii="Times New Roman" w:hAnsi="Times New Roman" w:cs="Times New Roman"/>
          <w:iCs/>
          <w:sz w:val="28"/>
          <w:szCs w:val="28"/>
          <w:lang w:val="es-ES_tradnl"/>
        </w:rPr>
        <w:t xml:space="preserve"> de conformidad con los requisitos y trámites previstos por el Decreto 2067 de 1991, </w:t>
      </w:r>
      <w:r w:rsidRPr="00045BB7">
        <w:rPr>
          <w:rFonts w:ascii="Times New Roman" w:hAnsi="Times New Roman" w:cs="Times New Roman"/>
          <w:iCs/>
          <w:sz w:val="28"/>
          <w:szCs w:val="28"/>
          <w:lang w:val="es-ES_tradnl"/>
        </w:rPr>
        <w:t xml:space="preserve">profiere </w:t>
      </w:r>
      <w:r w:rsidRPr="00045BB7">
        <w:rPr>
          <w:rFonts w:ascii="Times New Roman" w:hAnsi="Times New Roman" w:cs="Times New Roman"/>
          <w:iCs/>
          <w:sz w:val="28"/>
          <w:szCs w:val="28"/>
          <w:lang w:val="es-ES_tradnl"/>
        </w:rPr>
        <w:t xml:space="preserve">la siguiente: </w:t>
      </w:r>
    </w:p>
    <w:p w:rsidR="00F4150C" w:rsidRPr="00045BB7" w:rsidRDefault="00045BB7" w:rsidP="00410A27">
      <w:pPr>
        <w:jc w:val="both"/>
        <w:rPr>
          <w:rFonts w:ascii="Times New Roman" w:hAnsi="Times New Roman" w:cs="Times New Roman"/>
          <w:iCs/>
          <w:sz w:val="28"/>
          <w:szCs w:val="28"/>
          <w:lang w:val="es-ES_tradnl"/>
        </w:rPr>
      </w:pPr>
    </w:p>
    <w:p w:rsidR="00F4150C" w:rsidRPr="00045BB7" w:rsidRDefault="00045BB7" w:rsidP="00F4150C">
      <w:pPr>
        <w:jc w:val="center"/>
        <w:rPr>
          <w:rFonts w:ascii="Times New Roman" w:hAnsi="Times New Roman" w:cs="Times New Roman"/>
          <w:b/>
          <w:bCs/>
          <w:iCs/>
          <w:sz w:val="28"/>
          <w:lang w:val="es-ES_tradnl"/>
        </w:rPr>
      </w:pPr>
      <w:r w:rsidRPr="00045BB7">
        <w:rPr>
          <w:rFonts w:ascii="Times New Roman" w:hAnsi="Times New Roman" w:cs="Times New Roman"/>
          <w:b/>
          <w:bCs/>
          <w:iCs/>
          <w:sz w:val="28"/>
          <w:lang w:val="es-ES_tradnl"/>
        </w:rPr>
        <w:t>SENTENCIA</w:t>
      </w:r>
    </w:p>
    <w:p w:rsidR="0087778E" w:rsidRPr="00045BB7" w:rsidRDefault="00045BB7" w:rsidP="0087778E">
      <w:pPr>
        <w:pStyle w:val="Ttulo1"/>
        <w:pBdr>
          <w:left w:val="none" w:sz="0" w:space="31" w:color="000000"/>
        </w:pBdr>
        <w:jc w:val="center"/>
        <w:rPr>
          <w:rFonts w:ascii="Times New Roman" w:hAnsi="Times New Roman" w:cs="Times New Roman"/>
        </w:rPr>
      </w:pPr>
    </w:p>
    <w:p w:rsidR="00D71928" w:rsidRPr="00045BB7" w:rsidRDefault="00045BB7" w:rsidP="0087778E">
      <w:pPr>
        <w:pStyle w:val="Ttulo1"/>
        <w:pBdr>
          <w:left w:val="none" w:sz="0" w:space="31" w:color="000000"/>
        </w:pBdr>
        <w:jc w:val="center"/>
        <w:rPr>
          <w:rFonts w:ascii="Times New Roman" w:hAnsi="Times New Roman" w:cs="Times New Roman"/>
        </w:rPr>
      </w:pPr>
      <w:r w:rsidRPr="00045BB7">
        <w:rPr>
          <w:rFonts w:ascii="Times New Roman" w:hAnsi="Times New Roman" w:cs="Times New Roman"/>
        </w:rPr>
        <w:t>Síntesis de la decisión</w:t>
      </w:r>
    </w:p>
    <w:p w:rsidR="00D71928" w:rsidRPr="00045BB7" w:rsidRDefault="00045BB7" w:rsidP="00D71928">
      <w:pPr>
        <w:rPr>
          <w:rFonts w:ascii="Times New Roman" w:hAnsi="Times New Roman" w:cs="Times New Roman"/>
          <w:sz w:val="28"/>
          <w:szCs w:val="28"/>
          <w:lang w:val="es-ES_tradnl" w:eastAsia="en-US"/>
        </w:rPr>
      </w:pPr>
    </w:p>
    <w:p w:rsidR="0087778E" w:rsidRPr="00045BB7" w:rsidRDefault="00045BB7" w:rsidP="001C4A14">
      <w:pPr>
        <w:jc w:val="both"/>
        <w:rPr>
          <w:rFonts w:ascii="Times New Roman" w:hAnsi="Times New Roman" w:cs="Times New Roman"/>
          <w:sz w:val="28"/>
          <w:szCs w:val="28"/>
          <w:lang w:val="es-ES_tradnl" w:eastAsia="en-US"/>
        </w:rPr>
      </w:pPr>
      <w:r w:rsidRPr="00045BB7">
        <w:rPr>
          <w:rFonts w:ascii="Times New Roman" w:hAnsi="Times New Roman" w:cs="Times New Roman"/>
          <w:b/>
          <w:bCs/>
          <w:sz w:val="28"/>
          <w:szCs w:val="28"/>
          <w:lang w:val="es-ES_tradnl" w:eastAsia="en-US"/>
        </w:rPr>
        <w:t>N</w:t>
      </w:r>
      <w:r w:rsidRPr="00045BB7">
        <w:rPr>
          <w:rFonts w:ascii="Times New Roman" w:hAnsi="Times New Roman" w:cs="Times New Roman"/>
          <w:b/>
          <w:bCs/>
          <w:sz w:val="28"/>
          <w:szCs w:val="28"/>
          <w:lang w:val="es-ES_tradnl" w:eastAsia="en-US"/>
        </w:rPr>
        <w:t xml:space="preserve">orma demanda. </w:t>
      </w:r>
      <w:r w:rsidRPr="00045BB7">
        <w:rPr>
          <w:rFonts w:ascii="Times New Roman" w:hAnsi="Times New Roman" w:cs="Times New Roman"/>
          <w:sz w:val="28"/>
          <w:szCs w:val="28"/>
          <w:lang w:val="es-ES_tradnl" w:eastAsia="en-US"/>
        </w:rPr>
        <w:t>La Sala Plena estudió una demanda en contra de los incisos 2 y 6 (parcial) del artículo 50, del artículo 51 y el inciso 1º del artículo 52 de la Ley 1676 de 2013. Estas disposiciones permiten que</w:t>
      </w:r>
      <w:r w:rsidRPr="00045BB7">
        <w:rPr>
          <w:rFonts w:ascii="Times New Roman" w:hAnsi="Times New Roman" w:cs="Times New Roman"/>
          <w:sz w:val="28"/>
          <w:szCs w:val="28"/>
          <w:lang w:val="es-ES_tradnl" w:eastAsia="en-US"/>
        </w:rPr>
        <w:t xml:space="preserve">, </w:t>
      </w:r>
      <w:r w:rsidRPr="00045BB7">
        <w:rPr>
          <w:rFonts w:ascii="Times New Roman" w:hAnsi="Times New Roman" w:cs="Times New Roman"/>
          <w:i/>
          <w:iCs/>
          <w:sz w:val="28"/>
          <w:szCs w:val="28"/>
          <w:lang w:val="es-ES_tradnl" w:eastAsia="en-US"/>
        </w:rPr>
        <w:t xml:space="preserve">(i) </w:t>
      </w:r>
      <w:r w:rsidRPr="00045BB7">
        <w:rPr>
          <w:rFonts w:ascii="Times New Roman" w:hAnsi="Times New Roman" w:cs="Times New Roman"/>
          <w:sz w:val="28"/>
          <w:szCs w:val="28"/>
          <w:lang w:val="es-ES_tradnl" w:eastAsia="en-US"/>
        </w:rPr>
        <w:t>en los procesos</w:t>
      </w:r>
      <w:r w:rsidRPr="00045BB7">
        <w:rPr>
          <w:rFonts w:ascii="Times New Roman" w:hAnsi="Times New Roman" w:cs="Times New Roman"/>
          <w:sz w:val="28"/>
          <w:szCs w:val="28"/>
          <w:lang w:val="es-ES_tradnl" w:eastAsia="en-US"/>
        </w:rPr>
        <w:t xml:space="preserve"> de reorganización y de validación de acuerdos extrajudiciales de reorganización, los acreedores con garantía real </w:t>
      </w:r>
      <w:r w:rsidRPr="00045BB7">
        <w:rPr>
          <w:rFonts w:ascii="Times New Roman" w:hAnsi="Times New Roman" w:cs="Times New Roman"/>
          <w:sz w:val="28"/>
          <w:szCs w:val="28"/>
          <w:lang w:val="es-ES_tradnl" w:eastAsia="en-US"/>
        </w:rPr>
        <w:t>obtengan su pago</w:t>
      </w:r>
      <w:r w:rsidRPr="00045BB7">
        <w:rPr>
          <w:rFonts w:ascii="Times New Roman" w:hAnsi="Times New Roman" w:cs="Times New Roman"/>
          <w:sz w:val="28"/>
          <w:szCs w:val="28"/>
          <w:lang w:val="es-ES_tradnl" w:eastAsia="en-US"/>
        </w:rPr>
        <w:t xml:space="preserve"> </w:t>
      </w:r>
      <w:r w:rsidRPr="00045BB7">
        <w:rPr>
          <w:rFonts w:ascii="Times New Roman" w:hAnsi="Times New Roman" w:cs="Times New Roman"/>
          <w:sz w:val="28"/>
          <w:szCs w:val="28"/>
          <w:lang w:val="es-ES_tradnl" w:eastAsia="en-US"/>
        </w:rPr>
        <w:t>con cargo al bien sobre el cual se les constituyó tal privilegio,</w:t>
      </w:r>
      <w:r w:rsidRPr="00045BB7">
        <w:rPr>
          <w:rFonts w:ascii="Times New Roman" w:hAnsi="Times New Roman" w:cs="Times New Roman"/>
          <w:sz w:val="28"/>
          <w:szCs w:val="28"/>
          <w:lang w:val="es-ES_tradnl" w:eastAsia="en-US"/>
        </w:rPr>
        <w:t xml:space="preserve"> de manera preferente,</w:t>
      </w:r>
      <w:r w:rsidRPr="00045BB7">
        <w:rPr>
          <w:rFonts w:ascii="Times New Roman" w:hAnsi="Times New Roman" w:cs="Times New Roman"/>
          <w:sz w:val="28"/>
          <w:szCs w:val="28"/>
          <w:lang w:val="es-ES_tradnl" w:eastAsia="en-US"/>
        </w:rPr>
        <w:t xml:space="preserve"> en vez de tener que esperar al resul</w:t>
      </w:r>
      <w:r w:rsidRPr="00045BB7">
        <w:rPr>
          <w:rFonts w:ascii="Times New Roman" w:hAnsi="Times New Roman" w:cs="Times New Roman"/>
          <w:sz w:val="28"/>
          <w:szCs w:val="28"/>
          <w:lang w:val="es-ES_tradnl" w:eastAsia="en-US"/>
        </w:rPr>
        <w:t>tado del proceso concursal</w:t>
      </w:r>
      <w:r w:rsidRPr="00045BB7">
        <w:rPr>
          <w:rFonts w:ascii="Times New Roman" w:hAnsi="Times New Roman" w:cs="Times New Roman"/>
          <w:sz w:val="28"/>
          <w:szCs w:val="28"/>
          <w:lang w:val="es-ES_tradnl" w:eastAsia="en-US"/>
        </w:rPr>
        <w:t xml:space="preserve"> y, </w:t>
      </w:r>
      <w:r w:rsidRPr="00045BB7">
        <w:rPr>
          <w:rFonts w:ascii="Times New Roman" w:hAnsi="Times New Roman" w:cs="Times New Roman"/>
          <w:i/>
          <w:iCs/>
          <w:sz w:val="28"/>
          <w:szCs w:val="28"/>
          <w:lang w:val="es-ES_tradnl" w:eastAsia="en-US"/>
        </w:rPr>
        <w:t xml:space="preserve">(ii) </w:t>
      </w:r>
      <w:r w:rsidRPr="00045BB7">
        <w:rPr>
          <w:rFonts w:ascii="Times New Roman" w:hAnsi="Times New Roman" w:cs="Times New Roman"/>
          <w:sz w:val="28"/>
          <w:szCs w:val="28"/>
          <w:lang w:val="es-ES_tradnl" w:eastAsia="en-US"/>
        </w:rPr>
        <w:t xml:space="preserve">en los trámites de liquidación, los bienes en garantía de este tipo de acreedores puedan ser excluidos de la masa liquidatoria, en provecho de los acreedores garantizados. </w:t>
      </w:r>
    </w:p>
    <w:p w:rsidR="0087778E" w:rsidRPr="00045BB7" w:rsidRDefault="00045BB7" w:rsidP="001C4A14">
      <w:pPr>
        <w:jc w:val="both"/>
        <w:rPr>
          <w:rFonts w:ascii="Times New Roman" w:hAnsi="Times New Roman" w:cs="Times New Roman"/>
          <w:b/>
          <w:bCs/>
          <w:sz w:val="28"/>
          <w:szCs w:val="28"/>
          <w:lang w:val="es-ES_tradnl" w:eastAsia="en-US"/>
        </w:rPr>
      </w:pPr>
    </w:p>
    <w:p w:rsidR="00034574" w:rsidRPr="00045BB7" w:rsidRDefault="00045BB7" w:rsidP="001C4A14">
      <w:pPr>
        <w:jc w:val="both"/>
        <w:rPr>
          <w:rFonts w:ascii="Times New Roman" w:hAnsi="Times New Roman" w:cs="Times New Roman"/>
          <w:sz w:val="28"/>
          <w:szCs w:val="28"/>
          <w:lang w:val="es-ES_tradnl" w:eastAsia="en-US"/>
        </w:rPr>
      </w:pPr>
      <w:r w:rsidRPr="00045BB7">
        <w:rPr>
          <w:rFonts w:ascii="Times New Roman" w:hAnsi="Times New Roman" w:cs="Times New Roman"/>
          <w:b/>
          <w:bCs/>
          <w:sz w:val="28"/>
          <w:szCs w:val="28"/>
          <w:lang w:val="es-ES_tradnl" w:eastAsia="en-US"/>
        </w:rPr>
        <w:t>D</w:t>
      </w:r>
      <w:r w:rsidRPr="00045BB7">
        <w:rPr>
          <w:rFonts w:ascii="Times New Roman" w:hAnsi="Times New Roman" w:cs="Times New Roman"/>
          <w:b/>
          <w:bCs/>
          <w:sz w:val="28"/>
          <w:szCs w:val="28"/>
          <w:lang w:val="es-ES_tradnl" w:eastAsia="en-US"/>
        </w:rPr>
        <w:t xml:space="preserve">emanda. </w:t>
      </w:r>
      <w:r w:rsidRPr="00045BB7">
        <w:rPr>
          <w:rFonts w:ascii="Times New Roman" w:hAnsi="Times New Roman" w:cs="Times New Roman"/>
          <w:sz w:val="28"/>
          <w:szCs w:val="28"/>
          <w:lang w:val="es-ES_tradnl" w:eastAsia="en-US"/>
        </w:rPr>
        <w:t>El 2 de abril de 2024, el ciudadano Ju</w:t>
      </w:r>
      <w:r w:rsidRPr="00045BB7">
        <w:rPr>
          <w:rFonts w:ascii="Times New Roman" w:hAnsi="Times New Roman" w:cs="Times New Roman"/>
          <w:sz w:val="28"/>
          <w:szCs w:val="28"/>
          <w:lang w:val="es-ES_tradnl" w:eastAsia="en-US"/>
        </w:rPr>
        <w:t>an Carlos Lancheros Gámez presentó acción pública de inconstitucionalidad en contra de los artículos mencionados, por la presunta vulneración del derecho a la vivienda digna</w:t>
      </w:r>
      <w:r w:rsidRPr="00045BB7">
        <w:rPr>
          <w:rFonts w:ascii="Times New Roman" w:hAnsi="Times New Roman" w:cs="Times New Roman"/>
          <w:sz w:val="28"/>
          <w:szCs w:val="28"/>
          <w:lang w:val="es-ES_tradnl" w:eastAsia="en-US"/>
        </w:rPr>
        <w:t>,</w:t>
      </w:r>
      <w:r w:rsidRPr="00045BB7">
        <w:rPr>
          <w:rFonts w:ascii="Times New Roman" w:hAnsi="Times New Roman" w:cs="Times New Roman"/>
          <w:sz w:val="28"/>
          <w:szCs w:val="28"/>
          <w:lang w:val="es-ES_tradnl" w:eastAsia="en-US"/>
        </w:rPr>
        <w:t xml:space="preserve"> contemplado en los artículos 51 de la Constitución Política y 11 del Pacto de Derechos Económicos, Sociales y Culturales</w:t>
      </w:r>
      <w:r w:rsidRPr="00045BB7">
        <w:rPr>
          <w:rFonts w:ascii="Times New Roman" w:hAnsi="Times New Roman" w:cs="Times New Roman"/>
          <w:sz w:val="28"/>
          <w:szCs w:val="28"/>
          <w:lang w:val="es-ES_tradnl" w:eastAsia="en-US"/>
        </w:rPr>
        <w:t xml:space="preserve"> (PIDESC)</w:t>
      </w:r>
      <w:r w:rsidRPr="00045BB7">
        <w:rPr>
          <w:rFonts w:ascii="Times New Roman" w:hAnsi="Times New Roman" w:cs="Times New Roman"/>
          <w:sz w:val="28"/>
          <w:szCs w:val="28"/>
          <w:lang w:val="es-ES_tradnl" w:eastAsia="en-US"/>
        </w:rPr>
        <w:t xml:space="preserve">. </w:t>
      </w:r>
    </w:p>
    <w:p w:rsidR="00137558" w:rsidRPr="00045BB7" w:rsidRDefault="00045BB7" w:rsidP="001C4A14">
      <w:pPr>
        <w:jc w:val="both"/>
        <w:rPr>
          <w:rFonts w:ascii="Times New Roman" w:hAnsi="Times New Roman" w:cs="Times New Roman"/>
          <w:sz w:val="28"/>
          <w:szCs w:val="28"/>
          <w:lang w:val="es-ES_tradnl" w:eastAsia="en-US"/>
        </w:rPr>
      </w:pPr>
    </w:p>
    <w:p w:rsidR="00137558" w:rsidRPr="00045BB7" w:rsidRDefault="00045BB7" w:rsidP="001C4A14">
      <w:pPr>
        <w:jc w:val="both"/>
        <w:rPr>
          <w:rFonts w:ascii="Times New Roman" w:hAnsi="Times New Roman" w:cs="Times New Roman"/>
          <w:sz w:val="28"/>
          <w:szCs w:val="28"/>
          <w:lang w:val="es-ES_tradnl" w:eastAsia="en-US"/>
        </w:rPr>
      </w:pPr>
      <w:r w:rsidRPr="00045BB7">
        <w:rPr>
          <w:rFonts w:ascii="Times New Roman" w:hAnsi="Times New Roman" w:cs="Times New Roman"/>
          <w:sz w:val="28"/>
          <w:szCs w:val="28"/>
          <w:lang w:val="es-ES_tradnl" w:eastAsia="en-US"/>
        </w:rPr>
        <w:t xml:space="preserve">El demandante consideró que las disposiciones atacadas </w:t>
      </w:r>
      <w:r w:rsidRPr="00045BB7">
        <w:rPr>
          <w:rFonts w:ascii="Times New Roman" w:hAnsi="Times New Roman" w:cs="Times New Roman"/>
          <w:sz w:val="28"/>
          <w:szCs w:val="28"/>
          <w:lang w:val="es-ES_tradnl" w:eastAsia="en-US"/>
        </w:rPr>
        <w:t>desconocen</w:t>
      </w:r>
      <w:r w:rsidRPr="00045BB7">
        <w:rPr>
          <w:rFonts w:ascii="Times New Roman" w:hAnsi="Times New Roman" w:cs="Times New Roman"/>
          <w:sz w:val="28"/>
          <w:szCs w:val="28"/>
          <w:lang w:val="es-ES_tradnl" w:eastAsia="en-US"/>
        </w:rPr>
        <w:t xml:space="preserve"> ese derecho porque </w:t>
      </w:r>
      <w:r w:rsidRPr="00045BB7">
        <w:rPr>
          <w:rFonts w:ascii="Times New Roman" w:hAnsi="Times New Roman" w:cs="Times New Roman"/>
          <w:sz w:val="28"/>
          <w:szCs w:val="28"/>
          <w:lang w:val="es-ES_tradnl" w:eastAsia="en-US"/>
        </w:rPr>
        <w:t>favorecen intereses particulares y pe</w:t>
      </w:r>
      <w:r w:rsidRPr="00045BB7">
        <w:rPr>
          <w:rFonts w:ascii="Times New Roman" w:hAnsi="Times New Roman" w:cs="Times New Roman"/>
          <w:sz w:val="28"/>
          <w:szCs w:val="28"/>
          <w:lang w:val="es-ES_tradnl" w:eastAsia="en-US"/>
        </w:rPr>
        <w:t xml:space="preserve">rmiten que los créditos de los acreedores garantizados sean pagados de manera preferente, incluso por encima de los acreedores cuyo crédito surge de la compra de inmuebles para vivienda. A su juicio, esto limita la protección del derecho a la vivienda, en </w:t>
      </w:r>
      <w:r w:rsidRPr="00045BB7">
        <w:rPr>
          <w:rFonts w:ascii="Times New Roman" w:hAnsi="Times New Roman" w:cs="Times New Roman"/>
          <w:sz w:val="28"/>
          <w:szCs w:val="28"/>
          <w:lang w:val="es-ES_tradnl" w:eastAsia="en-US"/>
        </w:rPr>
        <w:t>particular sus facetas de ac</w:t>
      </w:r>
      <w:r w:rsidRPr="00045BB7">
        <w:rPr>
          <w:rFonts w:ascii="Times New Roman" w:hAnsi="Times New Roman" w:cs="Times New Roman"/>
          <w:sz w:val="28"/>
          <w:szCs w:val="28"/>
          <w:lang w:val="es-ES_tradnl" w:eastAsia="en-US"/>
        </w:rPr>
        <w:t xml:space="preserve">ceso y seguridad jurídica de todas las formas de tenencia, circunstancia que </w:t>
      </w:r>
      <w:r w:rsidRPr="00045BB7">
        <w:rPr>
          <w:rFonts w:ascii="Times New Roman" w:hAnsi="Times New Roman" w:cs="Times New Roman"/>
          <w:sz w:val="28"/>
          <w:szCs w:val="28"/>
          <w:lang w:val="es-ES_tradnl" w:eastAsia="en-US"/>
        </w:rPr>
        <w:t>cobra</w:t>
      </w:r>
      <w:r w:rsidRPr="00045BB7">
        <w:rPr>
          <w:rFonts w:ascii="Times New Roman" w:hAnsi="Times New Roman" w:cs="Times New Roman"/>
          <w:sz w:val="28"/>
          <w:szCs w:val="28"/>
          <w:lang w:val="es-ES_tradnl" w:eastAsia="en-US"/>
        </w:rPr>
        <w:t xml:space="preserve"> mayor relevancia frente a sujetos que adquieren viviendas de interés social y familias con niños y adultos mayores. </w:t>
      </w:r>
    </w:p>
    <w:p w:rsidR="0087778E" w:rsidRPr="00045BB7" w:rsidRDefault="00045BB7" w:rsidP="001C4A14">
      <w:pPr>
        <w:jc w:val="both"/>
        <w:rPr>
          <w:rFonts w:ascii="Times New Roman" w:hAnsi="Times New Roman" w:cs="Times New Roman"/>
          <w:b/>
          <w:bCs/>
          <w:sz w:val="28"/>
          <w:szCs w:val="28"/>
          <w:lang w:val="es-ES_tradnl" w:eastAsia="en-US"/>
        </w:rPr>
      </w:pPr>
    </w:p>
    <w:p w:rsidR="004B5857" w:rsidRPr="00045BB7" w:rsidRDefault="00045BB7" w:rsidP="004B5857">
      <w:pPr>
        <w:jc w:val="both"/>
        <w:rPr>
          <w:rFonts w:ascii="Times New Roman" w:hAnsi="Times New Roman" w:cs="Times New Roman"/>
          <w:sz w:val="28"/>
          <w:szCs w:val="28"/>
          <w:lang w:val="es-ES_tradnl" w:eastAsia="en-US"/>
        </w:rPr>
      </w:pPr>
      <w:r w:rsidRPr="00045BB7">
        <w:rPr>
          <w:rFonts w:ascii="Times New Roman" w:hAnsi="Times New Roman" w:cs="Times New Roman"/>
          <w:b/>
          <w:bCs/>
          <w:sz w:val="28"/>
          <w:szCs w:val="28"/>
          <w:lang w:val="es-ES_tradnl" w:eastAsia="en-US"/>
        </w:rPr>
        <w:t xml:space="preserve">Examen de la Corte. </w:t>
      </w:r>
      <w:r w:rsidRPr="00045BB7">
        <w:rPr>
          <w:rFonts w:ascii="Times New Roman" w:hAnsi="Times New Roman" w:cs="Times New Roman"/>
          <w:sz w:val="28"/>
          <w:szCs w:val="28"/>
          <w:lang w:val="es-ES_tradnl" w:eastAsia="en-US"/>
        </w:rPr>
        <w:t>La Cort</w:t>
      </w:r>
      <w:r w:rsidRPr="00045BB7">
        <w:rPr>
          <w:rFonts w:ascii="Times New Roman" w:hAnsi="Times New Roman" w:cs="Times New Roman"/>
          <w:sz w:val="28"/>
          <w:szCs w:val="28"/>
          <w:lang w:val="es-ES_tradnl" w:eastAsia="en-US"/>
        </w:rPr>
        <w:t xml:space="preserve">e concluyó que </w:t>
      </w:r>
      <w:r w:rsidRPr="00045BB7">
        <w:rPr>
          <w:rFonts w:ascii="Times New Roman" w:hAnsi="Times New Roman" w:cs="Times New Roman"/>
          <w:sz w:val="28"/>
          <w:szCs w:val="28"/>
          <w:lang w:val="es-ES_tradnl" w:eastAsia="en-US"/>
        </w:rPr>
        <w:t>la demanda carece de certeza, especificidad, pertinencia y sufici</w:t>
      </w:r>
      <w:r w:rsidRPr="00045BB7">
        <w:rPr>
          <w:rFonts w:ascii="Times New Roman" w:hAnsi="Times New Roman" w:cs="Times New Roman"/>
          <w:sz w:val="28"/>
          <w:szCs w:val="28"/>
          <w:lang w:val="es-ES_tradnl" w:eastAsia="en-US"/>
        </w:rPr>
        <w:t>encia</w:t>
      </w:r>
      <w:r w:rsidRPr="00045BB7">
        <w:rPr>
          <w:rFonts w:ascii="Times New Roman" w:hAnsi="Times New Roman" w:cs="Times New Roman"/>
          <w:sz w:val="28"/>
          <w:szCs w:val="28"/>
          <w:lang w:val="es-ES_tradnl" w:eastAsia="en-US"/>
        </w:rPr>
        <w:t xml:space="preserve"> puesto que, en primer lugar, </w:t>
      </w:r>
      <w:r w:rsidRPr="00045BB7">
        <w:rPr>
          <w:rFonts w:ascii="Times New Roman" w:hAnsi="Times New Roman" w:cs="Times New Roman"/>
          <w:sz w:val="28"/>
          <w:szCs w:val="28"/>
          <w:lang w:val="es-ES_tradnl" w:eastAsia="en-US"/>
        </w:rPr>
        <w:t>el demandante denunció indistintamente los tres artículos pese a que todos tienen contenidos diverso</w:t>
      </w:r>
      <w:r w:rsidRPr="00045BB7">
        <w:rPr>
          <w:rFonts w:ascii="Times New Roman" w:hAnsi="Times New Roman" w:cs="Times New Roman"/>
          <w:sz w:val="28"/>
          <w:szCs w:val="28"/>
          <w:lang w:val="es-ES_tradnl" w:eastAsia="en-US"/>
        </w:rPr>
        <w:t xml:space="preserve">s. Tal deficiencia se refleja en que </w:t>
      </w:r>
      <w:r w:rsidRPr="00045BB7">
        <w:rPr>
          <w:rFonts w:ascii="Times New Roman" w:hAnsi="Times New Roman" w:cs="Times New Roman"/>
          <w:sz w:val="28"/>
          <w:szCs w:val="28"/>
          <w:lang w:val="es-ES_tradnl" w:eastAsia="en-US"/>
        </w:rPr>
        <w:t>en los procesos de reestructuración y de validación judicial de acuerdos de reestructuración, no hay un escenario de masa patrimonial deficiente y, contrario a lo que plantea el demandante, la preferencia de pago al acreedor garantizado contribuye al inter</w:t>
      </w:r>
      <w:r w:rsidRPr="00045BB7">
        <w:rPr>
          <w:rFonts w:ascii="Times New Roman" w:hAnsi="Times New Roman" w:cs="Times New Roman"/>
          <w:sz w:val="28"/>
          <w:szCs w:val="28"/>
          <w:lang w:val="es-ES_tradnl" w:eastAsia="en-US"/>
        </w:rPr>
        <w:t xml:space="preserve">és concursal y, en particular, a que el proyecto inmobiliario llegue a buen término y de esta manera se cumpla con la obligación pactada entre el constructor y los adquirientes de vivienda. </w:t>
      </w:r>
    </w:p>
    <w:p w:rsidR="004B5857" w:rsidRPr="00045BB7" w:rsidRDefault="00045BB7" w:rsidP="004B5857">
      <w:pPr>
        <w:jc w:val="both"/>
        <w:rPr>
          <w:rFonts w:ascii="Times New Roman" w:hAnsi="Times New Roman" w:cs="Times New Roman"/>
          <w:sz w:val="28"/>
          <w:szCs w:val="28"/>
          <w:lang w:val="es-ES_tradnl" w:eastAsia="en-US"/>
        </w:rPr>
      </w:pPr>
    </w:p>
    <w:p w:rsidR="004B5857" w:rsidRPr="00045BB7" w:rsidRDefault="00045BB7" w:rsidP="004B5857">
      <w:pPr>
        <w:jc w:val="both"/>
        <w:rPr>
          <w:rFonts w:ascii="Times New Roman" w:hAnsi="Times New Roman" w:cs="Times New Roman"/>
          <w:sz w:val="28"/>
          <w:szCs w:val="28"/>
          <w:lang w:val="es-ES_tradnl" w:eastAsia="en-US"/>
        </w:rPr>
      </w:pPr>
      <w:r w:rsidRPr="00045BB7">
        <w:rPr>
          <w:rFonts w:ascii="Times New Roman" w:hAnsi="Times New Roman" w:cs="Times New Roman"/>
          <w:sz w:val="28"/>
          <w:szCs w:val="28"/>
          <w:lang w:val="es-ES_tradnl" w:eastAsia="en-US"/>
        </w:rPr>
        <w:t>En segundo lugar, en cuanto a los trámites de liquidación, la Sa</w:t>
      </w:r>
      <w:r w:rsidRPr="00045BB7">
        <w:rPr>
          <w:rFonts w:ascii="Times New Roman" w:hAnsi="Times New Roman" w:cs="Times New Roman"/>
          <w:sz w:val="28"/>
          <w:szCs w:val="28"/>
          <w:lang w:val="es-ES_tradnl" w:eastAsia="en-US"/>
        </w:rPr>
        <w:t xml:space="preserve">la Plena determinó que la lectura que hace el accionante es descontextualizada y omite que los compradores de vivienda sí cuentan con protecciones y que la obligación del Estado en relación con esta garantía fundamental se perfecciona por medio de </w:t>
      </w:r>
      <w:r w:rsidRPr="00045BB7">
        <w:rPr>
          <w:rFonts w:ascii="Times New Roman" w:hAnsi="Times New Roman" w:cs="Times New Roman"/>
          <w:i/>
          <w:iCs/>
          <w:sz w:val="28"/>
          <w:szCs w:val="28"/>
          <w:lang w:val="es-ES_tradnl" w:eastAsia="en-US"/>
        </w:rPr>
        <w:t>(i)</w:t>
      </w:r>
      <w:r w:rsidRPr="00045BB7">
        <w:rPr>
          <w:rFonts w:ascii="Times New Roman" w:hAnsi="Times New Roman" w:cs="Times New Roman"/>
          <w:sz w:val="28"/>
          <w:szCs w:val="28"/>
          <w:lang w:val="es-ES_tradnl" w:eastAsia="en-US"/>
        </w:rPr>
        <w:t xml:space="preserve"> la p</w:t>
      </w:r>
      <w:r w:rsidRPr="00045BB7">
        <w:rPr>
          <w:rFonts w:ascii="Times New Roman" w:hAnsi="Times New Roman" w:cs="Times New Roman"/>
          <w:sz w:val="28"/>
          <w:szCs w:val="28"/>
          <w:lang w:val="es-ES_tradnl" w:eastAsia="en-US"/>
        </w:rPr>
        <w:t xml:space="preserve">revención del riesgo que conlleva cualquier tipo de actividad económica y, </w:t>
      </w:r>
      <w:r w:rsidRPr="00045BB7">
        <w:rPr>
          <w:rFonts w:ascii="Times New Roman" w:hAnsi="Times New Roman" w:cs="Times New Roman"/>
          <w:i/>
          <w:iCs/>
          <w:sz w:val="28"/>
          <w:szCs w:val="28"/>
          <w:lang w:val="es-ES_tradnl" w:eastAsia="en-US"/>
        </w:rPr>
        <w:t>(</w:t>
      </w:r>
      <w:r w:rsidRPr="00045BB7">
        <w:rPr>
          <w:rFonts w:ascii="Times New Roman" w:hAnsi="Times New Roman" w:cs="Times New Roman"/>
          <w:i/>
          <w:iCs/>
          <w:sz w:val="28"/>
          <w:szCs w:val="28"/>
          <w:lang w:val="es-ES_tradnl" w:eastAsia="en-US"/>
        </w:rPr>
        <w:t>i</w:t>
      </w:r>
      <w:r w:rsidRPr="00045BB7">
        <w:rPr>
          <w:rFonts w:ascii="Times New Roman" w:hAnsi="Times New Roman" w:cs="Times New Roman"/>
          <w:i/>
          <w:iCs/>
          <w:sz w:val="28"/>
          <w:szCs w:val="28"/>
          <w:lang w:val="es-ES_tradnl" w:eastAsia="en-US"/>
        </w:rPr>
        <w:t>i</w:t>
      </w:r>
      <w:r w:rsidRPr="00045BB7">
        <w:rPr>
          <w:rFonts w:ascii="Times New Roman" w:hAnsi="Times New Roman" w:cs="Times New Roman"/>
          <w:i/>
          <w:iCs/>
          <w:sz w:val="28"/>
          <w:szCs w:val="28"/>
          <w:lang w:val="es-ES_tradnl" w:eastAsia="en-US"/>
        </w:rPr>
        <w:t>)</w:t>
      </w:r>
      <w:r w:rsidRPr="00045BB7">
        <w:rPr>
          <w:rFonts w:ascii="Times New Roman" w:hAnsi="Times New Roman" w:cs="Times New Roman"/>
          <w:sz w:val="28"/>
          <w:szCs w:val="28"/>
          <w:lang w:val="es-ES_tradnl" w:eastAsia="en-US"/>
        </w:rPr>
        <w:t xml:space="preserve"> la mitigación de los perjuicios que puedan surgir cuando, a pesar de la prevención y por la naturaleza de las transacciones económicas, se materialice un escenario de riesgo, c</w:t>
      </w:r>
      <w:r w:rsidRPr="00045BB7">
        <w:rPr>
          <w:rFonts w:ascii="Times New Roman" w:hAnsi="Times New Roman" w:cs="Times New Roman"/>
          <w:sz w:val="28"/>
          <w:szCs w:val="28"/>
          <w:lang w:val="es-ES_tradnl" w:eastAsia="en-US"/>
        </w:rPr>
        <w:t xml:space="preserve">omo lo es la liquidación de la empresa constructora. </w:t>
      </w:r>
    </w:p>
    <w:p w:rsidR="004B5857" w:rsidRPr="00045BB7" w:rsidRDefault="00045BB7" w:rsidP="004B5857">
      <w:pPr>
        <w:jc w:val="both"/>
        <w:rPr>
          <w:rFonts w:ascii="Times New Roman" w:hAnsi="Times New Roman" w:cs="Times New Roman"/>
          <w:sz w:val="28"/>
          <w:szCs w:val="28"/>
          <w:lang w:val="es-ES_tradnl" w:eastAsia="en-US"/>
        </w:rPr>
      </w:pPr>
    </w:p>
    <w:p w:rsidR="0087778E" w:rsidRPr="00045BB7" w:rsidRDefault="00045BB7" w:rsidP="001C4A14">
      <w:pPr>
        <w:jc w:val="both"/>
        <w:rPr>
          <w:rFonts w:ascii="Times New Roman" w:hAnsi="Times New Roman" w:cs="Times New Roman"/>
          <w:sz w:val="28"/>
          <w:szCs w:val="28"/>
          <w:lang w:val="es-ES_tradnl" w:eastAsia="en-US"/>
        </w:rPr>
      </w:pPr>
      <w:r w:rsidRPr="00045BB7">
        <w:rPr>
          <w:rFonts w:ascii="Times New Roman" w:hAnsi="Times New Roman" w:cs="Times New Roman"/>
          <w:sz w:val="28"/>
          <w:szCs w:val="28"/>
          <w:lang w:val="es-ES_tradnl" w:eastAsia="en-US"/>
        </w:rPr>
        <w:t xml:space="preserve">En tercer lugar, el demandante olvida que la garantía al derecho a la vivienda </w:t>
      </w:r>
      <w:r w:rsidRPr="00045BB7">
        <w:rPr>
          <w:rFonts w:ascii="Times New Roman" w:hAnsi="Times New Roman" w:cs="Times New Roman"/>
          <w:sz w:val="28"/>
          <w:szCs w:val="28"/>
          <w:lang w:val="es-ES_tradnl" w:eastAsia="en-US"/>
        </w:rPr>
        <w:t>no debe confundirse, ni se agota en el derecho a la propiedad</w:t>
      </w:r>
      <w:r w:rsidRPr="00045BB7">
        <w:rPr>
          <w:rFonts w:ascii="Times New Roman" w:hAnsi="Times New Roman" w:cs="Times New Roman"/>
          <w:sz w:val="28"/>
          <w:szCs w:val="28"/>
          <w:lang w:val="es-ES_tradnl" w:eastAsia="en-US"/>
        </w:rPr>
        <w:t xml:space="preserve">, </w:t>
      </w:r>
      <w:r w:rsidRPr="00045BB7">
        <w:rPr>
          <w:rFonts w:ascii="Times New Roman" w:hAnsi="Times New Roman" w:cs="Times New Roman"/>
          <w:sz w:val="28"/>
          <w:szCs w:val="28"/>
          <w:lang w:val="es-ES_tradnl" w:eastAsia="en-US"/>
        </w:rPr>
        <w:t>por lo cual la seguridad de la tenencia</w:t>
      </w:r>
      <w:r w:rsidRPr="00045BB7">
        <w:rPr>
          <w:rFonts w:ascii="Times New Roman" w:hAnsi="Times New Roman" w:cs="Times New Roman"/>
          <w:sz w:val="28"/>
          <w:szCs w:val="28"/>
          <w:lang w:val="es-ES_tradnl" w:eastAsia="en-US"/>
        </w:rPr>
        <w:t>, como piedra angula</w:t>
      </w:r>
      <w:r w:rsidRPr="00045BB7">
        <w:rPr>
          <w:rFonts w:ascii="Times New Roman" w:hAnsi="Times New Roman" w:cs="Times New Roman"/>
          <w:sz w:val="28"/>
          <w:szCs w:val="28"/>
          <w:lang w:val="es-ES_tradnl" w:eastAsia="en-US"/>
        </w:rPr>
        <w:t>r de la vivienda digna,</w:t>
      </w:r>
      <w:r w:rsidRPr="00045BB7">
        <w:rPr>
          <w:rFonts w:ascii="Times New Roman" w:hAnsi="Times New Roman" w:cs="Times New Roman"/>
          <w:sz w:val="28"/>
          <w:szCs w:val="28"/>
          <w:lang w:val="es-ES_tradnl" w:eastAsia="en-US"/>
        </w:rPr>
        <w:t xml:space="preserve"> puede adoptar diversas formas e implica que todas las personas, aun las que no son propietarias de un inmueble, tengan un lugar para vivir en paz y dignidad. </w:t>
      </w:r>
    </w:p>
    <w:p w:rsidR="0087778E" w:rsidRPr="00045BB7" w:rsidRDefault="00045BB7" w:rsidP="001C4A14">
      <w:pPr>
        <w:jc w:val="both"/>
        <w:rPr>
          <w:rFonts w:ascii="Times New Roman" w:hAnsi="Times New Roman" w:cs="Times New Roman"/>
          <w:b/>
          <w:bCs/>
          <w:sz w:val="28"/>
          <w:szCs w:val="28"/>
          <w:lang w:val="es-ES_tradnl" w:eastAsia="en-US"/>
        </w:rPr>
      </w:pPr>
    </w:p>
    <w:p w:rsidR="005123CB" w:rsidRPr="00045BB7" w:rsidRDefault="00045BB7" w:rsidP="001C4A14">
      <w:pPr>
        <w:jc w:val="both"/>
        <w:rPr>
          <w:rFonts w:ascii="Times New Roman" w:hAnsi="Times New Roman" w:cs="Times New Roman"/>
          <w:sz w:val="28"/>
          <w:szCs w:val="28"/>
          <w:lang w:val="es-ES_tradnl" w:eastAsia="en-US"/>
        </w:rPr>
      </w:pPr>
      <w:r w:rsidRPr="00045BB7">
        <w:rPr>
          <w:rFonts w:ascii="Times New Roman" w:hAnsi="Times New Roman" w:cs="Times New Roman"/>
          <w:b/>
          <w:bCs/>
          <w:sz w:val="28"/>
          <w:szCs w:val="28"/>
          <w:lang w:val="es-ES_tradnl" w:eastAsia="en-US"/>
        </w:rPr>
        <w:t>Decisión.</w:t>
      </w:r>
      <w:r w:rsidRPr="00045BB7">
        <w:rPr>
          <w:rFonts w:ascii="Times New Roman" w:hAnsi="Times New Roman" w:cs="Times New Roman"/>
          <w:b/>
          <w:bCs/>
          <w:sz w:val="28"/>
          <w:szCs w:val="28"/>
          <w:lang w:val="es-ES_tradnl" w:eastAsia="en-US"/>
        </w:rPr>
        <w:t xml:space="preserve"> </w:t>
      </w:r>
      <w:r w:rsidRPr="00045BB7">
        <w:rPr>
          <w:rFonts w:ascii="Times New Roman" w:hAnsi="Times New Roman" w:cs="Times New Roman"/>
          <w:sz w:val="28"/>
          <w:szCs w:val="28"/>
          <w:lang w:val="es-ES_tradnl" w:eastAsia="en-US"/>
        </w:rPr>
        <w:t xml:space="preserve">La Corte </w:t>
      </w:r>
      <w:r w:rsidRPr="00045BB7">
        <w:rPr>
          <w:rFonts w:ascii="Times New Roman" w:hAnsi="Times New Roman" w:cs="Times New Roman"/>
          <w:sz w:val="28"/>
          <w:szCs w:val="28"/>
          <w:lang w:val="es-ES_tradnl" w:eastAsia="en-US"/>
        </w:rPr>
        <w:t xml:space="preserve">se declaró inhibida para pronunciarse de fondo sobre </w:t>
      </w:r>
      <w:r w:rsidRPr="00045BB7">
        <w:rPr>
          <w:rFonts w:ascii="Times New Roman" w:hAnsi="Times New Roman" w:cs="Times New Roman"/>
          <w:sz w:val="28"/>
          <w:szCs w:val="28"/>
          <w:lang w:val="es-ES_tradnl" w:eastAsia="en-US"/>
        </w:rPr>
        <w:t>la const</w:t>
      </w:r>
      <w:r w:rsidRPr="00045BB7">
        <w:rPr>
          <w:rFonts w:ascii="Times New Roman" w:hAnsi="Times New Roman" w:cs="Times New Roman"/>
          <w:sz w:val="28"/>
          <w:szCs w:val="28"/>
          <w:lang w:val="es-ES_tradnl" w:eastAsia="en-US"/>
        </w:rPr>
        <w:t>i</w:t>
      </w:r>
      <w:r w:rsidRPr="00045BB7">
        <w:rPr>
          <w:rFonts w:ascii="Times New Roman" w:hAnsi="Times New Roman" w:cs="Times New Roman"/>
          <w:sz w:val="28"/>
          <w:szCs w:val="28"/>
          <w:lang w:val="es-ES_tradnl" w:eastAsia="en-US"/>
        </w:rPr>
        <w:t>tucionalidad de</w:t>
      </w:r>
      <w:r w:rsidRPr="00045BB7">
        <w:rPr>
          <w:rFonts w:ascii="Times New Roman" w:hAnsi="Times New Roman" w:cs="Times New Roman"/>
          <w:sz w:val="28"/>
          <w:szCs w:val="28"/>
          <w:lang w:val="es-ES_tradnl" w:eastAsia="en-US"/>
        </w:rPr>
        <w:t xml:space="preserve"> los incisos 2 y 6 (parcial) del artículo 50, del artículo 51 y el inciso 1º del artículo 52 de la Ley 1676 de 2013, “por </w:t>
      </w:r>
      <w:r w:rsidRPr="00045BB7">
        <w:rPr>
          <w:rFonts w:ascii="Times New Roman" w:hAnsi="Times New Roman" w:cs="Times New Roman"/>
          <w:sz w:val="28"/>
          <w:szCs w:val="28"/>
          <w:lang w:val="es-ES_tradnl" w:eastAsia="en-US"/>
        </w:rPr>
        <w:t xml:space="preserve">la cual se promueve el acceso al crédito y se dictan normas sobre garantías mobiliarias”, </w:t>
      </w:r>
      <w:r w:rsidRPr="00045BB7">
        <w:rPr>
          <w:rFonts w:ascii="Times New Roman" w:hAnsi="Times New Roman" w:cs="Times New Roman"/>
          <w:sz w:val="28"/>
          <w:szCs w:val="28"/>
          <w:lang w:val="es-ES_tradnl" w:eastAsia="en-US"/>
        </w:rPr>
        <w:t>por ineptitud sustan</w:t>
      </w:r>
      <w:r w:rsidRPr="00045BB7">
        <w:rPr>
          <w:rFonts w:ascii="Times New Roman" w:hAnsi="Times New Roman" w:cs="Times New Roman"/>
          <w:sz w:val="28"/>
          <w:szCs w:val="28"/>
          <w:lang w:val="es-ES_tradnl" w:eastAsia="en-US"/>
        </w:rPr>
        <w:t xml:space="preserve">tiva de la demanda. </w:t>
      </w:r>
    </w:p>
    <w:p w:rsidR="00D71928" w:rsidRPr="00045BB7" w:rsidRDefault="00045BB7" w:rsidP="00D71928">
      <w:pPr>
        <w:rPr>
          <w:rFonts w:ascii="Times New Roman" w:hAnsi="Times New Roman" w:cs="Times New Roman"/>
          <w:sz w:val="28"/>
          <w:lang w:val="es-ES_tradnl" w:eastAsia="en-US"/>
        </w:rPr>
      </w:pPr>
    </w:p>
    <w:p w:rsidR="00F55240" w:rsidRPr="00045BB7" w:rsidRDefault="00045BB7" w:rsidP="00005DC5">
      <w:pPr>
        <w:pStyle w:val="Ttulo1"/>
        <w:numPr>
          <w:ilvl w:val="0"/>
          <w:numId w:val="6"/>
        </w:numPr>
        <w:pBdr>
          <w:left w:val="none" w:sz="0" w:space="31" w:color="000000"/>
        </w:pBdr>
        <w:ind w:left="360" w:hanging="360"/>
        <w:rPr>
          <w:rFonts w:ascii="Times New Roman" w:hAnsi="Times New Roman" w:cs="Times New Roman"/>
        </w:rPr>
      </w:pPr>
      <w:r w:rsidRPr="00045BB7">
        <w:rPr>
          <w:rFonts w:ascii="Times New Roman" w:hAnsi="Times New Roman" w:cs="Times New Roman"/>
        </w:rPr>
        <w:t>ANTECEDENTES</w:t>
      </w:r>
    </w:p>
    <w:p w:rsidR="00FA3026" w:rsidRPr="00045BB7" w:rsidRDefault="00045BB7" w:rsidP="00F55240">
      <w:pPr>
        <w:ind w:right="-8"/>
        <w:contextualSpacing/>
        <w:rPr>
          <w:rFonts w:ascii="Times New Roman" w:hAnsi="Times New Roman" w:cs="Times New Roman"/>
          <w:b/>
          <w:sz w:val="28"/>
          <w:szCs w:val="28"/>
        </w:rPr>
      </w:pPr>
    </w:p>
    <w:p w:rsidR="00F4150C" w:rsidRPr="00045BB7" w:rsidRDefault="00045BB7" w:rsidP="00005DC5">
      <w:pPr>
        <w:pStyle w:val="Ttulo1"/>
        <w:keepNext/>
        <w:keepLines/>
        <w:widowControl w:val="0"/>
        <w:numPr>
          <w:ilvl w:val="0"/>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ind w:left="567" w:firstLine="0"/>
        <w:jc w:val="both"/>
        <w:rPr>
          <w:rFonts w:ascii="Times New Roman" w:hAnsi="Times New Roman" w:cs="Times New Roman"/>
        </w:rPr>
      </w:pPr>
      <w:r w:rsidRPr="00045BB7">
        <w:rPr>
          <w:rFonts w:ascii="Times New Roman" w:hAnsi="Times New Roman" w:cs="Times New Roman"/>
        </w:rPr>
        <w:t xml:space="preserve">Trámite </w:t>
      </w:r>
      <w:r w:rsidRPr="00045BB7">
        <w:rPr>
          <w:rFonts w:ascii="Times New Roman" w:hAnsi="Times New Roman" w:cs="Times New Roman"/>
        </w:rPr>
        <w:t>procesal</w:t>
      </w:r>
    </w:p>
    <w:p w:rsidR="00F4150C" w:rsidRPr="00045BB7" w:rsidRDefault="00045BB7" w:rsidP="00F55240">
      <w:pPr>
        <w:ind w:right="-8"/>
        <w:contextualSpacing/>
        <w:rPr>
          <w:rFonts w:ascii="Times New Roman" w:hAnsi="Times New Roman" w:cs="Times New Roman"/>
          <w:b/>
          <w:sz w:val="28"/>
          <w:szCs w:val="28"/>
        </w:rPr>
      </w:pPr>
    </w:p>
    <w:p w:rsidR="00F27950" w:rsidRPr="00045BB7" w:rsidRDefault="00045BB7" w:rsidP="00005DC5">
      <w:pPr>
        <w:pStyle w:val="Prrafodelista"/>
        <w:numPr>
          <w:ilvl w:val="0"/>
          <w:numId w:val="8"/>
        </w:numPr>
        <w:tabs>
          <w:tab w:val="left" w:pos="0"/>
          <w:tab w:val="left" w:pos="426"/>
        </w:tabs>
        <w:autoSpaceDE/>
        <w:autoSpaceDN/>
        <w:adjustRightInd/>
        <w:spacing w:before="0"/>
        <w:ind w:left="0" w:right="51" w:firstLine="0"/>
        <w:contextualSpacing/>
        <w:rPr>
          <w:rFonts w:ascii="Times New Roman" w:hAnsi="Times New Roman" w:cs="Times New Roman"/>
          <w:b/>
          <w:szCs w:val="28"/>
        </w:rPr>
      </w:pPr>
      <w:r w:rsidRPr="00045BB7">
        <w:rPr>
          <w:rFonts w:ascii="Times New Roman" w:hAnsi="Times New Roman" w:cs="Times New Roman"/>
          <w:bCs/>
          <w:szCs w:val="28"/>
        </w:rPr>
        <w:t>E</w:t>
      </w:r>
      <w:r w:rsidRPr="00045BB7">
        <w:rPr>
          <w:rFonts w:ascii="Times New Roman" w:hAnsi="Times New Roman" w:cs="Times New Roman"/>
          <w:bCs/>
          <w:szCs w:val="28"/>
        </w:rPr>
        <w:t xml:space="preserve">l 2 de abril de 2024, </w:t>
      </w:r>
      <w:r w:rsidRPr="00045BB7">
        <w:rPr>
          <w:rFonts w:ascii="Times New Roman" w:hAnsi="Times New Roman" w:cs="Times New Roman"/>
          <w:bCs/>
          <w:szCs w:val="28"/>
        </w:rPr>
        <w:t xml:space="preserve">el ciudadano Juan Carlos Lancheros Gámez demandó los artículos 50, 51 y 52 </w:t>
      </w:r>
      <w:r w:rsidRPr="00045BB7">
        <w:rPr>
          <w:rFonts w:ascii="Times New Roman" w:hAnsi="Times New Roman" w:cs="Times New Roman"/>
          <w:bCs/>
          <w:szCs w:val="28"/>
        </w:rPr>
        <w:t xml:space="preserve">(parciales) </w:t>
      </w:r>
      <w:r w:rsidRPr="00045BB7">
        <w:rPr>
          <w:rFonts w:ascii="Times New Roman" w:hAnsi="Times New Roman" w:cs="Times New Roman"/>
          <w:bCs/>
          <w:szCs w:val="28"/>
        </w:rPr>
        <w:t>de la Ley 1676 de 2013</w:t>
      </w:r>
      <w:r w:rsidRPr="00045BB7">
        <w:rPr>
          <w:rStyle w:val="Refdenotaalpie"/>
          <w:rFonts w:ascii="Times New Roman" w:hAnsi="Times New Roman" w:cs="Times New Roman"/>
          <w:bCs/>
          <w:szCs w:val="28"/>
        </w:rPr>
        <w:footnoteReference w:id="1"/>
      </w:r>
      <w:r w:rsidRPr="00045BB7">
        <w:rPr>
          <w:rFonts w:ascii="Times New Roman" w:hAnsi="Times New Roman" w:cs="Times New Roman"/>
          <w:bCs/>
          <w:i/>
          <w:iCs/>
          <w:szCs w:val="28"/>
        </w:rPr>
        <w:t xml:space="preserve">. </w:t>
      </w:r>
      <w:r w:rsidRPr="00045BB7">
        <w:rPr>
          <w:rFonts w:ascii="Times New Roman" w:hAnsi="Times New Roman" w:cs="Times New Roman"/>
          <w:bCs/>
          <w:szCs w:val="28"/>
        </w:rPr>
        <w:t>El demandante indi</w:t>
      </w:r>
      <w:r w:rsidRPr="00045BB7">
        <w:rPr>
          <w:rFonts w:ascii="Times New Roman" w:hAnsi="Times New Roman" w:cs="Times New Roman"/>
          <w:bCs/>
          <w:szCs w:val="28"/>
        </w:rPr>
        <w:t>ca</w:t>
      </w:r>
      <w:r w:rsidRPr="00045BB7">
        <w:rPr>
          <w:rFonts w:ascii="Times New Roman" w:hAnsi="Times New Roman" w:cs="Times New Roman"/>
          <w:bCs/>
          <w:szCs w:val="28"/>
        </w:rPr>
        <w:t xml:space="preserve"> que esas normas vulneran </w:t>
      </w:r>
      <w:r w:rsidRPr="00045BB7">
        <w:rPr>
          <w:rFonts w:ascii="Times New Roman" w:hAnsi="Times New Roman" w:cs="Times New Roman"/>
          <w:bCs/>
          <w:szCs w:val="28"/>
        </w:rPr>
        <w:t>los artículos</w:t>
      </w:r>
      <w:r w:rsidRPr="00045BB7">
        <w:rPr>
          <w:rFonts w:ascii="Times New Roman" w:hAnsi="Times New Roman" w:cs="Times New Roman"/>
          <w:bCs/>
          <w:szCs w:val="28"/>
        </w:rPr>
        <w:t xml:space="preserve"> 51 de la Constitución Política y 11.1 del Pacto Internacional de Derechos Económicos, Sociales y Culturales (PIDESC).</w:t>
      </w:r>
    </w:p>
    <w:p w:rsidR="007300BB" w:rsidRPr="00045BB7" w:rsidRDefault="00045BB7" w:rsidP="007300BB">
      <w:pPr>
        <w:pStyle w:val="Prrafodelista"/>
        <w:tabs>
          <w:tab w:val="left" w:pos="0"/>
          <w:tab w:val="left" w:pos="426"/>
        </w:tabs>
        <w:autoSpaceDE/>
        <w:autoSpaceDN/>
        <w:adjustRightInd/>
        <w:spacing w:before="0"/>
        <w:ind w:left="0" w:right="51"/>
        <w:contextualSpacing/>
        <w:rPr>
          <w:rFonts w:ascii="Times New Roman" w:hAnsi="Times New Roman" w:cs="Times New Roman"/>
          <w:b/>
          <w:szCs w:val="28"/>
        </w:rPr>
      </w:pPr>
    </w:p>
    <w:p w:rsidR="001732BD" w:rsidRPr="00045BB7" w:rsidRDefault="00045BB7" w:rsidP="00005DC5">
      <w:pPr>
        <w:pStyle w:val="Prrafodelista"/>
        <w:numPr>
          <w:ilvl w:val="0"/>
          <w:numId w:val="8"/>
        </w:numPr>
        <w:tabs>
          <w:tab w:val="left" w:pos="0"/>
          <w:tab w:val="left" w:pos="426"/>
        </w:tabs>
        <w:autoSpaceDE/>
        <w:autoSpaceDN/>
        <w:adjustRightInd/>
        <w:spacing w:before="0"/>
        <w:ind w:left="0" w:right="51" w:firstLine="0"/>
        <w:contextualSpacing/>
        <w:rPr>
          <w:rFonts w:ascii="Times New Roman" w:hAnsi="Times New Roman" w:cs="Times New Roman"/>
          <w:b/>
          <w:szCs w:val="28"/>
        </w:rPr>
      </w:pPr>
      <w:r w:rsidRPr="00045BB7">
        <w:rPr>
          <w:rFonts w:ascii="Times New Roman" w:hAnsi="Times New Roman" w:cs="Times New Roman"/>
          <w:bCs/>
          <w:i/>
          <w:iCs/>
          <w:szCs w:val="28"/>
        </w:rPr>
        <w:t xml:space="preserve">Auto de </w:t>
      </w:r>
      <w:r w:rsidRPr="00045BB7">
        <w:rPr>
          <w:rFonts w:ascii="Times New Roman" w:hAnsi="Times New Roman" w:cs="Times New Roman"/>
          <w:bCs/>
          <w:i/>
          <w:iCs/>
          <w:szCs w:val="28"/>
        </w:rPr>
        <w:t>in</w:t>
      </w:r>
      <w:r w:rsidRPr="00045BB7">
        <w:rPr>
          <w:rFonts w:ascii="Times New Roman" w:hAnsi="Times New Roman" w:cs="Times New Roman"/>
          <w:bCs/>
          <w:i/>
          <w:iCs/>
          <w:szCs w:val="28"/>
        </w:rPr>
        <w:t xml:space="preserve">admisión. </w:t>
      </w:r>
      <w:r w:rsidRPr="00045BB7">
        <w:rPr>
          <w:rFonts w:ascii="Times New Roman" w:hAnsi="Times New Roman" w:cs="Times New Roman"/>
          <w:bCs/>
          <w:szCs w:val="28"/>
        </w:rPr>
        <w:t>En auto del 6 de mayo de 2024, la magistrada sustanciadora inadmitió la demanda de la referencia, por cuanto no sati</w:t>
      </w:r>
      <w:r w:rsidRPr="00045BB7">
        <w:rPr>
          <w:rFonts w:ascii="Times New Roman" w:hAnsi="Times New Roman" w:cs="Times New Roman"/>
          <w:bCs/>
          <w:szCs w:val="28"/>
        </w:rPr>
        <w:t xml:space="preserve">sfizo los requisitos de claridad, certeza, especificidad, pertinencia y suficiencia. </w:t>
      </w:r>
      <w:r w:rsidRPr="00045BB7">
        <w:rPr>
          <w:rFonts w:ascii="Times New Roman" w:hAnsi="Times New Roman" w:cs="Times New Roman"/>
          <w:bCs/>
          <w:szCs w:val="28"/>
        </w:rPr>
        <w:t xml:space="preserve">Adicionalmente, negó la solicitud de medida cautelar de suspensión provisional presentada por el demandante, en tanto consideró que </w:t>
      </w:r>
      <w:r w:rsidRPr="00045BB7">
        <w:rPr>
          <w:rFonts w:ascii="Times New Roman" w:hAnsi="Times New Roman" w:cs="Times New Roman"/>
          <w:bCs/>
          <w:i/>
          <w:iCs/>
          <w:szCs w:val="28"/>
        </w:rPr>
        <w:t xml:space="preserve">(i) </w:t>
      </w:r>
      <w:r w:rsidRPr="00045BB7">
        <w:rPr>
          <w:rFonts w:ascii="Times New Roman" w:hAnsi="Times New Roman" w:cs="Times New Roman"/>
          <w:bCs/>
          <w:szCs w:val="28"/>
        </w:rPr>
        <w:t>las normas no son manifiestamente i</w:t>
      </w:r>
      <w:r w:rsidRPr="00045BB7">
        <w:rPr>
          <w:rFonts w:ascii="Times New Roman" w:hAnsi="Times New Roman" w:cs="Times New Roman"/>
          <w:bCs/>
          <w:szCs w:val="28"/>
        </w:rPr>
        <w:t xml:space="preserve">nconstitucionales, </w:t>
      </w:r>
      <w:r w:rsidRPr="00045BB7">
        <w:rPr>
          <w:rFonts w:ascii="Times New Roman" w:hAnsi="Times New Roman" w:cs="Times New Roman"/>
          <w:bCs/>
          <w:i/>
          <w:iCs/>
          <w:szCs w:val="28"/>
        </w:rPr>
        <w:t xml:space="preserve">(ii) </w:t>
      </w:r>
      <w:r w:rsidRPr="00045BB7">
        <w:rPr>
          <w:rFonts w:ascii="Times New Roman" w:hAnsi="Times New Roman" w:cs="Times New Roman"/>
          <w:bCs/>
          <w:szCs w:val="28"/>
        </w:rPr>
        <w:t xml:space="preserve">el accionante no identificó la posibilidad de que las </w:t>
      </w:r>
      <w:r w:rsidRPr="00045BB7">
        <w:rPr>
          <w:rFonts w:ascii="Times New Roman" w:hAnsi="Times New Roman" w:cs="Times New Roman"/>
          <w:bCs/>
          <w:szCs w:val="28"/>
        </w:rPr>
        <w:t>disposiciones</w:t>
      </w:r>
      <w:r w:rsidRPr="00045BB7">
        <w:rPr>
          <w:rFonts w:ascii="Times New Roman" w:hAnsi="Times New Roman" w:cs="Times New Roman"/>
          <w:bCs/>
          <w:szCs w:val="28"/>
        </w:rPr>
        <w:t xml:space="preserve"> demandadas produjeran efectos irremediables y</w:t>
      </w:r>
      <w:r w:rsidRPr="00045BB7">
        <w:rPr>
          <w:rFonts w:ascii="Times New Roman" w:hAnsi="Times New Roman" w:cs="Times New Roman"/>
          <w:bCs/>
          <w:szCs w:val="28"/>
        </w:rPr>
        <w:t xml:space="preserve">, </w:t>
      </w:r>
      <w:r w:rsidRPr="00045BB7">
        <w:rPr>
          <w:rFonts w:ascii="Times New Roman" w:hAnsi="Times New Roman" w:cs="Times New Roman"/>
          <w:bCs/>
          <w:i/>
          <w:iCs/>
          <w:szCs w:val="28"/>
        </w:rPr>
        <w:t xml:space="preserve">(iii) </w:t>
      </w:r>
      <w:r w:rsidRPr="00045BB7">
        <w:rPr>
          <w:rFonts w:ascii="Times New Roman" w:hAnsi="Times New Roman" w:cs="Times New Roman"/>
          <w:bCs/>
          <w:szCs w:val="28"/>
        </w:rPr>
        <w:t xml:space="preserve">tampoco se probó la eventual </w:t>
      </w:r>
      <w:r w:rsidRPr="00045BB7">
        <w:rPr>
          <w:rFonts w:ascii="Times New Roman" w:hAnsi="Times New Roman" w:cs="Times New Roman"/>
          <w:bCs/>
          <w:szCs w:val="28"/>
        </w:rPr>
        <w:t>afectación</w:t>
      </w:r>
      <w:r w:rsidRPr="00045BB7">
        <w:rPr>
          <w:rFonts w:ascii="Times New Roman" w:hAnsi="Times New Roman" w:cs="Times New Roman"/>
          <w:bCs/>
          <w:szCs w:val="28"/>
        </w:rPr>
        <w:t xml:space="preserve"> al orden institucional ni su impacto en la vigencia de </w:t>
      </w:r>
      <w:r w:rsidRPr="00045BB7">
        <w:rPr>
          <w:rFonts w:ascii="Times New Roman" w:hAnsi="Times New Roman" w:cs="Times New Roman"/>
          <w:bCs/>
          <w:szCs w:val="28"/>
        </w:rPr>
        <w:t xml:space="preserve">preceptos </w:t>
      </w:r>
      <w:r w:rsidRPr="00045BB7">
        <w:rPr>
          <w:rFonts w:ascii="Times New Roman" w:hAnsi="Times New Roman" w:cs="Times New Roman"/>
          <w:bCs/>
          <w:szCs w:val="28"/>
        </w:rPr>
        <w:t>constitucionales</w:t>
      </w:r>
      <w:r w:rsidRPr="00045BB7">
        <w:rPr>
          <w:rStyle w:val="Refdenotaalpie"/>
          <w:rFonts w:ascii="Times New Roman" w:hAnsi="Times New Roman" w:cs="Times New Roman"/>
          <w:bCs/>
          <w:szCs w:val="28"/>
        </w:rPr>
        <w:footnoteReference w:id="2"/>
      </w:r>
      <w:r w:rsidRPr="00045BB7">
        <w:rPr>
          <w:rFonts w:ascii="Times New Roman" w:hAnsi="Times New Roman" w:cs="Times New Roman"/>
          <w:bCs/>
          <w:szCs w:val="28"/>
        </w:rPr>
        <w:t>.</w:t>
      </w:r>
      <w:r w:rsidRPr="00045BB7">
        <w:rPr>
          <w:rFonts w:ascii="Times New Roman" w:hAnsi="Times New Roman" w:cs="Times New Roman"/>
          <w:b/>
          <w:szCs w:val="28"/>
        </w:rPr>
        <w:t xml:space="preserve"> </w:t>
      </w:r>
      <w:r w:rsidRPr="00045BB7">
        <w:rPr>
          <w:rFonts w:ascii="Times New Roman" w:hAnsi="Times New Roman" w:cs="Times New Roman"/>
          <w:bCs/>
          <w:szCs w:val="28"/>
        </w:rPr>
        <w:t>El 14 de mayo de 2024, dentro del término previsto, el demandante presentó escrito de corrección</w:t>
      </w:r>
      <w:r w:rsidRPr="00045BB7">
        <w:rPr>
          <w:rFonts w:ascii="Times New Roman" w:hAnsi="Times New Roman" w:cs="Times New Roman"/>
          <w:bCs/>
          <w:szCs w:val="28"/>
        </w:rPr>
        <w:t xml:space="preserve">. </w:t>
      </w:r>
    </w:p>
    <w:p w:rsidR="009B44B6" w:rsidRPr="00045BB7" w:rsidRDefault="00045BB7" w:rsidP="009B44B6">
      <w:pPr>
        <w:pStyle w:val="Prrafodelista"/>
        <w:rPr>
          <w:rFonts w:ascii="Times New Roman" w:hAnsi="Times New Roman" w:cs="Times New Roman"/>
          <w:b/>
          <w:szCs w:val="28"/>
        </w:rPr>
      </w:pPr>
    </w:p>
    <w:p w:rsidR="009B44B6" w:rsidRPr="00045BB7" w:rsidRDefault="00045BB7" w:rsidP="00005DC5">
      <w:pPr>
        <w:pStyle w:val="Prrafodelista"/>
        <w:numPr>
          <w:ilvl w:val="0"/>
          <w:numId w:val="8"/>
        </w:numPr>
        <w:tabs>
          <w:tab w:val="left" w:pos="0"/>
          <w:tab w:val="left" w:pos="426"/>
        </w:tabs>
        <w:autoSpaceDE/>
        <w:autoSpaceDN/>
        <w:adjustRightInd/>
        <w:spacing w:before="0"/>
        <w:ind w:left="0" w:right="51" w:firstLine="0"/>
        <w:contextualSpacing/>
        <w:rPr>
          <w:rFonts w:ascii="Times New Roman" w:hAnsi="Times New Roman" w:cs="Times New Roman"/>
          <w:b/>
          <w:szCs w:val="28"/>
        </w:rPr>
      </w:pPr>
      <w:r w:rsidRPr="00045BB7">
        <w:rPr>
          <w:rFonts w:ascii="Times New Roman" w:hAnsi="Times New Roman" w:cs="Times New Roman"/>
          <w:bCs/>
          <w:i/>
          <w:iCs/>
          <w:szCs w:val="28"/>
        </w:rPr>
        <w:t>Auto de admisión</w:t>
      </w:r>
      <w:r w:rsidRPr="00045BB7">
        <w:rPr>
          <w:rFonts w:ascii="Times New Roman" w:hAnsi="Times New Roman" w:cs="Times New Roman"/>
          <w:bCs/>
          <w:szCs w:val="28"/>
        </w:rPr>
        <w:t xml:space="preserve">. </w:t>
      </w:r>
      <w:r w:rsidRPr="00045BB7">
        <w:rPr>
          <w:rFonts w:ascii="Times New Roman" w:hAnsi="Times New Roman" w:cs="Times New Roman"/>
          <w:bCs/>
          <w:szCs w:val="28"/>
        </w:rPr>
        <w:t>En auto del</w:t>
      </w:r>
      <w:r w:rsidRPr="00045BB7">
        <w:rPr>
          <w:rFonts w:ascii="Times New Roman" w:hAnsi="Times New Roman" w:cs="Times New Roman"/>
          <w:bCs/>
          <w:szCs w:val="28"/>
        </w:rPr>
        <w:t xml:space="preserve"> 27 de mayo de 2024, </w:t>
      </w:r>
      <w:r w:rsidRPr="00045BB7">
        <w:rPr>
          <w:rFonts w:ascii="Times New Roman" w:hAnsi="Times New Roman" w:cs="Times New Roman"/>
          <w:bCs/>
          <w:szCs w:val="28"/>
        </w:rPr>
        <w:t>la magistrada sustanciadora</w:t>
      </w:r>
      <w:r w:rsidRPr="00045BB7">
        <w:rPr>
          <w:rFonts w:ascii="Times New Roman" w:hAnsi="Times New Roman" w:cs="Times New Roman"/>
          <w:bCs/>
          <w:szCs w:val="28"/>
        </w:rPr>
        <w:t xml:space="preserve">: </w:t>
      </w:r>
      <w:r w:rsidRPr="00045BB7">
        <w:rPr>
          <w:rFonts w:ascii="Times New Roman" w:hAnsi="Times New Roman" w:cs="Times New Roman"/>
          <w:bCs/>
          <w:i/>
          <w:iCs/>
          <w:szCs w:val="28"/>
        </w:rPr>
        <w:t>(i)</w:t>
      </w:r>
      <w:r w:rsidRPr="00045BB7">
        <w:rPr>
          <w:rFonts w:ascii="Times New Roman" w:hAnsi="Times New Roman" w:cs="Times New Roman"/>
          <w:bCs/>
          <w:szCs w:val="28"/>
        </w:rPr>
        <w:t xml:space="preserve"> admitió </w:t>
      </w:r>
      <w:r w:rsidRPr="00045BB7">
        <w:rPr>
          <w:rFonts w:ascii="Times New Roman" w:hAnsi="Times New Roman" w:cs="Times New Roman"/>
          <w:bCs/>
          <w:szCs w:val="28"/>
        </w:rPr>
        <w:t xml:space="preserve">la demanda </w:t>
      </w:r>
      <w:r w:rsidRPr="00045BB7">
        <w:rPr>
          <w:rFonts w:ascii="Times New Roman" w:hAnsi="Times New Roman" w:cs="Times New Roman"/>
          <w:bCs/>
          <w:szCs w:val="28"/>
        </w:rPr>
        <w:t>contra los artículos 50, 51 y 52 (p</w:t>
      </w:r>
      <w:r w:rsidRPr="00045BB7">
        <w:rPr>
          <w:rFonts w:ascii="Times New Roman" w:hAnsi="Times New Roman" w:cs="Times New Roman"/>
          <w:bCs/>
          <w:szCs w:val="28"/>
        </w:rPr>
        <w:t>arciales) de la Ley 1676 de 2013 por la presunta vulneración de los artículos 51 y 93 de la Constitución</w:t>
      </w:r>
      <w:r w:rsidRPr="00045BB7">
        <w:rPr>
          <w:rFonts w:ascii="Times New Roman" w:hAnsi="Times New Roman" w:cs="Times New Roman"/>
          <w:bCs/>
          <w:szCs w:val="28"/>
        </w:rPr>
        <w:t>,</w:t>
      </w:r>
      <w:r w:rsidRPr="00045BB7">
        <w:rPr>
          <w:rFonts w:ascii="Times New Roman" w:hAnsi="Times New Roman" w:cs="Times New Roman"/>
          <w:bCs/>
          <w:szCs w:val="28"/>
        </w:rPr>
        <w:t xml:space="preserve"> así como del artículo 11 del PIDESC</w:t>
      </w:r>
      <w:r w:rsidRPr="00045BB7">
        <w:rPr>
          <w:rStyle w:val="Refdenotaalpie"/>
          <w:rFonts w:ascii="Times New Roman" w:hAnsi="Times New Roman" w:cs="Times New Roman"/>
          <w:bCs/>
          <w:szCs w:val="28"/>
        </w:rPr>
        <w:footnoteReference w:id="3"/>
      </w:r>
      <w:r w:rsidRPr="00045BB7">
        <w:rPr>
          <w:rFonts w:ascii="Times New Roman" w:hAnsi="Times New Roman" w:cs="Times New Roman"/>
          <w:bCs/>
          <w:szCs w:val="28"/>
        </w:rPr>
        <w:t xml:space="preserve">; </w:t>
      </w:r>
      <w:r w:rsidRPr="00045BB7">
        <w:rPr>
          <w:rFonts w:ascii="Times New Roman" w:hAnsi="Times New Roman" w:cs="Times New Roman"/>
          <w:bCs/>
          <w:i/>
          <w:iCs/>
          <w:szCs w:val="28"/>
        </w:rPr>
        <w:t>(</w:t>
      </w:r>
      <w:r w:rsidRPr="00045BB7">
        <w:rPr>
          <w:rFonts w:ascii="Times New Roman" w:hAnsi="Times New Roman" w:cs="Times New Roman"/>
          <w:bCs/>
          <w:i/>
          <w:iCs/>
          <w:szCs w:val="28"/>
        </w:rPr>
        <w:t>i</w:t>
      </w:r>
      <w:r w:rsidRPr="00045BB7">
        <w:rPr>
          <w:rFonts w:ascii="Times New Roman" w:hAnsi="Times New Roman" w:cs="Times New Roman"/>
          <w:bCs/>
          <w:i/>
          <w:iCs/>
          <w:szCs w:val="28"/>
        </w:rPr>
        <w:t>i)</w:t>
      </w:r>
      <w:r w:rsidRPr="00045BB7">
        <w:rPr>
          <w:rFonts w:ascii="Times New Roman" w:hAnsi="Times New Roman" w:cs="Times New Roman"/>
          <w:bCs/>
          <w:szCs w:val="28"/>
        </w:rPr>
        <w:t xml:space="preserve"> fijó en lista el proceso, </w:t>
      </w:r>
      <w:r w:rsidRPr="00045BB7">
        <w:rPr>
          <w:rFonts w:ascii="Times New Roman" w:hAnsi="Times New Roman" w:cs="Times New Roman"/>
          <w:bCs/>
          <w:i/>
          <w:iCs/>
          <w:szCs w:val="28"/>
        </w:rPr>
        <w:t>(ii</w:t>
      </w:r>
      <w:r w:rsidRPr="00045BB7">
        <w:rPr>
          <w:rFonts w:ascii="Times New Roman" w:hAnsi="Times New Roman" w:cs="Times New Roman"/>
          <w:bCs/>
          <w:i/>
          <w:iCs/>
          <w:szCs w:val="28"/>
        </w:rPr>
        <w:t>i</w:t>
      </w:r>
      <w:r w:rsidRPr="00045BB7">
        <w:rPr>
          <w:rFonts w:ascii="Times New Roman" w:hAnsi="Times New Roman" w:cs="Times New Roman"/>
          <w:bCs/>
          <w:i/>
          <w:iCs/>
          <w:szCs w:val="28"/>
        </w:rPr>
        <w:t>)</w:t>
      </w:r>
      <w:r w:rsidRPr="00045BB7">
        <w:rPr>
          <w:rFonts w:ascii="Times New Roman" w:hAnsi="Times New Roman" w:cs="Times New Roman"/>
          <w:bCs/>
          <w:szCs w:val="28"/>
        </w:rPr>
        <w:t xml:space="preserve"> corrió traslado a la </w:t>
      </w:r>
      <w:r w:rsidRPr="00045BB7">
        <w:rPr>
          <w:rFonts w:ascii="Times New Roman" w:hAnsi="Times New Roman" w:cs="Times New Roman"/>
          <w:bCs/>
          <w:szCs w:val="28"/>
        </w:rPr>
        <w:t>p</w:t>
      </w:r>
      <w:r w:rsidRPr="00045BB7">
        <w:rPr>
          <w:rFonts w:ascii="Times New Roman" w:hAnsi="Times New Roman" w:cs="Times New Roman"/>
          <w:bCs/>
          <w:szCs w:val="28"/>
        </w:rPr>
        <w:t xml:space="preserve">rocuradora </w:t>
      </w:r>
      <w:r w:rsidRPr="00045BB7">
        <w:rPr>
          <w:rFonts w:ascii="Times New Roman" w:hAnsi="Times New Roman" w:cs="Times New Roman"/>
          <w:bCs/>
          <w:szCs w:val="28"/>
        </w:rPr>
        <w:t>g</w:t>
      </w:r>
      <w:r w:rsidRPr="00045BB7">
        <w:rPr>
          <w:rFonts w:ascii="Times New Roman" w:hAnsi="Times New Roman" w:cs="Times New Roman"/>
          <w:bCs/>
          <w:szCs w:val="28"/>
        </w:rPr>
        <w:t>eneral de la Nación</w:t>
      </w:r>
      <w:r w:rsidRPr="00045BB7">
        <w:rPr>
          <w:rFonts w:ascii="Times New Roman" w:hAnsi="Times New Roman" w:cs="Times New Roman"/>
          <w:bCs/>
          <w:szCs w:val="28"/>
        </w:rPr>
        <w:t>;</w:t>
      </w:r>
      <w:r w:rsidRPr="00045BB7">
        <w:rPr>
          <w:rFonts w:ascii="Times New Roman" w:hAnsi="Times New Roman" w:cs="Times New Roman"/>
          <w:bCs/>
          <w:szCs w:val="28"/>
        </w:rPr>
        <w:t xml:space="preserve"> </w:t>
      </w:r>
      <w:r w:rsidRPr="00045BB7">
        <w:rPr>
          <w:rFonts w:ascii="Times New Roman" w:hAnsi="Times New Roman" w:cs="Times New Roman"/>
          <w:bCs/>
          <w:i/>
          <w:iCs/>
          <w:szCs w:val="28"/>
        </w:rPr>
        <w:t>(i</w:t>
      </w:r>
      <w:r w:rsidRPr="00045BB7">
        <w:rPr>
          <w:rFonts w:ascii="Times New Roman" w:hAnsi="Times New Roman" w:cs="Times New Roman"/>
          <w:bCs/>
          <w:i/>
          <w:iCs/>
          <w:szCs w:val="28"/>
        </w:rPr>
        <w:t>v</w:t>
      </w:r>
      <w:r w:rsidRPr="00045BB7">
        <w:rPr>
          <w:rFonts w:ascii="Times New Roman" w:hAnsi="Times New Roman" w:cs="Times New Roman"/>
          <w:bCs/>
          <w:i/>
          <w:iCs/>
          <w:szCs w:val="28"/>
        </w:rPr>
        <w:t>)</w:t>
      </w:r>
      <w:r w:rsidRPr="00045BB7">
        <w:rPr>
          <w:rFonts w:ascii="Times New Roman" w:hAnsi="Times New Roman" w:cs="Times New Roman"/>
          <w:bCs/>
          <w:szCs w:val="28"/>
        </w:rPr>
        <w:t xml:space="preserve"> </w:t>
      </w:r>
      <w:r w:rsidRPr="00045BB7">
        <w:rPr>
          <w:rFonts w:ascii="Times New Roman" w:hAnsi="Times New Roman" w:cs="Times New Roman"/>
          <w:bCs/>
          <w:szCs w:val="28"/>
        </w:rPr>
        <w:t xml:space="preserve">comunicó el </w:t>
      </w:r>
      <w:r w:rsidRPr="00045BB7">
        <w:rPr>
          <w:rFonts w:ascii="Times New Roman" w:hAnsi="Times New Roman" w:cs="Times New Roman"/>
          <w:bCs/>
          <w:szCs w:val="28"/>
        </w:rPr>
        <w:t>inicio del proceso al presidente de la República</w:t>
      </w:r>
      <w:r w:rsidRPr="00045BB7">
        <w:rPr>
          <w:rFonts w:ascii="Times New Roman" w:hAnsi="Times New Roman" w:cs="Times New Roman"/>
          <w:bCs/>
          <w:szCs w:val="28"/>
        </w:rPr>
        <w:t xml:space="preserve">, </w:t>
      </w:r>
      <w:r w:rsidRPr="00045BB7">
        <w:rPr>
          <w:rFonts w:ascii="Times New Roman" w:hAnsi="Times New Roman" w:cs="Times New Roman"/>
          <w:bCs/>
          <w:szCs w:val="28"/>
        </w:rPr>
        <w:t xml:space="preserve">al presidente del Congreso de la República, a los ministros de Hacienda y Crédito Público y de Comercio, Industria y Turismo para que intervinieran si lo consideraban conveniente y, por último, </w:t>
      </w:r>
      <w:r w:rsidRPr="00045BB7">
        <w:rPr>
          <w:rFonts w:ascii="Times New Roman" w:hAnsi="Times New Roman" w:cs="Times New Roman"/>
          <w:bCs/>
          <w:i/>
          <w:iCs/>
          <w:szCs w:val="28"/>
        </w:rPr>
        <w:t xml:space="preserve">(v) </w:t>
      </w:r>
      <w:r w:rsidRPr="00045BB7">
        <w:rPr>
          <w:rFonts w:ascii="Times New Roman" w:hAnsi="Times New Roman" w:cs="Times New Roman"/>
          <w:bCs/>
          <w:szCs w:val="28"/>
        </w:rPr>
        <w:t>invitó a</w:t>
      </w:r>
      <w:r w:rsidRPr="00045BB7">
        <w:rPr>
          <w:rFonts w:ascii="Times New Roman" w:hAnsi="Times New Roman" w:cs="Times New Roman"/>
          <w:bCs/>
          <w:szCs w:val="28"/>
        </w:rPr>
        <w:t xml:space="preserve"> varias autoridades, entidades, instituciones y agremiaciones para intervenir en este proceso. </w:t>
      </w:r>
    </w:p>
    <w:p w:rsidR="00E57B54" w:rsidRPr="00045BB7" w:rsidRDefault="00045BB7" w:rsidP="0023728F">
      <w:pPr>
        <w:tabs>
          <w:tab w:val="left" w:pos="0"/>
          <w:tab w:val="left" w:pos="567"/>
        </w:tabs>
        <w:ind w:right="51"/>
        <w:contextualSpacing/>
        <w:jc w:val="both"/>
        <w:rPr>
          <w:rFonts w:ascii="Times New Roman" w:hAnsi="Times New Roman" w:cs="Times New Roman"/>
          <w:sz w:val="28"/>
          <w:szCs w:val="28"/>
          <w:lang w:val="es-ES_tradnl"/>
        </w:rPr>
      </w:pPr>
    </w:p>
    <w:p w:rsidR="00FA3026" w:rsidRPr="00045BB7" w:rsidRDefault="00045BB7" w:rsidP="00005DC5">
      <w:pPr>
        <w:pStyle w:val="Ttulo1"/>
        <w:keepNext/>
        <w:keepLines/>
        <w:widowControl w:val="0"/>
        <w:numPr>
          <w:ilvl w:val="0"/>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ind w:left="567" w:firstLine="0"/>
        <w:jc w:val="both"/>
        <w:rPr>
          <w:rFonts w:ascii="Times New Roman" w:hAnsi="Times New Roman" w:cs="Times New Roman"/>
        </w:rPr>
      </w:pPr>
      <w:r w:rsidRPr="00045BB7">
        <w:rPr>
          <w:rFonts w:ascii="Times New Roman" w:hAnsi="Times New Roman" w:cs="Times New Roman"/>
        </w:rPr>
        <w:t>Norma demandada</w:t>
      </w:r>
    </w:p>
    <w:p w:rsidR="00B2609B" w:rsidRPr="00045BB7" w:rsidRDefault="00045BB7" w:rsidP="00153691">
      <w:pPr>
        <w:pStyle w:val="Prrafodelista"/>
        <w:tabs>
          <w:tab w:val="left" w:pos="709"/>
        </w:tabs>
        <w:ind w:left="0" w:right="-8"/>
        <w:contextualSpacing/>
        <w:rPr>
          <w:rFonts w:ascii="Times New Roman" w:hAnsi="Times New Roman" w:cs="Times New Roman"/>
          <w:bCs/>
          <w:szCs w:val="28"/>
        </w:rPr>
      </w:pPr>
    </w:p>
    <w:p w:rsidR="0091354D"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A continuación, se transcriben los artículos 50, 51 y 52 de la Ley 1676 de 2013 y se subrayan los apartes demandados:</w:t>
      </w:r>
    </w:p>
    <w:p w:rsidR="0091354D" w:rsidRPr="00045BB7" w:rsidRDefault="00045BB7" w:rsidP="0091354D">
      <w:pPr>
        <w:tabs>
          <w:tab w:val="left" w:pos="0"/>
          <w:tab w:val="left" w:pos="567"/>
        </w:tabs>
        <w:ind w:right="51"/>
        <w:contextualSpacing/>
        <w:jc w:val="both"/>
        <w:rPr>
          <w:rFonts w:ascii="Times New Roman" w:hAnsi="Times New Roman" w:cs="Times New Roman"/>
          <w:bCs/>
          <w:i/>
          <w:sz w:val="28"/>
          <w:szCs w:val="28"/>
        </w:rPr>
      </w:pPr>
    </w:p>
    <w:p w:rsidR="00A94E6C" w:rsidRPr="00045BB7" w:rsidRDefault="00045BB7" w:rsidP="00A94E6C">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LEY 1676 DE 2013</w:t>
      </w:r>
    </w:p>
    <w:p w:rsidR="00D71928" w:rsidRPr="00045BB7" w:rsidRDefault="00045BB7" w:rsidP="00A94E6C">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(agosto 20)</w:t>
      </w:r>
    </w:p>
    <w:p w:rsidR="00A94E6C" w:rsidRPr="00045BB7" w:rsidRDefault="00045BB7" w:rsidP="00A94E6C">
      <w:pPr>
        <w:tabs>
          <w:tab w:val="left" w:pos="0"/>
          <w:tab w:val="left" w:pos="567"/>
        </w:tabs>
        <w:ind w:right="51"/>
        <w:contextualSpacing/>
        <w:jc w:val="center"/>
        <w:rPr>
          <w:rFonts w:ascii="Times New Roman" w:hAnsi="Times New Roman" w:cs="Times New Roman"/>
          <w:b/>
          <w:iCs/>
          <w:sz w:val="28"/>
        </w:rPr>
      </w:pPr>
    </w:p>
    <w:p w:rsidR="00A94E6C" w:rsidRPr="00045BB7" w:rsidRDefault="00045BB7" w:rsidP="00A94E6C">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Por la cual se promueve el acceso al crédito y se dictan normas sobre garantías mobiliarias.</w:t>
      </w:r>
    </w:p>
    <w:p w:rsidR="00A94E6C" w:rsidRPr="00045BB7" w:rsidRDefault="00045BB7" w:rsidP="00A94E6C">
      <w:pPr>
        <w:tabs>
          <w:tab w:val="left" w:pos="0"/>
          <w:tab w:val="left" w:pos="567"/>
        </w:tabs>
        <w:ind w:right="51"/>
        <w:contextualSpacing/>
        <w:jc w:val="center"/>
        <w:rPr>
          <w:rFonts w:ascii="Times New Roman" w:hAnsi="Times New Roman" w:cs="Times New Roman"/>
          <w:bCs/>
          <w:iCs/>
          <w:sz w:val="28"/>
        </w:rPr>
      </w:pPr>
    </w:p>
    <w:p w:rsidR="00A94E6C" w:rsidRPr="00045BB7" w:rsidRDefault="00045BB7" w:rsidP="00A94E6C">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 xml:space="preserve">EL CONGRESO DE LA REPÚBLICA DE COLOMBIA, </w:t>
      </w:r>
    </w:p>
    <w:p w:rsidR="00A94E6C" w:rsidRPr="00045BB7" w:rsidRDefault="00045BB7" w:rsidP="00A94E6C">
      <w:pPr>
        <w:tabs>
          <w:tab w:val="left" w:pos="0"/>
          <w:tab w:val="left" w:pos="567"/>
        </w:tabs>
        <w:ind w:right="51"/>
        <w:contextualSpacing/>
        <w:jc w:val="center"/>
        <w:rPr>
          <w:rFonts w:ascii="Times New Roman" w:hAnsi="Times New Roman" w:cs="Times New Roman"/>
          <w:bCs/>
          <w:iCs/>
          <w:sz w:val="28"/>
        </w:rPr>
      </w:pPr>
    </w:p>
    <w:p w:rsidR="00A94E6C" w:rsidRPr="00045BB7" w:rsidRDefault="00045BB7" w:rsidP="00A94E6C">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 xml:space="preserve">DECRETA: </w:t>
      </w:r>
    </w:p>
    <w:p w:rsidR="00A94E6C" w:rsidRPr="00045BB7" w:rsidRDefault="00045BB7" w:rsidP="00A94E6C">
      <w:pPr>
        <w:tabs>
          <w:tab w:val="left" w:pos="0"/>
          <w:tab w:val="left" w:pos="567"/>
        </w:tabs>
        <w:ind w:right="51"/>
        <w:contextualSpacing/>
        <w:jc w:val="center"/>
        <w:rPr>
          <w:rFonts w:ascii="Times New Roman" w:hAnsi="Times New Roman" w:cs="Times New Roman"/>
          <w:bCs/>
          <w:iCs/>
          <w:sz w:val="28"/>
        </w:rPr>
      </w:pPr>
    </w:p>
    <w:p w:rsidR="00A94E6C" w:rsidRPr="00045BB7" w:rsidRDefault="00045BB7" w:rsidP="00A94E6C">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w:t>
      </w:r>
    </w:p>
    <w:p w:rsidR="00A94E6C" w:rsidRPr="00045BB7" w:rsidRDefault="00045BB7" w:rsidP="0091354D">
      <w:pPr>
        <w:tabs>
          <w:tab w:val="left" w:pos="0"/>
          <w:tab w:val="left" w:pos="567"/>
        </w:tabs>
        <w:ind w:right="51"/>
        <w:contextualSpacing/>
        <w:jc w:val="both"/>
        <w:rPr>
          <w:rFonts w:ascii="Times New Roman" w:hAnsi="Times New Roman" w:cs="Times New Roman"/>
          <w:bCs/>
          <w:i/>
          <w:sz w:val="28"/>
        </w:rPr>
      </w:pP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r w:rsidRPr="00045BB7">
        <w:rPr>
          <w:rFonts w:ascii="Times New Roman" w:hAnsi="Times New Roman" w:cs="Times New Roman"/>
          <w:b/>
          <w:iCs/>
          <w:sz w:val="28"/>
        </w:rPr>
        <w:t>Artículo 50. Las garantías reales en los procesos de reorganización</w:t>
      </w:r>
      <w:r w:rsidRPr="00045BB7">
        <w:rPr>
          <w:rFonts w:ascii="Times New Roman" w:hAnsi="Times New Roman" w:cs="Times New Roman"/>
          <w:bCs/>
          <w:iCs/>
          <w:sz w:val="28"/>
        </w:rPr>
        <w:t xml:space="preserve">. A partir de la fecha </w:t>
      </w:r>
      <w:r w:rsidRPr="00045BB7">
        <w:rPr>
          <w:rFonts w:ascii="Times New Roman" w:hAnsi="Times New Roman" w:cs="Times New Roman"/>
          <w:bCs/>
          <w:iCs/>
          <w:sz w:val="28"/>
        </w:rPr>
        <w:t xml:space="preserve">de inicio del proceso de reorganización no podrá admitirse ni continuarse demanda de ejecución o cualquier otro proceso de cobro en contra del deudor sobre bienes muebles o inmuebles necesarios para el desarrollo de la actividad económica del deudor y que </w:t>
      </w:r>
      <w:r w:rsidRPr="00045BB7">
        <w:rPr>
          <w:rFonts w:ascii="Times New Roman" w:hAnsi="Times New Roman" w:cs="Times New Roman"/>
          <w:bCs/>
          <w:iCs/>
          <w:sz w:val="28"/>
        </w:rPr>
        <w:t>hayan sido reportados por el deudor como tales dentro de la información presentada con la solicitud de inicio del proceso; con base en esta información se dará cumplimiento al numeral 9 del artículo 19 de la Ley 1116 de 2006.</w:t>
      </w: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u w:val="single"/>
        </w:rPr>
      </w:pPr>
      <w:r w:rsidRPr="00045BB7">
        <w:rPr>
          <w:rFonts w:ascii="Times New Roman" w:hAnsi="Times New Roman" w:cs="Times New Roman"/>
          <w:bCs/>
          <w:iCs/>
          <w:sz w:val="28"/>
          <w:u w:val="single"/>
        </w:rPr>
        <w:t>Los demás procesos de ejecuci</w:t>
      </w:r>
      <w:r w:rsidRPr="00045BB7">
        <w:rPr>
          <w:rFonts w:ascii="Times New Roman" w:hAnsi="Times New Roman" w:cs="Times New Roman"/>
          <w:bCs/>
          <w:iCs/>
          <w:sz w:val="28"/>
          <w:u w:val="single"/>
        </w:rPr>
        <w:t>ón de la garantía real sobre bienes no necesarios para la actividad económica del deudor, podrán continuar o iniciarse por decisión del acreedor garantizado. El juez del concurso podrá autorizar la ejecución de garantías reales sobre cualquiera de los bien</w:t>
      </w:r>
      <w:r w:rsidRPr="00045BB7">
        <w:rPr>
          <w:rFonts w:ascii="Times New Roman" w:hAnsi="Times New Roman" w:cs="Times New Roman"/>
          <w:bCs/>
          <w:iCs/>
          <w:sz w:val="28"/>
          <w:u w:val="single"/>
        </w:rPr>
        <w:t>es del deudor, en los términos del artículo 17 de la Ley 1116, cuando estime, a solicitud del acreedor garantizado, que los citados bienes no son necesarios para la continuación de la actividad económica del deudor. También procederá la ejecución de los bi</w:t>
      </w:r>
      <w:r w:rsidRPr="00045BB7">
        <w:rPr>
          <w:rFonts w:ascii="Times New Roman" w:hAnsi="Times New Roman" w:cs="Times New Roman"/>
          <w:bCs/>
          <w:iCs/>
          <w:sz w:val="28"/>
          <w:u w:val="single"/>
        </w:rPr>
        <w:t>enes dados en garantía cuando el juez del concurso estime que los bienes corren riesgo de deterioro o pérdida.</w:t>
      </w:r>
    </w:p>
    <w:p w:rsidR="00A94E6C" w:rsidRPr="00045BB7" w:rsidRDefault="00045BB7" w:rsidP="00A94E6C">
      <w:pPr>
        <w:tabs>
          <w:tab w:val="left" w:pos="0"/>
          <w:tab w:val="left" w:pos="567"/>
        </w:tabs>
        <w:ind w:right="616"/>
        <w:contextualSpacing/>
        <w:jc w:val="both"/>
        <w:rPr>
          <w:rFonts w:ascii="Times New Roman" w:hAnsi="Times New Roman" w:cs="Times New Roman"/>
          <w:bCs/>
          <w:iCs/>
          <w:sz w:val="28"/>
        </w:rPr>
      </w:pP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r w:rsidRPr="00045BB7">
        <w:rPr>
          <w:rFonts w:ascii="Times New Roman" w:hAnsi="Times New Roman" w:cs="Times New Roman"/>
          <w:bCs/>
          <w:iCs/>
          <w:sz w:val="28"/>
        </w:rPr>
        <w:t>[…]</w:t>
      </w:r>
    </w:p>
    <w:p w:rsidR="00221B9E" w:rsidRPr="00045BB7" w:rsidRDefault="00045BB7" w:rsidP="00A94E6C">
      <w:pPr>
        <w:tabs>
          <w:tab w:val="left" w:pos="0"/>
          <w:tab w:val="left" w:pos="567"/>
        </w:tabs>
        <w:ind w:left="567" w:right="616"/>
        <w:contextualSpacing/>
        <w:jc w:val="both"/>
        <w:rPr>
          <w:rFonts w:ascii="Times New Roman" w:hAnsi="Times New Roman" w:cs="Times New Roman"/>
          <w:bCs/>
          <w:iCs/>
          <w:sz w:val="28"/>
        </w:rPr>
      </w:pP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r w:rsidRPr="00045BB7">
        <w:rPr>
          <w:rFonts w:ascii="Times New Roman" w:hAnsi="Times New Roman" w:cs="Times New Roman"/>
          <w:bCs/>
          <w:iCs/>
          <w:sz w:val="28"/>
          <w:u w:val="single"/>
        </w:rPr>
        <w:t>Confirmado el acuerdo de reorganización, el acreedor garantizado tendrá derecho a que se pague su obligación con preferencia a los demás ac</w:t>
      </w:r>
      <w:r w:rsidRPr="00045BB7">
        <w:rPr>
          <w:rFonts w:ascii="Times New Roman" w:hAnsi="Times New Roman" w:cs="Times New Roman"/>
          <w:bCs/>
          <w:iCs/>
          <w:sz w:val="28"/>
          <w:u w:val="single"/>
        </w:rPr>
        <w:t>reedores que hacen parte del acuerdo.</w:t>
      </w:r>
      <w:r w:rsidRPr="00045BB7">
        <w:rPr>
          <w:rFonts w:ascii="Times New Roman" w:hAnsi="Times New Roman" w:cs="Times New Roman"/>
          <w:bCs/>
          <w:iCs/>
          <w:sz w:val="28"/>
        </w:rPr>
        <w:t xml:space="preserve"> Si el acreedor garantizado tuviere una obligación pactada a plazo, el pago se realizará en el plazo originalmente pactado y siempre y cuando se pague el monto vencido con anterioridad a la apertura del proceso de reorg</w:t>
      </w:r>
      <w:r w:rsidRPr="00045BB7">
        <w:rPr>
          <w:rFonts w:ascii="Times New Roman" w:hAnsi="Times New Roman" w:cs="Times New Roman"/>
          <w:bCs/>
          <w:iCs/>
          <w:sz w:val="28"/>
        </w:rPr>
        <w:t>anización. Igual tratamiento tendrá el acreedor garantizado que accede a que se venda el bien dado en garantía como parte del acuerdo de reorganización.</w:t>
      </w: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r w:rsidRPr="00045BB7">
        <w:rPr>
          <w:rFonts w:ascii="Times New Roman" w:hAnsi="Times New Roman" w:cs="Times New Roman"/>
          <w:bCs/>
          <w:iCs/>
          <w:sz w:val="28"/>
        </w:rPr>
        <w:t>[…]</w:t>
      </w: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r w:rsidRPr="00045BB7">
        <w:rPr>
          <w:rFonts w:ascii="Times New Roman" w:hAnsi="Times New Roman" w:cs="Times New Roman"/>
          <w:b/>
          <w:iCs/>
          <w:sz w:val="28"/>
        </w:rPr>
        <w:t>Artículo 51. Las garantías reales en los procesos de validación de acuerdos extrajudiciales de re</w:t>
      </w:r>
      <w:r w:rsidRPr="00045BB7">
        <w:rPr>
          <w:rFonts w:ascii="Times New Roman" w:hAnsi="Times New Roman" w:cs="Times New Roman"/>
          <w:b/>
          <w:iCs/>
          <w:sz w:val="28"/>
        </w:rPr>
        <w:t xml:space="preserve">organización. </w:t>
      </w:r>
      <w:r w:rsidRPr="00045BB7">
        <w:rPr>
          <w:rFonts w:ascii="Times New Roman" w:hAnsi="Times New Roman" w:cs="Times New Roman"/>
          <w:bCs/>
          <w:iCs/>
          <w:sz w:val="28"/>
          <w:u w:val="single"/>
        </w:rPr>
        <w:t>El tratamiento de las garantías reales en el proceso de reorganización empresarial también se aplicará en el proceso de validación judicial de acuerdos extrajudiciales de reorganización.</w:t>
      </w: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u w:val="single"/>
        </w:rPr>
      </w:pPr>
      <w:r w:rsidRPr="00045BB7">
        <w:rPr>
          <w:rFonts w:ascii="Times New Roman" w:hAnsi="Times New Roman" w:cs="Times New Roman"/>
          <w:b/>
          <w:iCs/>
          <w:sz w:val="28"/>
        </w:rPr>
        <w:t xml:space="preserve">Artículo 52. Las garantías reales en los procesos de liquidación judicial. </w:t>
      </w:r>
      <w:r w:rsidRPr="00045BB7">
        <w:rPr>
          <w:rFonts w:ascii="Times New Roman" w:hAnsi="Times New Roman" w:cs="Times New Roman"/>
          <w:bCs/>
          <w:iCs/>
          <w:sz w:val="28"/>
          <w:u w:val="single"/>
        </w:rPr>
        <w:t>Los bienes en garantía de propiedad del deudor en liquidación judicial podrán excluirse de la masa de la liquidación en provecho de los acreedores garantizados o beneficiarios de la</w:t>
      </w:r>
      <w:r w:rsidRPr="00045BB7">
        <w:rPr>
          <w:rFonts w:ascii="Times New Roman" w:hAnsi="Times New Roman" w:cs="Times New Roman"/>
          <w:bCs/>
          <w:iCs/>
          <w:sz w:val="28"/>
          <w:u w:val="single"/>
        </w:rPr>
        <w:t xml:space="preserve"> garantía siempre y cuando la garantía esté inscrita en el registro de garantías mobiliarias o en el registro que, de acuerdo con la clase de acto o con la naturaleza de los bienes, se hubiere hecho conforme a la ley.</w:t>
      </w: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p>
    <w:p w:rsidR="00A94E6C" w:rsidRPr="00045BB7" w:rsidRDefault="00045BB7" w:rsidP="00A94E6C">
      <w:pPr>
        <w:tabs>
          <w:tab w:val="left" w:pos="0"/>
          <w:tab w:val="left" w:pos="567"/>
        </w:tabs>
        <w:ind w:left="567" w:right="616"/>
        <w:contextualSpacing/>
        <w:jc w:val="both"/>
        <w:rPr>
          <w:rFonts w:ascii="Times New Roman" w:hAnsi="Times New Roman" w:cs="Times New Roman"/>
          <w:bCs/>
          <w:iCs/>
          <w:sz w:val="28"/>
        </w:rPr>
      </w:pPr>
      <w:r w:rsidRPr="00045BB7">
        <w:rPr>
          <w:rFonts w:ascii="Times New Roman" w:hAnsi="Times New Roman" w:cs="Times New Roman"/>
          <w:bCs/>
          <w:iCs/>
          <w:sz w:val="28"/>
        </w:rPr>
        <w:t>[…]</w:t>
      </w:r>
    </w:p>
    <w:p w:rsidR="00A94E6C" w:rsidRPr="00045BB7" w:rsidRDefault="00045BB7" w:rsidP="0091354D">
      <w:pPr>
        <w:tabs>
          <w:tab w:val="left" w:pos="0"/>
          <w:tab w:val="left" w:pos="567"/>
        </w:tabs>
        <w:ind w:right="51"/>
        <w:contextualSpacing/>
        <w:jc w:val="both"/>
        <w:rPr>
          <w:rFonts w:ascii="Times New Roman" w:hAnsi="Times New Roman" w:cs="Times New Roman"/>
          <w:bCs/>
          <w:i/>
          <w:sz w:val="28"/>
          <w:szCs w:val="28"/>
        </w:rPr>
      </w:pPr>
    </w:p>
    <w:p w:rsidR="002A7736" w:rsidRPr="00045BB7" w:rsidRDefault="00045BB7" w:rsidP="00005DC5">
      <w:pPr>
        <w:pStyle w:val="Ttulo1"/>
        <w:keepNext/>
        <w:keepLines/>
        <w:widowControl w:val="0"/>
        <w:numPr>
          <w:ilvl w:val="0"/>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ind w:left="567" w:firstLine="0"/>
        <w:jc w:val="both"/>
        <w:rPr>
          <w:rFonts w:ascii="Times New Roman" w:hAnsi="Times New Roman" w:cs="Times New Roman"/>
        </w:rPr>
      </w:pPr>
      <w:r w:rsidRPr="00045BB7">
        <w:rPr>
          <w:rFonts w:ascii="Times New Roman" w:hAnsi="Times New Roman" w:cs="Times New Roman"/>
        </w:rPr>
        <w:t>La demanda</w:t>
      </w:r>
    </w:p>
    <w:p w:rsidR="00A94E6C" w:rsidRPr="00045BB7" w:rsidRDefault="00045BB7" w:rsidP="0091354D">
      <w:pPr>
        <w:tabs>
          <w:tab w:val="left" w:pos="0"/>
          <w:tab w:val="left" w:pos="567"/>
        </w:tabs>
        <w:ind w:right="51"/>
        <w:contextualSpacing/>
        <w:jc w:val="both"/>
        <w:rPr>
          <w:rFonts w:ascii="Times New Roman" w:hAnsi="Times New Roman" w:cs="Times New Roman"/>
          <w:bCs/>
          <w:iCs/>
          <w:sz w:val="28"/>
          <w:szCs w:val="28"/>
        </w:rPr>
      </w:pPr>
    </w:p>
    <w:p w:rsidR="0091354D"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bookmarkStart w:id="3" w:name="_Hlk178756707"/>
      <w:r w:rsidRPr="00045BB7">
        <w:rPr>
          <w:rFonts w:ascii="Times New Roman" w:hAnsi="Times New Roman" w:cs="Times New Roman"/>
          <w:bCs/>
          <w:iCs/>
          <w:sz w:val="28"/>
          <w:szCs w:val="28"/>
        </w:rPr>
        <w:t>El demandante</w:t>
      </w:r>
      <w:r w:rsidRPr="00045BB7">
        <w:rPr>
          <w:rFonts w:ascii="Times New Roman" w:hAnsi="Times New Roman" w:cs="Times New Roman"/>
          <w:bCs/>
          <w:iCs/>
          <w:sz w:val="28"/>
          <w:szCs w:val="28"/>
        </w:rPr>
        <w:t xml:space="preserve"> sostiene que </w:t>
      </w:r>
      <w:r w:rsidRPr="00045BB7">
        <w:rPr>
          <w:rFonts w:ascii="Times New Roman" w:hAnsi="Times New Roman" w:cs="Times New Roman"/>
          <w:bCs/>
          <w:iCs/>
          <w:sz w:val="28"/>
          <w:szCs w:val="28"/>
        </w:rPr>
        <w:t xml:space="preserve">las normas </w:t>
      </w:r>
      <w:r w:rsidRPr="00045BB7">
        <w:rPr>
          <w:rFonts w:ascii="Times New Roman" w:hAnsi="Times New Roman" w:cs="Times New Roman"/>
          <w:bCs/>
          <w:iCs/>
          <w:sz w:val="28"/>
          <w:szCs w:val="28"/>
        </w:rPr>
        <w:t>acusadas</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son </w:t>
      </w:r>
      <w:r w:rsidRPr="00045BB7">
        <w:rPr>
          <w:rFonts w:ascii="Times New Roman" w:hAnsi="Times New Roman" w:cs="Times New Roman"/>
          <w:bCs/>
          <w:iCs/>
          <w:sz w:val="28"/>
          <w:szCs w:val="28"/>
        </w:rPr>
        <w:t>contrarias al derecho fundamental a la vivienda digna porque</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permiten que, en contextos de insolvencia empresarial </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de personas naturales o jurídicas dedicadas a la construcción y enajenación de inmuebles destinado</w:t>
      </w:r>
      <w:r w:rsidRPr="00045BB7">
        <w:rPr>
          <w:rFonts w:ascii="Times New Roman" w:hAnsi="Times New Roman" w:cs="Times New Roman"/>
          <w:bCs/>
          <w:iCs/>
          <w:sz w:val="28"/>
          <w:szCs w:val="28"/>
        </w:rPr>
        <w:t xml:space="preserve">s a vivienda, los acreedores amparados con garantías reales y/o mobiliarias puedan </w:t>
      </w:r>
      <w:r w:rsidRPr="00045BB7">
        <w:rPr>
          <w:rFonts w:ascii="Times New Roman" w:hAnsi="Times New Roman" w:cs="Times New Roman"/>
          <w:bCs/>
          <w:i/>
          <w:sz w:val="28"/>
          <w:szCs w:val="28"/>
        </w:rPr>
        <w:t>(i)</w:t>
      </w:r>
      <w:r w:rsidRPr="00045BB7">
        <w:rPr>
          <w:rFonts w:ascii="Times New Roman" w:hAnsi="Times New Roman" w:cs="Times New Roman"/>
          <w:bCs/>
          <w:iCs/>
          <w:sz w:val="28"/>
          <w:szCs w:val="28"/>
        </w:rPr>
        <w:t xml:space="preserve"> ejecutar su garan</w:t>
      </w:r>
      <w:r w:rsidRPr="00045BB7">
        <w:rPr>
          <w:rFonts w:ascii="Times New Roman" w:hAnsi="Times New Roman" w:cs="Times New Roman"/>
          <w:bCs/>
          <w:iCs/>
          <w:sz w:val="28"/>
          <w:szCs w:val="28"/>
        </w:rPr>
        <w:t>t</w:t>
      </w:r>
      <w:r w:rsidRPr="00045BB7">
        <w:rPr>
          <w:rFonts w:ascii="Times New Roman" w:hAnsi="Times New Roman" w:cs="Times New Roman"/>
          <w:bCs/>
          <w:iCs/>
          <w:sz w:val="28"/>
          <w:szCs w:val="28"/>
        </w:rPr>
        <w:t xml:space="preserve">ía y </w:t>
      </w:r>
      <w:r w:rsidRPr="00045BB7">
        <w:rPr>
          <w:rFonts w:ascii="Times New Roman" w:hAnsi="Times New Roman" w:cs="Times New Roman"/>
          <w:bCs/>
          <w:i/>
          <w:sz w:val="28"/>
          <w:szCs w:val="28"/>
        </w:rPr>
        <w:t>(ii)</w:t>
      </w:r>
      <w:r w:rsidRPr="00045BB7">
        <w:rPr>
          <w:rFonts w:ascii="Times New Roman" w:hAnsi="Times New Roman" w:cs="Times New Roman"/>
          <w:bCs/>
          <w:iCs/>
          <w:sz w:val="28"/>
          <w:szCs w:val="28"/>
        </w:rPr>
        <w:t xml:space="preserve"> recibir el pago, de manera preferente sobre los promitentes compradores de vivienda, beneficiarios de área o cualquiera que sea su denominaci</w:t>
      </w:r>
      <w:r w:rsidRPr="00045BB7">
        <w:rPr>
          <w:rFonts w:ascii="Times New Roman" w:hAnsi="Times New Roman" w:cs="Times New Roman"/>
          <w:bCs/>
          <w:iCs/>
          <w:sz w:val="28"/>
          <w:szCs w:val="28"/>
        </w:rPr>
        <w:t xml:space="preserve">ón, que siendo acreedores se han hecho parte del proceso y han </w:t>
      </w:r>
      <w:r w:rsidRPr="00045BB7">
        <w:rPr>
          <w:rFonts w:ascii="Times New Roman" w:hAnsi="Times New Roman" w:cs="Times New Roman"/>
          <w:bCs/>
          <w:iCs/>
          <w:sz w:val="28"/>
          <w:szCs w:val="28"/>
        </w:rPr>
        <w:t xml:space="preserve">sido reconocidos en </w:t>
      </w:r>
      <w:r w:rsidRPr="00045BB7">
        <w:rPr>
          <w:rFonts w:ascii="Times New Roman" w:hAnsi="Times New Roman" w:cs="Times New Roman"/>
          <w:bCs/>
          <w:iCs/>
          <w:sz w:val="28"/>
          <w:szCs w:val="28"/>
        </w:rPr>
        <w:t>él</w:t>
      </w:r>
      <w:r w:rsidRPr="00045BB7">
        <w:rPr>
          <w:rFonts w:ascii="Times New Roman" w:hAnsi="Times New Roman" w:cs="Times New Roman"/>
          <w:bCs/>
          <w:iCs/>
          <w:sz w:val="28"/>
          <w:szCs w:val="28"/>
        </w:rPr>
        <w:t>”</w:t>
      </w:r>
      <w:r w:rsidRPr="00045BB7">
        <w:rPr>
          <w:rStyle w:val="Refdenotaalpie"/>
          <w:rFonts w:ascii="Times New Roman" w:hAnsi="Times New Roman" w:cs="Times New Roman"/>
          <w:bCs/>
          <w:iCs/>
          <w:sz w:val="28"/>
          <w:szCs w:val="28"/>
        </w:rPr>
        <w:footnoteReference w:id="4"/>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Ello, sin importar si los bienes de la masa concursal resultan suficientes para </w:t>
      </w:r>
      <w:r w:rsidRPr="00045BB7">
        <w:rPr>
          <w:rFonts w:ascii="Times New Roman" w:hAnsi="Times New Roman" w:cs="Times New Roman"/>
          <w:bCs/>
          <w:i/>
          <w:sz w:val="28"/>
          <w:szCs w:val="28"/>
        </w:rPr>
        <w:t>(i)</w:t>
      </w:r>
      <w:r w:rsidRPr="00045BB7">
        <w:rPr>
          <w:rFonts w:ascii="Times New Roman" w:hAnsi="Times New Roman" w:cs="Times New Roman"/>
          <w:bCs/>
          <w:iCs/>
          <w:sz w:val="28"/>
          <w:szCs w:val="28"/>
        </w:rPr>
        <w:t xml:space="preserve"> alcanzar o cumplir el acuerdo (reestructuración empresarial) o,</w:t>
      </w:r>
      <w:r w:rsidRPr="00045BB7">
        <w:rPr>
          <w:rFonts w:ascii="Times New Roman" w:hAnsi="Times New Roman" w:cs="Times New Roman"/>
          <w:bCs/>
          <w:i/>
          <w:sz w:val="28"/>
          <w:szCs w:val="28"/>
        </w:rPr>
        <w:t xml:space="preserve"> (ii)</w:t>
      </w:r>
      <w:r w:rsidRPr="00045BB7">
        <w:rPr>
          <w:rFonts w:ascii="Times New Roman" w:hAnsi="Times New Roman" w:cs="Times New Roman"/>
          <w:bCs/>
          <w:iCs/>
          <w:sz w:val="28"/>
          <w:szCs w:val="28"/>
        </w:rPr>
        <w:t xml:space="preserve"> pagar las acreencias de quienes han comprometido su patrimonio (liquidación). </w:t>
      </w:r>
    </w:p>
    <w:p w:rsidR="00A21457" w:rsidRPr="00045BB7" w:rsidRDefault="00045BB7" w:rsidP="00A21457">
      <w:pPr>
        <w:tabs>
          <w:tab w:val="left" w:pos="0"/>
          <w:tab w:val="left" w:pos="567"/>
        </w:tabs>
        <w:ind w:right="51"/>
        <w:contextualSpacing/>
        <w:jc w:val="both"/>
        <w:rPr>
          <w:rFonts w:ascii="Times New Roman" w:hAnsi="Times New Roman" w:cs="Times New Roman"/>
          <w:bCs/>
          <w:i/>
          <w:sz w:val="28"/>
          <w:szCs w:val="28"/>
        </w:rPr>
      </w:pPr>
    </w:p>
    <w:p w:rsidR="00FE0254"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A la luz de lo expuesto, el accionante considera que</w:t>
      </w:r>
      <w:r w:rsidRPr="00045BB7">
        <w:rPr>
          <w:rFonts w:ascii="Times New Roman" w:hAnsi="Times New Roman" w:cs="Times New Roman"/>
          <w:bCs/>
          <w:iCs/>
          <w:sz w:val="28"/>
          <w:szCs w:val="28"/>
        </w:rPr>
        <w:t xml:space="preserve"> el legislador “incumplió con su deber constitucional de hacer efectivo el derecho a la vivienda digna” y tomar medidas apr</w:t>
      </w:r>
      <w:r w:rsidRPr="00045BB7">
        <w:rPr>
          <w:rFonts w:ascii="Times New Roman" w:hAnsi="Times New Roman" w:cs="Times New Roman"/>
          <w:bCs/>
          <w:iCs/>
          <w:sz w:val="28"/>
          <w:szCs w:val="28"/>
        </w:rPr>
        <w:t>opiadas para asegurar su efectividad</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dado que las normas demandadas “favorecen de manera desproporcionada a los acreedores con garantía real o mobiliaria, en detrimento de aquellos cuyos créditos emergen de la necesidad de adquirir vivienda, especialmente</w:t>
      </w:r>
      <w:r w:rsidRPr="00045BB7">
        <w:rPr>
          <w:rFonts w:ascii="Times New Roman" w:hAnsi="Times New Roman" w:cs="Times New Roman"/>
          <w:bCs/>
          <w:iCs/>
          <w:sz w:val="28"/>
          <w:szCs w:val="28"/>
        </w:rPr>
        <w:t xml:space="preserve"> en sectores vulnerables y de escasos recursos”</w:t>
      </w:r>
      <w:r w:rsidRPr="00045BB7">
        <w:rPr>
          <w:rStyle w:val="Refdenotaalpie"/>
          <w:rFonts w:ascii="Times New Roman" w:hAnsi="Times New Roman" w:cs="Times New Roman"/>
          <w:bCs/>
          <w:iCs/>
          <w:sz w:val="28"/>
          <w:szCs w:val="28"/>
        </w:rPr>
        <w:footnoteReference w:id="5"/>
      </w:r>
      <w:r w:rsidRPr="00045BB7">
        <w:rPr>
          <w:rFonts w:ascii="Times New Roman" w:hAnsi="Times New Roman" w:cs="Times New Roman"/>
          <w:bCs/>
          <w:iCs/>
          <w:sz w:val="28"/>
          <w:szCs w:val="28"/>
        </w:rPr>
        <w:t xml:space="preserve">. </w:t>
      </w:r>
    </w:p>
    <w:p w:rsidR="00FE0254" w:rsidRPr="00045BB7" w:rsidRDefault="00045BB7" w:rsidP="00FE0254">
      <w:pPr>
        <w:pStyle w:val="Prrafodelista"/>
        <w:rPr>
          <w:rFonts w:ascii="Times New Roman" w:hAnsi="Times New Roman" w:cs="Times New Roman"/>
          <w:bCs/>
          <w:iCs/>
          <w:szCs w:val="28"/>
        </w:rPr>
      </w:pPr>
    </w:p>
    <w:p w:rsidR="00A21457"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Lo anterior</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porque </w:t>
      </w:r>
      <w:r w:rsidRPr="00045BB7">
        <w:rPr>
          <w:rFonts w:ascii="Times New Roman" w:hAnsi="Times New Roman" w:cs="Times New Roman"/>
          <w:bCs/>
          <w:iCs/>
          <w:sz w:val="28"/>
          <w:szCs w:val="28"/>
        </w:rPr>
        <w:t>en su criterio</w:t>
      </w:r>
      <w:r w:rsidRPr="00045BB7">
        <w:rPr>
          <w:rFonts w:ascii="Times New Roman" w:hAnsi="Times New Roman" w:cs="Times New Roman"/>
          <w:bCs/>
          <w:iCs/>
          <w:sz w:val="28"/>
          <w:szCs w:val="28"/>
        </w:rPr>
        <w:t xml:space="preserve">, la Ley 1676 de 2013 estableció “una nueva especie de acreedor […] a quien se le mejoró su expectativa de satisfacción del crédito mediante un régimen de preferencia </w:t>
      </w:r>
      <w:r w:rsidRPr="00045BB7">
        <w:rPr>
          <w:rFonts w:ascii="Times New Roman" w:hAnsi="Times New Roman" w:cs="Times New Roman"/>
          <w:bCs/>
          <w:iCs/>
          <w:sz w:val="28"/>
          <w:szCs w:val="28"/>
        </w:rPr>
        <w:t>especial”</w:t>
      </w:r>
      <w:r w:rsidRPr="00045BB7">
        <w:rPr>
          <w:rStyle w:val="Refdenotaalpie"/>
          <w:rFonts w:ascii="Times New Roman" w:hAnsi="Times New Roman" w:cs="Times New Roman"/>
          <w:bCs/>
          <w:iCs/>
          <w:sz w:val="28"/>
          <w:szCs w:val="28"/>
        </w:rPr>
        <w:footnoteReference w:id="6"/>
      </w:r>
      <w:r w:rsidRPr="00045BB7">
        <w:rPr>
          <w:rFonts w:ascii="Times New Roman" w:hAnsi="Times New Roman" w:cs="Times New Roman"/>
          <w:bCs/>
          <w:iCs/>
          <w:sz w:val="28"/>
          <w:szCs w:val="28"/>
        </w:rPr>
        <w:t xml:space="preserve">, situación que </w:t>
      </w:r>
      <w:r w:rsidRPr="00045BB7">
        <w:rPr>
          <w:rFonts w:ascii="Times New Roman" w:hAnsi="Times New Roman" w:cs="Times New Roman"/>
          <w:bCs/>
          <w:iCs/>
          <w:sz w:val="28"/>
          <w:szCs w:val="28"/>
        </w:rPr>
        <w:t>genera que se “burle la prenda común de todos los acreedores, con excepción de los niños y de los acreedores que la Corte Constitucional preservó en la Sentencia C-145 de 2018”</w:t>
      </w:r>
      <w:r w:rsidRPr="00045BB7">
        <w:rPr>
          <w:rStyle w:val="Refdenotaalpie"/>
          <w:rFonts w:ascii="Times New Roman" w:hAnsi="Times New Roman" w:cs="Times New Roman"/>
          <w:bCs/>
          <w:iCs/>
          <w:sz w:val="28"/>
          <w:szCs w:val="28"/>
        </w:rPr>
        <w:footnoteReference w:id="7"/>
      </w:r>
      <w:r w:rsidRPr="00045BB7">
        <w:rPr>
          <w:rFonts w:ascii="Times New Roman" w:hAnsi="Times New Roman" w:cs="Times New Roman"/>
          <w:bCs/>
          <w:iCs/>
          <w:sz w:val="28"/>
          <w:szCs w:val="28"/>
        </w:rPr>
        <w:t>.</w:t>
      </w:r>
    </w:p>
    <w:p w:rsidR="00EF1475" w:rsidRPr="00045BB7" w:rsidRDefault="00045BB7" w:rsidP="003C0FC2">
      <w:pPr>
        <w:rPr>
          <w:rFonts w:ascii="Times New Roman" w:hAnsi="Times New Roman" w:cs="Times New Roman"/>
          <w:bCs/>
          <w:i/>
          <w:sz w:val="28"/>
          <w:szCs w:val="28"/>
        </w:rPr>
      </w:pPr>
    </w:p>
    <w:p w:rsidR="00E06C55"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En ese orden de ideas, afirma que las disposiciones analizadas desatienden el deber que tiene el Estado de abstenerse de implementar medidas que perjudiquen o menoscaben el derecho a la vivienda digna, por lo que resultan contrarias al artículo 51 de la Co</w:t>
      </w:r>
      <w:r w:rsidRPr="00045BB7">
        <w:rPr>
          <w:rFonts w:ascii="Times New Roman" w:hAnsi="Times New Roman" w:cs="Times New Roman"/>
          <w:bCs/>
          <w:iCs/>
          <w:sz w:val="28"/>
          <w:szCs w:val="28"/>
        </w:rPr>
        <w:t xml:space="preserve">nstitución política, el cual reconoce el derecho de todas las personas a una vivienda adecuada y, la obligación del Estado de tomar medidas para asegurar su efectividad. Esto, en </w:t>
      </w:r>
      <w:r w:rsidRPr="00045BB7">
        <w:rPr>
          <w:rFonts w:ascii="Times New Roman" w:hAnsi="Times New Roman" w:cs="Times New Roman"/>
          <w:bCs/>
          <w:iCs/>
          <w:sz w:val="28"/>
          <w:szCs w:val="28"/>
        </w:rPr>
        <w:t>concordancia</w:t>
      </w:r>
      <w:r w:rsidRPr="00045BB7">
        <w:rPr>
          <w:rFonts w:ascii="Times New Roman" w:hAnsi="Times New Roman" w:cs="Times New Roman"/>
          <w:bCs/>
          <w:iCs/>
          <w:sz w:val="28"/>
          <w:szCs w:val="28"/>
        </w:rPr>
        <w:t xml:space="preserve"> con el artículo 11.1 del PIDESC</w:t>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el cual consagra el derecho de </w:t>
      </w:r>
      <w:r w:rsidRPr="00045BB7">
        <w:rPr>
          <w:rFonts w:ascii="Times New Roman" w:hAnsi="Times New Roman" w:cs="Times New Roman"/>
          <w:bCs/>
          <w:iCs/>
          <w:sz w:val="28"/>
          <w:szCs w:val="28"/>
        </w:rPr>
        <w:t xml:space="preserve">todas las personas a tener un nivel de vida adecuado para sí y para su familia. </w:t>
      </w:r>
    </w:p>
    <w:p w:rsidR="00E06C55" w:rsidRPr="00045BB7" w:rsidRDefault="00045BB7" w:rsidP="00E06C55">
      <w:pPr>
        <w:pStyle w:val="Prrafodelista"/>
        <w:rPr>
          <w:rFonts w:ascii="Times New Roman" w:hAnsi="Times New Roman" w:cs="Times New Roman"/>
          <w:bCs/>
          <w:iCs/>
          <w:szCs w:val="28"/>
        </w:rPr>
      </w:pPr>
    </w:p>
    <w:p w:rsidR="002A7736"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En la misma línea</w:t>
      </w:r>
      <w:r w:rsidRPr="00045BB7">
        <w:rPr>
          <w:rFonts w:ascii="Times New Roman" w:hAnsi="Times New Roman" w:cs="Times New Roman"/>
          <w:bCs/>
          <w:iCs/>
          <w:sz w:val="28"/>
          <w:szCs w:val="28"/>
        </w:rPr>
        <w:t xml:space="preserve">, el </w:t>
      </w:r>
      <w:r w:rsidRPr="00045BB7">
        <w:rPr>
          <w:rFonts w:ascii="Times New Roman" w:hAnsi="Times New Roman" w:cs="Times New Roman"/>
          <w:bCs/>
          <w:iCs/>
          <w:sz w:val="28"/>
          <w:szCs w:val="28"/>
        </w:rPr>
        <w:t>demandante</w:t>
      </w:r>
      <w:r w:rsidRPr="00045BB7">
        <w:rPr>
          <w:rFonts w:ascii="Times New Roman" w:hAnsi="Times New Roman" w:cs="Times New Roman"/>
          <w:bCs/>
          <w:iCs/>
          <w:sz w:val="28"/>
          <w:szCs w:val="28"/>
        </w:rPr>
        <w:t xml:space="preserve"> argumenta que los artículos mencionados </w:t>
      </w:r>
      <w:r w:rsidRPr="00045BB7">
        <w:rPr>
          <w:rFonts w:ascii="Times New Roman" w:hAnsi="Times New Roman" w:cs="Times New Roman"/>
          <w:bCs/>
          <w:iCs/>
          <w:sz w:val="28"/>
          <w:szCs w:val="28"/>
        </w:rPr>
        <w:t>incorporan un doble deber por parte del Estado, “[e]n primer lugar, la obligación activa de establece</w:t>
      </w:r>
      <w:r w:rsidRPr="00045BB7">
        <w:rPr>
          <w:rFonts w:ascii="Times New Roman" w:hAnsi="Times New Roman" w:cs="Times New Roman"/>
          <w:bCs/>
          <w:iCs/>
          <w:sz w:val="28"/>
          <w:szCs w:val="28"/>
        </w:rPr>
        <w:t>r un marco normativo adecuado para garantizar el derecho a la vivienda digna y, en segundo lugar, un deber de abstención que […] tiene que ver con el imperativo de no expedir normas que permitan que dicha garantía constitucional sea desconocida o vulnerada</w:t>
      </w:r>
      <w:r w:rsidRPr="00045BB7">
        <w:rPr>
          <w:rFonts w:ascii="Times New Roman" w:hAnsi="Times New Roman" w:cs="Times New Roman"/>
          <w:bCs/>
          <w:iCs/>
          <w:sz w:val="28"/>
          <w:szCs w:val="28"/>
        </w:rPr>
        <w:t>. Es decir, es inconstitucional que el Estado adopte medidas que impidan o restrinjan la efectividad de este derecho o que mantenga la vigencia de normas que así lo permitan”</w:t>
      </w:r>
      <w:r w:rsidRPr="00045BB7">
        <w:rPr>
          <w:rStyle w:val="Refdenotaalpie"/>
          <w:rFonts w:ascii="Times New Roman" w:hAnsi="Times New Roman" w:cs="Times New Roman"/>
          <w:bCs/>
          <w:iCs/>
          <w:sz w:val="28"/>
          <w:szCs w:val="28"/>
        </w:rPr>
        <w:footnoteReference w:id="8"/>
      </w:r>
      <w:r w:rsidRPr="00045BB7">
        <w:rPr>
          <w:rFonts w:ascii="Times New Roman" w:hAnsi="Times New Roman" w:cs="Times New Roman"/>
          <w:bCs/>
          <w:iCs/>
          <w:sz w:val="28"/>
          <w:szCs w:val="28"/>
        </w:rPr>
        <w:t xml:space="preserve">. A juicio del </w:t>
      </w:r>
      <w:r w:rsidRPr="00045BB7">
        <w:rPr>
          <w:rFonts w:ascii="Times New Roman" w:hAnsi="Times New Roman" w:cs="Times New Roman"/>
          <w:bCs/>
          <w:iCs/>
          <w:sz w:val="28"/>
          <w:szCs w:val="28"/>
        </w:rPr>
        <w:t>accionante</w:t>
      </w:r>
      <w:r w:rsidRPr="00045BB7">
        <w:rPr>
          <w:rFonts w:ascii="Times New Roman" w:hAnsi="Times New Roman" w:cs="Times New Roman"/>
          <w:bCs/>
          <w:iCs/>
          <w:sz w:val="28"/>
          <w:szCs w:val="28"/>
        </w:rPr>
        <w:t xml:space="preserve">, esto adquiere </w:t>
      </w:r>
      <w:r w:rsidRPr="00045BB7">
        <w:rPr>
          <w:rFonts w:ascii="Times New Roman" w:hAnsi="Times New Roman" w:cs="Times New Roman"/>
          <w:bCs/>
          <w:iCs/>
          <w:sz w:val="28"/>
          <w:szCs w:val="28"/>
        </w:rPr>
        <w:t xml:space="preserve">mayor </w:t>
      </w:r>
      <w:r w:rsidRPr="00045BB7">
        <w:rPr>
          <w:rFonts w:ascii="Times New Roman" w:hAnsi="Times New Roman" w:cs="Times New Roman"/>
          <w:bCs/>
          <w:iCs/>
          <w:sz w:val="28"/>
          <w:szCs w:val="28"/>
        </w:rPr>
        <w:t>relevancia respecto de personas en</w:t>
      </w:r>
      <w:r w:rsidRPr="00045BB7">
        <w:rPr>
          <w:rFonts w:ascii="Times New Roman" w:hAnsi="Times New Roman" w:cs="Times New Roman"/>
          <w:bCs/>
          <w:iCs/>
          <w:sz w:val="28"/>
          <w:szCs w:val="28"/>
        </w:rPr>
        <w:t xml:space="preserve"> situación de debilidad manifiesta, particularmente, “en los casos de operaciones contractuales encaminadas a la compra de vivienda de interés social”</w:t>
      </w:r>
      <w:r w:rsidRPr="00045BB7">
        <w:rPr>
          <w:rStyle w:val="Refdenotaalpie"/>
          <w:rFonts w:ascii="Times New Roman" w:hAnsi="Times New Roman" w:cs="Times New Roman"/>
          <w:bCs/>
          <w:iCs/>
          <w:sz w:val="28"/>
          <w:szCs w:val="28"/>
        </w:rPr>
        <w:footnoteReference w:id="9"/>
      </w:r>
      <w:r w:rsidRPr="00045BB7">
        <w:rPr>
          <w:rFonts w:ascii="Times New Roman" w:hAnsi="Times New Roman" w:cs="Times New Roman"/>
          <w:bCs/>
          <w:iCs/>
          <w:sz w:val="28"/>
          <w:szCs w:val="28"/>
        </w:rPr>
        <w:t>, pues, en su criterio, los compradores de este tipo de inmuebles “suelen ser personas con escasos recurs</w:t>
      </w:r>
      <w:r w:rsidRPr="00045BB7">
        <w:rPr>
          <w:rFonts w:ascii="Times New Roman" w:hAnsi="Times New Roman" w:cs="Times New Roman"/>
          <w:bCs/>
          <w:iCs/>
          <w:sz w:val="28"/>
          <w:szCs w:val="28"/>
        </w:rPr>
        <w:t>os económicos que comprometen todo su patrimonio para adquirirla y quienes […] suelen ser personas con debilidad manifiesta”</w:t>
      </w:r>
      <w:r w:rsidRPr="00045BB7">
        <w:rPr>
          <w:rStyle w:val="Refdenotaalpie"/>
          <w:rFonts w:ascii="Times New Roman" w:hAnsi="Times New Roman" w:cs="Times New Roman"/>
          <w:bCs/>
          <w:iCs/>
          <w:sz w:val="28"/>
          <w:szCs w:val="28"/>
        </w:rPr>
        <w:footnoteReference w:id="10"/>
      </w:r>
      <w:r w:rsidRPr="00045BB7">
        <w:rPr>
          <w:rFonts w:ascii="Times New Roman" w:hAnsi="Times New Roman" w:cs="Times New Roman"/>
          <w:bCs/>
          <w:iCs/>
          <w:sz w:val="28"/>
          <w:szCs w:val="28"/>
        </w:rPr>
        <w:t xml:space="preserve">. </w:t>
      </w:r>
    </w:p>
    <w:p w:rsidR="002E5F05" w:rsidRPr="00045BB7" w:rsidRDefault="00045BB7" w:rsidP="006C20AB">
      <w:pPr>
        <w:rPr>
          <w:rFonts w:ascii="Times New Roman" w:hAnsi="Times New Roman" w:cs="Times New Roman"/>
          <w:bCs/>
          <w:i/>
          <w:sz w:val="28"/>
          <w:szCs w:val="28"/>
        </w:rPr>
      </w:pPr>
    </w:p>
    <w:p w:rsidR="002E5F05"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lang w:val="es-ES_tradnl"/>
        </w:rPr>
        <w:t>E</w:t>
      </w:r>
      <w:r w:rsidRPr="00045BB7">
        <w:rPr>
          <w:rFonts w:ascii="Times New Roman" w:hAnsi="Times New Roman" w:cs="Times New Roman"/>
          <w:bCs/>
          <w:iCs/>
          <w:sz w:val="28"/>
          <w:szCs w:val="28"/>
        </w:rPr>
        <w:t>l demandante precisa que “la misma línea argumental que dio lugar a la exequibilidad condicionada de […] los artículos demanda</w:t>
      </w:r>
      <w:r w:rsidRPr="00045BB7">
        <w:rPr>
          <w:rFonts w:ascii="Times New Roman" w:hAnsi="Times New Roman" w:cs="Times New Roman"/>
          <w:bCs/>
          <w:iCs/>
          <w:sz w:val="28"/>
          <w:szCs w:val="28"/>
        </w:rPr>
        <w:t>dos, supone un incumplimiento de los deberes de respeto, garantía y protección a los titulares de la garantía constitucional del derecho a la vivienda digna como derecho fundamental y en particular</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de aquellos que merecen una </w:t>
      </w:r>
      <w:r w:rsidRPr="00045BB7">
        <w:rPr>
          <w:rFonts w:ascii="Times New Roman" w:hAnsi="Times New Roman" w:cs="Times New Roman"/>
          <w:b/>
          <w:iCs/>
          <w:sz w:val="28"/>
          <w:szCs w:val="28"/>
        </w:rPr>
        <w:t>protección reforzada</w:t>
      </w:r>
      <w:r w:rsidRPr="00045BB7">
        <w:rPr>
          <w:rFonts w:ascii="Times New Roman" w:hAnsi="Times New Roman" w:cs="Times New Roman"/>
          <w:bCs/>
          <w:iCs/>
          <w:sz w:val="28"/>
          <w:szCs w:val="28"/>
        </w:rPr>
        <w:t>”</w:t>
      </w:r>
      <w:r w:rsidRPr="00045BB7">
        <w:rPr>
          <w:rStyle w:val="Refdenotaalpie"/>
          <w:rFonts w:ascii="Times New Roman" w:hAnsi="Times New Roman" w:cs="Times New Roman"/>
          <w:bCs/>
          <w:iCs/>
          <w:sz w:val="28"/>
          <w:szCs w:val="28"/>
        </w:rPr>
        <w:footnoteReference w:id="11"/>
      </w:r>
      <w:r w:rsidRPr="00045BB7">
        <w:rPr>
          <w:rFonts w:ascii="Times New Roman" w:hAnsi="Times New Roman" w:cs="Times New Roman"/>
          <w:bCs/>
          <w:iCs/>
          <w:sz w:val="28"/>
          <w:szCs w:val="28"/>
        </w:rPr>
        <w:t xml:space="preserve"> (énfasi</w:t>
      </w:r>
      <w:r w:rsidRPr="00045BB7">
        <w:rPr>
          <w:rFonts w:ascii="Times New Roman" w:hAnsi="Times New Roman" w:cs="Times New Roman"/>
          <w:bCs/>
          <w:iCs/>
          <w:sz w:val="28"/>
          <w:szCs w:val="28"/>
        </w:rPr>
        <w:t>s en texto original)</w:t>
      </w:r>
      <w:r w:rsidRPr="00045BB7">
        <w:rPr>
          <w:rFonts w:ascii="Times New Roman" w:hAnsi="Times New Roman" w:cs="Times New Roman"/>
          <w:bCs/>
          <w:iCs/>
          <w:sz w:val="28"/>
          <w:szCs w:val="28"/>
        </w:rPr>
        <w:t>, como lo son los niños, niñas</w:t>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adolescentes y las personas de edad avanzada. </w:t>
      </w:r>
    </w:p>
    <w:p w:rsidR="00747752" w:rsidRPr="00045BB7" w:rsidRDefault="00045BB7" w:rsidP="00747752">
      <w:pPr>
        <w:pStyle w:val="Prrafodelista"/>
        <w:rPr>
          <w:rFonts w:ascii="Times New Roman" w:hAnsi="Times New Roman" w:cs="Times New Roman"/>
          <w:bCs/>
          <w:i/>
          <w:szCs w:val="28"/>
        </w:rPr>
      </w:pPr>
    </w:p>
    <w:p w:rsidR="00747752"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 xml:space="preserve">Finalmente, el accionante </w:t>
      </w:r>
      <w:r w:rsidRPr="00045BB7">
        <w:rPr>
          <w:rFonts w:ascii="Times New Roman" w:hAnsi="Times New Roman" w:cs="Times New Roman"/>
          <w:bCs/>
          <w:iCs/>
          <w:sz w:val="28"/>
          <w:szCs w:val="28"/>
        </w:rPr>
        <w:t>pide</w:t>
      </w:r>
      <w:r w:rsidRPr="00045BB7">
        <w:rPr>
          <w:rFonts w:ascii="Times New Roman" w:hAnsi="Times New Roman" w:cs="Times New Roman"/>
          <w:bCs/>
          <w:iCs/>
          <w:sz w:val="28"/>
          <w:szCs w:val="28"/>
        </w:rPr>
        <w:t>, como pretensión subsidiaria,</w:t>
      </w:r>
      <w:r w:rsidRPr="00045BB7">
        <w:rPr>
          <w:rFonts w:ascii="Times New Roman" w:hAnsi="Times New Roman" w:cs="Times New Roman"/>
          <w:bCs/>
          <w:iCs/>
          <w:sz w:val="28"/>
          <w:szCs w:val="28"/>
        </w:rPr>
        <w:t xml:space="preserve"> que</w:t>
      </w:r>
      <w:r w:rsidRPr="00045BB7">
        <w:rPr>
          <w:rFonts w:ascii="Times New Roman" w:hAnsi="Times New Roman" w:cs="Times New Roman"/>
          <w:bCs/>
          <w:iCs/>
          <w:sz w:val="28"/>
          <w:szCs w:val="28"/>
        </w:rPr>
        <w:t xml:space="preserve"> se</w:t>
      </w:r>
      <w:r w:rsidRPr="00045BB7">
        <w:rPr>
          <w:rFonts w:ascii="Times New Roman" w:hAnsi="Times New Roman" w:cs="Times New Roman"/>
          <w:bCs/>
          <w:iCs/>
          <w:sz w:val="28"/>
          <w:szCs w:val="28"/>
        </w:rPr>
        <w:t xml:space="preserve"> “evalué la posibilidad de reconocer el mismo derecho que tienen los menores de edad y los trabajadores en los términos de la Sentencia C-145 de 2018, a los acreedores que han comprometido su patrimonio para adquirir una vivienda”</w:t>
      </w:r>
      <w:r w:rsidRPr="00045BB7">
        <w:rPr>
          <w:rStyle w:val="Refdenotaalpie"/>
          <w:rFonts w:ascii="Times New Roman" w:hAnsi="Times New Roman" w:cs="Times New Roman"/>
          <w:bCs/>
          <w:iCs/>
          <w:sz w:val="28"/>
          <w:szCs w:val="28"/>
        </w:rPr>
        <w:footnoteReference w:id="12"/>
      </w:r>
      <w:r w:rsidRPr="00045BB7">
        <w:rPr>
          <w:rFonts w:ascii="Times New Roman" w:hAnsi="Times New Roman" w:cs="Times New Roman"/>
          <w:bCs/>
          <w:iCs/>
          <w:sz w:val="28"/>
          <w:szCs w:val="28"/>
        </w:rPr>
        <w:t>.</w:t>
      </w:r>
    </w:p>
    <w:p w:rsidR="002E5F05" w:rsidRPr="00045BB7" w:rsidRDefault="00045BB7" w:rsidP="002E5F05">
      <w:pPr>
        <w:tabs>
          <w:tab w:val="left" w:pos="0"/>
          <w:tab w:val="left" w:pos="567"/>
        </w:tabs>
        <w:ind w:right="51"/>
        <w:contextualSpacing/>
        <w:jc w:val="both"/>
        <w:rPr>
          <w:rFonts w:ascii="Times New Roman" w:hAnsi="Times New Roman" w:cs="Times New Roman"/>
          <w:bCs/>
          <w:i/>
          <w:sz w:val="28"/>
          <w:szCs w:val="28"/>
        </w:rPr>
      </w:pPr>
    </w:p>
    <w:bookmarkEnd w:id="3"/>
    <w:p w:rsidR="006B4656" w:rsidRPr="00045BB7" w:rsidRDefault="00045BB7" w:rsidP="00005DC5">
      <w:pPr>
        <w:pStyle w:val="Ttulo1"/>
        <w:keepNext/>
        <w:keepLines/>
        <w:widowControl w:val="0"/>
        <w:numPr>
          <w:ilvl w:val="0"/>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ind w:left="567" w:firstLine="0"/>
        <w:jc w:val="both"/>
        <w:rPr>
          <w:rFonts w:ascii="Times New Roman" w:hAnsi="Times New Roman" w:cs="Times New Roman"/>
        </w:rPr>
      </w:pPr>
      <w:r w:rsidRPr="00045BB7">
        <w:rPr>
          <w:rFonts w:ascii="Times New Roman" w:hAnsi="Times New Roman" w:cs="Times New Roman"/>
        </w:rPr>
        <w:t>Intervenciones</w:t>
      </w:r>
    </w:p>
    <w:p w:rsidR="006B4656" w:rsidRPr="00045BB7" w:rsidRDefault="00045BB7" w:rsidP="002A7736">
      <w:pPr>
        <w:tabs>
          <w:tab w:val="left" w:pos="0"/>
          <w:tab w:val="left" w:pos="567"/>
        </w:tabs>
        <w:ind w:right="51"/>
        <w:contextualSpacing/>
        <w:jc w:val="both"/>
        <w:rPr>
          <w:rFonts w:ascii="Times New Roman" w:hAnsi="Times New Roman" w:cs="Times New Roman"/>
          <w:bCs/>
          <w:i/>
          <w:sz w:val="28"/>
          <w:szCs w:val="28"/>
        </w:rPr>
      </w:pPr>
    </w:p>
    <w:p w:rsidR="006C20AB"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L</w:t>
      </w:r>
      <w:r w:rsidRPr="00045BB7">
        <w:rPr>
          <w:rFonts w:ascii="Times New Roman" w:hAnsi="Times New Roman" w:cs="Times New Roman"/>
          <w:bCs/>
          <w:iCs/>
          <w:sz w:val="28"/>
          <w:szCs w:val="28"/>
        </w:rPr>
        <w:t xml:space="preserve">a Corte recibió </w:t>
      </w:r>
      <w:r w:rsidRPr="00045BB7">
        <w:rPr>
          <w:rFonts w:ascii="Times New Roman" w:hAnsi="Times New Roman" w:cs="Times New Roman"/>
          <w:bCs/>
          <w:iCs/>
          <w:sz w:val="28"/>
          <w:szCs w:val="28"/>
        </w:rPr>
        <w:t xml:space="preserve">diecisiete </w:t>
      </w:r>
      <w:r w:rsidRPr="00045BB7">
        <w:rPr>
          <w:rFonts w:ascii="Times New Roman" w:hAnsi="Times New Roman" w:cs="Times New Roman"/>
          <w:bCs/>
          <w:iCs/>
          <w:sz w:val="28"/>
          <w:szCs w:val="28"/>
        </w:rPr>
        <w:t>escritos de intervención</w:t>
      </w:r>
      <w:r w:rsidRPr="00045BB7">
        <w:rPr>
          <w:rStyle w:val="Refdenotaalpie"/>
          <w:rFonts w:ascii="Times New Roman" w:hAnsi="Times New Roman" w:cs="Times New Roman"/>
          <w:bCs/>
          <w:iCs/>
          <w:sz w:val="28"/>
          <w:szCs w:val="28"/>
        </w:rPr>
        <w:footnoteReference w:id="13"/>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La siguiente tabla sintetiza </w:t>
      </w:r>
      <w:r w:rsidRPr="00045BB7">
        <w:rPr>
          <w:rFonts w:ascii="Times New Roman" w:hAnsi="Times New Roman" w:cs="Times New Roman"/>
          <w:bCs/>
          <w:iCs/>
          <w:sz w:val="28"/>
          <w:szCs w:val="28"/>
        </w:rPr>
        <w:t xml:space="preserve">el sentido de las intervenciones ciudadanas y del concepto de la </w:t>
      </w:r>
      <w:r w:rsidRPr="00045BB7">
        <w:rPr>
          <w:rFonts w:ascii="Times New Roman" w:hAnsi="Times New Roman" w:cs="Times New Roman"/>
          <w:bCs/>
          <w:iCs/>
          <w:sz w:val="28"/>
          <w:szCs w:val="28"/>
        </w:rPr>
        <w:t>p</w:t>
      </w:r>
      <w:r w:rsidRPr="00045BB7">
        <w:rPr>
          <w:rFonts w:ascii="Times New Roman" w:hAnsi="Times New Roman" w:cs="Times New Roman"/>
          <w:bCs/>
          <w:iCs/>
          <w:sz w:val="28"/>
          <w:szCs w:val="28"/>
        </w:rPr>
        <w:t xml:space="preserve">rocuradora </w:t>
      </w:r>
      <w:r w:rsidRPr="00045BB7">
        <w:rPr>
          <w:rFonts w:ascii="Times New Roman" w:hAnsi="Times New Roman" w:cs="Times New Roman"/>
          <w:bCs/>
          <w:iCs/>
          <w:sz w:val="28"/>
          <w:szCs w:val="28"/>
        </w:rPr>
        <w:t>g</w:t>
      </w:r>
      <w:r w:rsidRPr="00045BB7">
        <w:rPr>
          <w:rFonts w:ascii="Times New Roman" w:hAnsi="Times New Roman" w:cs="Times New Roman"/>
          <w:bCs/>
          <w:iCs/>
          <w:sz w:val="28"/>
          <w:szCs w:val="28"/>
        </w:rPr>
        <w:t>eneral de la Nación</w:t>
      </w:r>
      <w:r w:rsidRPr="00045BB7">
        <w:rPr>
          <w:rFonts w:ascii="Times New Roman" w:hAnsi="Times New Roman" w:cs="Times New Roman"/>
          <w:bCs/>
          <w:iCs/>
          <w:sz w:val="28"/>
          <w:szCs w:val="28"/>
        </w:rPr>
        <w:t>:</w:t>
      </w:r>
    </w:p>
    <w:p w:rsidR="006C20AB" w:rsidRPr="00045BB7" w:rsidRDefault="00045BB7" w:rsidP="006C20AB">
      <w:pPr>
        <w:pStyle w:val="Prrafodelista"/>
        <w:rPr>
          <w:rFonts w:ascii="Times New Roman" w:hAnsi="Times New Roman" w:cs="Times New Roman"/>
          <w:bCs/>
          <w:i/>
          <w:szCs w:val="28"/>
        </w:rPr>
      </w:pPr>
    </w:p>
    <w:tbl>
      <w:tblPr>
        <w:tblStyle w:val="Tablaconcuadrcula"/>
        <w:tblW w:w="9064" w:type="dxa"/>
        <w:tblLook w:val="04A0" w:firstRow="1" w:lastRow="0" w:firstColumn="1" w:lastColumn="0" w:noHBand="0" w:noVBand="1"/>
      </w:tblPr>
      <w:tblGrid>
        <w:gridCol w:w="488"/>
        <w:gridCol w:w="2768"/>
        <w:gridCol w:w="2976"/>
        <w:gridCol w:w="2832"/>
      </w:tblGrid>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c>
          <w:tcPr>
            <w:tcW w:w="276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Interviniente</w:t>
            </w:r>
          </w:p>
        </w:tc>
        <w:tc>
          <w:tcPr>
            <w:tcW w:w="2976"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Solicitud principal</w:t>
            </w:r>
          </w:p>
        </w:tc>
        <w:tc>
          <w:tcPr>
            <w:tcW w:w="2832"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Solicitudes subsidiarias</w:t>
            </w: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1</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Ministerio</w:t>
            </w:r>
            <w:r w:rsidRPr="00045BB7">
              <w:rPr>
                <w:rFonts w:ascii="Times New Roman" w:hAnsi="Times New Roman" w:cs="Times New Roman"/>
                <w:bCs/>
                <w:iCs/>
                <w:sz w:val="28"/>
              </w:rPr>
              <w:t xml:space="preserve"> de Comercio, Industria y Turismo</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Cosa juzgada</w:t>
            </w:r>
            <w:r w:rsidRPr="00045BB7">
              <w:rPr>
                <w:rFonts w:ascii="Times New Roman" w:hAnsi="Times New Roman" w:cs="Times New Roman"/>
                <w:bCs/>
                <w:iCs/>
                <w:sz w:val="28"/>
              </w:rPr>
              <w:t xml:space="preserve"> </w:t>
            </w:r>
            <w:r w:rsidRPr="00045BB7">
              <w:rPr>
                <w:rFonts w:ascii="Times New Roman" w:hAnsi="Times New Roman" w:cs="Times New Roman"/>
                <w:bCs/>
                <w:iCs/>
                <w:sz w:val="28"/>
              </w:rPr>
              <w:t>(</w:t>
            </w:r>
            <w:r w:rsidRPr="00045BB7">
              <w:rPr>
                <w:rFonts w:ascii="Times New Roman" w:hAnsi="Times New Roman" w:cs="Times New Roman"/>
                <w:bCs/>
                <w:iCs/>
                <w:sz w:val="28"/>
              </w:rPr>
              <w:t>art</w:t>
            </w:r>
            <w:r w:rsidRPr="00045BB7">
              <w:rPr>
                <w:rFonts w:ascii="Times New Roman" w:hAnsi="Times New Roman" w:cs="Times New Roman"/>
                <w:bCs/>
                <w:iCs/>
                <w:sz w:val="28"/>
              </w:rPr>
              <w:t>s.</w:t>
            </w:r>
            <w:r w:rsidRPr="00045BB7">
              <w:rPr>
                <w:rFonts w:ascii="Times New Roman" w:hAnsi="Times New Roman" w:cs="Times New Roman"/>
                <w:bCs/>
                <w:iCs/>
                <w:sz w:val="28"/>
              </w:rPr>
              <w:t xml:space="preserve"> 50 y 51</w:t>
            </w:r>
            <w:r w:rsidRPr="00045BB7">
              <w:rPr>
                <w:rFonts w:ascii="Times New Roman" w:hAnsi="Times New Roman" w:cs="Times New Roman"/>
                <w:bCs/>
                <w:iCs/>
                <w:sz w:val="28"/>
              </w:rPr>
              <w:t>)</w:t>
            </w:r>
          </w:p>
          <w:p w:rsidR="00D654A8"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 xml:space="preserve">Inhibición </w:t>
            </w:r>
            <w:r w:rsidRPr="00045BB7">
              <w:rPr>
                <w:rFonts w:ascii="Times New Roman" w:hAnsi="Times New Roman" w:cs="Times New Roman"/>
                <w:bCs/>
                <w:iCs/>
                <w:sz w:val="28"/>
              </w:rPr>
              <w:t>(</w:t>
            </w:r>
            <w:r w:rsidRPr="00045BB7">
              <w:rPr>
                <w:rFonts w:ascii="Times New Roman" w:hAnsi="Times New Roman" w:cs="Times New Roman"/>
                <w:bCs/>
                <w:iCs/>
                <w:sz w:val="28"/>
              </w:rPr>
              <w:t>art</w:t>
            </w:r>
            <w:r w:rsidRPr="00045BB7">
              <w:rPr>
                <w:rFonts w:ascii="Times New Roman" w:hAnsi="Times New Roman" w:cs="Times New Roman"/>
                <w:bCs/>
                <w:iCs/>
                <w:sz w:val="28"/>
              </w:rPr>
              <w:t>.</w:t>
            </w:r>
            <w:r w:rsidRPr="00045BB7">
              <w:rPr>
                <w:rFonts w:ascii="Times New Roman" w:hAnsi="Times New Roman" w:cs="Times New Roman"/>
                <w:bCs/>
                <w:iCs/>
                <w:sz w:val="28"/>
              </w:rPr>
              <w:t xml:space="preserve"> 52</w:t>
            </w:r>
            <w:r w:rsidRPr="00045BB7">
              <w:rPr>
                <w:rFonts w:ascii="Times New Roman" w:hAnsi="Times New Roman" w:cs="Times New Roman"/>
                <w:bCs/>
                <w:iCs/>
                <w:sz w:val="28"/>
              </w:rPr>
              <w:t>)</w:t>
            </w:r>
          </w:p>
        </w:tc>
        <w:tc>
          <w:tcPr>
            <w:tcW w:w="2832" w:type="dxa"/>
          </w:tcPr>
          <w:p w:rsidR="00D54BD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Inhibición (arts. 50 y 51)</w:t>
            </w:r>
            <w:r w:rsidRPr="00045BB7">
              <w:rPr>
                <w:rFonts w:ascii="Times New Roman" w:hAnsi="Times New Roman" w:cs="Times New Roman"/>
                <w:bCs/>
                <w:iCs/>
                <w:sz w:val="28"/>
              </w:rPr>
              <w:t>,</w:t>
            </w:r>
          </w:p>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e</w:t>
            </w:r>
            <w:r w:rsidRPr="00045BB7">
              <w:rPr>
                <w:rFonts w:ascii="Times New Roman" w:hAnsi="Times New Roman" w:cs="Times New Roman"/>
                <w:bCs/>
                <w:iCs/>
                <w:sz w:val="28"/>
              </w:rPr>
              <w:t>xequibilidad simple y exequibilidad condicionada</w:t>
            </w: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2</w:t>
            </w:r>
          </w:p>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Juan David Gómez</w:t>
            </w:r>
          </w:p>
        </w:tc>
        <w:tc>
          <w:tcPr>
            <w:tcW w:w="2976" w:type="dxa"/>
          </w:tcPr>
          <w:p w:rsidR="00D654A8" w:rsidRPr="00045BB7" w:rsidRDefault="00045BB7" w:rsidP="00D654A8">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Cosa juzgada</w:t>
            </w:r>
            <w:r w:rsidRPr="00045BB7">
              <w:rPr>
                <w:rFonts w:ascii="Times New Roman" w:hAnsi="Times New Roman" w:cs="Times New Roman"/>
                <w:bCs/>
                <w:iCs/>
                <w:sz w:val="28"/>
              </w:rPr>
              <w:t xml:space="preserve"> </w:t>
            </w:r>
            <w:r w:rsidRPr="00045BB7">
              <w:rPr>
                <w:rFonts w:ascii="Times New Roman" w:hAnsi="Times New Roman" w:cs="Times New Roman"/>
                <w:bCs/>
                <w:iCs/>
                <w:sz w:val="28"/>
              </w:rPr>
              <w:t>(</w:t>
            </w:r>
            <w:r w:rsidRPr="00045BB7">
              <w:rPr>
                <w:rFonts w:ascii="Times New Roman" w:hAnsi="Times New Roman" w:cs="Times New Roman"/>
                <w:bCs/>
                <w:iCs/>
                <w:sz w:val="28"/>
              </w:rPr>
              <w:t>art</w:t>
            </w:r>
            <w:r w:rsidRPr="00045BB7">
              <w:rPr>
                <w:rFonts w:ascii="Times New Roman" w:hAnsi="Times New Roman" w:cs="Times New Roman"/>
                <w:bCs/>
                <w:iCs/>
                <w:sz w:val="28"/>
              </w:rPr>
              <w:t>s.</w:t>
            </w:r>
            <w:r w:rsidRPr="00045BB7">
              <w:rPr>
                <w:rFonts w:ascii="Times New Roman" w:hAnsi="Times New Roman" w:cs="Times New Roman"/>
                <w:bCs/>
                <w:iCs/>
                <w:sz w:val="28"/>
              </w:rPr>
              <w:t xml:space="preserve"> 50 y 51</w:t>
            </w:r>
            <w:r w:rsidRPr="00045BB7">
              <w:rPr>
                <w:rFonts w:ascii="Times New Roman" w:hAnsi="Times New Roman" w:cs="Times New Roman"/>
                <w:bCs/>
                <w:iCs/>
                <w:sz w:val="28"/>
              </w:rPr>
              <w:t>)</w:t>
            </w:r>
          </w:p>
          <w:p w:rsidR="006C20AB" w:rsidRPr="00045BB7" w:rsidRDefault="00045BB7" w:rsidP="00D654A8">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 xml:space="preserve">Inhibición </w:t>
            </w:r>
            <w:r w:rsidRPr="00045BB7">
              <w:rPr>
                <w:rFonts w:ascii="Times New Roman" w:hAnsi="Times New Roman" w:cs="Times New Roman"/>
                <w:bCs/>
                <w:iCs/>
                <w:sz w:val="28"/>
              </w:rPr>
              <w:t>(art. 52)</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Inhibición</w:t>
            </w:r>
            <w:r w:rsidRPr="00045BB7">
              <w:rPr>
                <w:rFonts w:ascii="Times New Roman" w:hAnsi="Times New Roman" w:cs="Times New Roman"/>
                <w:bCs/>
                <w:iCs/>
                <w:sz w:val="28"/>
              </w:rPr>
              <w:t xml:space="preserve"> (arts. 50 y 51)</w:t>
            </w:r>
            <w:r w:rsidRPr="00045BB7">
              <w:rPr>
                <w:rFonts w:ascii="Times New Roman" w:hAnsi="Times New Roman" w:cs="Times New Roman"/>
                <w:bCs/>
                <w:iCs/>
                <w:sz w:val="28"/>
              </w:rPr>
              <w:t xml:space="preserve"> y </w:t>
            </w:r>
            <w:r w:rsidRPr="00045BB7">
              <w:rPr>
                <w:rFonts w:ascii="Times New Roman" w:hAnsi="Times New Roman" w:cs="Times New Roman"/>
                <w:bCs/>
                <w:iCs/>
                <w:sz w:val="28"/>
              </w:rPr>
              <w:t>e</w:t>
            </w:r>
            <w:r w:rsidRPr="00045BB7">
              <w:rPr>
                <w:rFonts w:ascii="Times New Roman" w:hAnsi="Times New Roman" w:cs="Times New Roman"/>
                <w:bCs/>
                <w:iCs/>
                <w:sz w:val="28"/>
              </w:rPr>
              <w:t>xequibilidad simple</w:t>
            </w: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3</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Superintendencia de Sociedades</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Inhibición</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Exequibilidad simple y exequibilidad condicionada</w:t>
            </w: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4</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Universidad Pontificia Bolivariana</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Inhibición</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5</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Ministerio de Vivienda, Ciudad y Territorio</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Inhibición</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6</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Instituto</w:t>
            </w:r>
            <w:r w:rsidRPr="00045BB7">
              <w:rPr>
                <w:rFonts w:ascii="Times New Roman" w:hAnsi="Times New Roman" w:cs="Times New Roman"/>
                <w:bCs/>
                <w:iCs/>
                <w:sz w:val="28"/>
              </w:rPr>
              <w:t xml:space="preserve"> Colombiano de Derecho Procesal</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Inhibición</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Exequibilidad simple</w:t>
            </w: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7</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DAPRE</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Inhibición</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Exequibilidad simple</w:t>
            </w: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8</w:t>
            </w:r>
          </w:p>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Academia Colombiana de Jurisprudencia</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Exequibilidad simple</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Exequibilidad condicionada</w:t>
            </w: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9</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Universidad Externado</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Exequibilidad simple</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10</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Universidad de la Sabana</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Exequibilidad condicionada</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11</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Carlos Andrés Delvasto</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Inexequibilidad</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12</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Mónica Moreno Fernández</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Inexequibilidad</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13</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Linda Ruiz Sánchez</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Inexequibilidad</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
                <w:iCs/>
                <w:sz w:val="28"/>
              </w:rPr>
              <w:t>14</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Sofía Díaz Vargas</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r w:rsidRPr="00045BB7">
              <w:rPr>
                <w:rFonts w:ascii="Times New Roman" w:hAnsi="Times New Roman" w:cs="Times New Roman"/>
                <w:bCs/>
                <w:iCs/>
                <w:sz w:val="28"/>
              </w:rPr>
              <w:t>Inexequibilidad</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
                <w:iCs/>
                <w:sz w:val="28"/>
              </w:rPr>
            </w:pP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both"/>
              <w:rPr>
                <w:rFonts w:ascii="Times New Roman" w:hAnsi="Times New Roman" w:cs="Times New Roman"/>
                <w:b/>
                <w:iCs/>
                <w:sz w:val="28"/>
              </w:rPr>
            </w:pPr>
            <w:r w:rsidRPr="00045BB7">
              <w:rPr>
                <w:rFonts w:ascii="Times New Roman" w:hAnsi="Times New Roman" w:cs="Times New Roman"/>
                <w:b/>
                <w:iCs/>
                <w:sz w:val="28"/>
              </w:rPr>
              <w:t>15</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Daniela Álvarez Cohen</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Inexequibilidad</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both"/>
              <w:rPr>
                <w:rFonts w:ascii="Times New Roman" w:hAnsi="Times New Roman" w:cs="Times New Roman"/>
                <w:b/>
                <w:iCs/>
                <w:sz w:val="28"/>
              </w:rPr>
            </w:pPr>
            <w:r w:rsidRPr="00045BB7">
              <w:rPr>
                <w:rFonts w:ascii="Times New Roman" w:hAnsi="Times New Roman" w:cs="Times New Roman"/>
                <w:b/>
                <w:iCs/>
                <w:sz w:val="28"/>
              </w:rPr>
              <w:t>16</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Universidad del Rosario</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Inexequibilidad</w:t>
            </w:r>
            <w:r w:rsidRPr="00045BB7">
              <w:rPr>
                <w:rFonts w:ascii="Times New Roman" w:hAnsi="Times New Roman" w:cs="Times New Roman"/>
                <w:bCs/>
                <w:iCs/>
                <w:sz w:val="28"/>
              </w:rPr>
              <w:t xml:space="preserve"> de los artículos 50 y 52 y exequibilidad del artículo 51</w:t>
            </w:r>
          </w:p>
        </w:tc>
        <w:tc>
          <w:tcPr>
            <w:tcW w:w="2832"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Exequibilidad condicionada</w:t>
            </w:r>
          </w:p>
        </w:tc>
      </w:tr>
      <w:tr w:rsidR="001E5FD4" w:rsidRPr="00045BB7" w:rsidTr="007F47CA">
        <w:tc>
          <w:tcPr>
            <w:tcW w:w="488" w:type="dxa"/>
            <w:shd w:val="clear" w:color="auto" w:fill="D9D9D9" w:themeFill="background1" w:themeFillShade="D9"/>
          </w:tcPr>
          <w:p w:rsidR="006C20AB" w:rsidRPr="00045BB7" w:rsidRDefault="00045BB7" w:rsidP="00535DE9">
            <w:pPr>
              <w:tabs>
                <w:tab w:val="left" w:pos="0"/>
                <w:tab w:val="left" w:pos="567"/>
              </w:tabs>
              <w:ind w:right="51"/>
              <w:contextualSpacing/>
              <w:jc w:val="both"/>
              <w:rPr>
                <w:rFonts w:ascii="Times New Roman" w:hAnsi="Times New Roman" w:cs="Times New Roman"/>
                <w:b/>
                <w:iCs/>
                <w:sz w:val="28"/>
              </w:rPr>
            </w:pPr>
            <w:r w:rsidRPr="00045BB7">
              <w:rPr>
                <w:rFonts w:ascii="Times New Roman" w:hAnsi="Times New Roman" w:cs="Times New Roman"/>
                <w:b/>
                <w:iCs/>
                <w:sz w:val="28"/>
              </w:rPr>
              <w:t>17</w:t>
            </w:r>
          </w:p>
        </w:tc>
        <w:tc>
          <w:tcPr>
            <w:tcW w:w="2768"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Diana Rivera</w:t>
            </w:r>
          </w:p>
        </w:tc>
        <w:tc>
          <w:tcPr>
            <w:tcW w:w="2976" w:type="dxa"/>
          </w:tcPr>
          <w:p w:rsidR="006C20AB"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No presenta solicitud alguna</w:t>
            </w:r>
            <w:r w:rsidRPr="00045BB7">
              <w:rPr>
                <w:rStyle w:val="Refdenotaalpie"/>
                <w:rFonts w:ascii="Times New Roman" w:hAnsi="Times New Roman" w:cs="Times New Roman"/>
                <w:bCs/>
                <w:iCs/>
                <w:sz w:val="28"/>
              </w:rPr>
              <w:footnoteReference w:id="14"/>
            </w:r>
          </w:p>
        </w:tc>
        <w:tc>
          <w:tcPr>
            <w:tcW w:w="2832" w:type="dxa"/>
          </w:tcPr>
          <w:p w:rsidR="006C20AB" w:rsidRPr="00045BB7" w:rsidRDefault="00045BB7" w:rsidP="00535DE9">
            <w:pPr>
              <w:tabs>
                <w:tab w:val="left" w:pos="0"/>
                <w:tab w:val="left" w:pos="567"/>
              </w:tabs>
              <w:ind w:right="51"/>
              <w:contextualSpacing/>
              <w:jc w:val="both"/>
              <w:rPr>
                <w:rFonts w:ascii="Times New Roman" w:hAnsi="Times New Roman" w:cs="Times New Roman"/>
                <w:bCs/>
                <w:iCs/>
                <w:sz w:val="28"/>
              </w:rPr>
            </w:pPr>
          </w:p>
        </w:tc>
      </w:tr>
      <w:tr w:rsidR="001E5FD4" w:rsidRPr="00045BB7" w:rsidTr="007F47CA">
        <w:tc>
          <w:tcPr>
            <w:tcW w:w="488" w:type="dxa"/>
            <w:shd w:val="clear" w:color="auto" w:fill="D9D9D9" w:themeFill="background1" w:themeFillShade="D9"/>
          </w:tcPr>
          <w:p w:rsidR="00FB0DB6" w:rsidRPr="00045BB7" w:rsidRDefault="00045BB7" w:rsidP="00535DE9">
            <w:pPr>
              <w:tabs>
                <w:tab w:val="left" w:pos="0"/>
                <w:tab w:val="left" w:pos="567"/>
              </w:tabs>
              <w:ind w:right="51"/>
              <w:contextualSpacing/>
              <w:jc w:val="both"/>
              <w:rPr>
                <w:rFonts w:ascii="Times New Roman" w:hAnsi="Times New Roman" w:cs="Times New Roman"/>
                <w:b/>
                <w:iCs/>
                <w:sz w:val="28"/>
              </w:rPr>
            </w:pPr>
            <w:r w:rsidRPr="00045BB7">
              <w:rPr>
                <w:rFonts w:ascii="Times New Roman" w:hAnsi="Times New Roman" w:cs="Times New Roman"/>
                <w:b/>
                <w:iCs/>
                <w:sz w:val="28"/>
              </w:rPr>
              <w:t>18</w:t>
            </w:r>
          </w:p>
        </w:tc>
        <w:tc>
          <w:tcPr>
            <w:tcW w:w="2768" w:type="dxa"/>
          </w:tcPr>
          <w:p w:rsidR="00FB0DB6"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Concepto de la Procuradora General de la Nación</w:t>
            </w:r>
          </w:p>
        </w:tc>
        <w:tc>
          <w:tcPr>
            <w:tcW w:w="2976" w:type="dxa"/>
          </w:tcPr>
          <w:p w:rsidR="00FB0DB6" w:rsidRPr="00045BB7" w:rsidRDefault="00045BB7" w:rsidP="00535DE9">
            <w:pPr>
              <w:tabs>
                <w:tab w:val="left" w:pos="0"/>
                <w:tab w:val="left" w:pos="567"/>
              </w:tabs>
              <w:ind w:right="51"/>
              <w:contextualSpacing/>
              <w:jc w:val="center"/>
              <w:rPr>
                <w:rFonts w:ascii="Times New Roman" w:hAnsi="Times New Roman" w:cs="Times New Roman"/>
                <w:bCs/>
                <w:iCs/>
                <w:sz w:val="28"/>
              </w:rPr>
            </w:pPr>
            <w:r w:rsidRPr="00045BB7">
              <w:rPr>
                <w:rFonts w:ascii="Times New Roman" w:hAnsi="Times New Roman" w:cs="Times New Roman"/>
                <w:bCs/>
                <w:iCs/>
                <w:sz w:val="28"/>
              </w:rPr>
              <w:t>Inhibición</w:t>
            </w:r>
          </w:p>
        </w:tc>
        <w:tc>
          <w:tcPr>
            <w:tcW w:w="2832" w:type="dxa"/>
          </w:tcPr>
          <w:p w:rsidR="00FB0DB6" w:rsidRPr="00045BB7" w:rsidRDefault="00045BB7" w:rsidP="00535DE9">
            <w:pPr>
              <w:tabs>
                <w:tab w:val="left" w:pos="0"/>
                <w:tab w:val="left" w:pos="567"/>
              </w:tabs>
              <w:ind w:right="51"/>
              <w:contextualSpacing/>
              <w:jc w:val="both"/>
              <w:rPr>
                <w:rFonts w:ascii="Times New Roman" w:hAnsi="Times New Roman" w:cs="Times New Roman"/>
                <w:bCs/>
                <w:iCs/>
                <w:sz w:val="28"/>
              </w:rPr>
            </w:pPr>
          </w:p>
        </w:tc>
      </w:tr>
    </w:tbl>
    <w:p w:rsidR="00F46848" w:rsidRPr="00045BB7" w:rsidRDefault="00045BB7" w:rsidP="00FF7BF5">
      <w:pPr>
        <w:tabs>
          <w:tab w:val="left" w:pos="0"/>
          <w:tab w:val="left" w:pos="567"/>
        </w:tabs>
        <w:ind w:right="51"/>
        <w:contextualSpacing/>
        <w:jc w:val="both"/>
        <w:rPr>
          <w:rFonts w:ascii="Times New Roman" w:hAnsi="Times New Roman" w:cs="Times New Roman"/>
          <w:bCs/>
          <w:i/>
          <w:sz w:val="28"/>
          <w:szCs w:val="28"/>
        </w:rPr>
      </w:pPr>
    </w:p>
    <w:p w:rsidR="00ED24DB" w:rsidRPr="00045BB7" w:rsidRDefault="00045BB7" w:rsidP="00005DC5">
      <w:pPr>
        <w:pStyle w:val="Ttulo1"/>
        <w:keepNext/>
        <w:keepLines/>
        <w:widowControl w:val="0"/>
        <w:numPr>
          <w:ilvl w:val="1"/>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jc w:val="both"/>
        <w:rPr>
          <w:rFonts w:ascii="Times New Roman" w:hAnsi="Times New Roman" w:cs="Times New Roman"/>
        </w:rPr>
      </w:pPr>
      <w:r w:rsidRPr="00045BB7">
        <w:rPr>
          <w:rFonts w:ascii="Times New Roman" w:hAnsi="Times New Roman" w:cs="Times New Roman"/>
        </w:rPr>
        <w:t xml:space="preserve"> </w:t>
      </w:r>
      <w:r w:rsidRPr="00045BB7">
        <w:rPr>
          <w:rFonts w:ascii="Times New Roman" w:hAnsi="Times New Roman" w:cs="Times New Roman"/>
        </w:rPr>
        <w:t>Solicitudes de cosa juzgada</w:t>
      </w:r>
    </w:p>
    <w:p w:rsidR="00ED24DB" w:rsidRPr="00045BB7" w:rsidRDefault="00045BB7" w:rsidP="00ED24DB">
      <w:pPr>
        <w:rPr>
          <w:rFonts w:ascii="Times New Roman" w:hAnsi="Times New Roman" w:cs="Times New Roman"/>
          <w:sz w:val="28"/>
          <w:lang w:val="es-ES_tradnl"/>
        </w:rPr>
      </w:pPr>
    </w:p>
    <w:p w:rsidR="00974009" w:rsidRPr="00045BB7" w:rsidRDefault="00045BB7" w:rsidP="00F918B3">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Dos intervinientes</w:t>
      </w:r>
      <w:r w:rsidRPr="00045BB7">
        <w:rPr>
          <w:rStyle w:val="Refdenotaalpie"/>
          <w:rFonts w:ascii="Times New Roman" w:hAnsi="Times New Roman" w:cs="Times New Roman"/>
          <w:sz w:val="28"/>
          <w:szCs w:val="28"/>
        </w:rPr>
        <w:footnoteReference w:id="15"/>
      </w:r>
      <w:r w:rsidRPr="00045BB7">
        <w:rPr>
          <w:rFonts w:ascii="Times New Roman" w:hAnsi="Times New Roman" w:cs="Times New Roman"/>
          <w:sz w:val="28"/>
          <w:szCs w:val="28"/>
        </w:rPr>
        <w:t xml:space="preserve"> </w:t>
      </w:r>
      <w:r w:rsidRPr="00045BB7">
        <w:rPr>
          <w:rFonts w:ascii="Times New Roman" w:hAnsi="Times New Roman" w:cs="Times New Roman"/>
          <w:bCs/>
          <w:iCs/>
          <w:sz w:val="28"/>
          <w:szCs w:val="28"/>
        </w:rPr>
        <w:t>solicitan</w:t>
      </w:r>
      <w:r w:rsidRPr="00045BB7">
        <w:rPr>
          <w:rFonts w:ascii="Times New Roman" w:hAnsi="Times New Roman" w:cs="Times New Roman"/>
          <w:bCs/>
          <w:iCs/>
          <w:sz w:val="28"/>
          <w:szCs w:val="28"/>
        </w:rPr>
        <w:t xml:space="preserve"> que la Sala Plena</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se esté a l</w:t>
      </w:r>
      <w:r w:rsidRPr="00045BB7">
        <w:rPr>
          <w:rFonts w:ascii="Times New Roman" w:hAnsi="Times New Roman" w:cs="Times New Roman"/>
          <w:bCs/>
          <w:iCs/>
          <w:sz w:val="28"/>
          <w:szCs w:val="28"/>
        </w:rPr>
        <w:t>o</w:t>
      </w:r>
      <w:r w:rsidRPr="00045BB7">
        <w:rPr>
          <w:rFonts w:ascii="Times New Roman" w:hAnsi="Times New Roman" w:cs="Times New Roman"/>
          <w:bCs/>
          <w:iCs/>
          <w:sz w:val="28"/>
          <w:szCs w:val="28"/>
        </w:rPr>
        <w:t xml:space="preserve"> resuelto en la </w:t>
      </w:r>
      <w:r w:rsidRPr="00045BB7">
        <w:rPr>
          <w:rFonts w:ascii="Times New Roman" w:hAnsi="Times New Roman" w:cs="Times New Roman"/>
          <w:bCs/>
          <w:iCs/>
          <w:sz w:val="28"/>
          <w:szCs w:val="28"/>
        </w:rPr>
        <w:t>S</w:t>
      </w:r>
      <w:r w:rsidRPr="00045BB7">
        <w:rPr>
          <w:rFonts w:ascii="Times New Roman" w:hAnsi="Times New Roman" w:cs="Times New Roman"/>
          <w:bCs/>
          <w:iCs/>
          <w:sz w:val="28"/>
          <w:szCs w:val="28"/>
        </w:rPr>
        <w:t>entencia C-145 de 2018, en tanto</w:t>
      </w:r>
      <w:r w:rsidRPr="00045BB7">
        <w:rPr>
          <w:rFonts w:ascii="Times New Roman" w:hAnsi="Times New Roman" w:cs="Times New Roman"/>
          <w:bCs/>
          <w:iCs/>
          <w:sz w:val="28"/>
          <w:szCs w:val="28"/>
        </w:rPr>
        <w:t>, en su criterio,</w:t>
      </w:r>
      <w:r w:rsidRPr="00045BB7">
        <w:rPr>
          <w:rFonts w:ascii="Times New Roman" w:hAnsi="Times New Roman" w:cs="Times New Roman"/>
          <w:bCs/>
          <w:iCs/>
          <w:sz w:val="28"/>
          <w:szCs w:val="28"/>
        </w:rPr>
        <w:t xml:space="preserve"> se configura el fenómeno de la cosa juzgada constitucional</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porque</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la Corte</w:t>
      </w:r>
      <w:r w:rsidRPr="00045BB7">
        <w:rPr>
          <w:rFonts w:ascii="Times New Roman" w:hAnsi="Times New Roman" w:cs="Times New Roman"/>
          <w:bCs/>
          <w:iCs/>
          <w:sz w:val="28"/>
          <w:szCs w:val="28"/>
        </w:rPr>
        <w:t xml:space="preserve"> ya</w:t>
      </w:r>
      <w:r w:rsidRPr="00045BB7">
        <w:rPr>
          <w:rFonts w:ascii="Times New Roman" w:hAnsi="Times New Roman" w:cs="Times New Roman"/>
          <w:bCs/>
          <w:iCs/>
          <w:sz w:val="28"/>
          <w:szCs w:val="28"/>
        </w:rPr>
        <w:t xml:space="preserve"> se pronunció</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respecto de los artículos 50 y 51 de la Ley 1676 de 2013</w:t>
      </w:r>
      <w:r w:rsidRPr="00045BB7">
        <w:rPr>
          <w:rFonts w:ascii="Times New Roman" w:hAnsi="Times New Roman" w:cs="Times New Roman"/>
          <w:bCs/>
          <w:iCs/>
          <w:sz w:val="28"/>
          <w:szCs w:val="28"/>
        </w:rPr>
        <w:t>, y</w:t>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 </w:t>
      </w:r>
      <w:r w:rsidRPr="00045BB7">
        <w:rPr>
          <w:rFonts w:ascii="Times New Roman" w:hAnsi="Times New Roman" w:cs="Times New Roman"/>
          <w:bCs/>
          <w:iCs/>
          <w:sz w:val="28"/>
          <w:szCs w:val="28"/>
        </w:rPr>
        <w:t>“no restringió el alcance de su pronunciamiento al contraste con ninguna norma específica”</w:t>
      </w:r>
      <w:r w:rsidRPr="00045BB7">
        <w:rPr>
          <w:rStyle w:val="Refdenotaalpie"/>
          <w:rFonts w:ascii="Times New Roman" w:hAnsi="Times New Roman" w:cs="Times New Roman"/>
          <w:bCs/>
          <w:iCs/>
          <w:sz w:val="28"/>
          <w:szCs w:val="28"/>
        </w:rPr>
        <w:footnoteReference w:id="16"/>
      </w:r>
      <w:r w:rsidRPr="00045BB7">
        <w:rPr>
          <w:rFonts w:ascii="Times New Roman" w:hAnsi="Times New Roman" w:cs="Times New Roman"/>
          <w:bCs/>
          <w:iCs/>
          <w:sz w:val="28"/>
          <w:szCs w:val="28"/>
        </w:rPr>
        <w:t xml:space="preserve"> y, </w:t>
      </w:r>
      <w:r w:rsidRPr="00045BB7">
        <w:rPr>
          <w:rFonts w:ascii="Times New Roman" w:hAnsi="Times New Roman" w:cs="Times New Roman"/>
          <w:bCs/>
          <w:i/>
          <w:sz w:val="28"/>
          <w:szCs w:val="28"/>
        </w:rPr>
        <w:t xml:space="preserve">(ii) </w:t>
      </w:r>
      <w:r w:rsidRPr="00045BB7">
        <w:rPr>
          <w:rFonts w:ascii="Times New Roman" w:hAnsi="Times New Roman" w:cs="Times New Roman"/>
          <w:bCs/>
          <w:iCs/>
          <w:sz w:val="28"/>
          <w:szCs w:val="28"/>
        </w:rPr>
        <w:t xml:space="preserve">analizó </w:t>
      </w:r>
      <w:r w:rsidRPr="00045BB7">
        <w:rPr>
          <w:rFonts w:ascii="Times New Roman" w:hAnsi="Times New Roman" w:cs="Times New Roman"/>
          <w:bCs/>
          <w:iCs/>
          <w:sz w:val="28"/>
          <w:szCs w:val="28"/>
        </w:rPr>
        <w:t>la norma frente a “cualquier sujeto posiblemente afectado por la medida”</w:t>
      </w:r>
      <w:r w:rsidRPr="00045BB7">
        <w:rPr>
          <w:rStyle w:val="Refdenotaalpie"/>
          <w:rFonts w:ascii="Times New Roman" w:hAnsi="Times New Roman" w:cs="Times New Roman"/>
          <w:bCs/>
          <w:iCs/>
          <w:sz w:val="28"/>
          <w:szCs w:val="28"/>
        </w:rPr>
        <w:footnoteReference w:id="17"/>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situación que impide un nuevo juicio de constitucionalidad de </w:t>
      </w:r>
      <w:r w:rsidRPr="00045BB7">
        <w:rPr>
          <w:rFonts w:ascii="Times New Roman" w:hAnsi="Times New Roman" w:cs="Times New Roman"/>
          <w:bCs/>
          <w:iCs/>
          <w:sz w:val="28"/>
          <w:szCs w:val="28"/>
        </w:rPr>
        <w:t>estas disposiciones</w:t>
      </w:r>
      <w:r w:rsidRPr="00045BB7">
        <w:rPr>
          <w:rFonts w:ascii="Times New Roman" w:hAnsi="Times New Roman" w:cs="Times New Roman"/>
          <w:bCs/>
          <w:iCs/>
          <w:sz w:val="28"/>
          <w:szCs w:val="28"/>
        </w:rPr>
        <w:t xml:space="preserve">. </w:t>
      </w:r>
    </w:p>
    <w:p w:rsidR="00ED54AC" w:rsidRPr="00045BB7" w:rsidRDefault="00045BB7" w:rsidP="00ED54AC">
      <w:pPr>
        <w:pStyle w:val="Ttulo1"/>
        <w:keepNext/>
        <w:keepLines/>
        <w:widowControl w:val="0"/>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ind w:left="792"/>
        <w:jc w:val="both"/>
        <w:rPr>
          <w:rFonts w:ascii="Times New Roman" w:hAnsi="Times New Roman" w:cs="Times New Roman"/>
        </w:rPr>
      </w:pPr>
    </w:p>
    <w:p w:rsidR="00EC0F33" w:rsidRPr="00045BB7" w:rsidRDefault="00045BB7" w:rsidP="00005DC5">
      <w:pPr>
        <w:pStyle w:val="Ttulo1"/>
        <w:keepNext/>
        <w:keepLines/>
        <w:widowControl w:val="0"/>
        <w:numPr>
          <w:ilvl w:val="1"/>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jc w:val="both"/>
        <w:rPr>
          <w:rFonts w:ascii="Times New Roman" w:hAnsi="Times New Roman" w:cs="Times New Roman"/>
        </w:rPr>
      </w:pPr>
      <w:r w:rsidRPr="00045BB7">
        <w:rPr>
          <w:rFonts w:ascii="Times New Roman" w:hAnsi="Times New Roman" w:cs="Times New Roman"/>
        </w:rPr>
        <w:t xml:space="preserve"> </w:t>
      </w:r>
      <w:r w:rsidRPr="00045BB7">
        <w:rPr>
          <w:rFonts w:ascii="Times New Roman" w:hAnsi="Times New Roman" w:cs="Times New Roman"/>
        </w:rPr>
        <w:t>Solicitudes de inhibición</w:t>
      </w:r>
    </w:p>
    <w:p w:rsidR="00EC0F33" w:rsidRPr="00045BB7" w:rsidRDefault="00045BB7" w:rsidP="00FF7BF5">
      <w:pPr>
        <w:tabs>
          <w:tab w:val="left" w:pos="0"/>
          <w:tab w:val="left" w:pos="567"/>
        </w:tabs>
        <w:ind w:right="51"/>
        <w:contextualSpacing/>
        <w:jc w:val="both"/>
        <w:rPr>
          <w:rFonts w:ascii="Times New Roman" w:hAnsi="Times New Roman" w:cs="Times New Roman"/>
          <w:bCs/>
          <w:i/>
          <w:sz w:val="28"/>
          <w:szCs w:val="28"/>
        </w:rPr>
      </w:pPr>
    </w:p>
    <w:p w:rsidR="00F918B3" w:rsidRPr="00045BB7" w:rsidRDefault="00045BB7" w:rsidP="00F918B3">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bookmarkStart w:id="4" w:name="_Hlk178759303"/>
      <w:r w:rsidRPr="00045BB7">
        <w:rPr>
          <w:rFonts w:ascii="Times New Roman" w:hAnsi="Times New Roman" w:cs="Times New Roman"/>
          <w:bCs/>
          <w:iCs/>
          <w:sz w:val="28"/>
          <w:szCs w:val="28"/>
        </w:rPr>
        <w:t>Los intervinientes</w:t>
      </w:r>
      <w:r w:rsidRPr="00045BB7">
        <w:rPr>
          <w:rStyle w:val="Refdenotaalpie"/>
          <w:rFonts w:ascii="Times New Roman" w:hAnsi="Times New Roman" w:cs="Times New Roman"/>
          <w:bCs/>
          <w:iCs/>
          <w:sz w:val="28"/>
          <w:szCs w:val="28"/>
        </w:rPr>
        <w:footnoteReference w:id="18"/>
      </w:r>
      <w:r w:rsidRPr="00045BB7">
        <w:rPr>
          <w:rFonts w:ascii="Times New Roman" w:hAnsi="Times New Roman" w:cs="Times New Roman"/>
          <w:bCs/>
          <w:iCs/>
          <w:sz w:val="28"/>
          <w:szCs w:val="28"/>
        </w:rPr>
        <w:t xml:space="preserve"> que </w:t>
      </w:r>
      <w:r w:rsidRPr="00045BB7">
        <w:rPr>
          <w:rFonts w:ascii="Times New Roman" w:hAnsi="Times New Roman" w:cs="Times New Roman"/>
          <w:bCs/>
          <w:iCs/>
          <w:sz w:val="28"/>
          <w:szCs w:val="28"/>
        </w:rPr>
        <w:t>piden</w:t>
      </w:r>
      <w:r w:rsidRPr="00045BB7">
        <w:rPr>
          <w:rFonts w:ascii="Times New Roman" w:hAnsi="Times New Roman" w:cs="Times New Roman"/>
          <w:bCs/>
          <w:iCs/>
          <w:sz w:val="28"/>
          <w:szCs w:val="28"/>
        </w:rPr>
        <w:t xml:space="preserve"> la inhibición</w:t>
      </w:r>
      <w:r w:rsidRPr="00045BB7">
        <w:rPr>
          <w:rFonts w:ascii="Times New Roman" w:hAnsi="Times New Roman" w:cs="Times New Roman"/>
          <w:bCs/>
          <w:iCs/>
          <w:sz w:val="28"/>
          <w:szCs w:val="28"/>
        </w:rPr>
        <w:t xml:space="preserve"> argumentan</w:t>
      </w:r>
      <w:r w:rsidRPr="00045BB7">
        <w:rPr>
          <w:rFonts w:ascii="Times New Roman" w:hAnsi="Times New Roman" w:cs="Times New Roman"/>
          <w:bCs/>
          <w:iCs/>
          <w:sz w:val="28"/>
          <w:szCs w:val="28"/>
        </w:rPr>
        <w:t xml:space="preserve"> que la demanda carece de certeza, especificidad, pertinencia y suficiencia</w:t>
      </w:r>
      <w:r w:rsidRPr="00045BB7">
        <w:rPr>
          <w:rFonts w:ascii="Times New Roman" w:hAnsi="Times New Roman" w:cs="Times New Roman"/>
          <w:bCs/>
          <w:iCs/>
          <w:sz w:val="28"/>
          <w:szCs w:val="28"/>
        </w:rPr>
        <w:t>, como se expo</w:t>
      </w:r>
      <w:r w:rsidRPr="00045BB7">
        <w:rPr>
          <w:rFonts w:ascii="Times New Roman" w:hAnsi="Times New Roman" w:cs="Times New Roman"/>
          <w:bCs/>
          <w:iCs/>
          <w:sz w:val="28"/>
          <w:szCs w:val="28"/>
        </w:rPr>
        <w:t>ne a continuación</w:t>
      </w:r>
      <w:r w:rsidRPr="00045BB7">
        <w:rPr>
          <w:rFonts w:ascii="Times New Roman" w:hAnsi="Times New Roman" w:cs="Times New Roman"/>
          <w:bCs/>
          <w:iCs/>
          <w:sz w:val="28"/>
          <w:szCs w:val="28"/>
        </w:rPr>
        <w:t>.</w:t>
      </w:r>
    </w:p>
    <w:p w:rsidR="00F918B3" w:rsidRPr="00045BB7" w:rsidRDefault="00045BB7" w:rsidP="00D61B4A">
      <w:pPr>
        <w:tabs>
          <w:tab w:val="left" w:pos="0"/>
          <w:tab w:val="left" w:pos="567"/>
        </w:tabs>
        <w:ind w:right="51"/>
        <w:contextualSpacing/>
        <w:jc w:val="both"/>
        <w:rPr>
          <w:rFonts w:ascii="Times New Roman" w:hAnsi="Times New Roman" w:cs="Times New Roman"/>
          <w:bCs/>
          <w:i/>
          <w:sz w:val="28"/>
          <w:szCs w:val="28"/>
        </w:rPr>
      </w:pPr>
    </w:p>
    <w:p w:rsidR="00B13C5D"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bookmarkStart w:id="5" w:name="_Hlk179290027"/>
      <w:r w:rsidRPr="00045BB7">
        <w:rPr>
          <w:rFonts w:ascii="Times New Roman" w:hAnsi="Times New Roman" w:cs="Times New Roman"/>
          <w:bCs/>
          <w:iCs/>
          <w:sz w:val="28"/>
          <w:szCs w:val="28"/>
        </w:rPr>
        <w:t xml:space="preserve">En cuanto a la </w:t>
      </w:r>
      <w:r w:rsidRPr="00045BB7">
        <w:rPr>
          <w:rFonts w:ascii="Times New Roman" w:hAnsi="Times New Roman" w:cs="Times New Roman"/>
          <w:bCs/>
          <w:i/>
          <w:sz w:val="28"/>
          <w:szCs w:val="28"/>
        </w:rPr>
        <w:t>certeza</w:t>
      </w:r>
      <w:r w:rsidRPr="00045BB7">
        <w:rPr>
          <w:rFonts w:ascii="Times New Roman" w:hAnsi="Times New Roman" w:cs="Times New Roman"/>
          <w:bCs/>
          <w:i/>
          <w:sz w:val="28"/>
          <w:szCs w:val="28"/>
        </w:rPr>
        <w:t>,</w:t>
      </w:r>
      <w:r w:rsidRPr="00045BB7">
        <w:rPr>
          <w:rFonts w:ascii="Times New Roman" w:hAnsi="Times New Roman" w:cs="Times New Roman"/>
          <w:bCs/>
          <w:i/>
          <w:sz w:val="28"/>
          <w:szCs w:val="28"/>
        </w:rPr>
        <w:t xml:space="preserve"> </w:t>
      </w:r>
      <w:r w:rsidRPr="00045BB7">
        <w:rPr>
          <w:rFonts w:ascii="Times New Roman" w:hAnsi="Times New Roman" w:cs="Times New Roman"/>
          <w:bCs/>
          <w:iCs/>
          <w:sz w:val="28"/>
          <w:szCs w:val="28"/>
        </w:rPr>
        <w:t>señalan</w:t>
      </w:r>
      <w:r w:rsidRPr="00045BB7">
        <w:rPr>
          <w:rFonts w:ascii="Times New Roman" w:hAnsi="Times New Roman" w:cs="Times New Roman"/>
          <w:bCs/>
          <w:iCs/>
          <w:sz w:val="28"/>
          <w:szCs w:val="28"/>
        </w:rPr>
        <w:t xml:space="preserve"> que el cargo formulado por el demandante parte de </w:t>
      </w:r>
      <w:r w:rsidRPr="00045BB7">
        <w:rPr>
          <w:rFonts w:ascii="Times New Roman" w:hAnsi="Times New Roman" w:cs="Times New Roman"/>
          <w:bCs/>
          <w:iCs/>
          <w:sz w:val="28"/>
          <w:szCs w:val="28"/>
        </w:rPr>
        <w:t xml:space="preserve">un </w:t>
      </w:r>
      <w:r w:rsidRPr="00045BB7">
        <w:rPr>
          <w:rFonts w:ascii="Times New Roman" w:hAnsi="Times New Roman" w:cs="Times New Roman"/>
          <w:bCs/>
          <w:iCs/>
          <w:sz w:val="28"/>
          <w:szCs w:val="28"/>
        </w:rPr>
        <w:t>“análisis descontextualizado, incompleto y asistemático”</w:t>
      </w:r>
      <w:r w:rsidRPr="00045BB7">
        <w:rPr>
          <w:rStyle w:val="Refdenotaalpie"/>
          <w:rFonts w:ascii="Times New Roman" w:hAnsi="Times New Roman" w:cs="Times New Roman"/>
          <w:bCs/>
          <w:iCs/>
          <w:sz w:val="28"/>
          <w:szCs w:val="28"/>
        </w:rPr>
        <w:footnoteReference w:id="19"/>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de las normas acusadas</w:t>
      </w:r>
      <w:r w:rsidRPr="00045BB7">
        <w:rPr>
          <w:rFonts w:ascii="Times New Roman" w:hAnsi="Times New Roman" w:cs="Times New Roman"/>
          <w:bCs/>
          <w:iCs/>
          <w:sz w:val="28"/>
          <w:szCs w:val="28"/>
        </w:rPr>
        <w:t xml:space="preserve">, puesto que, </w:t>
      </w:r>
      <w:r w:rsidRPr="00045BB7">
        <w:rPr>
          <w:rFonts w:ascii="Times New Roman" w:hAnsi="Times New Roman" w:cs="Times New Roman"/>
          <w:bCs/>
          <w:i/>
          <w:sz w:val="28"/>
          <w:szCs w:val="28"/>
        </w:rPr>
        <w:t xml:space="preserve">(i) </w:t>
      </w:r>
      <w:r w:rsidRPr="00045BB7">
        <w:rPr>
          <w:rFonts w:ascii="Times New Roman" w:hAnsi="Times New Roman" w:cs="Times New Roman"/>
          <w:bCs/>
          <w:iCs/>
          <w:sz w:val="28"/>
          <w:szCs w:val="28"/>
        </w:rPr>
        <w:t xml:space="preserve">el ámbito de </w:t>
      </w:r>
      <w:r w:rsidRPr="00045BB7">
        <w:rPr>
          <w:rFonts w:ascii="Times New Roman" w:hAnsi="Times New Roman" w:cs="Times New Roman"/>
          <w:bCs/>
          <w:iCs/>
          <w:sz w:val="28"/>
          <w:szCs w:val="28"/>
        </w:rPr>
        <w:t>los artículos</w:t>
      </w:r>
      <w:r w:rsidRPr="00045BB7">
        <w:rPr>
          <w:rFonts w:ascii="Times New Roman" w:hAnsi="Times New Roman" w:cs="Times New Roman"/>
          <w:bCs/>
          <w:iCs/>
          <w:sz w:val="28"/>
          <w:szCs w:val="28"/>
        </w:rPr>
        <w:t xml:space="preserve"> atacad</w:t>
      </w:r>
      <w:r w:rsidRPr="00045BB7">
        <w:rPr>
          <w:rFonts w:ascii="Times New Roman" w:hAnsi="Times New Roman" w:cs="Times New Roman"/>
          <w:bCs/>
          <w:iCs/>
          <w:sz w:val="28"/>
          <w:szCs w:val="28"/>
        </w:rPr>
        <w:t>o</w:t>
      </w:r>
      <w:r w:rsidRPr="00045BB7">
        <w:rPr>
          <w:rFonts w:ascii="Times New Roman" w:hAnsi="Times New Roman" w:cs="Times New Roman"/>
          <w:bCs/>
          <w:iCs/>
          <w:sz w:val="28"/>
          <w:szCs w:val="28"/>
        </w:rPr>
        <w:t xml:space="preserve">s no se reduce al espectro de los promitentes compradores de vivienda ni al campo de los deudores involucrados en proyectos de construcción de vivienda nueva. Por el contrario, refiere a todo tipo de acreedores y deudores; </w:t>
      </w:r>
      <w:r w:rsidRPr="00045BB7">
        <w:rPr>
          <w:rFonts w:ascii="Times New Roman" w:hAnsi="Times New Roman" w:cs="Times New Roman"/>
          <w:bCs/>
          <w:i/>
          <w:sz w:val="28"/>
          <w:szCs w:val="28"/>
        </w:rPr>
        <w:t xml:space="preserve">(ii) </w:t>
      </w:r>
      <w:r w:rsidRPr="00045BB7">
        <w:rPr>
          <w:rFonts w:ascii="Times New Roman" w:hAnsi="Times New Roman" w:cs="Times New Roman"/>
          <w:bCs/>
          <w:iCs/>
          <w:sz w:val="28"/>
          <w:szCs w:val="28"/>
        </w:rPr>
        <w:t>la demanda infiere que el Le</w:t>
      </w:r>
      <w:r w:rsidRPr="00045BB7">
        <w:rPr>
          <w:rFonts w:ascii="Times New Roman" w:hAnsi="Times New Roman" w:cs="Times New Roman"/>
          <w:bCs/>
          <w:iCs/>
          <w:sz w:val="28"/>
          <w:szCs w:val="28"/>
        </w:rPr>
        <w:t>gislador le dio una mayor relevancia al acreedor con garantía real, y por ello, “presupone que los promitentes compradores de vivienda no se encuentran protegidos en el ámbito de las normas acusadas, como acreedores garantizados”</w:t>
      </w:r>
      <w:r w:rsidRPr="00045BB7">
        <w:rPr>
          <w:rStyle w:val="Refdenotaalpie"/>
          <w:rFonts w:ascii="Times New Roman" w:hAnsi="Times New Roman" w:cs="Times New Roman"/>
          <w:bCs/>
          <w:iCs/>
          <w:sz w:val="28"/>
          <w:szCs w:val="28"/>
        </w:rPr>
        <w:footnoteReference w:id="20"/>
      </w:r>
      <w:r w:rsidRPr="00045BB7">
        <w:rPr>
          <w:rFonts w:ascii="Times New Roman" w:hAnsi="Times New Roman" w:cs="Times New Roman"/>
          <w:bCs/>
          <w:iCs/>
          <w:sz w:val="28"/>
          <w:szCs w:val="28"/>
        </w:rPr>
        <w:t xml:space="preserve">, circunstancia que no se </w:t>
      </w:r>
      <w:r w:rsidRPr="00045BB7">
        <w:rPr>
          <w:rFonts w:ascii="Times New Roman" w:hAnsi="Times New Roman" w:cs="Times New Roman"/>
          <w:bCs/>
          <w:iCs/>
          <w:sz w:val="28"/>
          <w:szCs w:val="28"/>
        </w:rPr>
        <w:t>desprende de las disposiciones demandadas</w:t>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(iii) </w:t>
      </w:r>
      <w:r w:rsidRPr="00045BB7">
        <w:rPr>
          <w:rFonts w:ascii="Times New Roman" w:hAnsi="Times New Roman" w:cs="Times New Roman"/>
          <w:bCs/>
          <w:iCs/>
          <w:sz w:val="28"/>
          <w:szCs w:val="28"/>
        </w:rPr>
        <w:t xml:space="preserve">no es irrazonable que el Legislador haya previsto un régimen especial para los acreedores garantizados con bienes no necesarios para la actividad económica del deudor. En tal sentido, “la demanda no explica </w:t>
      </w:r>
      <w:r w:rsidRPr="00045BB7">
        <w:rPr>
          <w:rFonts w:ascii="Times New Roman" w:hAnsi="Times New Roman" w:cs="Times New Roman"/>
          <w:bCs/>
          <w:iCs/>
          <w:sz w:val="28"/>
          <w:szCs w:val="28"/>
        </w:rPr>
        <w:t>por qué el supuesto trato diferenciado a favor de los acreedores con garantía real es injustificado cuando se le compara con los acreedores promitentes compradores de vivienda”</w:t>
      </w:r>
      <w:r w:rsidRPr="00045BB7">
        <w:rPr>
          <w:rStyle w:val="Refdenotaalpie"/>
          <w:rFonts w:ascii="Times New Roman" w:hAnsi="Times New Roman" w:cs="Times New Roman"/>
          <w:bCs/>
          <w:iCs/>
          <w:sz w:val="28"/>
          <w:szCs w:val="28"/>
        </w:rPr>
        <w:footnoteReference w:id="21"/>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(iv) </w:t>
      </w:r>
      <w:r w:rsidRPr="00045BB7">
        <w:rPr>
          <w:rFonts w:ascii="Times New Roman" w:hAnsi="Times New Roman" w:cs="Times New Roman"/>
          <w:bCs/>
          <w:iCs/>
          <w:sz w:val="28"/>
          <w:szCs w:val="28"/>
        </w:rPr>
        <w:t>en relación con los artículos 50 y 51, el actor olvida que, “los acreedo</w:t>
      </w:r>
      <w:r w:rsidRPr="00045BB7">
        <w:rPr>
          <w:rFonts w:ascii="Times New Roman" w:hAnsi="Times New Roman" w:cs="Times New Roman"/>
          <w:bCs/>
          <w:iCs/>
          <w:sz w:val="28"/>
          <w:szCs w:val="28"/>
        </w:rPr>
        <w:t>res con garantía real que pueden excluirse son aquellos cuya garantía recae sobre bienes no necesarios para la actividad económica del deudor, y, este no es el caso de las unidades de vivienda para empresas de construcción”</w:t>
      </w:r>
      <w:r w:rsidRPr="00045BB7">
        <w:rPr>
          <w:rStyle w:val="Refdenotaalpie"/>
          <w:rFonts w:ascii="Times New Roman" w:hAnsi="Times New Roman" w:cs="Times New Roman"/>
          <w:bCs/>
          <w:iCs/>
          <w:sz w:val="28"/>
          <w:szCs w:val="28"/>
        </w:rPr>
        <w:footnoteReference w:id="22"/>
      </w:r>
      <w:r w:rsidRPr="00045BB7">
        <w:rPr>
          <w:rFonts w:ascii="Times New Roman" w:hAnsi="Times New Roman" w:cs="Times New Roman"/>
          <w:bCs/>
          <w:iCs/>
          <w:sz w:val="28"/>
          <w:szCs w:val="28"/>
        </w:rPr>
        <w:t xml:space="preserve"> y; </w:t>
      </w:r>
      <w:r w:rsidRPr="00045BB7">
        <w:rPr>
          <w:rFonts w:ascii="Times New Roman" w:hAnsi="Times New Roman" w:cs="Times New Roman"/>
          <w:bCs/>
          <w:i/>
          <w:sz w:val="28"/>
          <w:szCs w:val="28"/>
        </w:rPr>
        <w:t xml:space="preserve">(v) </w:t>
      </w:r>
      <w:r w:rsidRPr="00045BB7">
        <w:rPr>
          <w:rFonts w:ascii="Times New Roman" w:hAnsi="Times New Roman" w:cs="Times New Roman"/>
          <w:bCs/>
          <w:iCs/>
          <w:sz w:val="28"/>
          <w:szCs w:val="28"/>
        </w:rPr>
        <w:t>frente al artículo 52, e</w:t>
      </w:r>
      <w:r w:rsidRPr="00045BB7">
        <w:rPr>
          <w:rFonts w:ascii="Times New Roman" w:hAnsi="Times New Roman" w:cs="Times New Roman"/>
          <w:bCs/>
          <w:iCs/>
          <w:sz w:val="28"/>
          <w:szCs w:val="28"/>
        </w:rPr>
        <w:t>l demandante omite que el ordenamiento contiene medidas de protección del promitente comprador de unidades de vivienda (artículos 51 y 55 de la Ley 1116 de 2006).</w:t>
      </w:r>
    </w:p>
    <w:p w:rsidR="00B13C5D" w:rsidRPr="00045BB7" w:rsidRDefault="00045BB7" w:rsidP="00B13C5D">
      <w:pPr>
        <w:tabs>
          <w:tab w:val="left" w:pos="0"/>
          <w:tab w:val="left" w:pos="567"/>
        </w:tabs>
        <w:ind w:right="51"/>
        <w:contextualSpacing/>
        <w:jc w:val="both"/>
        <w:rPr>
          <w:rFonts w:ascii="Times New Roman" w:hAnsi="Times New Roman" w:cs="Times New Roman"/>
          <w:bCs/>
          <w:i/>
          <w:sz w:val="28"/>
          <w:szCs w:val="28"/>
        </w:rPr>
      </w:pPr>
    </w:p>
    <w:p w:rsidR="001A4376"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Sobre</w:t>
      </w:r>
      <w:r w:rsidRPr="00045BB7">
        <w:rPr>
          <w:rFonts w:ascii="Times New Roman" w:hAnsi="Times New Roman" w:cs="Times New Roman"/>
          <w:bCs/>
          <w:iCs/>
          <w:sz w:val="28"/>
          <w:szCs w:val="28"/>
        </w:rPr>
        <w:t xml:space="preserve"> la </w:t>
      </w:r>
      <w:r w:rsidRPr="00045BB7">
        <w:rPr>
          <w:rFonts w:ascii="Times New Roman" w:hAnsi="Times New Roman" w:cs="Times New Roman"/>
          <w:bCs/>
          <w:i/>
          <w:sz w:val="28"/>
          <w:szCs w:val="28"/>
        </w:rPr>
        <w:t>especificidad</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resaltan</w:t>
      </w:r>
      <w:r w:rsidRPr="00045BB7">
        <w:rPr>
          <w:rFonts w:ascii="Times New Roman" w:hAnsi="Times New Roman" w:cs="Times New Roman"/>
          <w:bCs/>
          <w:iCs/>
          <w:sz w:val="28"/>
          <w:szCs w:val="28"/>
        </w:rPr>
        <w:t xml:space="preserve"> que</w:t>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 </w:t>
      </w:r>
      <w:r w:rsidRPr="00045BB7">
        <w:rPr>
          <w:rFonts w:ascii="Times New Roman" w:hAnsi="Times New Roman" w:cs="Times New Roman"/>
          <w:bCs/>
          <w:iCs/>
          <w:sz w:val="28"/>
          <w:szCs w:val="28"/>
        </w:rPr>
        <w:t>la demanda no desarrolla cuestionamientos específicos en contra de los artículos 50, 51 y 52 (parciales) de la Ley 1676 de 2013, toda vez que la relación que se traza con las normas constitucionales vulneradas es vaga e indirecta, por cuanto supone, sin ex</w:t>
      </w:r>
      <w:r w:rsidRPr="00045BB7">
        <w:rPr>
          <w:rFonts w:ascii="Times New Roman" w:hAnsi="Times New Roman" w:cs="Times New Roman"/>
          <w:bCs/>
          <w:iCs/>
          <w:sz w:val="28"/>
          <w:szCs w:val="28"/>
        </w:rPr>
        <w:t>plicación alguna, que la existencia de un régimen general de prelación de créditos y pagos preferentes, “desconoce el mandato progresivo relacionado con el deber del Estado de asegurar y promover el acceso al derecho a la vivienda”</w:t>
      </w:r>
      <w:r w:rsidRPr="00045BB7">
        <w:rPr>
          <w:rStyle w:val="Refdenotaalpie"/>
          <w:rFonts w:ascii="Times New Roman" w:hAnsi="Times New Roman" w:cs="Times New Roman"/>
          <w:bCs/>
          <w:iCs/>
          <w:sz w:val="28"/>
          <w:szCs w:val="28"/>
        </w:rPr>
        <w:footnoteReference w:id="23"/>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el actor</w:t>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(i</w:t>
      </w:r>
      <w:r w:rsidRPr="00045BB7">
        <w:rPr>
          <w:rFonts w:ascii="Times New Roman" w:hAnsi="Times New Roman" w:cs="Times New Roman"/>
          <w:bCs/>
          <w:i/>
          <w:sz w:val="28"/>
          <w:szCs w:val="28"/>
        </w:rPr>
        <w:t>i</w:t>
      </w:r>
      <w:r w:rsidRPr="00045BB7">
        <w:rPr>
          <w:rFonts w:ascii="Times New Roman" w:hAnsi="Times New Roman" w:cs="Times New Roman"/>
          <w:bCs/>
          <w:i/>
          <w:sz w:val="28"/>
          <w:szCs w:val="28"/>
        </w:rPr>
        <w:t xml:space="preserve">) </w:t>
      </w:r>
      <w:r w:rsidRPr="00045BB7">
        <w:rPr>
          <w:rFonts w:ascii="Times New Roman" w:hAnsi="Times New Roman" w:cs="Times New Roman"/>
          <w:bCs/>
          <w:iCs/>
          <w:sz w:val="28"/>
          <w:szCs w:val="28"/>
        </w:rPr>
        <w:t xml:space="preserve">no </w:t>
      </w:r>
      <w:r w:rsidRPr="00045BB7">
        <w:rPr>
          <w:rFonts w:ascii="Times New Roman" w:hAnsi="Times New Roman" w:cs="Times New Roman"/>
          <w:bCs/>
          <w:iCs/>
          <w:sz w:val="28"/>
          <w:szCs w:val="28"/>
        </w:rPr>
        <w:t>prese</w:t>
      </w:r>
      <w:r w:rsidRPr="00045BB7">
        <w:rPr>
          <w:rFonts w:ascii="Times New Roman" w:hAnsi="Times New Roman" w:cs="Times New Roman"/>
          <w:bCs/>
          <w:iCs/>
          <w:sz w:val="28"/>
          <w:szCs w:val="28"/>
        </w:rPr>
        <w:t xml:space="preserve">nta </w:t>
      </w:r>
      <w:r w:rsidRPr="00045BB7">
        <w:rPr>
          <w:rFonts w:ascii="Times New Roman" w:hAnsi="Times New Roman" w:cs="Times New Roman"/>
          <w:bCs/>
          <w:iCs/>
          <w:sz w:val="28"/>
          <w:szCs w:val="28"/>
        </w:rPr>
        <w:t xml:space="preserve">razones a partir de las cuales se derive que las normas demandadas constituyen barreras para el goce efectivo del derecho a la vivienda digna y cuál es la afectación particular frente a menores y personas de la tercera edad, </w:t>
      </w:r>
      <w:r w:rsidRPr="00045BB7">
        <w:rPr>
          <w:rFonts w:ascii="Times New Roman" w:hAnsi="Times New Roman" w:cs="Times New Roman"/>
          <w:bCs/>
          <w:i/>
          <w:sz w:val="28"/>
          <w:szCs w:val="28"/>
        </w:rPr>
        <w:t>(ii</w:t>
      </w:r>
      <w:r w:rsidRPr="00045BB7">
        <w:rPr>
          <w:rFonts w:ascii="Times New Roman" w:hAnsi="Times New Roman" w:cs="Times New Roman"/>
          <w:bCs/>
          <w:i/>
          <w:sz w:val="28"/>
          <w:szCs w:val="28"/>
        </w:rPr>
        <w:t>i</w:t>
      </w:r>
      <w:r w:rsidRPr="00045BB7">
        <w:rPr>
          <w:rFonts w:ascii="Times New Roman" w:hAnsi="Times New Roman" w:cs="Times New Roman"/>
          <w:bCs/>
          <w:i/>
          <w:sz w:val="28"/>
          <w:szCs w:val="28"/>
        </w:rPr>
        <w:t xml:space="preserve">) </w:t>
      </w:r>
      <w:r w:rsidRPr="00045BB7">
        <w:rPr>
          <w:rFonts w:ascii="Times New Roman" w:hAnsi="Times New Roman" w:cs="Times New Roman"/>
          <w:bCs/>
          <w:iCs/>
          <w:sz w:val="28"/>
          <w:szCs w:val="28"/>
        </w:rPr>
        <w:t>generaliza los sujeto</w:t>
      </w:r>
      <w:r w:rsidRPr="00045BB7">
        <w:rPr>
          <w:rFonts w:ascii="Times New Roman" w:hAnsi="Times New Roman" w:cs="Times New Roman"/>
          <w:bCs/>
          <w:iCs/>
          <w:sz w:val="28"/>
          <w:szCs w:val="28"/>
        </w:rPr>
        <w:t>s que posiblemente se verían afectados por las normas atacadas</w:t>
      </w:r>
      <w:r w:rsidRPr="00045BB7">
        <w:rPr>
          <w:rStyle w:val="Refdenotaalpie"/>
          <w:rFonts w:ascii="Times New Roman" w:hAnsi="Times New Roman" w:cs="Times New Roman"/>
          <w:bCs/>
          <w:iCs/>
          <w:sz w:val="28"/>
          <w:szCs w:val="28"/>
        </w:rPr>
        <w:footnoteReference w:id="24"/>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en tanto el grupo de promitentes compradores de inmuebles destinados a vivienda no se conforma únicamente por sujetos en situaciones de vulnerabilidad, también hacen parte de este personas ju</w:t>
      </w:r>
      <w:r w:rsidRPr="00045BB7">
        <w:rPr>
          <w:rFonts w:ascii="Times New Roman" w:hAnsi="Times New Roman" w:cs="Times New Roman"/>
          <w:bCs/>
          <w:iCs/>
          <w:sz w:val="28"/>
          <w:szCs w:val="28"/>
        </w:rPr>
        <w:t>rídicas y naturales que realizan inversiones en finca raíz, que prefieren ahorrar en bienes inmueble y quienes esperan generar rentas futuras</w:t>
      </w:r>
      <w:r w:rsidRPr="00045BB7">
        <w:rPr>
          <w:rStyle w:val="Refdenotaalpie"/>
          <w:rFonts w:ascii="Times New Roman" w:hAnsi="Times New Roman" w:cs="Times New Roman"/>
          <w:bCs/>
          <w:iCs/>
          <w:sz w:val="28"/>
          <w:szCs w:val="28"/>
        </w:rPr>
        <w:footnoteReference w:id="25"/>
      </w:r>
      <w:r w:rsidRPr="00045BB7">
        <w:rPr>
          <w:rFonts w:ascii="Times New Roman" w:hAnsi="Times New Roman" w:cs="Times New Roman"/>
          <w:bCs/>
          <w:iCs/>
          <w:sz w:val="28"/>
          <w:szCs w:val="28"/>
        </w:rPr>
        <w:t xml:space="preserve"> y, </w:t>
      </w:r>
      <w:r w:rsidRPr="00045BB7">
        <w:rPr>
          <w:rFonts w:ascii="Times New Roman" w:hAnsi="Times New Roman" w:cs="Times New Roman"/>
          <w:bCs/>
          <w:i/>
          <w:sz w:val="28"/>
          <w:szCs w:val="28"/>
        </w:rPr>
        <w:t xml:space="preserve">(iv) </w:t>
      </w:r>
      <w:r w:rsidRPr="00045BB7">
        <w:rPr>
          <w:rFonts w:ascii="Times New Roman" w:hAnsi="Times New Roman" w:cs="Times New Roman"/>
          <w:bCs/>
          <w:iCs/>
          <w:sz w:val="28"/>
          <w:szCs w:val="28"/>
        </w:rPr>
        <w:t>no</w:t>
      </w:r>
      <w:r w:rsidRPr="00045BB7">
        <w:rPr>
          <w:rFonts w:ascii="Times New Roman" w:hAnsi="Times New Roman" w:cs="Times New Roman"/>
          <w:bCs/>
          <w:iCs/>
          <w:sz w:val="28"/>
          <w:szCs w:val="28"/>
        </w:rPr>
        <w:t xml:space="preserve"> “desvirtúa que las normas controvertidas inobserven en todos los casos un derecho de naturaleza fundamental”</w:t>
      </w:r>
      <w:r w:rsidRPr="00045BB7">
        <w:rPr>
          <w:rStyle w:val="Refdenotaalpie"/>
          <w:rFonts w:ascii="Times New Roman" w:hAnsi="Times New Roman" w:cs="Times New Roman"/>
          <w:bCs/>
          <w:iCs/>
          <w:sz w:val="28"/>
          <w:szCs w:val="28"/>
        </w:rPr>
        <w:footnoteReference w:id="26"/>
      </w:r>
      <w:r w:rsidRPr="00045BB7">
        <w:rPr>
          <w:rFonts w:ascii="Times New Roman" w:hAnsi="Times New Roman" w:cs="Times New Roman"/>
          <w:bCs/>
          <w:iCs/>
          <w:sz w:val="28"/>
          <w:szCs w:val="28"/>
        </w:rPr>
        <w:t>.</w:t>
      </w:r>
    </w:p>
    <w:p w:rsidR="006B24B4" w:rsidRPr="00045BB7" w:rsidRDefault="00045BB7" w:rsidP="001A4376">
      <w:pPr>
        <w:tabs>
          <w:tab w:val="left" w:pos="0"/>
          <w:tab w:val="left" w:pos="567"/>
        </w:tabs>
        <w:ind w:right="51"/>
        <w:contextualSpacing/>
        <w:jc w:val="both"/>
        <w:rPr>
          <w:rFonts w:ascii="Times New Roman" w:hAnsi="Times New Roman" w:cs="Times New Roman"/>
          <w:bCs/>
          <w:i/>
          <w:sz w:val="28"/>
          <w:szCs w:val="28"/>
        </w:rPr>
      </w:pPr>
    </w:p>
    <w:p w:rsidR="008730E3"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 xml:space="preserve">En </w:t>
      </w:r>
      <w:r w:rsidRPr="00045BB7">
        <w:rPr>
          <w:rFonts w:ascii="Times New Roman" w:hAnsi="Times New Roman" w:cs="Times New Roman"/>
          <w:bCs/>
          <w:iCs/>
          <w:sz w:val="28"/>
          <w:szCs w:val="28"/>
        </w:rPr>
        <w:t>lo que respecta</w:t>
      </w:r>
      <w:r w:rsidRPr="00045BB7">
        <w:rPr>
          <w:rFonts w:ascii="Times New Roman" w:hAnsi="Times New Roman" w:cs="Times New Roman"/>
          <w:bCs/>
          <w:iCs/>
          <w:sz w:val="28"/>
          <w:szCs w:val="28"/>
        </w:rPr>
        <w:t xml:space="preserve"> a la </w:t>
      </w:r>
      <w:r w:rsidRPr="00045BB7">
        <w:rPr>
          <w:rFonts w:ascii="Times New Roman" w:hAnsi="Times New Roman" w:cs="Times New Roman"/>
          <w:bCs/>
          <w:i/>
          <w:sz w:val="28"/>
          <w:szCs w:val="28"/>
        </w:rPr>
        <w:t>pertinencia</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afirman </w:t>
      </w:r>
      <w:r w:rsidRPr="00045BB7">
        <w:rPr>
          <w:rFonts w:ascii="Times New Roman" w:hAnsi="Times New Roman" w:cs="Times New Roman"/>
          <w:bCs/>
          <w:iCs/>
          <w:sz w:val="28"/>
          <w:szCs w:val="28"/>
        </w:rPr>
        <w:t>que</w:t>
      </w:r>
      <w:r w:rsidRPr="00045BB7">
        <w:rPr>
          <w:rFonts w:ascii="Times New Roman" w:hAnsi="Times New Roman" w:cs="Times New Roman"/>
          <w:bCs/>
          <w:iCs/>
          <w:sz w:val="28"/>
          <w:szCs w:val="28"/>
        </w:rPr>
        <w:t xml:space="preserve"> el actor</w:t>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 </w:t>
      </w:r>
      <w:r w:rsidRPr="00045BB7">
        <w:rPr>
          <w:rFonts w:ascii="Times New Roman" w:hAnsi="Times New Roman" w:cs="Times New Roman"/>
          <w:bCs/>
          <w:iCs/>
          <w:sz w:val="28"/>
          <w:szCs w:val="28"/>
        </w:rPr>
        <w:t xml:space="preserve">se limita a formular juicios hipotéticos y </w:t>
      </w:r>
      <w:r w:rsidRPr="00045BB7">
        <w:rPr>
          <w:rFonts w:ascii="Times New Roman" w:hAnsi="Times New Roman" w:cs="Times New Roman"/>
          <w:bCs/>
          <w:iCs/>
          <w:sz w:val="28"/>
          <w:szCs w:val="28"/>
        </w:rPr>
        <w:t xml:space="preserve">las que serían </w:t>
      </w:r>
      <w:r w:rsidRPr="00045BB7">
        <w:rPr>
          <w:rFonts w:ascii="Times New Roman" w:hAnsi="Times New Roman" w:cs="Times New Roman"/>
          <w:bCs/>
          <w:iCs/>
          <w:sz w:val="28"/>
          <w:szCs w:val="28"/>
        </w:rPr>
        <w:t>eventuales consecuencia</w:t>
      </w:r>
      <w:r w:rsidRPr="00045BB7">
        <w:rPr>
          <w:rFonts w:ascii="Times New Roman" w:hAnsi="Times New Roman" w:cs="Times New Roman"/>
          <w:bCs/>
          <w:iCs/>
          <w:sz w:val="28"/>
          <w:szCs w:val="28"/>
        </w:rPr>
        <w:t>s de las normas demandadas</w:t>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(ii) </w:t>
      </w:r>
      <w:r w:rsidRPr="00045BB7">
        <w:rPr>
          <w:rFonts w:ascii="Times New Roman" w:hAnsi="Times New Roman" w:cs="Times New Roman"/>
          <w:bCs/>
          <w:iCs/>
          <w:sz w:val="28"/>
          <w:szCs w:val="28"/>
        </w:rPr>
        <w:t xml:space="preserve">parte de </w:t>
      </w:r>
      <w:r w:rsidRPr="00045BB7">
        <w:rPr>
          <w:rFonts w:ascii="Times New Roman" w:hAnsi="Times New Roman" w:cs="Times New Roman"/>
          <w:bCs/>
          <w:iCs/>
          <w:sz w:val="28"/>
          <w:szCs w:val="28"/>
        </w:rPr>
        <w:t xml:space="preserve">razones subjetivas y </w:t>
      </w:r>
      <w:r w:rsidRPr="00045BB7">
        <w:rPr>
          <w:rFonts w:ascii="Times New Roman" w:hAnsi="Times New Roman" w:cs="Times New Roman"/>
          <w:bCs/>
          <w:iCs/>
          <w:sz w:val="28"/>
          <w:szCs w:val="28"/>
        </w:rPr>
        <w:t xml:space="preserve">que </w:t>
      </w:r>
      <w:r w:rsidRPr="00045BB7">
        <w:rPr>
          <w:rFonts w:ascii="Times New Roman" w:hAnsi="Times New Roman" w:cs="Times New Roman"/>
          <w:bCs/>
          <w:iCs/>
          <w:sz w:val="28"/>
          <w:szCs w:val="28"/>
        </w:rPr>
        <w:t>“no obedecen a proposiciones jurídicas reales”</w:t>
      </w:r>
      <w:r w:rsidRPr="00045BB7">
        <w:rPr>
          <w:rStyle w:val="Refdenotaalpie"/>
          <w:rFonts w:ascii="Times New Roman" w:hAnsi="Times New Roman" w:cs="Times New Roman"/>
          <w:bCs/>
          <w:iCs/>
          <w:sz w:val="28"/>
          <w:szCs w:val="28"/>
        </w:rPr>
        <w:footnoteReference w:id="27"/>
      </w:r>
      <w:r w:rsidRPr="00045BB7">
        <w:rPr>
          <w:rFonts w:ascii="Times New Roman" w:hAnsi="Times New Roman" w:cs="Times New Roman"/>
          <w:bCs/>
          <w:iCs/>
          <w:sz w:val="28"/>
          <w:szCs w:val="28"/>
        </w:rPr>
        <w:t>, por el contrario, están sustentadas en casos puntales, hipotéticos</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supuestos</w:t>
      </w:r>
      <w:r w:rsidRPr="00045BB7">
        <w:rPr>
          <w:rFonts w:ascii="Times New Roman" w:hAnsi="Times New Roman" w:cs="Times New Roman"/>
          <w:bCs/>
          <w:iCs/>
          <w:sz w:val="28"/>
          <w:szCs w:val="28"/>
        </w:rPr>
        <w:t>,</w:t>
      </w:r>
      <w:r w:rsidRPr="00045BB7">
        <w:rPr>
          <w:rFonts w:ascii="Times New Roman" w:hAnsi="Times New Roman" w:cs="Times New Roman"/>
          <w:bCs/>
          <w:i/>
          <w:sz w:val="28"/>
          <w:szCs w:val="28"/>
        </w:rPr>
        <w:t xml:space="preserve"> </w:t>
      </w:r>
      <w:r w:rsidRPr="00045BB7">
        <w:rPr>
          <w:rFonts w:ascii="Times New Roman" w:hAnsi="Times New Roman" w:cs="Times New Roman"/>
          <w:bCs/>
          <w:iCs/>
          <w:sz w:val="28"/>
          <w:szCs w:val="28"/>
        </w:rPr>
        <w:t>y frente a sujetos particulares</w:t>
      </w:r>
      <w:r w:rsidRPr="00045BB7">
        <w:rPr>
          <w:rFonts w:ascii="Times New Roman" w:hAnsi="Times New Roman" w:cs="Times New Roman"/>
          <w:bCs/>
          <w:iCs/>
          <w:sz w:val="28"/>
          <w:szCs w:val="28"/>
        </w:rPr>
        <w:t xml:space="preserve">. Por ejemplo, asume que </w:t>
      </w:r>
      <w:r w:rsidRPr="00045BB7">
        <w:rPr>
          <w:rFonts w:ascii="Times New Roman" w:hAnsi="Times New Roman" w:cs="Times New Roman"/>
          <w:bCs/>
          <w:iCs/>
          <w:sz w:val="28"/>
          <w:szCs w:val="28"/>
        </w:rPr>
        <w:t>“todos los titulares de créditos de vivienda tienen una familia conformada por menores de edad y personas de edad avanzada”</w:t>
      </w:r>
      <w:r w:rsidRPr="00045BB7">
        <w:rPr>
          <w:rStyle w:val="Refdenotaalpie"/>
          <w:rFonts w:ascii="Times New Roman" w:hAnsi="Times New Roman" w:cs="Times New Roman"/>
          <w:bCs/>
          <w:iCs/>
          <w:sz w:val="28"/>
          <w:szCs w:val="28"/>
        </w:rPr>
        <w:footnoteReference w:id="28"/>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(iii) </w:t>
      </w:r>
      <w:r w:rsidRPr="00045BB7">
        <w:rPr>
          <w:rFonts w:ascii="Times New Roman" w:hAnsi="Times New Roman" w:cs="Times New Roman"/>
          <w:bCs/>
          <w:iCs/>
          <w:sz w:val="28"/>
          <w:szCs w:val="28"/>
        </w:rPr>
        <w:t>s</w:t>
      </w:r>
      <w:r w:rsidRPr="00045BB7">
        <w:rPr>
          <w:rFonts w:ascii="Times New Roman" w:hAnsi="Times New Roman" w:cs="Times New Roman"/>
          <w:bCs/>
          <w:iCs/>
          <w:sz w:val="28"/>
          <w:szCs w:val="28"/>
        </w:rPr>
        <w:t>e fundamenta en</w:t>
      </w:r>
      <w:r w:rsidRPr="00045BB7">
        <w:rPr>
          <w:rFonts w:ascii="Times New Roman" w:hAnsi="Times New Roman" w:cs="Times New Roman"/>
          <w:bCs/>
          <w:i/>
          <w:sz w:val="28"/>
          <w:szCs w:val="28"/>
        </w:rPr>
        <w:t xml:space="preserve"> </w:t>
      </w:r>
      <w:r w:rsidRPr="00045BB7">
        <w:rPr>
          <w:rFonts w:ascii="Times New Roman" w:hAnsi="Times New Roman" w:cs="Times New Roman"/>
          <w:bCs/>
          <w:iCs/>
          <w:sz w:val="28"/>
          <w:szCs w:val="28"/>
        </w:rPr>
        <w:t>“escenarios hipotéticos o conjeturales, ligados con posibles prácticas abusivas del derecho por parte de la</w:t>
      </w:r>
      <w:r w:rsidRPr="00045BB7">
        <w:rPr>
          <w:rFonts w:ascii="Times New Roman" w:hAnsi="Times New Roman" w:cs="Times New Roman"/>
          <w:bCs/>
          <w:iCs/>
          <w:sz w:val="28"/>
          <w:szCs w:val="28"/>
        </w:rPr>
        <w:t>s personas naturales o jurídicas dedicadas a la construcción”</w:t>
      </w:r>
      <w:r w:rsidRPr="00045BB7">
        <w:rPr>
          <w:rStyle w:val="Refdenotaalpie"/>
          <w:rFonts w:ascii="Times New Roman" w:hAnsi="Times New Roman" w:cs="Times New Roman"/>
          <w:bCs/>
          <w:iCs/>
          <w:sz w:val="28"/>
          <w:szCs w:val="28"/>
        </w:rPr>
        <w:footnoteReference w:id="29"/>
      </w:r>
      <w:r w:rsidRPr="00045BB7">
        <w:rPr>
          <w:rFonts w:ascii="Times New Roman" w:hAnsi="Times New Roman" w:cs="Times New Roman"/>
          <w:bCs/>
          <w:iCs/>
          <w:sz w:val="28"/>
          <w:szCs w:val="28"/>
        </w:rPr>
        <w:t xml:space="preserve"> y omite tener en cuenta que corresponde al juez del concurso aplicar las normas acusadas en cada caso concreto, y, en tal virtud, “las posibles </w:t>
      </w:r>
      <w:r w:rsidRPr="00045BB7">
        <w:rPr>
          <w:rFonts w:ascii="Times New Roman" w:hAnsi="Times New Roman" w:cs="Times New Roman"/>
          <w:bCs/>
          <w:iCs/>
          <w:sz w:val="28"/>
          <w:szCs w:val="28"/>
        </w:rPr>
        <w:t>maniobras</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orientadas a defraudar los derechos de </w:t>
      </w:r>
      <w:r w:rsidRPr="00045BB7">
        <w:rPr>
          <w:rFonts w:ascii="Times New Roman" w:hAnsi="Times New Roman" w:cs="Times New Roman"/>
          <w:bCs/>
          <w:iCs/>
          <w:sz w:val="28"/>
          <w:szCs w:val="28"/>
        </w:rPr>
        <w:t>los promitentes compradores de vivienda a través del uso preferencial que otorgan las normas acusadas a favor de los acreedores con garantía real pueden ser objeto de controversia por parte de los interesados”</w:t>
      </w:r>
      <w:r w:rsidRPr="00045BB7">
        <w:rPr>
          <w:rStyle w:val="Refdenotaalpie"/>
          <w:rFonts w:ascii="Times New Roman" w:hAnsi="Times New Roman" w:cs="Times New Roman"/>
          <w:bCs/>
          <w:iCs/>
          <w:sz w:val="28"/>
          <w:szCs w:val="28"/>
        </w:rPr>
        <w:footnoteReference w:id="30"/>
      </w:r>
      <w:r w:rsidRPr="00045BB7">
        <w:rPr>
          <w:rFonts w:ascii="Times New Roman" w:hAnsi="Times New Roman" w:cs="Times New Roman"/>
          <w:bCs/>
          <w:iCs/>
          <w:sz w:val="28"/>
          <w:szCs w:val="28"/>
        </w:rPr>
        <w:t>.</w:t>
      </w:r>
    </w:p>
    <w:p w:rsidR="0085209D" w:rsidRPr="00045BB7" w:rsidRDefault="00045BB7" w:rsidP="008730E3">
      <w:pPr>
        <w:tabs>
          <w:tab w:val="left" w:pos="0"/>
          <w:tab w:val="left" w:pos="567"/>
        </w:tabs>
        <w:ind w:right="51"/>
        <w:contextualSpacing/>
        <w:jc w:val="both"/>
        <w:rPr>
          <w:rFonts w:ascii="Times New Roman" w:hAnsi="Times New Roman" w:cs="Times New Roman"/>
          <w:bCs/>
          <w:i/>
          <w:sz w:val="28"/>
          <w:szCs w:val="28"/>
        </w:rPr>
      </w:pPr>
    </w:p>
    <w:p w:rsidR="0085209D"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Finalmente, aducen que la falta de certeza,</w:t>
      </w:r>
      <w:r w:rsidRPr="00045BB7">
        <w:rPr>
          <w:rFonts w:ascii="Times New Roman" w:hAnsi="Times New Roman" w:cs="Times New Roman"/>
          <w:bCs/>
          <w:iCs/>
          <w:sz w:val="28"/>
          <w:szCs w:val="28"/>
        </w:rPr>
        <w:t xml:space="preserve"> especificidad y pertinencia conlleva a que no se cumpla con el requisito de </w:t>
      </w:r>
      <w:r w:rsidRPr="00045BB7">
        <w:rPr>
          <w:rFonts w:ascii="Times New Roman" w:hAnsi="Times New Roman" w:cs="Times New Roman"/>
          <w:bCs/>
          <w:i/>
          <w:sz w:val="28"/>
          <w:szCs w:val="28"/>
        </w:rPr>
        <w:t>suficiencia.</w:t>
      </w:r>
    </w:p>
    <w:bookmarkEnd w:id="4"/>
    <w:bookmarkEnd w:id="5"/>
    <w:p w:rsidR="005018A4" w:rsidRPr="00045BB7" w:rsidRDefault="00045BB7" w:rsidP="00FF7BF5">
      <w:pPr>
        <w:tabs>
          <w:tab w:val="left" w:pos="0"/>
          <w:tab w:val="left" w:pos="567"/>
        </w:tabs>
        <w:ind w:right="51"/>
        <w:contextualSpacing/>
        <w:jc w:val="both"/>
        <w:rPr>
          <w:rFonts w:ascii="Times New Roman" w:hAnsi="Times New Roman" w:cs="Times New Roman"/>
          <w:bCs/>
          <w:i/>
          <w:sz w:val="28"/>
          <w:szCs w:val="28"/>
        </w:rPr>
      </w:pPr>
    </w:p>
    <w:p w:rsidR="00EC0F33" w:rsidRPr="00045BB7" w:rsidRDefault="00045BB7" w:rsidP="00005DC5">
      <w:pPr>
        <w:pStyle w:val="Ttulo1"/>
        <w:keepNext/>
        <w:keepLines/>
        <w:widowControl w:val="0"/>
        <w:numPr>
          <w:ilvl w:val="1"/>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jc w:val="both"/>
        <w:rPr>
          <w:rFonts w:ascii="Times New Roman" w:hAnsi="Times New Roman" w:cs="Times New Roman"/>
        </w:rPr>
      </w:pPr>
      <w:r w:rsidRPr="00045BB7">
        <w:rPr>
          <w:rFonts w:ascii="Times New Roman" w:hAnsi="Times New Roman" w:cs="Times New Roman"/>
        </w:rPr>
        <w:t xml:space="preserve"> </w:t>
      </w:r>
      <w:r w:rsidRPr="00045BB7">
        <w:rPr>
          <w:rFonts w:ascii="Times New Roman" w:hAnsi="Times New Roman" w:cs="Times New Roman"/>
        </w:rPr>
        <w:t>Solicitudes de exequibilidad</w:t>
      </w:r>
    </w:p>
    <w:p w:rsidR="00EC0F33" w:rsidRPr="00045BB7" w:rsidRDefault="00045BB7" w:rsidP="00FF7BF5">
      <w:pPr>
        <w:tabs>
          <w:tab w:val="left" w:pos="0"/>
          <w:tab w:val="left" w:pos="567"/>
        </w:tabs>
        <w:ind w:right="51"/>
        <w:contextualSpacing/>
        <w:jc w:val="both"/>
        <w:rPr>
          <w:rFonts w:ascii="Times New Roman" w:hAnsi="Times New Roman" w:cs="Times New Roman"/>
          <w:bCs/>
          <w:i/>
          <w:sz w:val="28"/>
          <w:szCs w:val="28"/>
        </w:rPr>
      </w:pPr>
    </w:p>
    <w:p w:rsidR="00BA35E3"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Ocho intervinientes</w:t>
      </w:r>
      <w:r w:rsidRPr="00045BB7">
        <w:rPr>
          <w:rStyle w:val="Refdenotaalpie"/>
          <w:rFonts w:ascii="Times New Roman" w:hAnsi="Times New Roman" w:cs="Times New Roman"/>
          <w:bCs/>
          <w:iCs/>
          <w:sz w:val="28"/>
          <w:szCs w:val="28"/>
        </w:rPr>
        <w:footnoteReference w:id="31"/>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solicitan</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la</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exequibilidad de las normas demandadas</w:t>
      </w:r>
      <w:r w:rsidRPr="00045BB7">
        <w:rPr>
          <w:rFonts w:ascii="Times New Roman" w:hAnsi="Times New Roman" w:cs="Times New Roman"/>
          <w:bCs/>
          <w:iCs/>
          <w:sz w:val="28"/>
          <w:szCs w:val="28"/>
        </w:rPr>
        <w:t>, bajo los siguientes argumentos</w:t>
      </w:r>
      <w:r w:rsidRPr="00045BB7">
        <w:rPr>
          <w:rStyle w:val="Refdenotaalpie"/>
          <w:rFonts w:ascii="Times New Roman" w:hAnsi="Times New Roman" w:cs="Times New Roman"/>
          <w:bCs/>
          <w:iCs/>
          <w:sz w:val="28"/>
          <w:szCs w:val="28"/>
        </w:rPr>
        <w:footnoteReference w:id="32"/>
      </w:r>
      <w:r w:rsidRPr="00045BB7">
        <w:rPr>
          <w:rFonts w:ascii="Times New Roman" w:hAnsi="Times New Roman" w:cs="Times New Roman"/>
          <w:bCs/>
          <w:iCs/>
          <w:sz w:val="28"/>
          <w:szCs w:val="28"/>
        </w:rPr>
        <w:t xml:space="preserve">. </w:t>
      </w:r>
    </w:p>
    <w:p w:rsidR="000558FD" w:rsidRPr="00045BB7" w:rsidRDefault="00045BB7" w:rsidP="000558FD">
      <w:pPr>
        <w:tabs>
          <w:tab w:val="left" w:pos="0"/>
          <w:tab w:val="left" w:pos="567"/>
        </w:tabs>
        <w:ind w:right="51"/>
        <w:contextualSpacing/>
        <w:jc w:val="both"/>
        <w:rPr>
          <w:rFonts w:ascii="Times New Roman" w:hAnsi="Times New Roman" w:cs="Times New Roman"/>
          <w:bCs/>
          <w:i/>
          <w:sz w:val="28"/>
          <w:szCs w:val="28"/>
        </w:rPr>
      </w:pPr>
    </w:p>
    <w:p w:rsidR="00352D15"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
          <w:sz w:val="28"/>
          <w:szCs w:val="28"/>
        </w:rPr>
        <w:t>Primero</w:t>
      </w:r>
      <w:r w:rsidRPr="00045BB7">
        <w:rPr>
          <w:rFonts w:ascii="Times New Roman" w:hAnsi="Times New Roman" w:cs="Times New Roman"/>
          <w:bCs/>
          <w:iCs/>
          <w:sz w:val="28"/>
          <w:szCs w:val="28"/>
        </w:rPr>
        <w:t xml:space="preserve">, la Ley 1676 de </w:t>
      </w:r>
      <w:r w:rsidRPr="00045BB7">
        <w:rPr>
          <w:rFonts w:ascii="Times New Roman" w:hAnsi="Times New Roman" w:cs="Times New Roman"/>
          <w:bCs/>
          <w:iCs/>
          <w:sz w:val="28"/>
          <w:szCs w:val="28"/>
        </w:rPr>
        <w:t>2013</w:t>
      </w:r>
      <w:r w:rsidRPr="00045BB7">
        <w:rPr>
          <w:rFonts w:ascii="Times New Roman" w:hAnsi="Times New Roman" w:cs="Times New Roman"/>
          <w:bCs/>
          <w:iCs/>
          <w:sz w:val="28"/>
          <w:szCs w:val="28"/>
        </w:rPr>
        <w:t xml:space="preserve"> y, en particular, las normas en estudio, </w:t>
      </w:r>
      <w:r w:rsidRPr="00045BB7">
        <w:rPr>
          <w:rFonts w:ascii="Times New Roman" w:hAnsi="Times New Roman" w:cs="Times New Roman"/>
          <w:bCs/>
          <w:i/>
          <w:sz w:val="28"/>
          <w:szCs w:val="28"/>
        </w:rPr>
        <w:t xml:space="preserve">(i) </w:t>
      </w:r>
      <w:r w:rsidRPr="00045BB7">
        <w:rPr>
          <w:rFonts w:ascii="Times New Roman" w:hAnsi="Times New Roman" w:cs="Times New Roman"/>
          <w:bCs/>
          <w:iCs/>
          <w:sz w:val="28"/>
          <w:szCs w:val="28"/>
        </w:rPr>
        <w:t>fueron creadas para promover el acceso al crédito</w:t>
      </w:r>
      <w:r w:rsidRPr="00045BB7">
        <w:rPr>
          <w:rStyle w:val="Refdenotaalpie"/>
          <w:rFonts w:ascii="Times New Roman" w:hAnsi="Times New Roman" w:cs="Times New Roman"/>
          <w:bCs/>
          <w:iCs/>
          <w:sz w:val="28"/>
          <w:szCs w:val="28"/>
        </w:rPr>
        <w:footnoteReference w:id="33"/>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(ii) </w:t>
      </w:r>
      <w:r w:rsidRPr="00045BB7">
        <w:rPr>
          <w:rFonts w:ascii="Times New Roman" w:hAnsi="Times New Roman" w:cs="Times New Roman"/>
          <w:bCs/>
          <w:iCs/>
          <w:sz w:val="28"/>
          <w:szCs w:val="28"/>
        </w:rPr>
        <w:t xml:space="preserve">son expresión de la facultad del Estado de intervención en la economía, </w:t>
      </w:r>
      <w:r w:rsidRPr="00045BB7">
        <w:rPr>
          <w:rFonts w:ascii="Times New Roman" w:hAnsi="Times New Roman" w:cs="Times New Roman"/>
          <w:bCs/>
          <w:i/>
          <w:sz w:val="28"/>
          <w:szCs w:val="28"/>
        </w:rPr>
        <w:t xml:space="preserve">(iii) </w:t>
      </w:r>
      <w:r w:rsidRPr="00045BB7">
        <w:rPr>
          <w:rFonts w:ascii="Times New Roman" w:hAnsi="Times New Roman" w:cs="Times New Roman"/>
          <w:bCs/>
          <w:iCs/>
          <w:sz w:val="28"/>
          <w:szCs w:val="28"/>
        </w:rPr>
        <w:t xml:space="preserve">responden a la libertad de configuración que tiene el Legislador en </w:t>
      </w:r>
      <w:r w:rsidRPr="00045BB7">
        <w:rPr>
          <w:rFonts w:ascii="Times New Roman" w:hAnsi="Times New Roman" w:cs="Times New Roman"/>
          <w:bCs/>
          <w:iCs/>
          <w:sz w:val="28"/>
          <w:szCs w:val="28"/>
        </w:rPr>
        <w:t>estos temas</w:t>
      </w:r>
      <w:r w:rsidRPr="00045BB7">
        <w:rPr>
          <w:rFonts w:ascii="Times New Roman" w:hAnsi="Times New Roman" w:cs="Times New Roman"/>
          <w:bCs/>
          <w:iCs/>
          <w:sz w:val="28"/>
          <w:szCs w:val="28"/>
        </w:rPr>
        <w:t xml:space="preserve"> y, </w:t>
      </w:r>
      <w:r w:rsidRPr="00045BB7">
        <w:rPr>
          <w:rFonts w:ascii="Times New Roman" w:hAnsi="Times New Roman" w:cs="Times New Roman"/>
          <w:bCs/>
          <w:i/>
          <w:sz w:val="28"/>
          <w:szCs w:val="28"/>
        </w:rPr>
        <w:t xml:space="preserve">(iv) </w:t>
      </w:r>
      <w:r w:rsidRPr="00045BB7">
        <w:rPr>
          <w:rFonts w:ascii="Times New Roman" w:hAnsi="Times New Roman" w:cs="Times New Roman"/>
          <w:bCs/>
          <w:iCs/>
          <w:sz w:val="28"/>
          <w:szCs w:val="28"/>
        </w:rPr>
        <w:t>persiguen finalidades legítimas como lo son generar mayores oportunidades para el acceso al crédito y promover el sector empresarial</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porque</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al conceder un trato especial al acreedor con garantía real, se incentiva a este tipo de acreed</w:t>
      </w:r>
      <w:r w:rsidRPr="00045BB7">
        <w:rPr>
          <w:rFonts w:ascii="Times New Roman" w:hAnsi="Times New Roman" w:cs="Times New Roman"/>
          <w:bCs/>
          <w:iCs/>
          <w:sz w:val="28"/>
          <w:szCs w:val="28"/>
        </w:rPr>
        <w:t xml:space="preserve">ores a crear líneas de financiamiento para las empresas. </w:t>
      </w:r>
    </w:p>
    <w:p w:rsidR="00E55AB9" w:rsidRPr="00045BB7" w:rsidRDefault="00045BB7" w:rsidP="00E55AB9">
      <w:pPr>
        <w:pStyle w:val="Prrafodelista"/>
        <w:rPr>
          <w:rFonts w:ascii="Times New Roman" w:hAnsi="Times New Roman" w:cs="Times New Roman"/>
          <w:bCs/>
          <w:iCs/>
          <w:szCs w:val="28"/>
        </w:rPr>
      </w:pPr>
    </w:p>
    <w:p w:rsidR="00F235EA" w:rsidRPr="00045BB7" w:rsidRDefault="00045BB7" w:rsidP="00C61DF3">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
          <w:sz w:val="28"/>
          <w:szCs w:val="28"/>
          <w:lang w:val="es-ES_tradnl"/>
        </w:rPr>
        <w:t>Segundo</w:t>
      </w:r>
      <w:r w:rsidRPr="00045BB7">
        <w:rPr>
          <w:rFonts w:ascii="Times New Roman" w:hAnsi="Times New Roman" w:cs="Times New Roman"/>
          <w:bCs/>
          <w:iCs/>
          <w:sz w:val="28"/>
          <w:szCs w:val="28"/>
          <w:lang w:val="es-ES_tradnl"/>
        </w:rPr>
        <w:t xml:space="preserve">, </w:t>
      </w:r>
      <w:r w:rsidRPr="00045BB7">
        <w:rPr>
          <w:rFonts w:ascii="Times New Roman" w:hAnsi="Times New Roman" w:cs="Times New Roman"/>
          <w:bCs/>
          <w:iCs/>
          <w:sz w:val="28"/>
          <w:szCs w:val="28"/>
          <w:lang w:val="es-ES_tradnl"/>
        </w:rPr>
        <w:t>el inciso 2 del artículo 50 de la Ley 1676 de 2013 no aplica en los procesos concursales de las empresas dedicadas a la construcción y venta de inmuebles destinados a vivienda puesto que l</w:t>
      </w:r>
      <w:r w:rsidRPr="00045BB7">
        <w:rPr>
          <w:rFonts w:ascii="Times New Roman" w:hAnsi="Times New Roman" w:cs="Times New Roman"/>
          <w:bCs/>
          <w:iCs/>
          <w:sz w:val="28"/>
          <w:szCs w:val="28"/>
          <w:lang w:val="es-ES_tradnl"/>
        </w:rPr>
        <w:t>os activos asociados a este tipo de deudores son bienes necesarios para la operación (inventario de unidades inmobiliarias, maquinaria y equipo, flujos derivados de ventas, entre otros)</w:t>
      </w:r>
      <w:r w:rsidRPr="00045BB7">
        <w:rPr>
          <w:rStyle w:val="Refdenotaalpie"/>
          <w:rFonts w:ascii="Times New Roman" w:hAnsi="Times New Roman" w:cs="Times New Roman"/>
          <w:bCs/>
          <w:iCs/>
          <w:sz w:val="28"/>
          <w:szCs w:val="28"/>
        </w:rPr>
        <w:footnoteReference w:id="34"/>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w:t>
      </w:r>
    </w:p>
    <w:p w:rsidR="000900FD" w:rsidRPr="00045BB7" w:rsidRDefault="00045BB7" w:rsidP="000900FD">
      <w:pPr>
        <w:tabs>
          <w:tab w:val="left" w:pos="0"/>
          <w:tab w:val="left" w:pos="567"/>
        </w:tabs>
        <w:ind w:right="51"/>
        <w:contextualSpacing/>
        <w:jc w:val="both"/>
        <w:rPr>
          <w:rFonts w:ascii="Times New Roman" w:hAnsi="Times New Roman" w:cs="Times New Roman"/>
          <w:bCs/>
          <w:i/>
          <w:sz w:val="28"/>
          <w:szCs w:val="28"/>
        </w:rPr>
      </w:pPr>
    </w:p>
    <w:p w:rsidR="00677F75"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
          <w:sz w:val="28"/>
          <w:szCs w:val="28"/>
        </w:rPr>
        <w:t xml:space="preserve">Tercero, </w:t>
      </w:r>
      <w:r w:rsidRPr="00045BB7">
        <w:rPr>
          <w:rFonts w:ascii="Times New Roman" w:hAnsi="Times New Roman" w:cs="Times New Roman"/>
          <w:bCs/>
          <w:iCs/>
          <w:sz w:val="28"/>
          <w:szCs w:val="28"/>
        </w:rPr>
        <w:t xml:space="preserve">los procesos de insolvencia se encuentran regulados por </w:t>
      </w:r>
      <w:r w:rsidRPr="00045BB7">
        <w:rPr>
          <w:rFonts w:ascii="Times New Roman" w:hAnsi="Times New Roman" w:cs="Times New Roman"/>
          <w:bCs/>
          <w:iCs/>
          <w:sz w:val="28"/>
          <w:szCs w:val="28"/>
        </w:rPr>
        <w:t>la Ley 1116 de 2006</w:t>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entonces,</w:t>
      </w:r>
      <w:r w:rsidRPr="00045BB7">
        <w:rPr>
          <w:rFonts w:ascii="Times New Roman" w:hAnsi="Times New Roman" w:cs="Times New Roman"/>
          <w:bCs/>
          <w:iCs/>
          <w:sz w:val="28"/>
          <w:szCs w:val="28"/>
        </w:rPr>
        <w:t xml:space="preserve"> no puede </w:t>
      </w:r>
      <w:r w:rsidRPr="00045BB7">
        <w:rPr>
          <w:rFonts w:ascii="Times New Roman" w:hAnsi="Times New Roman" w:cs="Times New Roman"/>
          <w:bCs/>
          <w:iCs/>
          <w:sz w:val="28"/>
          <w:szCs w:val="28"/>
        </w:rPr>
        <w:t>estudiarse</w:t>
      </w:r>
      <w:r w:rsidRPr="00045BB7">
        <w:rPr>
          <w:rFonts w:ascii="Times New Roman" w:hAnsi="Times New Roman" w:cs="Times New Roman"/>
          <w:bCs/>
          <w:iCs/>
          <w:sz w:val="28"/>
          <w:szCs w:val="28"/>
        </w:rPr>
        <w:t xml:space="preserve"> la constitucionalidad de las </w:t>
      </w:r>
      <w:r w:rsidRPr="00045BB7">
        <w:rPr>
          <w:rFonts w:ascii="Times New Roman" w:hAnsi="Times New Roman" w:cs="Times New Roman"/>
          <w:bCs/>
          <w:iCs/>
          <w:sz w:val="28"/>
          <w:szCs w:val="28"/>
        </w:rPr>
        <w:t>disposiciones</w:t>
      </w:r>
      <w:r w:rsidRPr="00045BB7">
        <w:rPr>
          <w:rFonts w:ascii="Times New Roman" w:hAnsi="Times New Roman" w:cs="Times New Roman"/>
          <w:bCs/>
          <w:iCs/>
          <w:sz w:val="28"/>
          <w:szCs w:val="28"/>
        </w:rPr>
        <w:t xml:space="preserve"> demandadas sin </w:t>
      </w:r>
      <w:r w:rsidRPr="00045BB7">
        <w:rPr>
          <w:rFonts w:ascii="Times New Roman" w:hAnsi="Times New Roman" w:cs="Times New Roman"/>
          <w:bCs/>
          <w:iCs/>
          <w:sz w:val="28"/>
          <w:szCs w:val="28"/>
        </w:rPr>
        <w:t>analizar</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esta norma</w:t>
      </w:r>
      <w:r w:rsidRPr="00045BB7">
        <w:rPr>
          <w:rStyle w:val="Refdenotaalpie"/>
          <w:rFonts w:ascii="Times New Roman" w:hAnsi="Times New Roman" w:cs="Times New Roman"/>
          <w:bCs/>
          <w:iCs/>
          <w:sz w:val="28"/>
          <w:szCs w:val="28"/>
        </w:rPr>
        <w:footnoteReference w:id="35"/>
      </w:r>
      <w:r w:rsidRPr="00045BB7">
        <w:rPr>
          <w:rFonts w:ascii="Times New Roman" w:hAnsi="Times New Roman" w:cs="Times New Roman"/>
          <w:bCs/>
          <w:iCs/>
          <w:sz w:val="28"/>
          <w:szCs w:val="28"/>
        </w:rPr>
        <w:t xml:space="preserve">, la cual </w:t>
      </w:r>
      <w:r w:rsidRPr="00045BB7">
        <w:rPr>
          <w:rFonts w:ascii="Times New Roman" w:hAnsi="Times New Roman" w:cs="Times New Roman"/>
          <w:bCs/>
          <w:iCs/>
          <w:sz w:val="28"/>
          <w:szCs w:val="28"/>
        </w:rPr>
        <w:t xml:space="preserve">establece </w:t>
      </w:r>
      <w:r w:rsidRPr="00045BB7">
        <w:rPr>
          <w:rFonts w:ascii="Times New Roman" w:hAnsi="Times New Roman" w:cs="Times New Roman"/>
          <w:bCs/>
          <w:iCs/>
          <w:sz w:val="28"/>
          <w:szCs w:val="28"/>
        </w:rPr>
        <w:t xml:space="preserve">que </w:t>
      </w:r>
      <w:r w:rsidRPr="00045BB7">
        <w:rPr>
          <w:rFonts w:ascii="Times New Roman" w:hAnsi="Times New Roman" w:cs="Times New Roman"/>
          <w:bCs/>
          <w:iCs/>
          <w:sz w:val="28"/>
          <w:szCs w:val="28"/>
        </w:rPr>
        <w:t>en estos trámites</w:t>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todos los activos y pasivos del deudor son vinculados al proceso</w:t>
      </w:r>
      <w:r w:rsidRPr="00045BB7">
        <w:rPr>
          <w:rFonts w:ascii="Times New Roman" w:hAnsi="Times New Roman" w:cs="Times New Roman"/>
          <w:bCs/>
          <w:iCs/>
          <w:sz w:val="28"/>
          <w:szCs w:val="28"/>
        </w:rPr>
        <w:t xml:space="preserve"> concursal</w:t>
      </w:r>
      <w:r w:rsidRPr="00045BB7">
        <w:rPr>
          <w:rFonts w:ascii="Times New Roman" w:hAnsi="Times New Roman" w:cs="Times New Roman"/>
          <w:bCs/>
          <w:iCs/>
          <w:sz w:val="28"/>
          <w:szCs w:val="28"/>
        </w:rPr>
        <w:t>, en virtu</w:t>
      </w:r>
      <w:r w:rsidRPr="00045BB7">
        <w:rPr>
          <w:rFonts w:ascii="Times New Roman" w:hAnsi="Times New Roman" w:cs="Times New Roman"/>
          <w:bCs/>
          <w:iCs/>
          <w:sz w:val="28"/>
          <w:szCs w:val="28"/>
        </w:rPr>
        <w:t>d del principio de universalidad</w:t>
      </w:r>
      <w:r w:rsidRPr="00045BB7">
        <w:rPr>
          <w:rStyle w:val="Refdenotaalpie"/>
          <w:rFonts w:ascii="Times New Roman" w:hAnsi="Times New Roman" w:cs="Times New Roman"/>
          <w:bCs/>
          <w:iCs/>
          <w:sz w:val="28"/>
          <w:szCs w:val="28"/>
        </w:rPr>
        <w:footnoteReference w:id="36"/>
      </w:r>
      <w:r w:rsidRPr="00045BB7">
        <w:rPr>
          <w:rFonts w:ascii="Times New Roman" w:hAnsi="Times New Roman" w:cs="Times New Roman"/>
          <w:bCs/>
          <w:iCs/>
          <w:sz w:val="28"/>
          <w:szCs w:val="28"/>
        </w:rPr>
        <w:t xml:space="preserve"> y, por lo tanto, todos los acreedores del deudor, incluidos los que tiene</w:t>
      </w:r>
      <w:r w:rsidRPr="00045BB7">
        <w:rPr>
          <w:rFonts w:ascii="Times New Roman" w:hAnsi="Times New Roman" w:cs="Times New Roman"/>
          <w:bCs/>
          <w:iCs/>
          <w:sz w:val="28"/>
          <w:szCs w:val="28"/>
        </w:rPr>
        <w:t>n</w:t>
      </w:r>
      <w:r w:rsidRPr="00045BB7">
        <w:rPr>
          <w:rFonts w:ascii="Times New Roman" w:hAnsi="Times New Roman" w:cs="Times New Roman"/>
          <w:bCs/>
          <w:iCs/>
          <w:sz w:val="28"/>
          <w:szCs w:val="28"/>
        </w:rPr>
        <w:t xml:space="preserve"> garantías reales, están sujetos a </w:t>
      </w:r>
      <w:r w:rsidRPr="00045BB7">
        <w:rPr>
          <w:rFonts w:ascii="Times New Roman" w:hAnsi="Times New Roman" w:cs="Times New Roman"/>
          <w:bCs/>
          <w:iCs/>
          <w:sz w:val="28"/>
          <w:szCs w:val="28"/>
        </w:rPr>
        <w:t>lo que se decida sobre sus obligaciones en dichos procesos</w:t>
      </w:r>
      <w:r w:rsidRPr="00045BB7">
        <w:rPr>
          <w:rStyle w:val="Refdenotaalpie"/>
          <w:rFonts w:ascii="Times New Roman" w:hAnsi="Times New Roman" w:cs="Times New Roman"/>
          <w:bCs/>
          <w:iCs/>
          <w:sz w:val="28"/>
          <w:szCs w:val="28"/>
        </w:rPr>
        <w:footnoteReference w:id="37"/>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En ese orden de ideas</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le corresponde al juez del proceso concursal evaluar </w:t>
      </w:r>
      <w:r w:rsidRPr="00045BB7">
        <w:rPr>
          <w:rFonts w:ascii="Times New Roman" w:hAnsi="Times New Roman" w:cs="Times New Roman"/>
          <w:sz w:val="28"/>
          <w:szCs w:val="28"/>
        </w:rPr>
        <w:t>cada caso</w:t>
      </w:r>
      <w:r w:rsidRPr="00045BB7">
        <w:rPr>
          <w:rFonts w:ascii="Times New Roman" w:hAnsi="Times New Roman" w:cs="Times New Roman"/>
          <w:sz w:val="28"/>
          <w:szCs w:val="28"/>
        </w:rPr>
        <w:t xml:space="preserve"> y pronunciarse acerca de la autorización para la ejecución de las garantías. </w:t>
      </w:r>
    </w:p>
    <w:p w:rsidR="00677F75" w:rsidRPr="00045BB7" w:rsidRDefault="00045BB7" w:rsidP="00677F75">
      <w:pPr>
        <w:pStyle w:val="Prrafodelista"/>
        <w:rPr>
          <w:rFonts w:ascii="Times New Roman" w:hAnsi="Times New Roman" w:cs="Times New Roman"/>
          <w:szCs w:val="28"/>
        </w:rPr>
      </w:pPr>
    </w:p>
    <w:p w:rsidR="00BA35E3"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sz w:val="28"/>
          <w:szCs w:val="28"/>
        </w:rPr>
        <w:t xml:space="preserve">En </w:t>
      </w:r>
      <w:r w:rsidRPr="00045BB7">
        <w:rPr>
          <w:rFonts w:ascii="Times New Roman" w:hAnsi="Times New Roman" w:cs="Times New Roman"/>
          <w:sz w:val="28"/>
          <w:szCs w:val="28"/>
        </w:rPr>
        <w:t>consecuencia</w:t>
      </w:r>
      <w:r w:rsidRPr="00045BB7">
        <w:rPr>
          <w:rFonts w:ascii="Times New Roman" w:hAnsi="Times New Roman" w:cs="Times New Roman"/>
          <w:sz w:val="28"/>
          <w:szCs w:val="28"/>
        </w:rPr>
        <w:t xml:space="preserve">, </w:t>
      </w:r>
      <w:r w:rsidRPr="00045BB7">
        <w:rPr>
          <w:rFonts w:ascii="Times New Roman" w:hAnsi="Times New Roman" w:cs="Times New Roman"/>
          <w:bCs/>
          <w:iCs/>
          <w:sz w:val="28"/>
          <w:szCs w:val="28"/>
        </w:rPr>
        <w:t>la facultad que le da el inciso 2 del artículo 50 de la Ley 1676 de 2013 al acreedor con garantía</w:t>
      </w:r>
      <w:r w:rsidRPr="00045BB7">
        <w:rPr>
          <w:rFonts w:ascii="Times New Roman" w:hAnsi="Times New Roman" w:cs="Times New Roman"/>
          <w:bCs/>
          <w:iCs/>
          <w:sz w:val="28"/>
          <w:szCs w:val="28"/>
        </w:rPr>
        <w:t xml:space="preserve"> real no opera automáticamente, puesto que para la ejecución de garantías reales siempre se debe contar con la autorización del juez competente, quien debe tener en cuenta que se hayan completado las etapas de calificación y graduación de los créditos y ap</w:t>
      </w:r>
      <w:r w:rsidRPr="00045BB7">
        <w:rPr>
          <w:rFonts w:ascii="Times New Roman" w:hAnsi="Times New Roman" w:cs="Times New Roman"/>
          <w:bCs/>
          <w:iCs/>
          <w:sz w:val="28"/>
          <w:szCs w:val="28"/>
        </w:rPr>
        <w:t>robación del inventario valorado</w:t>
      </w:r>
      <w:r w:rsidRPr="00045BB7">
        <w:rPr>
          <w:rStyle w:val="Refdenotaalpie"/>
          <w:rFonts w:ascii="Times New Roman" w:hAnsi="Times New Roman" w:cs="Times New Roman"/>
          <w:bCs/>
          <w:iCs/>
          <w:sz w:val="28"/>
          <w:szCs w:val="28"/>
        </w:rPr>
        <w:footnoteReference w:id="38"/>
      </w:r>
      <w:r w:rsidRPr="00045BB7">
        <w:rPr>
          <w:rFonts w:ascii="Times New Roman" w:hAnsi="Times New Roman" w:cs="Times New Roman"/>
          <w:bCs/>
          <w:iCs/>
          <w:sz w:val="28"/>
          <w:szCs w:val="28"/>
        </w:rPr>
        <w:t>, así como la negociación, celebración y confirmación del acuerdo</w:t>
      </w:r>
      <w:r w:rsidRPr="00045BB7">
        <w:rPr>
          <w:rFonts w:ascii="Times New Roman" w:hAnsi="Times New Roman" w:cs="Times New Roman"/>
          <w:bCs/>
          <w:iCs/>
          <w:sz w:val="28"/>
          <w:szCs w:val="28"/>
        </w:rPr>
        <w:t xml:space="preserve"> de reorganización</w:t>
      </w:r>
      <w:r w:rsidRPr="00045BB7">
        <w:rPr>
          <w:rStyle w:val="Refdenotaalpie"/>
          <w:rFonts w:ascii="Times New Roman" w:hAnsi="Times New Roman" w:cs="Times New Roman"/>
          <w:bCs/>
          <w:iCs/>
          <w:sz w:val="28"/>
          <w:szCs w:val="28"/>
        </w:rPr>
        <w:footnoteReference w:id="39"/>
      </w:r>
      <w:r w:rsidRPr="00045BB7">
        <w:rPr>
          <w:rFonts w:ascii="Times New Roman" w:hAnsi="Times New Roman" w:cs="Times New Roman"/>
          <w:bCs/>
          <w:iCs/>
          <w:sz w:val="28"/>
          <w:szCs w:val="28"/>
        </w:rPr>
        <w:t>. Solo después de surtidas estas etapas, se levanta la suspensión del cobro y de las ejecuciones, para todos los acreedores (garantizados o</w:t>
      </w:r>
      <w:r w:rsidRPr="00045BB7">
        <w:rPr>
          <w:rFonts w:ascii="Times New Roman" w:hAnsi="Times New Roman" w:cs="Times New Roman"/>
          <w:bCs/>
          <w:iCs/>
          <w:sz w:val="28"/>
          <w:szCs w:val="28"/>
        </w:rPr>
        <w:t xml:space="preserve"> no).</w:t>
      </w:r>
    </w:p>
    <w:p w:rsidR="001B3DF5" w:rsidRPr="00045BB7" w:rsidRDefault="00045BB7" w:rsidP="001B3DF5">
      <w:pPr>
        <w:tabs>
          <w:tab w:val="left" w:pos="0"/>
          <w:tab w:val="left" w:pos="567"/>
        </w:tabs>
        <w:ind w:right="51"/>
        <w:contextualSpacing/>
        <w:jc w:val="both"/>
        <w:rPr>
          <w:rFonts w:ascii="Times New Roman" w:hAnsi="Times New Roman" w:cs="Times New Roman"/>
          <w:bCs/>
          <w:i/>
          <w:sz w:val="28"/>
          <w:szCs w:val="28"/>
        </w:rPr>
      </w:pPr>
    </w:p>
    <w:p w:rsidR="00BB79F3"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
          <w:sz w:val="28"/>
          <w:szCs w:val="28"/>
        </w:rPr>
        <w:t>Cuarto</w:t>
      </w:r>
      <w:r w:rsidRPr="00045BB7">
        <w:rPr>
          <w:rFonts w:ascii="Times New Roman" w:hAnsi="Times New Roman" w:cs="Times New Roman"/>
          <w:bCs/>
          <w:i/>
          <w:sz w:val="28"/>
          <w:szCs w:val="28"/>
        </w:rPr>
        <w:t>,</w:t>
      </w:r>
      <w:r w:rsidRPr="00045BB7">
        <w:rPr>
          <w:rFonts w:ascii="Times New Roman" w:hAnsi="Times New Roman" w:cs="Times New Roman"/>
          <w:bCs/>
          <w:iCs/>
          <w:sz w:val="28"/>
          <w:szCs w:val="28"/>
        </w:rPr>
        <w:t xml:space="preserve"> </w:t>
      </w:r>
      <w:r w:rsidRPr="00045BB7">
        <w:rPr>
          <w:rFonts w:ascii="Times New Roman" w:hAnsi="Times New Roman" w:cs="Times New Roman"/>
          <w:sz w:val="28"/>
          <w:szCs w:val="28"/>
        </w:rPr>
        <w:t>“los promitentes compradores de inmuebles destinados a vivienda se catalogan como créditos de segunda clase”</w:t>
      </w:r>
      <w:r w:rsidRPr="00045BB7">
        <w:rPr>
          <w:rStyle w:val="Refdenotaalpie"/>
          <w:rFonts w:ascii="Times New Roman" w:hAnsi="Times New Roman" w:cs="Times New Roman"/>
          <w:sz w:val="28"/>
          <w:szCs w:val="28"/>
        </w:rPr>
        <w:footnoteReference w:id="40"/>
      </w:r>
      <w:r w:rsidRPr="00045BB7">
        <w:rPr>
          <w:rFonts w:ascii="Times New Roman" w:hAnsi="Times New Roman" w:cs="Times New Roman"/>
          <w:sz w:val="28"/>
          <w:szCs w:val="28"/>
        </w:rPr>
        <w:t xml:space="preserve"> y, aunque no tienen la prerrogativa de pago directo que tienen los acreedores con garantía real, “pues su crédito consiste en una obligación de hacer dentro del proceso de reorganización para poder adquirir ese derecho de vivienda o la titularidad del bie</w:t>
      </w:r>
      <w:r w:rsidRPr="00045BB7">
        <w:rPr>
          <w:rFonts w:ascii="Times New Roman" w:hAnsi="Times New Roman" w:cs="Times New Roman"/>
          <w:sz w:val="28"/>
          <w:szCs w:val="28"/>
        </w:rPr>
        <w:t>n inmueble”, s</w:t>
      </w:r>
      <w:r w:rsidRPr="00045BB7">
        <w:rPr>
          <w:rFonts w:ascii="Times New Roman" w:hAnsi="Times New Roman" w:cs="Times New Roman"/>
          <w:sz w:val="28"/>
          <w:szCs w:val="28"/>
        </w:rPr>
        <w:t>í</w:t>
      </w:r>
      <w:r w:rsidRPr="00045BB7">
        <w:rPr>
          <w:rFonts w:ascii="Times New Roman" w:hAnsi="Times New Roman" w:cs="Times New Roman"/>
          <w:sz w:val="28"/>
          <w:szCs w:val="28"/>
        </w:rPr>
        <w:t xml:space="preserve"> pueden perseguir su pago dentro del proceso concursal, escenario idóneo para reclamar el cumplimiento de ese deber. Por ello, su protección se garantiza </w:t>
      </w:r>
      <w:r w:rsidRPr="00045BB7">
        <w:rPr>
          <w:rFonts w:ascii="Times New Roman" w:hAnsi="Times New Roman" w:cs="Times New Roman"/>
          <w:bCs/>
          <w:iCs/>
          <w:sz w:val="28"/>
          <w:szCs w:val="28"/>
        </w:rPr>
        <w:t>a través de los procedimientos previstos en los artículos 51, 52 y 55</w:t>
      </w:r>
      <w:r w:rsidRPr="00045BB7">
        <w:rPr>
          <w:rStyle w:val="Refdenotaalpie"/>
          <w:rFonts w:ascii="Times New Roman" w:hAnsi="Times New Roman" w:cs="Times New Roman"/>
          <w:bCs/>
          <w:iCs/>
          <w:sz w:val="28"/>
          <w:szCs w:val="28"/>
        </w:rPr>
        <w:footnoteReference w:id="41"/>
      </w:r>
      <w:r w:rsidRPr="00045BB7">
        <w:rPr>
          <w:rFonts w:ascii="Times New Roman" w:hAnsi="Times New Roman" w:cs="Times New Roman"/>
          <w:bCs/>
          <w:iCs/>
          <w:sz w:val="28"/>
          <w:szCs w:val="28"/>
        </w:rPr>
        <w:t xml:space="preserve"> de la Ley 1116 d</w:t>
      </w:r>
      <w:r w:rsidRPr="00045BB7">
        <w:rPr>
          <w:rFonts w:ascii="Times New Roman" w:hAnsi="Times New Roman" w:cs="Times New Roman"/>
          <w:bCs/>
          <w:iCs/>
          <w:sz w:val="28"/>
          <w:szCs w:val="28"/>
        </w:rPr>
        <w:t>e 2006</w:t>
      </w:r>
      <w:r w:rsidRPr="00045BB7">
        <w:rPr>
          <w:rStyle w:val="Refdenotaalpie"/>
          <w:rFonts w:ascii="Times New Roman" w:hAnsi="Times New Roman" w:cs="Times New Roman"/>
          <w:bCs/>
          <w:iCs/>
          <w:sz w:val="28"/>
          <w:szCs w:val="28"/>
        </w:rPr>
        <w:footnoteReference w:id="42"/>
      </w:r>
      <w:r w:rsidRPr="00045BB7">
        <w:rPr>
          <w:rFonts w:ascii="Times New Roman" w:hAnsi="Times New Roman" w:cs="Times New Roman"/>
          <w:bCs/>
          <w:iCs/>
          <w:sz w:val="28"/>
          <w:szCs w:val="28"/>
        </w:rPr>
        <w:t xml:space="preserve"> y, no les conviene quedar excluidos de los procesos de insolvencia del sujeto constructor, </w:t>
      </w:r>
      <w:r w:rsidRPr="00045BB7">
        <w:rPr>
          <w:rFonts w:ascii="Times New Roman" w:hAnsi="Times New Roman" w:cs="Times New Roman"/>
          <w:bCs/>
          <w:iCs/>
          <w:sz w:val="28"/>
          <w:szCs w:val="28"/>
        </w:rPr>
        <w:t xml:space="preserve">situación que se materializaría si tuvieran la misma prerrogativa que los acreedores con garantía real. Ello, </w:t>
      </w:r>
      <w:r w:rsidRPr="00045BB7">
        <w:rPr>
          <w:rFonts w:ascii="Times New Roman" w:hAnsi="Times New Roman" w:cs="Times New Roman"/>
          <w:bCs/>
          <w:iCs/>
          <w:sz w:val="28"/>
          <w:szCs w:val="28"/>
        </w:rPr>
        <w:t>en tanto comparecer al proceso permite que soli</w:t>
      </w:r>
      <w:r w:rsidRPr="00045BB7">
        <w:rPr>
          <w:rFonts w:ascii="Times New Roman" w:hAnsi="Times New Roman" w:cs="Times New Roman"/>
          <w:bCs/>
          <w:iCs/>
          <w:sz w:val="28"/>
          <w:szCs w:val="28"/>
        </w:rPr>
        <w:t>citen el cumplimiento de la obligación de hacer</w:t>
      </w:r>
      <w:r w:rsidRPr="00045BB7">
        <w:rPr>
          <w:rStyle w:val="Refdenotaalpie"/>
          <w:rFonts w:ascii="Times New Roman" w:hAnsi="Times New Roman" w:cs="Times New Roman"/>
          <w:bCs/>
          <w:iCs/>
          <w:sz w:val="28"/>
          <w:szCs w:val="28"/>
        </w:rPr>
        <w:footnoteReference w:id="43"/>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Asimismo, la ley</w:t>
      </w:r>
      <w:r w:rsidRPr="00045BB7">
        <w:rPr>
          <w:rFonts w:ascii="Times New Roman" w:hAnsi="Times New Roman" w:cs="Times New Roman"/>
          <w:bCs/>
          <w:iCs/>
          <w:sz w:val="28"/>
          <w:szCs w:val="28"/>
        </w:rPr>
        <w:t xml:space="preserve"> establece de manera clara</w:t>
      </w:r>
      <w:r w:rsidRPr="00045BB7">
        <w:rPr>
          <w:rFonts w:ascii="Times New Roman" w:hAnsi="Times New Roman" w:cs="Times New Roman"/>
          <w:bCs/>
          <w:iCs/>
          <w:sz w:val="28"/>
          <w:szCs w:val="28"/>
        </w:rPr>
        <w:t xml:space="preserve"> que los inmuebles destinados a vivienda, respecto de los cuales el deudor hubiere otorgado escritura pública que no estuviere registrada, no forman parte del patri</w:t>
      </w:r>
      <w:r w:rsidRPr="00045BB7">
        <w:rPr>
          <w:rFonts w:ascii="Times New Roman" w:hAnsi="Times New Roman" w:cs="Times New Roman"/>
          <w:bCs/>
          <w:iCs/>
          <w:sz w:val="28"/>
          <w:szCs w:val="28"/>
        </w:rPr>
        <w:t xml:space="preserve">monio a liquidar. </w:t>
      </w:r>
    </w:p>
    <w:p w:rsidR="00BB79F3" w:rsidRPr="00045BB7" w:rsidRDefault="00045BB7" w:rsidP="00BB79F3">
      <w:pPr>
        <w:tabs>
          <w:tab w:val="left" w:pos="0"/>
          <w:tab w:val="left" w:pos="567"/>
        </w:tabs>
        <w:ind w:right="51"/>
        <w:contextualSpacing/>
        <w:jc w:val="both"/>
        <w:rPr>
          <w:rFonts w:ascii="Times New Roman" w:hAnsi="Times New Roman" w:cs="Times New Roman"/>
          <w:bCs/>
          <w:i/>
          <w:sz w:val="28"/>
          <w:szCs w:val="28"/>
        </w:rPr>
      </w:pPr>
    </w:p>
    <w:p w:rsidR="00254FF6"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
          <w:sz w:val="28"/>
          <w:szCs w:val="28"/>
        </w:rPr>
        <w:t>Quinto</w:t>
      </w:r>
      <w:r w:rsidRPr="00045BB7">
        <w:rPr>
          <w:rFonts w:ascii="Times New Roman" w:hAnsi="Times New Roman" w:cs="Times New Roman"/>
          <w:bCs/>
          <w:i/>
          <w:sz w:val="28"/>
          <w:szCs w:val="28"/>
        </w:rPr>
        <w:t>,</w:t>
      </w:r>
      <w:r w:rsidRPr="00045BB7">
        <w:rPr>
          <w:rFonts w:ascii="Times New Roman" w:hAnsi="Times New Roman" w:cs="Times New Roman"/>
          <w:bCs/>
          <w:iCs/>
          <w:sz w:val="28"/>
          <w:szCs w:val="28"/>
        </w:rPr>
        <w:t xml:space="preserve"> el demandante omite que la reorganización del constructor no implica </w:t>
      </w:r>
      <w:r w:rsidRPr="00045BB7">
        <w:rPr>
          <w:rFonts w:ascii="Times New Roman" w:hAnsi="Times New Roman" w:cs="Times New Roman"/>
          <w:bCs/>
          <w:i/>
          <w:sz w:val="28"/>
          <w:szCs w:val="28"/>
        </w:rPr>
        <w:t xml:space="preserve">per se </w:t>
      </w:r>
      <w:r w:rsidRPr="00045BB7">
        <w:rPr>
          <w:rFonts w:ascii="Times New Roman" w:hAnsi="Times New Roman" w:cs="Times New Roman"/>
          <w:bCs/>
          <w:iCs/>
          <w:sz w:val="28"/>
          <w:szCs w:val="28"/>
        </w:rPr>
        <w:t>la parálisis del proyecto inmobiliario</w:t>
      </w:r>
      <w:r w:rsidRPr="00045BB7">
        <w:rPr>
          <w:rStyle w:val="Refdenotaalpie"/>
          <w:rFonts w:ascii="Times New Roman" w:hAnsi="Times New Roman" w:cs="Times New Roman"/>
          <w:bCs/>
          <w:iCs/>
          <w:sz w:val="28"/>
          <w:szCs w:val="28"/>
        </w:rPr>
        <w:footnoteReference w:id="44"/>
      </w:r>
      <w:r w:rsidRPr="00045BB7">
        <w:rPr>
          <w:rFonts w:ascii="Times New Roman" w:hAnsi="Times New Roman" w:cs="Times New Roman"/>
          <w:bCs/>
          <w:iCs/>
          <w:sz w:val="28"/>
          <w:szCs w:val="28"/>
        </w:rPr>
        <w:t>. Por ello,</w:t>
      </w:r>
      <w:r w:rsidRPr="00045BB7">
        <w:rPr>
          <w:rFonts w:ascii="Times New Roman" w:hAnsi="Times New Roman" w:cs="Times New Roman"/>
          <w:bCs/>
          <w:i/>
          <w:sz w:val="28"/>
          <w:szCs w:val="28"/>
        </w:rPr>
        <w:t xml:space="preserve"> </w:t>
      </w:r>
      <w:r w:rsidRPr="00045BB7">
        <w:rPr>
          <w:rFonts w:ascii="Times New Roman" w:hAnsi="Times New Roman" w:cs="Times New Roman"/>
          <w:bCs/>
          <w:iCs/>
          <w:sz w:val="28"/>
          <w:szCs w:val="28"/>
        </w:rPr>
        <w:t>“si el estado de la obra lo permite, se podría cumplir con la transferencia de la unidad inmobiliaria</w:t>
      </w:r>
      <w:r w:rsidRPr="00045BB7">
        <w:rPr>
          <w:rFonts w:ascii="Times New Roman" w:hAnsi="Times New Roman" w:cs="Times New Roman"/>
          <w:bCs/>
          <w:iCs/>
          <w:sz w:val="28"/>
          <w:szCs w:val="28"/>
        </w:rPr>
        <w:t xml:space="preserve"> al adquiriente […], en los demás casos, si el constructor sigue desarrollando la obra, habrá de esperarse hasta su culminación y, si ya no puede cumplir, por ejemplo, porque el constructor se encuentra en liquidación, procede devolver los anticipos recibi</w:t>
      </w:r>
      <w:r w:rsidRPr="00045BB7">
        <w:rPr>
          <w:rFonts w:ascii="Times New Roman" w:hAnsi="Times New Roman" w:cs="Times New Roman"/>
          <w:bCs/>
          <w:iCs/>
          <w:sz w:val="28"/>
          <w:szCs w:val="28"/>
        </w:rPr>
        <w:t>dos como parte del precio”</w:t>
      </w:r>
      <w:r w:rsidRPr="00045BB7">
        <w:rPr>
          <w:rStyle w:val="Refdenotaalpie"/>
          <w:rFonts w:ascii="Times New Roman" w:hAnsi="Times New Roman" w:cs="Times New Roman"/>
          <w:bCs/>
          <w:iCs/>
          <w:sz w:val="28"/>
          <w:szCs w:val="28"/>
        </w:rPr>
        <w:footnoteReference w:id="45"/>
      </w:r>
      <w:r w:rsidRPr="00045BB7">
        <w:rPr>
          <w:rFonts w:ascii="Times New Roman" w:hAnsi="Times New Roman" w:cs="Times New Roman"/>
          <w:bCs/>
          <w:iCs/>
          <w:sz w:val="28"/>
          <w:szCs w:val="28"/>
        </w:rPr>
        <w:t>.</w:t>
      </w:r>
      <w:r w:rsidRPr="00045BB7">
        <w:rPr>
          <w:rFonts w:ascii="Times New Roman" w:hAnsi="Times New Roman" w:cs="Times New Roman"/>
          <w:bCs/>
          <w:iCs/>
          <w:sz w:val="28"/>
          <w:szCs w:val="28"/>
        </w:rPr>
        <w:t xml:space="preserve"> En esa línea, el inciso 6 del artículo 50 de la ley demandada</w:t>
      </w:r>
      <w:r w:rsidRPr="00045BB7">
        <w:rPr>
          <w:rStyle w:val="Refdenotaalpie"/>
          <w:rFonts w:ascii="Times New Roman" w:hAnsi="Times New Roman" w:cs="Times New Roman"/>
          <w:bCs/>
          <w:iCs/>
          <w:sz w:val="28"/>
          <w:szCs w:val="28"/>
        </w:rPr>
        <w:footnoteReference w:id="46"/>
      </w:r>
      <w:r w:rsidRPr="00045BB7">
        <w:rPr>
          <w:rFonts w:ascii="Times New Roman" w:hAnsi="Times New Roman" w:cs="Times New Roman"/>
          <w:bCs/>
          <w:iCs/>
          <w:sz w:val="28"/>
          <w:szCs w:val="28"/>
        </w:rPr>
        <w:t>, al permitir el pago preferente del crédito constructor, privilegia el cumplimiento de las obligaciones a favor de los adquirientes de vivienda, puesto que contribu</w:t>
      </w:r>
      <w:r w:rsidRPr="00045BB7">
        <w:rPr>
          <w:rFonts w:ascii="Times New Roman" w:hAnsi="Times New Roman" w:cs="Times New Roman"/>
          <w:bCs/>
          <w:iCs/>
          <w:sz w:val="28"/>
          <w:szCs w:val="28"/>
        </w:rPr>
        <w:t xml:space="preserve">ye a que las obras finalicen y, en consecuencia, se liberen las unidades inmobiliarias, lo cual asegura que se cumpla con </w:t>
      </w:r>
      <w:r w:rsidRPr="00045BB7">
        <w:rPr>
          <w:rFonts w:ascii="Times New Roman" w:hAnsi="Times New Roman" w:cs="Times New Roman"/>
          <w:bCs/>
          <w:i/>
          <w:sz w:val="28"/>
          <w:szCs w:val="28"/>
        </w:rPr>
        <w:t xml:space="preserve">(i) </w:t>
      </w:r>
      <w:r w:rsidRPr="00045BB7">
        <w:rPr>
          <w:rFonts w:ascii="Times New Roman" w:hAnsi="Times New Roman" w:cs="Times New Roman"/>
          <w:bCs/>
          <w:iCs/>
          <w:sz w:val="28"/>
          <w:szCs w:val="28"/>
        </w:rPr>
        <w:t xml:space="preserve">las obligaciones de hacer (escriturar y transferir propiedad a los adquirientes) y, </w:t>
      </w:r>
      <w:r w:rsidRPr="00045BB7">
        <w:rPr>
          <w:rFonts w:ascii="Times New Roman" w:hAnsi="Times New Roman" w:cs="Times New Roman"/>
          <w:bCs/>
          <w:i/>
          <w:sz w:val="28"/>
          <w:szCs w:val="28"/>
        </w:rPr>
        <w:t xml:space="preserve">(ii) </w:t>
      </w:r>
      <w:r w:rsidRPr="00045BB7">
        <w:rPr>
          <w:rFonts w:ascii="Times New Roman" w:hAnsi="Times New Roman" w:cs="Times New Roman"/>
          <w:bCs/>
          <w:iCs/>
          <w:sz w:val="28"/>
          <w:szCs w:val="28"/>
        </w:rPr>
        <w:t>el pago al acreedor hipotecario.</w:t>
      </w:r>
    </w:p>
    <w:p w:rsidR="00254FF6" w:rsidRPr="00045BB7" w:rsidRDefault="00045BB7" w:rsidP="00254FF6">
      <w:pPr>
        <w:pStyle w:val="Prrafodelista"/>
        <w:rPr>
          <w:rFonts w:ascii="Times New Roman" w:hAnsi="Times New Roman" w:cs="Times New Roman"/>
          <w:bCs/>
          <w:iCs/>
          <w:szCs w:val="28"/>
          <w:lang w:val="es-CO"/>
        </w:rPr>
      </w:pPr>
    </w:p>
    <w:p w:rsidR="00BA35E3"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Cs/>
          <w:sz w:val="28"/>
          <w:szCs w:val="28"/>
        </w:rPr>
      </w:pPr>
      <w:r w:rsidRPr="00045BB7">
        <w:rPr>
          <w:rFonts w:ascii="Times New Roman" w:hAnsi="Times New Roman" w:cs="Times New Roman"/>
          <w:bCs/>
          <w:i/>
          <w:sz w:val="28"/>
          <w:szCs w:val="28"/>
        </w:rPr>
        <w:t>Sexto</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el sistema de prelación de créditos establecido por el Código Civil distingue entre privilegios generales y especiales. Los </w:t>
      </w:r>
      <w:r w:rsidRPr="00045BB7">
        <w:rPr>
          <w:rFonts w:ascii="Times New Roman" w:hAnsi="Times New Roman" w:cs="Times New Roman"/>
          <w:bCs/>
          <w:i/>
          <w:sz w:val="28"/>
          <w:szCs w:val="28"/>
        </w:rPr>
        <w:t>generales</w:t>
      </w:r>
      <w:r w:rsidRPr="00045BB7">
        <w:rPr>
          <w:rFonts w:ascii="Times New Roman" w:hAnsi="Times New Roman" w:cs="Times New Roman"/>
          <w:bCs/>
          <w:iCs/>
          <w:sz w:val="28"/>
          <w:szCs w:val="28"/>
        </w:rPr>
        <w:t xml:space="preserve"> refieren a que “la prerrogativa recae sobre todo el patrimonio del deudor”</w:t>
      </w:r>
      <w:r w:rsidRPr="00045BB7">
        <w:rPr>
          <w:rStyle w:val="Refdenotaalpie"/>
          <w:rFonts w:ascii="Times New Roman" w:hAnsi="Times New Roman" w:cs="Times New Roman"/>
          <w:bCs/>
          <w:iCs/>
          <w:sz w:val="28"/>
          <w:szCs w:val="28"/>
        </w:rPr>
        <w:footnoteReference w:id="47"/>
      </w:r>
      <w:r w:rsidRPr="00045BB7">
        <w:rPr>
          <w:rFonts w:ascii="Times New Roman" w:hAnsi="Times New Roman" w:cs="Times New Roman"/>
          <w:bCs/>
          <w:iCs/>
          <w:sz w:val="28"/>
          <w:szCs w:val="28"/>
        </w:rPr>
        <w:t xml:space="preserve">, mientras que los </w:t>
      </w:r>
      <w:r w:rsidRPr="00045BB7">
        <w:rPr>
          <w:rFonts w:ascii="Times New Roman" w:hAnsi="Times New Roman" w:cs="Times New Roman"/>
          <w:bCs/>
          <w:i/>
          <w:sz w:val="28"/>
          <w:szCs w:val="28"/>
        </w:rPr>
        <w:t>especiales</w:t>
      </w:r>
      <w:r w:rsidRPr="00045BB7">
        <w:rPr>
          <w:rFonts w:ascii="Times New Roman" w:hAnsi="Times New Roman" w:cs="Times New Roman"/>
          <w:bCs/>
          <w:iCs/>
          <w:sz w:val="28"/>
          <w:szCs w:val="28"/>
        </w:rPr>
        <w:t xml:space="preserve"> recaen sobre bienes particulares, como es el caso de la prenda, la hipoteca y las garantías mobiliarias. Los segundos, implican que este tipo de créditos se atienden “de manera previa a las acreencias que están en una clase preferente”</w:t>
      </w:r>
      <w:r w:rsidRPr="00045BB7">
        <w:rPr>
          <w:rStyle w:val="Refdenotaalpie"/>
          <w:rFonts w:ascii="Times New Roman" w:hAnsi="Times New Roman" w:cs="Times New Roman"/>
          <w:bCs/>
          <w:iCs/>
          <w:sz w:val="28"/>
          <w:szCs w:val="28"/>
        </w:rPr>
        <w:footnoteReference w:id="48"/>
      </w:r>
      <w:r w:rsidRPr="00045BB7">
        <w:rPr>
          <w:rFonts w:ascii="Times New Roman" w:hAnsi="Times New Roman" w:cs="Times New Roman"/>
          <w:bCs/>
          <w:iCs/>
          <w:sz w:val="28"/>
          <w:szCs w:val="28"/>
        </w:rPr>
        <w:t>. Ahora bien, los p</w:t>
      </w:r>
      <w:r w:rsidRPr="00045BB7">
        <w:rPr>
          <w:rFonts w:ascii="Times New Roman" w:hAnsi="Times New Roman" w:cs="Times New Roman"/>
          <w:bCs/>
          <w:iCs/>
          <w:sz w:val="28"/>
          <w:szCs w:val="28"/>
        </w:rPr>
        <w:t>romitentes compradores, como se mencionó anteriormente, se encuentran ubicados en la segunda clase del sistema de prelación de créditos</w:t>
      </w:r>
      <w:r w:rsidRPr="00045BB7">
        <w:rPr>
          <w:rStyle w:val="Refdenotaalpie"/>
          <w:rFonts w:ascii="Times New Roman" w:hAnsi="Times New Roman" w:cs="Times New Roman"/>
          <w:bCs/>
          <w:iCs/>
          <w:sz w:val="28"/>
          <w:szCs w:val="28"/>
        </w:rPr>
        <w:footnoteReference w:id="49"/>
      </w:r>
      <w:r w:rsidRPr="00045BB7">
        <w:rPr>
          <w:rFonts w:ascii="Times New Roman" w:hAnsi="Times New Roman" w:cs="Times New Roman"/>
          <w:bCs/>
          <w:iCs/>
          <w:sz w:val="28"/>
          <w:szCs w:val="28"/>
        </w:rPr>
        <w:t>, es decir, son acreedores generales. En ese sentido, el problema no sería la Ley 1676 de 2013, sino el sistema de prela</w:t>
      </w:r>
      <w:r w:rsidRPr="00045BB7">
        <w:rPr>
          <w:rFonts w:ascii="Times New Roman" w:hAnsi="Times New Roman" w:cs="Times New Roman"/>
          <w:bCs/>
          <w:iCs/>
          <w:sz w:val="28"/>
          <w:szCs w:val="28"/>
        </w:rPr>
        <w:t>ción de créditos, el cual ha sido avalado por la Corte Constitucional, por lo que la demanda no tendría vocación de prosperar</w:t>
      </w:r>
      <w:r w:rsidRPr="00045BB7">
        <w:rPr>
          <w:rStyle w:val="Refdenotaalpie"/>
          <w:rFonts w:ascii="Times New Roman" w:hAnsi="Times New Roman" w:cs="Times New Roman"/>
          <w:bCs/>
          <w:iCs/>
          <w:sz w:val="28"/>
          <w:szCs w:val="28"/>
        </w:rPr>
        <w:footnoteReference w:id="50"/>
      </w:r>
      <w:r w:rsidRPr="00045BB7">
        <w:rPr>
          <w:rFonts w:ascii="Times New Roman" w:hAnsi="Times New Roman" w:cs="Times New Roman"/>
          <w:bCs/>
          <w:iCs/>
          <w:sz w:val="28"/>
          <w:szCs w:val="28"/>
        </w:rPr>
        <w:t xml:space="preserve">. </w:t>
      </w:r>
    </w:p>
    <w:p w:rsidR="00BA35E3" w:rsidRPr="00045BB7" w:rsidRDefault="00045BB7" w:rsidP="00BA35E3">
      <w:pPr>
        <w:pStyle w:val="Prrafodelista"/>
        <w:rPr>
          <w:rFonts w:ascii="Times New Roman" w:hAnsi="Times New Roman" w:cs="Times New Roman"/>
          <w:bCs/>
          <w:iCs/>
          <w:szCs w:val="28"/>
          <w:lang w:val="es-CO"/>
        </w:rPr>
      </w:pPr>
    </w:p>
    <w:p w:rsidR="00BA35E3"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Cs/>
          <w:sz w:val="28"/>
          <w:szCs w:val="28"/>
        </w:rPr>
      </w:pPr>
      <w:r w:rsidRPr="00045BB7">
        <w:rPr>
          <w:rFonts w:ascii="Times New Roman" w:hAnsi="Times New Roman" w:cs="Times New Roman"/>
          <w:i/>
          <w:iCs/>
          <w:sz w:val="28"/>
          <w:szCs w:val="28"/>
        </w:rPr>
        <w:t>S</w:t>
      </w:r>
      <w:r w:rsidRPr="00045BB7">
        <w:rPr>
          <w:rFonts w:ascii="Times New Roman" w:hAnsi="Times New Roman" w:cs="Times New Roman"/>
          <w:i/>
          <w:iCs/>
          <w:sz w:val="28"/>
          <w:szCs w:val="28"/>
        </w:rPr>
        <w:t>éptim</w:t>
      </w:r>
      <w:r w:rsidRPr="00045BB7">
        <w:rPr>
          <w:rFonts w:ascii="Times New Roman" w:hAnsi="Times New Roman" w:cs="Times New Roman"/>
          <w:i/>
          <w:iCs/>
          <w:sz w:val="28"/>
          <w:szCs w:val="28"/>
        </w:rPr>
        <w:t>o</w:t>
      </w:r>
      <w:r w:rsidRPr="00045BB7">
        <w:rPr>
          <w:rFonts w:ascii="Times New Roman" w:hAnsi="Times New Roman" w:cs="Times New Roman"/>
          <w:sz w:val="28"/>
          <w:szCs w:val="28"/>
        </w:rPr>
        <w:t xml:space="preserve">, </w:t>
      </w:r>
      <w:r w:rsidRPr="00045BB7">
        <w:rPr>
          <w:rFonts w:ascii="Times New Roman" w:hAnsi="Times New Roman" w:cs="Times New Roman"/>
          <w:bCs/>
          <w:iCs/>
          <w:sz w:val="28"/>
          <w:szCs w:val="28"/>
        </w:rPr>
        <w:t xml:space="preserve">la norma no vulnera el derecho a la vivienda porque la promesa de compraventa no otorga título de dominio, entonces, </w:t>
      </w:r>
      <w:r w:rsidRPr="00045BB7">
        <w:rPr>
          <w:rFonts w:ascii="Times New Roman" w:hAnsi="Times New Roman" w:cs="Times New Roman"/>
          <w:bCs/>
          <w:iCs/>
          <w:sz w:val="28"/>
          <w:szCs w:val="28"/>
        </w:rPr>
        <w:t xml:space="preserve">no podría hablarse de una protección de todas las formas de tenencia, puesto que ese negocio jurídico, de ninguna manera implica tenencia del bien. </w:t>
      </w:r>
    </w:p>
    <w:p w:rsidR="00EC0F33" w:rsidRPr="00045BB7" w:rsidRDefault="00045BB7" w:rsidP="00972BAA">
      <w:pPr>
        <w:tabs>
          <w:tab w:val="left" w:pos="0"/>
          <w:tab w:val="left" w:pos="567"/>
        </w:tabs>
        <w:ind w:right="51"/>
        <w:contextualSpacing/>
        <w:jc w:val="both"/>
        <w:rPr>
          <w:rFonts w:ascii="Times New Roman" w:hAnsi="Times New Roman" w:cs="Times New Roman"/>
          <w:bCs/>
          <w:iCs/>
          <w:sz w:val="28"/>
          <w:szCs w:val="28"/>
        </w:rPr>
      </w:pPr>
    </w:p>
    <w:p w:rsidR="00EC0F33" w:rsidRPr="00045BB7" w:rsidRDefault="00045BB7" w:rsidP="00005DC5">
      <w:pPr>
        <w:pStyle w:val="Ttulo1"/>
        <w:keepNext/>
        <w:keepLines/>
        <w:widowControl w:val="0"/>
        <w:numPr>
          <w:ilvl w:val="1"/>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jc w:val="both"/>
        <w:rPr>
          <w:rFonts w:ascii="Times New Roman" w:hAnsi="Times New Roman" w:cs="Times New Roman"/>
        </w:rPr>
      </w:pPr>
      <w:r w:rsidRPr="00045BB7">
        <w:rPr>
          <w:rFonts w:ascii="Times New Roman" w:hAnsi="Times New Roman" w:cs="Times New Roman"/>
        </w:rPr>
        <w:t xml:space="preserve"> </w:t>
      </w:r>
      <w:r w:rsidRPr="00045BB7">
        <w:rPr>
          <w:rFonts w:ascii="Times New Roman" w:hAnsi="Times New Roman" w:cs="Times New Roman"/>
        </w:rPr>
        <w:t>Solicitud</w:t>
      </w:r>
      <w:r w:rsidRPr="00045BB7">
        <w:rPr>
          <w:rFonts w:ascii="Times New Roman" w:hAnsi="Times New Roman" w:cs="Times New Roman"/>
        </w:rPr>
        <w:t>es</w:t>
      </w:r>
      <w:r w:rsidRPr="00045BB7">
        <w:rPr>
          <w:rFonts w:ascii="Times New Roman" w:hAnsi="Times New Roman" w:cs="Times New Roman"/>
        </w:rPr>
        <w:t xml:space="preserve"> de exequibilidad condicionada</w:t>
      </w:r>
    </w:p>
    <w:p w:rsidR="00EC0F33" w:rsidRPr="00045BB7" w:rsidRDefault="00045BB7" w:rsidP="00FF7BF5">
      <w:pPr>
        <w:tabs>
          <w:tab w:val="left" w:pos="0"/>
          <w:tab w:val="left" w:pos="567"/>
        </w:tabs>
        <w:ind w:right="51"/>
        <w:contextualSpacing/>
        <w:jc w:val="both"/>
        <w:rPr>
          <w:rFonts w:ascii="Times New Roman" w:hAnsi="Times New Roman" w:cs="Times New Roman"/>
          <w:bCs/>
          <w:i/>
          <w:sz w:val="28"/>
          <w:szCs w:val="28"/>
        </w:rPr>
      </w:pPr>
    </w:p>
    <w:p w:rsidR="00A012F5"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Cinco intervinientes</w:t>
      </w:r>
      <w:r w:rsidRPr="00045BB7">
        <w:rPr>
          <w:rStyle w:val="Refdenotaalpie"/>
          <w:rFonts w:ascii="Times New Roman" w:hAnsi="Times New Roman" w:cs="Times New Roman"/>
          <w:bCs/>
          <w:iCs/>
          <w:sz w:val="28"/>
          <w:szCs w:val="28"/>
        </w:rPr>
        <w:footnoteReference w:id="51"/>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pretenden</w:t>
      </w:r>
      <w:r w:rsidRPr="00045BB7">
        <w:rPr>
          <w:rFonts w:ascii="Times New Roman" w:hAnsi="Times New Roman" w:cs="Times New Roman"/>
          <w:bCs/>
          <w:iCs/>
          <w:sz w:val="28"/>
          <w:szCs w:val="28"/>
        </w:rPr>
        <w:t xml:space="preserve"> la</w:t>
      </w:r>
      <w:r w:rsidRPr="00045BB7">
        <w:rPr>
          <w:rFonts w:ascii="Times New Roman" w:hAnsi="Times New Roman" w:cs="Times New Roman"/>
          <w:bCs/>
          <w:iCs/>
          <w:sz w:val="28"/>
          <w:szCs w:val="28"/>
        </w:rPr>
        <w:t xml:space="preserve"> declaratoria de</w:t>
      </w:r>
      <w:r w:rsidRPr="00045BB7">
        <w:rPr>
          <w:rFonts w:ascii="Times New Roman" w:hAnsi="Times New Roman" w:cs="Times New Roman"/>
          <w:bCs/>
          <w:iCs/>
          <w:sz w:val="28"/>
          <w:szCs w:val="28"/>
        </w:rPr>
        <w:t xml:space="preserve"> exequibilidad condicionada</w:t>
      </w:r>
      <w:r w:rsidRPr="00045BB7">
        <w:rPr>
          <w:rFonts w:ascii="Times New Roman" w:hAnsi="Times New Roman" w:cs="Times New Roman"/>
          <w:bCs/>
          <w:iCs/>
          <w:sz w:val="28"/>
          <w:szCs w:val="28"/>
        </w:rPr>
        <w:t xml:space="preserve"> de las normas</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bajo </w:t>
      </w:r>
      <w:r w:rsidRPr="00045BB7">
        <w:rPr>
          <w:rFonts w:ascii="Times New Roman" w:hAnsi="Times New Roman" w:cs="Times New Roman"/>
          <w:bCs/>
          <w:iCs/>
          <w:sz w:val="28"/>
          <w:szCs w:val="28"/>
        </w:rPr>
        <w:t>los siguientes</w:t>
      </w:r>
      <w:r w:rsidRPr="00045BB7">
        <w:rPr>
          <w:rFonts w:ascii="Times New Roman" w:hAnsi="Times New Roman" w:cs="Times New Roman"/>
          <w:bCs/>
          <w:iCs/>
          <w:sz w:val="28"/>
          <w:szCs w:val="28"/>
        </w:rPr>
        <w:t xml:space="preserve"> argumentos. </w:t>
      </w:r>
    </w:p>
    <w:p w:rsidR="00693499" w:rsidRPr="00045BB7" w:rsidRDefault="00045BB7" w:rsidP="00693499">
      <w:pPr>
        <w:rPr>
          <w:rFonts w:ascii="Times New Roman" w:hAnsi="Times New Roman" w:cs="Times New Roman"/>
          <w:bCs/>
          <w:iCs/>
          <w:sz w:val="28"/>
          <w:szCs w:val="28"/>
        </w:rPr>
      </w:pPr>
    </w:p>
    <w:p w:rsidR="00693499"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
          <w:sz w:val="28"/>
          <w:szCs w:val="28"/>
        </w:rPr>
        <w:t xml:space="preserve">La </w:t>
      </w:r>
      <w:r w:rsidRPr="00045BB7">
        <w:rPr>
          <w:rFonts w:ascii="Times New Roman" w:hAnsi="Times New Roman" w:cs="Times New Roman"/>
          <w:bCs/>
          <w:i/>
          <w:sz w:val="28"/>
          <w:szCs w:val="28"/>
        </w:rPr>
        <w:t>U</w:t>
      </w:r>
      <w:r w:rsidRPr="00045BB7">
        <w:rPr>
          <w:rFonts w:ascii="Times New Roman" w:hAnsi="Times New Roman" w:cs="Times New Roman"/>
          <w:bCs/>
          <w:i/>
          <w:sz w:val="28"/>
          <w:szCs w:val="28"/>
        </w:rPr>
        <w:t xml:space="preserve">niversidad de la Sabana </w:t>
      </w:r>
      <w:r w:rsidRPr="00045BB7">
        <w:rPr>
          <w:rFonts w:ascii="Times New Roman" w:hAnsi="Times New Roman" w:cs="Times New Roman"/>
          <w:bCs/>
          <w:iCs/>
          <w:sz w:val="28"/>
          <w:szCs w:val="28"/>
        </w:rPr>
        <w:t>manifiesta que los artículos demandados “pueden ser interpretados de manera que los derechos de los propietarios sean respetados y garantizados preferen</w:t>
      </w:r>
      <w:r w:rsidRPr="00045BB7">
        <w:rPr>
          <w:rFonts w:ascii="Times New Roman" w:hAnsi="Times New Roman" w:cs="Times New Roman"/>
          <w:bCs/>
          <w:iCs/>
          <w:sz w:val="28"/>
          <w:szCs w:val="28"/>
        </w:rPr>
        <w:t>temente en los procesos de reorganización, siempre que los bienes restantes del deudor aseguren el pago de los demás acreedores. Esta interpretación no solo es coherente con la Constitución, sino que también protege los derechos fundamentales y promueve la</w:t>
      </w:r>
      <w:r w:rsidRPr="00045BB7">
        <w:rPr>
          <w:rFonts w:ascii="Times New Roman" w:hAnsi="Times New Roman" w:cs="Times New Roman"/>
          <w:bCs/>
          <w:iCs/>
          <w:sz w:val="28"/>
          <w:szCs w:val="28"/>
        </w:rPr>
        <w:t xml:space="preserve"> estabilidad económica y social”</w:t>
      </w:r>
      <w:r w:rsidRPr="00045BB7">
        <w:rPr>
          <w:rStyle w:val="Refdenotaalpie"/>
          <w:rFonts w:ascii="Times New Roman" w:hAnsi="Times New Roman" w:cs="Times New Roman"/>
          <w:bCs/>
          <w:iCs/>
          <w:sz w:val="28"/>
          <w:szCs w:val="28"/>
        </w:rPr>
        <w:footnoteReference w:id="52"/>
      </w:r>
      <w:r w:rsidRPr="00045BB7">
        <w:rPr>
          <w:rFonts w:ascii="Times New Roman" w:hAnsi="Times New Roman" w:cs="Times New Roman"/>
          <w:bCs/>
          <w:iCs/>
          <w:sz w:val="28"/>
          <w:szCs w:val="28"/>
        </w:rPr>
        <w:t xml:space="preserve">. </w:t>
      </w:r>
    </w:p>
    <w:p w:rsidR="00693499" w:rsidRPr="00045BB7" w:rsidRDefault="00045BB7" w:rsidP="00693499">
      <w:pPr>
        <w:pStyle w:val="Prrafodelista"/>
        <w:rPr>
          <w:rFonts w:ascii="Times New Roman" w:hAnsi="Times New Roman" w:cs="Times New Roman"/>
          <w:bCs/>
          <w:i/>
          <w:szCs w:val="28"/>
        </w:rPr>
      </w:pPr>
    </w:p>
    <w:p w:rsidR="00693499"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 xml:space="preserve">Por otra parte, el </w:t>
      </w:r>
      <w:r w:rsidRPr="00045BB7">
        <w:rPr>
          <w:rFonts w:ascii="Times New Roman" w:hAnsi="Times New Roman" w:cs="Times New Roman"/>
          <w:bCs/>
          <w:i/>
          <w:sz w:val="28"/>
          <w:szCs w:val="28"/>
        </w:rPr>
        <w:t xml:space="preserve">Ministerio de Comercio, Industria y Turismo </w:t>
      </w:r>
      <w:r w:rsidRPr="00045BB7">
        <w:rPr>
          <w:rFonts w:ascii="Times New Roman" w:hAnsi="Times New Roman" w:cs="Times New Roman"/>
          <w:bCs/>
          <w:iCs/>
          <w:sz w:val="28"/>
          <w:szCs w:val="28"/>
        </w:rPr>
        <w:t>y</w:t>
      </w:r>
      <w:r w:rsidRPr="00045BB7">
        <w:rPr>
          <w:rFonts w:ascii="Times New Roman" w:hAnsi="Times New Roman" w:cs="Times New Roman"/>
          <w:bCs/>
          <w:i/>
          <w:sz w:val="28"/>
          <w:szCs w:val="28"/>
        </w:rPr>
        <w:t xml:space="preserve"> </w:t>
      </w:r>
      <w:r w:rsidRPr="00045BB7">
        <w:rPr>
          <w:rFonts w:ascii="Times New Roman" w:hAnsi="Times New Roman" w:cs="Times New Roman"/>
          <w:bCs/>
          <w:iCs/>
          <w:sz w:val="28"/>
          <w:szCs w:val="28"/>
        </w:rPr>
        <w:t xml:space="preserve">la </w:t>
      </w:r>
      <w:r w:rsidRPr="00045BB7">
        <w:rPr>
          <w:rFonts w:ascii="Times New Roman" w:hAnsi="Times New Roman" w:cs="Times New Roman"/>
          <w:bCs/>
          <w:i/>
          <w:sz w:val="28"/>
          <w:szCs w:val="28"/>
        </w:rPr>
        <w:t>SuperSociedades</w:t>
      </w:r>
      <w:r w:rsidRPr="00045BB7">
        <w:rPr>
          <w:rStyle w:val="Refdenotaalpie"/>
          <w:rFonts w:ascii="Times New Roman" w:hAnsi="Times New Roman" w:cs="Times New Roman"/>
          <w:bCs/>
          <w:iCs/>
          <w:sz w:val="28"/>
          <w:szCs w:val="28"/>
        </w:rPr>
        <w:footnoteReference w:id="53"/>
      </w:r>
      <w:r w:rsidRPr="00045BB7">
        <w:rPr>
          <w:rFonts w:ascii="Times New Roman" w:hAnsi="Times New Roman" w:cs="Times New Roman"/>
          <w:bCs/>
          <w:i/>
          <w:sz w:val="28"/>
          <w:szCs w:val="28"/>
        </w:rPr>
        <w:t xml:space="preserve"> </w:t>
      </w:r>
      <w:r w:rsidRPr="00045BB7">
        <w:rPr>
          <w:rFonts w:ascii="Times New Roman" w:hAnsi="Times New Roman" w:cs="Times New Roman"/>
          <w:bCs/>
          <w:iCs/>
          <w:sz w:val="28"/>
          <w:szCs w:val="28"/>
        </w:rPr>
        <w:t xml:space="preserve">solicitaron declarar la exequibilidad condicionada de las normas demandadas, “de acuerdo con las características propias de los </w:t>
      </w:r>
      <w:r w:rsidRPr="00045BB7">
        <w:rPr>
          <w:rFonts w:ascii="Times New Roman" w:hAnsi="Times New Roman" w:cs="Times New Roman"/>
          <w:bCs/>
          <w:iCs/>
          <w:sz w:val="28"/>
          <w:szCs w:val="28"/>
        </w:rPr>
        <w:t>promitentes compradores de ese tipo de bienes, así como de los acreedores que de este tipo cuenten con escritura pública por registrar”</w:t>
      </w:r>
      <w:r w:rsidRPr="00045BB7">
        <w:rPr>
          <w:rStyle w:val="Refdenotaalpie"/>
          <w:rFonts w:ascii="Times New Roman" w:hAnsi="Times New Roman" w:cs="Times New Roman"/>
          <w:bCs/>
          <w:iCs/>
          <w:sz w:val="28"/>
          <w:szCs w:val="28"/>
        </w:rPr>
        <w:footnoteReference w:id="54"/>
      </w:r>
      <w:r w:rsidRPr="00045BB7">
        <w:rPr>
          <w:rFonts w:ascii="Times New Roman" w:hAnsi="Times New Roman" w:cs="Times New Roman"/>
          <w:bCs/>
          <w:iCs/>
          <w:sz w:val="28"/>
          <w:szCs w:val="28"/>
        </w:rPr>
        <w:t xml:space="preserve">. </w:t>
      </w:r>
    </w:p>
    <w:p w:rsidR="00693499" w:rsidRPr="00045BB7" w:rsidRDefault="00045BB7" w:rsidP="00693499">
      <w:pPr>
        <w:tabs>
          <w:tab w:val="left" w:pos="0"/>
          <w:tab w:val="left" w:pos="567"/>
        </w:tabs>
        <w:ind w:right="51"/>
        <w:contextualSpacing/>
        <w:jc w:val="both"/>
        <w:rPr>
          <w:rFonts w:ascii="Times New Roman" w:hAnsi="Times New Roman" w:cs="Times New Roman"/>
          <w:bCs/>
          <w:i/>
          <w:sz w:val="28"/>
          <w:szCs w:val="28"/>
        </w:rPr>
      </w:pPr>
    </w:p>
    <w:p w:rsidR="00693499"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Cs/>
          <w:sz w:val="28"/>
          <w:szCs w:val="28"/>
        </w:rPr>
      </w:pPr>
      <w:r w:rsidRPr="00045BB7">
        <w:rPr>
          <w:rFonts w:ascii="Times New Roman" w:hAnsi="Times New Roman" w:cs="Times New Roman"/>
          <w:bCs/>
          <w:iCs/>
          <w:sz w:val="28"/>
          <w:szCs w:val="28"/>
        </w:rPr>
        <w:t xml:space="preserve">La </w:t>
      </w:r>
      <w:r w:rsidRPr="00045BB7">
        <w:rPr>
          <w:rFonts w:ascii="Times New Roman" w:hAnsi="Times New Roman" w:cs="Times New Roman"/>
          <w:bCs/>
          <w:i/>
          <w:sz w:val="28"/>
          <w:szCs w:val="28"/>
        </w:rPr>
        <w:t>Academia Colombiana de Jurisprudencia</w:t>
      </w:r>
      <w:r w:rsidRPr="00045BB7">
        <w:rPr>
          <w:rStyle w:val="Refdenotaalpie"/>
          <w:rFonts w:ascii="Times New Roman" w:hAnsi="Times New Roman" w:cs="Times New Roman"/>
          <w:bCs/>
          <w:iCs/>
          <w:sz w:val="28"/>
          <w:szCs w:val="28"/>
        </w:rPr>
        <w:footnoteReference w:id="55"/>
      </w:r>
      <w:r w:rsidRPr="00045BB7">
        <w:rPr>
          <w:rFonts w:ascii="Times New Roman" w:hAnsi="Times New Roman" w:cs="Times New Roman"/>
          <w:bCs/>
          <w:iCs/>
          <w:sz w:val="28"/>
          <w:szCs w:val="28"/>
        </w:rPr>
        <w:t xml:space="preserve">, resaltó la posibilidad de que </w:t>
      </w:r>
      <w:r w:rsidRPr="00045BB7">
        <w:rPr>
          <w:rFonts w:ascii="Times New Roman" w:hAnsi="Times New Roman" w:cs="Times New Roman"/>
          <w:bCs/>
          <w:iCs/>
          <w:sz w:val="28"/>
          <w:szCs w:val="28"/>
        </w:rPr>
        <w:t>el alto tribunal</w:t>
      </w:r>
      <w:r w:rsidRPr="00045BB7">
        <w:rPr>
          <w:rFonts w:ascii="Times New Roman" w:hAnsi="Times New Roman" w:cs="Times New Roman"/>
          <w:bCs/>
          <w:iCs/>
          <w:sz w:val="28"/>
          <w:szCs w:val="28"/>
        </w:rPr>
        <w:t xml:space="preserve"> extienda el condicionamien</w:t>
      </w:r>
      <w:r w:rsidRPr="00045BB7">
        <w:rPr>
          <w:rFonts w:ascii="Times New Roman" w:hAnsi="Times New Roman" w:cs="Times New Roman"/>
          <w:bCs/>
          <w:iCs/>
          <w:sz w:val="28"/>
          <w:szCs w:val="28"/>
        </w:rPr>
        <w:t xml:space="preserve">to efectuado en la </w:t>
      </w:r>
      <w:r w:rsidRPr="00045BB7">
        <w:rPr>
          <w:rFonts w:ascii="Times New Roman" w:hAnsi="Times New Roman" w:cs="Times New Roman"/>
          <w:bCs/>
          <w:iCs/>
          <w:sz w:val="28"/>
          <w:szCs w:val="28"/>
        </w:rPr>
        <w:t>S</w:t>
      </w:r>
      <w:r w:rsidRPr="00045BB7">
        <w:rPr>
          <w:rFonts w:ascii="Times New Roman" w:hAnsi="Times New Roman" w:cs="Times New Roman"/>
          <w:bCs/>
          <w:iCs/>
          <w:sz w:val="28"/>
          <w:szCs w:val="28"/>
        </w:rPr>
        <w:t>entencia C-145 de 2018 a “las personas naturales que hayan pagado a empresas promotoras, constructoras, bancos o sociedades fiduciarias por adquisición de vivienda de interés social”, de forma que se avance en la construcción del Estado</w:t>
      </w:r>
      <w:r w:rsidRPr="00045BB7">
        <w:rPr>
          <w:rFonts w:ascii="Times New Roman" w:hAnsi="Times New Roman" w:cs="Times New Roman"/>
          <w:bCs/>
          <w:iCs/>
          <w:sz w:val="28"/>
          <w:szCs w:val="28"/>
        </w:rPr>
        <w:t xml:space="preserve"> Social de Derecho. Además, recomendó que se exhorte al Gobierno Nacional para que refuerce la vigilancia, inspección y control de las empresas constructoras y de las sociedades fiduciarias, en proyectos de construcción de interés social.</w:t>
      </w:r>
    </w:p>
    <w:p w:rsidR="0022204B" w:rsidRPr="00045BB7" w:rsidRDefault="00045BB7" w:rsidP="0022204B">
      <w:pPr>
        <w:pStyle w:val="Prrafodelista"/>
        <w:rPr>
          <w:rFonts w:ascii="Times New Roman" w:hAnsi="Times New Roman" w:cs="Times New Roman"/>
          <w:bCs/>
          <w:iCs/>
          <w:szCs w:val="28"/>
        </w:rPr>
      </w:pPr>
    </w:p>
    <w:p w:rsidR="0022204B"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Cs/>
          <w:sz w:val="28"/>
          <w:szCs w:val="28"/>
        </w:rPr>
      </w:pPr>
      <w:r w:rsidRPr="00045BB7">
        <w:rPr>
          <w:rFonts w:ascii="Times New Roman" w:hAnsi="Times New Roman" w:cs="Times New Roman"/>
          <w:bCs/>
          <w:i/>
          <w:sz w:val="28"/>
          <w:szCs w:val="28"/>
        </w:rPr>
        <w:t>La Universidad d</w:t>
      </w:r>
      <w:r w:rsidRPr="00045BB7">
        <w:rPr>
          <w:rFonts w:ascii="Times New Roman" w:hAnsi="Times New Roman" w:cs="Times New Roman"/>
          <w:bCs/>
          <w:i/>
          <w:sz w:val="28"/>
          <w:szCs w:val="28"/>
        </w:rPr>
        <w:t>el Rosario</w:t>
      </w:r>
      <w:r w:rsidRPr="00045BB7">
        <w:rPr>
          <w:rStyle w:val="Refdenotaalpie"/>
          <w:rFonts w:ascii="Times New Roman" w:hAnsi="Times New Roman" w:cs="Times New Roman"/>
          <w:bCs/>
          <w:iCs/>
          <w:sz w:val="28"/>
          <w:szCs w:val="28"/>
        </w:rPr>
        <w:footnoteReference w:id="56"/>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solicita la declaratoria de exequibilidad condicionada de los incisos segundo</w:t>
      </w:r>
      <w:r w:rsidRPr="00045BB7">
        <w:rPr>
          <w:rFonts w:ascii="Times New Roman" w:hAnsi="Times New Roman" w:cs="Times New Roman"/>
          <w:bCs/>
          <w:iCs/>
          <w:sz w:val="28"/>
          <w:szCs w:val="28"/>
        </w:rPr>
        <w:t xml:space="preserve"> y sexto del artículo 50 y del inciso primero del artículo 52 de la Ley 1676 de 2013,</w:t>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conforme a “los criterios que defina la Corte para salvaguardar los derechos de </w:t>
      </w:r>
      <w:r w:rsidRPr="00045BB7">
        <w:rPr>
          <w:rFonts w:ascii="Times New Roman" w:hAnsi="Times New Roman" w:cs="Times New Roman"/>
          <w:bCs/>
          <w:iCs/>
          <w:sz w:val="28"/>
          <w:szCs w:val="28"/>
        </w:rPr>
        <w:t>los consumidores de vivienda y demás acreedores que tengan en riesgo su derecho fundamental a la vivienda digna”</w:t>
      </w:r>
      <w:r w:rsidRPr="00045BB7">
        <w:rPr>
          <w:rStyle w:val="Refdenotaalpie"/>
          <w:rFonts w:ascii="Times New Roman" w:hAnsi="Times New Roman" w:cs="Times New Roman"/>
          <w:bCs/>
          <w:iCs/>
          <w:sz w:val="28"/>
          <w:szCs w:val="28"/>
        </w:rPr>
        <w:footnoteReference w:id="57"/>
      </w:r>
    </w:p>
    <w:p w:rsidR="00EC0F33" w:rsidRPr="00045BB7" w:rsidRDefault="00045BB7" w:rsidP="00FF7BF5">
      <w:pPr>
        <w:tabs>
          <w:tab w:val="left" w:pos="0"/>
          <w:tab w:val="left" w:pos="567"/>
        </w:tabs>
        <w:ind w:right="51"/>
        <w:contextualSpacing/>
        <w:jc w:val="both"/>
        <w:rPr>
          <w:rFonts w:ascii="Times New Roman" w:hAnsi="Times New Roman" w:cs="Times New Roman"/>
          <w:bCs/>
          <w:i/>
          <w:sz w:val="28"/>
          <w:szCs w:val="28"/>
        </w:rPr>
      </w:pPr>
    </w:p>
    <w:p w:rsidR="00EC0F33" w:rsidRPr="00045BB7" w:rsidRDefault="00045BB7" w:rsidP="00005DC5">
      <w:pPr>
        <w:pStyle w:val="Ttulo1"/>
        <w:keepNext/>
        <w:keepLines/>
        <w:widowControl w:val="0"/>
        <w:numPr>
          <w:ilvl w:val="1"/>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jc w:val="both"/>
        <w:rPr>
          <w:rFonts w:ascii="Times New Roman" w:hAnsi="Times New Roman" w:cs="Times New Roman"/>
        </w:rPr>
      </w:pPr>
      <w:r w:rsidRPr="00045BB7">
        <w:rPr>
          <w:rFonts w:ascii="Times New Roman" w:hAnsi="Times New Roman" w:cs="Times New Roman"/>
        </w:rPr>
        <w:t xml:space="preserve"> </w:t>
      </w:r>
      <w:r w:rsidRPr="00045BB7">
        <w:rPr>
          <w:rFonts w:ascii="Times New Roman" w:hAnsi="Times New Roman" w:cs="Times New Roman"/>
        </w:rPr>
        <w:t>Solicitudes de inexequibilidad</w:t>
      </w:r>
    </w:p>
    <w:p w:rsidR="00EC0F33" w:rsidRPr="00045BB7" w:rsidRDefault="00045BB7" w:rsidP="00FF7BF5">
      <w:pPr>
        <w:tabs>
          <w:tab w:val="left" w:pos="0"/>
          <w:tab w:val="left" w:pos="567"/>
        </w:tabs>
        <w:ind w:right="51"/>
        <w:contextualSpacing/>
        <w:jc w:val="both"/>
        <w:rPr>
          <w:rFonts w:ascii="Times New Roman" w:hAnsi="Times New Roman" w:cs="Times New Roman"/>
          <w:b/>
          <w:iCs/>
          <w:sz w:val="28"/>
          <w:szCs w:val="28"/>
        </w:rPr>
      </w:pPr>
    </w:p>
    <w:p w:rsidR="00795DAB"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Seis intervinientes</w:t>
      </w:r>
      <w:r w:rsidRPr="00045BB7">
        <w:rPr>
          <w:rStyle w:val="Refdenotaalpie"/>
          <w:rFonts w:ascii="Times New Roman" w:hAnsi="Times New Roman" w:cs="Times New Roman"/>
          <w:bCs/>
          <w:iCs/>
          <w:sz w:val="28"/>
          <w:szCs w:val="28"/>
        </w:rPr>
        <w:footnoteReference w:id="58"/>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 xml:space="preserve">solicitan la declaratoria de inexequibilidad de las disposiciones acusadas. </w:t>
      </w:r>
    </w:p>
    <w:p w:rsidR="0046593B" w:rsidRPr="00045BB7" w:rsidRDefault="00045BB7" w:rsidP="0046593B">
      <w:pPr>
        <w:tabs>
          <w:tab w:val="left" w:pos="0"/>
          <w:tab w:val="left" w:pos="567"/>
        </w:tabs>
        <w:ind w:right="51"/>
        <w:contextualSpacing/>
        <w:jc w:val="both"/>
        <w:rPr>
          <w:rFonts w:ascii="Times New Roman" w:hAnsi="Times New Roman" w:cs="Times New Roman"/>
          <w:bCs/>
          <w:i/>
          <w:sz w:val="28"/>
          <w:szCs w:val="28"/>
        </w:rPr>
      </w:pPr>
    </w:p>
    <w:p w:rsidR="00972BAA"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
          <w:sz w:val="28"/>
          <w:szCs w:val="28"/>
        </w:rPr>
        <w:t xml:space="preserve">Carlos </w:t>
      </w:r>
      <w:r w:rsidRPr="00045BB7">
        <w:rPr>
          <w:rFonts w:ascii="Times New Roman" w:hAnsi="Times New Roman" w:cs="Times New Roman"/>
          <w:bCs/>
          <w:i/>
          <w:sz w:val="28"/>
          <w:szCs w:val="28"/>
        </w:rPr>
        <w:t>Andrés Delvasto Perdomo</w:t>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Mónica Moreno Fernández, Linda Ruiz Sánchez</w:t>
      </w:r>
      <w:r w:rsidRPr="00045BB7">
        <w:rPr>
          <w:rStyle w:val="Refdenotaalpie"/>
          <w:rFonts w:ascii="Times New Roman" w:hAnsi="Times New Roman" w:cs="Times New Roman"/>
          <w:bCs/>
          <w:i/>
          <w:sz w:val="28"/>
          <w:szCs w:val="28"/>
        </w:rPr>
        <w:footnoteReference w:id="59"/>
      </w:r>
      <w:r w:rsidRPr="00045BB7">
        <w:rPr>
          <w:rFonts w:ascii="Times New Roman" w:hAnsi="Times New Roman" w:cs="Times New Roman"/>
          <w:bCs/>
          <w:i/>
          <w:sz w:val="28"/>
          <w:szCs w:val="28"/>
        </w:rPr>
        <w:t>, Sofía Daza Vargas</w:t>
      </w:r>
      <w:r w:rsidRPr="00045BB7">
        <w:rPr>
          <w:rStyle w:val="Refdenotaalpie"/>
          <w:rFonts w:ascii="Times New Roman" w:hAnsi="Times New Roman" w:cs="Times New Roman"/>
          <w:bCs/>
          <w:iCs/>
          <w:sz w:val="28"/>
          <w:szCs w:val="28"/>
        </w:rPr>
        <w:footnoteReference w:id="60"/>
      </w:r>
      <w:r w:rsidRPr="00045BB7">
        <w:rPr>
          <w:rFonts w:ascii="Times New Roman" w:hAnsi="Times New Roman" w:cs="Times New Roman"/>
          <w:bCs/>
          <w:iCs/>
          <w:sz w:val="28"/>
          <w:szCs w:val="28"/>
        </w:rPr>
        <w:t xml:space="preserve"> y </w:t>
      </w:r>
      <w:r w:rsidRPr="00045BB7">
        <w:rPr>
          <w:rFonts w:ascii="Times New Roman" w:hAnsi="Times New Roman" w:cs="Times New Roman"/>
          <w:bCs/>
          <w:i/>
          <w:sz w:val="28"/>
          <w:szCs w:val="28"/>
        </w:rPr>
        <w:t xml:space="preserve">Daniela Álvarez Cohen </w:t>
      </w:r>
      <w:r w:rsidRPr="00045BB7">
        <w:rPr>
          <w:rFonts w:ascii="Times New Roman" w:hAnsi="Times New Roman" w:cs="Times New Roman"/>
          <w:bCs/>
          <w:iCs/>
          <w:sz w:val="28"/>
          <w:szCs w:val="28"/>
        </w:rPr>
        <w:t xml:space="preserve">presentaron </w:t>
      </w:r>
      <w:r w:rsidRPr="00045BB7">
        <w:rPr>
          <w:rFonts w:ascii="Times New Roman" w:hAnsi="Times New Roman" w:cs="Times New Roman"/>
          <w:bCs/>
          <w:iCs/>
          <w:sz w:val="28"/>
          <w:szCs w:val="28"/>
        </w:rPr>
        <w:t>razonamientos análogos</w:t>
      </w:r>
      <w:r w:rsidRPr="00045BB7">
        <w:rPr>
          <w:rFonts w:ascii="Times New Roman" w:hAnsi="Times New Roman" w:cs="Times New Roman"/>
          <w:bCs/>
          <w:iCs/>
          <w:sz w:val="28"/>
          <w:szCs w:val="28"/>
        </w:rPr>
        <w:t xml:space="preserve"> para sustentar la inexequibilidad de las disposiciones acusadas. </w:t>
      </w:r>
      <w:r w:rsidRPr="00045BB7">
        <w:rPr>
          <w:rFonts w:ascii="Times New Roman" w:hAnsi="Times New Roman" w:cs="Times New Roman"/>
          <w:bCs/>
          <w:iCs/>
          <w:sz w:val="28"/>
          <w:szCs w:val="28"/>
        </w:rPr>
        <w:t>En primer lugar, consideran que</w:t>
      </w:r>
      <w:r w:rsidRPr="00045BB7">
        <w:rPr>
          <w:rFonts w:ascii="Times New Roman" w:hAnsi="Times New Roman" w:cs="Times New Roman"/>
          <w:bCs/>
          <w:iCs/>
          <w:sz w:val="28"/>
          <w:szCs w:val="28"/>
        </w:rPr>
        <w:t xml:space="preserve"> “las normas demandadas establecen privilegios a favor de los acreedores con garantías hipotecarias, en las que pueden estar involucrados los derechos de los consumidores de vivienda y el ejercicio del derecho fundamental a la vivienda digna”</w:t>
      </w:r>
      <w:r w:rsidRPr="00045BB7">
        <w:rPr>
          <w:rStyle w:val="Refdenotaalpie"/>
          <w:rFonts w:ascii="Times New Roman" w:hAnsi="Times New Roman" w:cs="Times New Roman"/>
          <w:bCs/>
          <w:iCs/>
          <w:sz w:val="28"/>
          <w:szCs w:val="28"/>
        </w:rPr>
        <w:footnoteReference w:id="61"/>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Esto, porqu</w:t>
      </w:r>
      <w:r w:rsidRPr="00045BB7">
        <w:rPr>
          <w:rFonts w:ascii="Times New Roman" w:hAnsi="Times New Roman" w:cs="Times New Roman"/>
          <w:bCs/>
          <w:iCs/>
          <w:sz w:val="28"/>
          <w:szCs w:val="28"/>
        </w:rPr>
        <w:t xml:space="preserve">e </w:t>
      </w:r>
      <w:r w:rsidRPr="00045BB7">
        <w:rPr>
          <w:rFonts w:ascii="Times New Roman" w:hAnsi="Times New Roman" w:cs="Times New Roman"/>
          <w:bCs/>
          <w:iCs/>
          <w:sz w:val="28"/>
          <w:szCs w:val="28"/>
        </w:rPr>
        <w:t>permiten a los acreedores con garantías reales y mobiliarias ejecutarlas y recibir el pago de manera preferente</w:t>
      </w:r>
      <w:r w:rsidRPr="00045BB7">
        <w:rPr>
          <w:rFonts w:ascii="Times New Roman" w:hAnsi="Times New Roman" w:cs="Times New Roman"/>
          <w:bCs/>
          <w:iCs/>
          <w:sz w:val="28"/>
          <w:szCs w:val="28"/>
        </w:rPr>
        <w:t>, lo cual</w:t>
      </w:r>
      <w:r w:rsidRPr="00045BB7">
        <w:rPr>
          <w:rFonts w:ascii="Times New Roman" w:hAnsi="Times New Roman" w:cs="Times New Roman"/>
          <w:bCs/>
          <w:iCs/>
          <w:sz w:val="28"/>
          <w:szCs w:val="28"/>
        </w:rPr>
        <w:t xml:space="preserve"> implica “que los compradores de buena fe, quienes han adquirido propiedades a la constructora pueden perder sus bienes sin compensaci</w:t>
      </w:r>
      <w:r w:rsidRPr="00045BB7">
        <w:rPr>
          <w:rFonts w:ascii="Times New Roman" w:hAnsi="Times New Roman" w:cs="Times New Roman"/>
          <w:bCs/>
          <w:iCs/>
          <w:sz w:val="28"/>
          <w:szCs w:val="28"/>
        </w:rPr>
        <w:t>ón adecuada ni la oportunidad de participar en el proceso de insolvencia, resultando en una expropiación de facto de sus propiedades sin el debido proceso legal”</w:t>
      </w:r>
      <w:r w:rsidRPr="00045BB7">
        <w:rPr>
          <w:rStyle w:val="Refdenotaalpie"/>
          <w:rFonts w:ascii="Times New Roman" w:hAnsi="Times New Roman" w:cs="Times New Roman"/>
          <w:bCs/>
          <w:iCs/>
          <w:sz w:val="28"/>
          <w:szCs w:val="28"/>
        </w:rPr>
        <w:footnoteReference w:id="62"/>
      </w:r>
      <w:r w:rsidRPr="00045BB7">
        <w:rPr>
          <w:rFonts w:ascii="Times New Roman" w:hAnsi="Times New Roman" w:cs="Times New Roman"/>
          <w:bCs/>
          <w:iCs/>
          <w:sz w:val="28"/>
          <w:szCs w:val="28"/>
        </w:rPr>
        <w:t>, situación que es contraria a los derechos al debido proceso y a la propiedad.</w:t>
      </w:r>
    </w:p>
    <w:p w:rsidR="0046593B" w:rsidRPr="00045BB7" w:rsidRDefault="00045BB7" w:rsidP="0046593B">
      <w:pPr>
        <w:pStyle w:val="Prrafodelista"/>
        <w:rPr>
          <w:rFonts w:ascii="Times New Roman" w:hAnsi="Times New Roman" w:cs="Times New Roman"/>
          <w:bCs/>
          <w:i/>
          <w:szCs w:val="28"/>
        </w:rPr>
      </w:pPr>
    </w:p>
    <w:p w:rsidR="0046593B"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 xml:space="preserve">En segundo lugar, argumentan que el efecto práctico de la norma </w:t>
      </w:r>
      <w:r w:rsidRPr="00045BB7">
        <w:rPr>
          <w:rFonts w:ascii="Times New Roman" w:hAnsi="Times New Roman" w:cs="Times New Roman"/>
          <w:bCs/>
          <w:iCs/>
          <w:sz w:val="28"/>
          <w:szCs w:val="28"/>
        </w:rPr>
        <w:t xml:space="preserve">permite </w:t>
      </w:r>
      <w:r w:rsidRPr="00045BB7">
        <w:rPr>
          <w:rFonts w:ascii="Times New Roman" w:hAnsi="Times New Roman" w:cs="Times New Roman"/>
          <w:bCs/>
          <w:iCs/>
          <w:sz w:val="28"/>
          <w:szCs w:val="28"/>
        </w:rPr>
        <w:t>que las constructoras asuman un “comportamiento oportunista” y se beneficien injustamente “del proceso de reorganización, descargando sus responsabilidades en terceros de buena fe”</w:t>
      </w:r>
      <w:r w:rsidRPr="00045BB7">
        <w:rPr>
          <w:rStyle w:val="Refdenotaalpie"/>
          <w:rFonts w:ascii="Times New Roman" w:hAnsi="Times New Roman" w:cs="Times New Roman"/>
          <w:bCs/>
          <w:iCs/>
          <w:sz w:val="28"/>
          <w:szCs w:val="28"/>
        </w:rPr>
        <w:footnoteReference w:id="63"/>
      </w:r>
      <w:r w:rsidRPr="00045BB7">
        <w:rPr>
          <w:rFonts w:ascii="Times New Roman" w:hAnsi="Times New Roman" w:cs="Times New Roman"/>
          <w:bCs/>
          <w:iCs/>
          <w:sz w:val="28"/>
          <w:szCs w:val="28"/>
        </w:rPr>
        <w:t xml:space="preserve">, </w:t>
      </w:r>
      <w:r w:rsidRPr="00045BB7">
        <w:rPr>
          <w:rFonts w:ascii="Times New Roman" w:hAnsi="Times New Roman" w:cs="Times New Roman"/>
          <w:bCs/>
          <w:iCs/>
          <w:sz w:val="28"/>
          <w:szCs w:val="28"/>
        </w:rPr>
        <w:t>p</w:t>
      </w:r>
      <w:r w:rsidRPr="00045BB7">
        <w:rPr>
          <w:rFonts w:ascii="Times New Roman" w:hAnsi="Times New Roman" w:cs="Times New Roman"/>
          <w:bCs/>
          <w:iCs/>
          <w:sz w:val="28"/>
          <w:szCs w:val="28"/>
        </w:rPr>
        <w:t>orque “el bien inmueble adquirido por el consumidor inmobiliario termina siendo utilizado para saldar la deuda de la constructora con el acreedor garantizado”</w:t>
      </w:r>
      <w:r w:rsidRPr="00045BB7">
        <w:rPr>
          <w:rStyle w:val="Refdenotaalpie"/>
          <w:rFonts w:ascii="Times New Roman" w:hAnsi="Times New Roman" w:cs="Times New Roman"/>
          <w:bCs/>
          <w:iCs/>
          <w:sz w:val="28"/>
          <w:szCs w:val="28"/>
        </w:rPr>
        <w:footnoteReference w:id="64"/>
      </w:r>
      <w:r w:rsidRPr="00045BB7">
        <w:rPr>
          <w:rFonts w:ascii="Times New Roman" w:hAnsi="Times New Roman" w:cs="Times New Roman"/>
          <w:bCs/>
          <w:iCs/>
          <w:sz w:val="28"/>
          <w:szCs w:val="28"/>
        </w:rPr>
        <w:t>. En esa misma línea, resaltan que, antes de la Ley 1676 de 2013, los compradores de vivienda “po</w:t>
      </w:r>
      <w:r w:rsidRPr="00045BB7">
        <w:rPr>
          <w:rFonts w:ascii="Times New Roman" w:hAnsi="Times New Roman" w:cs="Times New Roman"/>
          <w:bCs/>
          <w:iCs/>
          <w:sz w:val="28"/>
          <w:szCs w:val="28"/>
        </w:rPr>
        <w:t>dían optar por la ejecución de la venta del inmueble prometido”</w:t>
      </w:r>
      <w:r w:rsidRPr="00045BB7">
        <w:rPr>
          <w:rStyle w:val="Refdenotaalpie"/>
          <w:rFonts w:ascii="Times New Roman" w:hAnsi="Times New Roman" w:cs="Times New Roman"/>
          <w:bCs/>
          <w:iCs/>
          <w:sz w:val="28"/>
          <w:szCs w:val="28"/>
        </w:rPr>
        <w:footnoteReference w:id="65"/>
      </w:r>
      <w:r w:rsidRPr="00045BB7">
        <w:rPr>
          <w:rFonts w:ascii="Times New Roman" w:hAnsi="Times New Roman" w:cs="Times New Roman"/>
          <w:bCs/>
          <w:iCs/>
          <w:sz w:val="28"/>
          <w:szCs w:val="28"/>
        </w:rPr>
        <w:t>; no obstante, a partir de la expedición de la mencionada ley, la entidad financiadora puede ejecutar la garantía y, en consecuencia, apropiarse del lote de terreno y de todas las mejoras cons</w:t>
      </w:r>
      <w:r w:rsidRPr="00045BB7">
        <w:rPr>
          <w:rFonts w:ascii="Times New Roman" w:hAnsi="Times New Roman" w:cs="Times New Roman"/>
          <w:bCs/>
          <w:iCs/>
          <w:sz w:val="28"/>
          <w:szCs w:val="28"/>
        </w:rPr>
        <w:t>truidas, de forma tal que, a su juicio, las familias adquirientes de las viviendas quedarían sin garantías que les permitan restablecer su patrimonio y sin la vivienda que tenían la expectativa de adquirir</w:t>
      </w:r>
      <w:r w:rsidRPr="00045BB7">
        <w:rPr>
          <w:rStyle w:val="Refdenotaalpie"/>
          <w:rFonts w:ascii="Times New Roman" w:hAnsi="Times New Roman" w:cs="Times New Roman"/>
          <w:bCs/>
          <w:iCs/>
          <w:sz w:val="28"/>
          <w:szCs w:val="28"/>
        </w:rPr>
        <w:footnoteReference w:id="66"/>
      </w:r>
      <w:r w:rsidRPr="00045BB7">
        <w:rPr>
          <w:rFonts w:ascii="Times New Roman" w:hAnsi="Times New Roman" w:cs="Times New Roman"/>
          <w:bCs/>
          <w:iCs/>
          <w:sz w:val="28"/>
          <w:szCs w:val="28"/>
        </w:rPr>
        <w:t xml:space="preserve">. </w:t>
      </w:r>
    </w:p>
    <w:p w:rsidR="00246688" w:rsidRPr="00045BB7" w:rsidRDefault="00045BB7" w:rsidP="00246688">
      <w:pPr>
        <w:pStyle w:val="Prrafodelista"/>
        <w:rPr>
          <w:rFonts w:ascii="Times New Roman" w:hAnsi="Times New Roman" w:cs="Times New Roman"/>
          <w:bCs/>
          <w:i/>
          <w:szCs w:val="28"/>
        </w:rPr>
      </w:pPr>
    </w:p>
    <w:p w:rsidR="00246688"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En tercer lugar, aducen que el comprador inmob</w:t>
      </w:r>
      <w:r w:rsidRPr="00045BB7">
        <w:rPr>
          <w:rFonts w:ascii="Times New Roman" w:hAnsi="Times New Roman" w:cs="Times New Roman"/>
          <w:bCs/>
          <w:iCs/>
          <w:sz w:val="28"/>
          <w:szCs w:val="28"/>
        </w:rPr>
        <w:t>iliario se convierte en un acreedor involuntario, en virtud de “un beneficio que el legislador ha otorgado a un acreedor voluntario” y que genera que la acreencia del comprador se vuelva litigiosa, circunstancia que constituye una vulneración al debido pro</w:t>
      </w:r>
      <w:r w:rsidRPr="00045BB7">
        <w:rPr>
          <w:rFonts w:ascii="Times New Roman" w:hAnsi="Times New Roman" w:cs="Times New Roman"/>
          <w:bCs/>
          <w:iCs/>
          <w:sz w:val="28"/>
          <w:szCs w:val="28"/>
        </w:rPr>
        <w:t>ceso y al derecho de propiedad, en tanto las normas acusadas no ofrecen condiciones suficientes que permitan asegurar los derechos de los acreedores que sí están obligados a seguir en el proceso concursal.</w:t>
      </w:r>
    </w:p>
    <w:p w:rsidR="0046593B" w:rsidRPr="00045BB7" w:rsidRDefault="00045BB7" w:rsidP="00246688">
      <w:pPr>
        <w:tabs>
          <w:tab w:val="left" w:pos="0"/>
          <w:tab w:val="left" w:pos="567"/>
        </w:tabs>
        <w:ind w:right="51"/>
        <w:contextualSpacing/>
        <w:jc w:val="both"/>
        <w:rPr>
          <w:rFonts w:ascii="Times New Roman" w:hAnsi="Times New Roman" w:cs="Times New Roman"/>
          <w:bCs/>
          <w:i/>
          <w:sz w:val="28"/>
          <w:szCs w:val="28"/>
        </w:rPr>
      </w:pPr>
    </w:p>
    <w:p w:rsidR="003271EF"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Cs/>
          <w:sz w:val="28"/>
          <w:szCs w:val="28"/>
        </w:rPr>
      </w:pPr>
      <w:r w:rsidRPr="00045BB7">
        <w:rPr>
          <w:rFonts w:ascii="Times New Roman" w:hAnsi="Times New Roman" w:cs="Times New Roman"/>
          <w:bCs/>
          <w:iCs/>
          <w:sz w:val="28"/>
          <w:szCs w:val="28"/>
        </w:rPr>
        <w:t xml:space="preserve">Por su lado, </w:t>
      </w:r>
      <w:r w:rsidRPr="00045BB7">
        <w:rPr>
          <w:rFonts w:ascii="Times New Roman" w:hAnsi="Times New Roman" w:cs="Times New Roman"/>
          <w:bCs/>
          <w:iCs/>
          <w:sz w:val="28"/>
          <w:szCs w:val="28"/>
        </w:rPr>
        <w:t xml:space="preserve">la </w:t>
      </w:r>
      <w:r w:rsidRPr="00045BB7">
        <w:rPr>
          <w:rFonts w:ascii="Times New Roman" w:hAnsi="Times New Roman" w:cs="Times New Roman"/>
          <w:bCs/>
          <w:i/>
          <w:sz w:val="28"/>
          <w:szCs w:val="28"/>
        </w:rPr>
        <w:t>Universidad del Rosario</w:t>
      </w:r>
      <w:r w:rsidRPr="00045BB7">
        <w:rPr>
          <w:rStyle w:val="Refdenotaalpie"/>
          <w:rFonts w:ascii="Times New Roman" w:hAnsi="Times New Roman" w:cs="Times New Roman"/>
          <w:bCs/>
          <w:iCs/>
          <w:sz w:val="28"/>
          <w:szCs w:val="28"/>
        </w:rPr>
        <w:footnoteReference w:id="67"/>
      </w:r>
      <w:r w:rsidRPr="00045BB7">
        <w:rPr>
          <w:rFonts w:ascii="Times New Roman" w:hAnsi="Times New Roman" w:cs="Times New Roman"/>
          <w:bCs/>
          <w:iCs/>
          <w:sz w:val="28"/>
          <w:szCs w:val="28"/>
        </w:rPr>
        <w:t xml:space="preserve"> asevera que “las normas demandadas establecen privilegios a favor de los acreedores con garantías hipotecarias, en las que pueden estar involucrados los derechos de los consumidores de vivienda y el ejercicio del derecho fundamental a la vivienda digna”</w:t>
      </w:r>
      <w:r w:rsidRPr="00045BB7">
        <w:rPr>
          <w:rStyle w:val="Refdenotaalpie"/>
          <w:rFonts w:ascii="Times New Roman" w:hAnsi="Times New Roman" w:cs="Times New Roman"/>
          <w:bCs/>
          <w:iCs/>
          <w:sz w:val="28"/>
          <w:szCs w:val="28"/>
        </w:rPr>
        <w:footnoteReference w:id="68"/>
      </w:r>
      <w:r w:rsidRPr="00045BB7">
        <w:rPr>
          <w:rFonts w:ascii="Times New Roman" w:hAnsi="Times New Roman" w:cs="Times New Roman"/>
          <w:bCs/>
          <w:iCs/>
          <w:sz w:val="28"/>
          <w:szCs w:val="28"/>
        </w:rPr>
        <w:t xml:space="preserve">. Para fundamentar su postura, refiere que existen cuatro eventuales procesos en los que pueden estar </w:t>
      </w:r>
      <w:r w:rsidRPr="00045BB7">
        <w:rPr>
          <w:rFonts w:ascii="Times New Roman" w:hAnsi="Times New Roman" w:cs="Times New Roman"/>
          <w:bCs/>
          <w:iCs/>
          <w:sz w:val="28"/>
          <w:szCs w:val="28"/>
        </w:rPr>
        <w:t>comprometidos</w:t>
      </w:r>
      <w:r w:rsidRPr="00045BB7">
        <w:rPr>
          <w:rFonts w:ascii="Times New Roman" w:hAnsi="Times New Roman" w:cs="Times New Roman"/>
          <w:bCs/>
          <w:iCs/>
          <w:sz w:val="28"/>
          <w:szCs w:val="28"/>
        </w:rPr>
        <w:t xml:space="preserve"> los intereses de los consumidores de vivienda: </w:t>
      </w:r>
      <w:r w:rsidRPr="00045BB7">
        <w:rPr>
          <w:rFonts w:ascii="Times New Roman" w:hAnsi="Times New Roman" w:cs="Times New Roman"/>
          <w:bCs/>
          <w:i/>
          <w:sz w:val="28"/>
          <w:szCs w:val="28"/>
        </w:rPr>
        <w:t xml:space="preserve">(i) </w:t>
      </w:r>
      <w:r w:rsidRPr="00045BB7">
        <w:rPr>
          <w:rFonts w:ascii="Times New Roman" w:hAnsi="Times New Roman" w:cs="Times New Roman"/>
          <w:bCs/>
          <w:iCs/>
          <w:sz w:val="28"/>
          <w:szCs w:val="28"/>
        </w:rPr>
        <w:t xml:space="preserve">insolvencia empresarial de las constructoras de vivienda, </w:t>
      </w:r>
      <w:r w:rsidRPr="00045BB7">
        <w:rPr>
          <w:rFonts w:ascii="Times New Roman" w:hAnsi="Times New Roman" w:cs="Times New Roman"/>
          <w:bCs/>
          <w:i/>
          <w:sz w:val="28"/>
          <w:szCs w:val="28"/>
        </w:rPr>
        <w:t>(ii)</w:t>
      </w:r>
      <w:r w:rsidRPr="00045BB7">
        <w:rPr>
          <w:rFonts w:ascii="Times New Roman" w:hAnsi="Times New Roman" w:cs="Times New Roman"/>
          <w:bCs/>
          <w:iCs/>
          <w:sz w:val="28"/>
          <w:szCs w:val="28"/>
        </w:rPr>
        <w:t xml:space="preserve"> insolvencia empresarial de</w:t>
      </w:r>
      <w:r w:rsidRPr="00045BB7">
        <w:rPr>
          <w:rFonts w:ascii="Times New Roman" w:hAnsi="Times New Roman" w:cs="Times New Roman"/>
          <w:bCs/>
          <w:iCs/>
          <w:sz w:val="28"/>
          <w:szCs w:val="28"/>
        </w:rPr>
        <w:t xml:space="preserve"> patrimonios autónomos encargados de desarrollar proyectos de fiducia inmobiliaria, </w:t>
      </w:r>
      <w:r w:rsidRPr="00045BB7">
        <w:rPr>
          <w:rFonts w:ascii="Times New Roman" w:hAnsi="Times New Roman" w:cs="Times New Roman"/>
          <w:bCs/>
          <w:i/>
          <w:sz w:val="28"/>
          <w:szCs w:val="28"/>
        </w:rPr>
        <w:t xml:space="preserve">(iii) </w:t>
      </w:r>
      <w:r w:rsidRPr="00045BB7">
        <w:rPr>
          <w:rFonts w:ascii="Times New Roman" w:hAnsi="Times New Roman" w:cs="Times New Roman"/>
          <w:bCs/>
          <w:iCs/>
          <w:sz w:val="28"/>
          <w:szCs w:val="28"/>
        </w:rPr>
        <w:t xml:space="preserve">insolvencia de terceros, en los casos de responsabilidad civil contractual o extracontractual y, </w:t>
      </w:r>
      <w:r w:rsidRPr="00045BB7">
        <w:rPr>
          <w:rFonts w:ascii="Times New Roman" w:hAnsi="Times New Roman" w:cs="Times New Roman"/>
          <w:bCs/>
          <w:i/>
          <w:sz w:val="28"/>
          <w:szCs w:val="28"/>
        </w:rPr>
        <w:t xml:space="preserve">(iv) </w:t>
      </w:r>
      <w:r w:rsidRPr="00045BB7">
        <w:rPr>
          <w:rFonts w:ascii="Times New Roman" w:hAnsi="Times New Roman" w:cs="Times New Roman"/>
          <w:bCs/>
          <w:iCs/>
          <w:sz w:val="28"/>
          <w:szCs w:val="28"/>
        </w:rPr>
        <w:t>procesos de intervención por captación masiva e ilegal de dinero</w:t>
      </w:r>
      <w:r w:rsidRPr="00045BB7">
        <w:rPr>
          <w:rFonts w:ascii="Times New Roman" w:hAnsi="Times New Roman" w:cs="Times New Roman"/>
          <w:bCs/>
          <w:iCs/>
          <w:sz w:val="28"/>
          <w:szCs w:val="28"/>
        </w:rPr>
        <w:t xml:space="preserve">s del público. </w:t>
      </w:r>
    </w:p>
    <w:p w:rsidR="003271EF" w:rsidRPr="00045BB7" w:rsidRDefault="00045BB7" w:rsidP="003271EF">
      <w:pPr>
        <w:tabs>
          <w:tab w:val="left" w:pos="0"/>
          <w:tab w:val="left" w:pos="567"/>
        </w:tabs>
        <w:ind w:right="51"/>
        <w:contextualSpacing/>
        <w:jc w:val="both"/>
        <w:rPr>
          <w:rFonts w:ascii="Times New Roman" w:hAnsi="Times New Roman" w:cs="Times New Roman"/>
          <w:bCs/>
          <w:iCs/>
          <w:sz w:val="28"/>
          <w:szCs w:val="28"/>
        </w:rPr>
      </w:pPr>
    </w:p>
    <w:p w:rsidR="003271EF"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Cs/>
          <w:sz w:val="28"/>
          <w:szCs w:val="28"/>
        </w:rPr>
      </w:pPr>
      <w:r w:rsidRPr="00045BB7">
        <w:rPr>
          <w:rFonts w:ascii="Times New Roman" w:hAnsi="Times New Roman" w:cs="Times New Roman"/>
          <w:bCs/>
          <w:iCs/>
          <w:sz w:val="28"/>
          <w:szCs w:val="28"/>
        </w:rPr>
        <w:t xml:space="preserve">Luego, señala que la prioridad que concede el artículo 50 de la Ley 1676 de 2013 a los acreedores con garantía real implica una serie de riesgos para los demás acreedores, estos son: </w:t>
      </w:r>
      <w:r w:rsidRPr="00045BB7">
        <w:rPr>
          <w:rFonts w:ascii="Times New Roman" w:hAnsi="Times New Roman" w:cs="Times New Roman"/>
          <w:bCs/>
          <w:i/>
          <w:sz w:val="28"/>
          <w:szCs w:val="28"/>
        </w:rPr>
        <w:t xml:space="preserve">(i) </w:t>
      </w:r>
      <w:r w:rsidRPr="00045BB7">
        <w:rPr>
          <w:rFonts w:ascii="Times New Roman" w:hAnsi="Times New Roman" w:cs="Times New Roman"/>
          <w:bCs/>
          <w:iCs/>
          <w:sz w:val="28"/>
          <w:szCs w:val="28"/>
        </w:rPr>
        <w:t>pago tardío</w:t>
      </w:r>
      <w:r w:rsidRPr="00045BB7">
        <w:rPr>
          <w:rStyle w:val="Refdenotaalpie"/>
          <w:rFonts w:ascii="Times New Roman" w:hAnsi="Times New Roman" w:cs="Times New Roman"/>
          <w:bCs/>
          <w:iCs/>
          <w:sz w:val="28"/>
          <w:szCs w:val="28"/>
        </w:rPr>
        <w:footnoteReference w:id="69"/>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(ii) </w:t>
      </w:r>
      <w:r w:rsidRPr="00045BB7">
        <w:rPr>
          <w:rFonts w:ascii="Times New Roman" w:hAnsi="Times New Roman" w:cs="Times New Roman"/>
          <w:bCs/>
          <w:iCs/>
          <w:sz w:val="28"/>
          <w:szCs w:val="28"/>
        </w:rPr>
        <w:t>pago en dinero</w:t>
      </w:r>
      <w:r w:rsidRPr="00045BB7">
        <w:rPr>
          <w:rStyle w:val="Refdenotaalpie"/>
          <w:rFonts w:ascii="Times New Roman" w:hAnsi="Times New Roman" w:cs="Times New Roman"/>
          <w:bCs/>
          <w:iCs/>
          <w:sz w:val="28"/>
          <w:szCs w:val="28"/>
        </w:rPr>
        <w:footnoteReference w:id="70"/>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 xml:space="preserve">(iii) </w:t>
      </w:r>
      <w:r w:rsidRPr="00045BB7">
        <w:rPr>
          <w:rFonts w:ascii="Times New Roman" w:hAnsi="Times New Roman" w:cs="Times New Roman"/>
          <w:bCs/>
          <w:iCs/>
          <w:sz w:val="28"/>
          <w:szCs w:val="28"/>
        </w:rPr>
        <w:t>pago con u</w:t>
      </w:r>
      <w:r w:rsidRPr="00045BB7">
        <w:rPr>
          <w:rFonts w:ascii="Times New Roman" w:hAnsi="Times New Roman" w:cs="Times New Roman"/>
          <w:bCs/>
          <w:iCs/>
          <w:sz w:val="28"/>
          <w:szCs w:val="28"/>
        </w:rPr>
        <w:t>n bien distinto</w:t>
      </w:r>
      <w:r w:rsidRPr="00045BB7">
        <w:rPr>
          <w:rStyle w:val="Refdenotaalpie"/>
          <w:rFonts w:ascii="Times New Roman" w:hAnsi="Times New Roman" w:cs="Times New Roman"/>
          <w:bCs/>
          <w:iCs/>
          <w:sz w:val="28"/>
          <w:szCs w:val="28"/>
        </w:rPr>
        <w:footnoteReference w:id="71"/>
      </w:r>
      <w:r w:rsidRPr="00045BB7">
        <w:rPr>
          <w:rFonts w:ascii="Times New Roman" w:hAnsi="Times New Roman" w:cs="Times New Roman"/>
          <w:bCs/>
          <w:iCs/>
          <w:sz w:val="28"/>
          <w:szCs w:val="28"/>
        </w:rPr>
        <w:t xml:space="preserve"> y, </w:t>
      </w:r>
      <w:r w:rsidRPr="00045BB7">
        <w:rPr>
          <w:rFonts w:ascii="Times New Roman" w:hAnsi="Times New Roman" w:cs="Times New Roman"/>
          <w:bCs/>
          <w:i/>
          <w:sz w:val="28"/>
          <w:szCs w:val="28"/>
        </w:rPr>
        <w:t xml:space="preserve">(iv) </w:t>
      </w:r>
      <w:r w:rsidRPr="00045BB7">
        <w:rPr>
          <w:rFonts w:ascii="Times New Roman" w:hAnsi="Times New Roman" w:cs="Times New Roman"/>
          <w:bCs/>
          <w:iCs/>
          <w:sz w:val="28"/>
          <w:szCs w:val="28"/>
        </w:rPr>
        <w:t>liquidación</w:t>
      </w:r>
      <w:r w:rsidRPr="00045BB7">
        <w:rPr>
          <w:rStyle w:val="Refdenotaalpie"/>
          <w:rFonts w:ascii="Times New Roman" w:hAnsi="Times New Roman" w:cs="Times New Roman"/>
          <w:bCs/>
          <w:iCs/>
          <w:sz w:val="28"/>
          <w:szCs w:val="28"/>
        </w:rPr>
        <w:footnoteReference w:id="72"/>
      </w:r>
      <w:r w:rsidRPr="00045BB7">
        <w:rPr>
          <w:rFonts w:ascii="Times New Roman" w:hAnsi="Times New Roman" w:cs="Times New Roman"/>
          <w:bCs/>
          <w:iCs/>
          <w:sz w:val="28"/>
          <w:szCs w:val="28"/>
        </w:rPr>
        <w:t xml:space="preserve">. Frente al artículo 52 demandado, expone que la prerrogativa que este contiene solo ha estado condicionada en relación con la salvaguarda de los acreedores de primera clase y, “la existencia de un derecho de exclusión </w:t>
      </w:r>
      <w:r w:rsidRPr="00045BB7">
        <w:rPr>
          <w:rFonts w:ascii="Times New Roman" w:hAnsi="Times New Roman" w:cs="Times New Roman"/>
          <w:bCs/>
          <w:iCs/>
          <w:sz w:val="28"/>
          <w:szCs w:val="28"/>
        </w:rPr>
        <w:t>de activos y de créditos por parte de los acreedores garantizados puede mermar la prenda general de los acreedores”</w:t>
      </w:r>
      <w:r w:rsidRPr="00045BB7">
        <w:rPr>
          <w:rStyle w:val="Refdenotaalpie"/>
          <w:rFonts w:ascii="Times New Roman" w:hAnsi="Times New Roman" w:cs="Times New Roman"/>
          <w:bCs/>
          <w:iCs/>
          <w:sz w:val="28"/>
          <w:szCs w:val="28"/>
        </w:rPr>
        <w:footnoteReference w:id="73"/>
      </w:r>
      <w:r w:rsidRPr="00045BB7">
        <w:rPr>
          <w:rFonts w:ascii="Times New Roman" w:hAnsi="Times New Roman" w:cs="Times New Roman"/>
          <w:bCs/>
          <w:iCs/>
          <w:sz w:val="28"/>
          <w:szCs w:val="28"/>
        </w:rPr>
        <w:t>, situación que iría en detrimento de los acreedores de vivienda, quienes no se encuentran en la primera clase de prelación de créditos</w:t>
      </w:r>
      <w:r w:rsidRPr="00045BB7">
        <w:rPr>
          <w:rStyle w:val="Refdenotaalpie"/>
          <w:rFonts w:ascii="Times New Roman" w:hAnsi="Times New Roman" w:cs="Times New Roman"/>
          <w:bCs/>
          <w:iCs/>
          <w:sz w:val="28"/>
          <w:szCs w:val="28"/>
        </w:rPr>
        <w:footnoteReference w:id="74"/>
      </w:r>
      <w:r w:rsidRPr="00045BB7">
        <w:rPr>
          <w:rFonts w:ascii="Times New Roman" w:hAnsi="Times New Roman" w:cs="Times New Roman"/>
          <w:bCs/>
          <w:iCs/>
          <w:sz w:val="28"/>
          <w:szCs w:val="28"/>
        </w:rPr>
        <w:t xml:space="preserve">. </w:t>
      </w:r>
    </w:p>
    <w:p w:rsidR="00246688" w:rsidRPr="00045BB7" w:rsidRDefault="00045BB7" w:rsidP="00246688">
      <w:pPr>
        <w:pStyle w:val="Prrafodelista"/>
        <w:rPr>
          <w:rFonts w:ascii="Times New Roman" w:hAnsi="Times New Roman" w:cs="Times New Roman"/>
          <w:bCs/>
          <w:iCs/>
          <w:szCs w:val="28"/>
        </w:rPr>
      </w:pPr>
    </w:p>
    <w:p w:rsidR="00246688"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Cs/>
          <w:sz w:val="28"/>
          <w:szCs w:val="28"/>
        </w:rPr>
      </w:pPr>
      <w:r w:rsidRPr="00045BB7">
        <w:rPr>
          <w:rFonts w:ascii="Times New Roman" w:hAnsi="Times New Roman" w:cs="Times New Roman"/>
          <w:bCs/>
          <w:iCs/>
          <w:sz w:val="28"/>
          <w:szCs w:val="28"/>
        </w:rPr>
        <w:t>Finalmente, resalta que la potestad que tiene el acreedor con garantía real “desequilibra la balanza del proceso concursal y pone en riesgo la efectividad de los derechos indicados en el canon 51 de la Carta Política”</w:t>
      </w:r>
      <w:r w:rsidRPr="00045BB7">
        <w:rPr>
          <w:rStyle w:val="Refdenotaalpie"/>
          <w:rFonts w:ascii="Times New Roman" w:hAnsi="Times New Roman" w:cs="Times New Roman"/>
          <w:bCs/>
          <w:iCs/>
          <w:sz w:val="28"/>
          <w:szCs w:val="28"/>
        </w:rPr>
        <w:footnoteReference w:id="75"/>
      </w:r>
      <w:r w:rsidRPr="00045BB7">
        <w:rPr>
          <w:rFonts w:ascii="Times New Roman" w:hAnsi="Times New Roman" w:cs="Times New Roman"/>
          <w:bCs/>
          <w:iCs/>
          <w:sz w:val="28"/>
          <w:szCs w:val="28"/>
        </w:rPr>
        <w:t xml:space="preserve">. </w:t>
      </w:r>
    </w:p>
    <w:p w:rsidR="006A3C8B" w:rsidRPr="00045BB7" w:rsidRDefault="00045BB7" w:rsidP="006B4656">
      <w:pPr>
        <w:tabs>
          <w:tab w:val="left" w:pos="0"/>
          <w:tab w:val="left" w:pos="567"/>
        </w:tabs>
        <w:ind w:right="51"/>
        <w:contextualSpacing/>
        <w:jc w:val="both"/>
        <w:rPr>
          <w:rFonts w:ascii="Times New Roman" w:hAnsi="Times New Roman" w:cs="Times New Roman"/>
          <w:bCs/>
          <w:iCs/>
          <w:sz w:val="28"/>
          <w:szCs w:val="28"/>
        </w:rPr>
      </w:pPr>
    </w:p>
    <w:p w:rsidR="00021367" w:rsidRPr="00045BB7" w:rsidRDefault="00045BB7" w:rsidP="00005DC5">
      <w:pPr>
        <w:pStyle w:val="Ttulo1"/>
        <w:keepNext/>
        <w:keepLines/>
        <w:widowControl w:val="0"/>
        <w:numPr>
          <w:ilvl w:val="0"/>
          <w:numId w:val="7"/>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ind w:left="567" w:firstLine="0"/>
        <w:jc w:val="both"/>
        <w:rPr>
          <w:rFonts w:ascii="Times New Roman" w:hAnsi="Times New Roman" w:cs="Times New Roman"/>
        </w:rPr>
      </w:pPr>
      <w:r w:rsidRPr="00045BB7">
        <w:rPr>
          <w:rFonts w:ascii="Times New Roman" w:hAnsi="Times New Roman" w:cs="Times New Roman"/>
        </w:rPr>
        <w:t>Concepto de la Procuradora General</w:t>
      </w:r>
      <w:r w:rsidRPr="00045BB7">
        <w:rPr>
          <w:rFonts w:ascii="Times New Roman" w:hAnsi="Times New Roman" w:cs="Times New Roman"/>
        </w:rPr>
        <w:t xml:space="preserve"> de la Nación</w:t>
      </w:r>
    </w:p>
    <w:p w:rsidR="00021367" w:rsidRPr="00045BB7" w:rsidRDefault="00045BB7" w:rsidP="006B4656">
      <w:pPr>
        <w:tabs>
          <w:tab w:val="left" w:pos="0"/>
          <w:tab w:val="left" w:pos="567"/>
        </w:tabs>
        <w:ind w:right="51"/>
        <w:contextualSpacing/>
        <w:jc w:val="both"/>
        <w:rPr>
          <w:rFonts w:ascii="Times New Roman" w:hAnsi="Times New Roman" w:cs="Times New Roman"/>
          <w:bCs/>
          <w:iCs/>
          <w:sz w:val="28"/>
          <w:szCs w:val="28"/>
        </w:rPr>
      </w:pPr>
    </w:p>
    <w:p w:rsidR="008C708D"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La Procuradora General de la Nación considera que la demanda es inepta sustancialmente</w:t>
      </w:r>
      <w:r w:rsidRPr="00045BB7">
        <w:rPr>
          <w:rFonts w:ascii="Times New Roman" w:hAnsi="Times New Roman" w:cs="Times New Roman"/>
          <w:bCs/>
          <w:iCs/>
          <w:sz w:val="28"/>
          <w:szCs w:val="28"/>
        </w:rPr>
        <w:t xml:space="preserve"> porque carece de </w:t>
      </w:r>
      <w:r w:rsidRPr="00045BB7">
        <w:rPr>
          <w:rFonts w:ascii="Times New Roman" w:hAnsi="Times New Roman" w:cs="Times New Roman"/>
          <w:bCs/>
          <w:i/>
          <w:sz w:val="28"/>
          <w:szCs w:val="28"/>
        </w:rPr>
        <w:t>(i) certeza</w:t>
      </w:r>
      <w:r w:rsidRPr="00045BB7">
        <w:rPr>
          <w:rFonts w:ascii="Times New Roman" w:hAnsi="Times New Roman" w:cs="Times New Roman"/>
          <w:bCs/>
          <w:iCs/>
          <w:sz w:val="28"/>
          <w:szCs w:val="28"/>
        </w:rPr>
        <w:t>, en tanto los argumentos expuestos por el accionante parten de una lectura descontextualizada de las normas, puesto que de un</w:t>
      </w:r>
      <w:r w:rsidRPr="00045BB7">
        <w:rPr>
          <w:rFonts w:ascii="Times New Roman" w:hAnsi="Times New Roman" w:cs="Times New Roman"/>
          <w:bCs/>
          <w:iCs/>
          <w:sz w:val="28"/>
          <w:szCs w:val="28"/>
        </w:rPr>
        <w:t xml:space="preserve"> análisis sistemático de la norma, es posible advertir que el legislador no ha omitido su deber de protección hacia los promitentes compradores de inmuebles, dado que la Ley 1116 de 2006</w:t>
      </w:r>
      <w:r w:rsidRPr="00045BB7">
        <w:rPr>
          <w:rStyle w:val="Refdenotaalpie"/>
          <w:rFonts w:ascii="Times New Roman" w:hAnsi="Times New Roman" w:cs="Times New Roman"/>
          <w:bCs/>
          <w:iCs/>
          <w:sz w:val="28"/>
          <w:szCs w:val="28"/>
        </w:rPr>
        <w:footnoteReference w:id="76"/>
      </w:r>
      <w:r w:rsidRPr="00045BB7">
        <w:rPr>
          <w:rFonts w:ascii="Times New Roman" w:hAnsi="Times New Roman" w:cs="Times New Roman"/>
          <w:bCs/>
          <w:iCs/>
          <w:sz w:val="28"/>
          <w:szCs w:val="28"/>
        </w:rPr>
        <w:t xml:space="preserve"> sí estableció mecanismos para la salvaguarda de sus intereses</w:t>
      </w:r>
      <w:r w:rsidRPr="00045BB7">
        <w:rPr>
          <w:rStyle w:val="Refdenotaalpie"/>
          <w:rFonts w:ascii="Times New Roman" w:hAnsi="Times New Roman" w:cs="Times New Roman"/>
          <w:bCs/>
          <w:iCs/>
          <w:sz w:val="28"/>
          <w:szCs w:val="28"/>
        </w:rPr>
        <w:footnoteReference w:id="77"/>
      </w:r>
      <w:r w:rsidRPr="00045BB7">
        <w:rPr>
          <w:rFonts w:ascii="Times New Roman" w:hAnsi="Times New Roman" w:cs="Times New Roman"/>
          <w:bCs/>
          <w:iCs/>
          <w:sz w:val="28"/>
          <w:szCs w:val="28"/>
        </w:rPr>
        <w:t>, espe</w:t>
      </w:r>
      <w:r w:rsidRPr="00045BB7">
        <w:rPr>
          <w:rFonts w:ascii="Times New Roman" w:hAnsi="Times New Roman" w:cs="Times New Roman"/>
          <w:bCs/>
          <w:iCs/>
          <w:sz w:val="28"/>
          <w:szCs w:val="28"/>
        </w:rPr>
        <w:t>cíficamente, en los artículos 51 y 55</w:t>
      </w:r>
      <w:r w:rsidRPr="00045BB7">
        <w:rPr>
          <w:rFonts w:ascii="Times New Roman" w:hAnsi="Times New Roman" w:cs="Times New Roman"/>
          <w:bCs/>
          <w:iCs/>
          <w:sz w:val="28"/>
          <w:szCs w:val="28"/>
        </w:rPr>
        <w:t xml:space="preserve">. Además, tratándose de constructoras, resulta evidente que los bienes raíces sobre los que se edifican las unidades de vivienda están relacionados con el objeto del negocio, circunstancia que hace improcedente aplicar </w:t>
      </w:r>
      <w:r w:rsidRPr="00045BB7">
        <w:rPr>
          <w:rFonts w:ascii="Times New Roman" w:hAnsi="Times New Roman" w:cs="Times New Roman"/>
          <w:bCs/>
          <w:iCs/>
          <w:sz w:val="28"/>
          <w:szCs w:val="28"/>
        </w:rPr>
        <w:t>la hipótesis de las normas demandadas</w:t>
      </w:r>
      <w:r w:rsidRPr="00045BB7">
        <w:rPr>
          <w:rFonts w:ascii="Times New Roman" w:hAnsi="Times New Roman" w:cs="Times New Roman"/>
          <w:bCs/>
          <w:iCs/>
          <w:sz w:val="28"/>
          <w:szCs w:val="28"/>
        </w:rPr>
        <w:t>; y</w:t>
      </w:r>
      <w:r w:rsidRPr="00045BB7">
        <w:rPr>
          <w:rFonts w:ascii="Times New Roman" w:hAnsi="Times New Roman" w:cs="Times New Roman"/>
          <w:bCs/>
          <w:iCs/>
          <w:sz w:val="28"/>
          <w:szCs w:val="28"/>
        </w:rPr>
        <w:t xml:space="preserve"> </w:t>
      </w:r>
      <w:r w:rsidRPr="00045BB7">
        <w:rPr>
          <w:rFonts w:ascii="Times New Roman" w:hAnsi="Times New Roman" w:cs="Times New Roman"/>
          <w:bCs/>
          <w:i/>
          <w:sz w:val="28"/>
          <w:szCs w:val="28"/>
        </w:rPr>
        <w:t>(ii)</w:t>
      </w:r>
      <w:r w:rsidRPr="00045BB7">
        <w:rPr>
          <w:rFonts w:ascii="Times New Roman" w:hAnsi="Times New Roman" w:cs="Times New Roman"/>
          <w:bCs/>
          <w:i/>
          <w:sz w:val="28"/>
          <w:szCs w:val="28"/>
        </w:rPr>
        <w:t xml:space="preserve"> s</w:t>
      </w:r>
      <w:r w:rsidRPr="00045BB7">
        <w:rPr>
          <w:rFonts w:ascii="Times New Roman" w:hAnsi="Times New Roman" w:cs="Times New Roman"/>
          <w:bCs/>
          <w:i/>
          <w:sz w:val="28"/>
          <w:szCs w:val="28"/>
        </w:rPr>
        <w:t xml:space="preserve">uficiencia, </w:t>
      </w:r>
      <w:r w:rsidRPr="00045BB7">
        <w:rPr>
          <w:rFonts w:ascii="Times New Roman" w:hAnsi="Times New Roman" w:cs="Times New Roman"/>
          <w:bCs/>
          <w:iCs/>
          <w:sz w:val="28"/>
          <w:szCs w:val="28"/>
        </w:rPr>
        <w:t xml:space="preserve">por cuanto el “yerro en el entendimiento sistemático de las disposiciones cuestionadas deriva en que las consideraciones desarrolladas por el accionante no sean completas para formular un cargo de </w:t>
      </w:r>
      <w:r w:rsidRPr="00045BB7">
        <w:rPr>
          <w:rFonts w:ascii="Times New Roman" w:hAnsi="Times New Roman" w:cs="Times New Roman"/>
          <w:bCs/>
          <w:iCs/>
          <w:sz w:val="28"/>
          <w:szCs w:val="28"/>
        </w:rPr>
        <w:t>inconstitucionalidad y, por ello, resulten ineptas para reprochar la conformidad con la Carta política”</w:t>
      </w:r>
      <w:r w:rsidRPr="00045BB7">
        <w:rPr>
          <w:rStyle w:val="Refdenotaalpie"/>
          <w:rFonts w:ascii="Times New Roman" w:hAnsi="Times New Roman" w:cs="Times New Roman"/>
          <w:bCs/>
          <w:iCs/>
          <w:sz w:val="28"/>
          <w:szCs w:val="28"/>
        </w:rPr>
        <w:footnoteReference w:id="78"/>
      </w:r>
      <w:r w:rsidRPr="00045BB7">
        <w:rPr>
          <w:rFonts w:ascii="Times New Roman" w:hAnsi="Times New Roman" w:cs="Times New Roman"/>
          <w:bCs/>
          <w:iCs/>
          <w:sz w:val="28"/>
          <w:szCs w:val="28"/>
        </w:rPr>
        <w:t>.</w:t>
      </w:r>
    </w:p>
    <w:p w:rsidR="008C708D" w:rsidRPr="00045BB7" w:rsidRDefault="00045BB7" w:rsidP="008C708D">
      <w:pPr>
        <w:tabs>
          <w:tab w:val="left" w:pos="0"/>
          <w:tab w:val="left" w:pos="567"/>
        </w:tabs>
        <w:ind w:right="51"/>
        <w:contextualSpacing/>
        <w:jc w:val="both"/>
        <w:rPr>
          <w:rFonts w:ascii="Times New Roman" w:hAnsi="Times New Roman" w:cs="Times New Roman"/>
          <w:bCs/>
          <w:i/>
          <w:sz w:val="28"/>
          <w:szCs w:val="28"/>
        </w:rPr>
      </w:pPr>
    </w:p>
    <w:bookmarkEnd w:id="1"/>
    <w:bookmarkEnd w:id="2"/>
    <w:p w:rsidR="00537BB0" w:rsidRPr="00045BB7" w:rsidRDefault="00045BB7" w:rsidP="00005DC5">
      <w:pPr>
        <w:pStyle w:val="Ttulo1"/>
        <w:numPr>
          <w:ilvl w:val="0"/>
          <w:numId w:val="6"/>
        </w:numPr>
        <w:pBdr>
          <w:left w:val="none" w:sz="0" w:space="31" w:color="000000"/>
        </w:pBdr>
        <w:ind w:left="360" w:hanging="360"/>
        <w:rPr>
          <w:rFonts w:ascii="Times New Roman" w:hAnsi="Times New Roman" w:cs="Times New Roman"/>
        </w:rPr>
      </w:pPr>
      <w:r w:rsidRPr="00045BB7">
        <w:rPr>
          <w:rFonts w:ascii="Times New Roman" w:hAnsi="Times New Roman" w:cs="Times New Roman"/>
        </w:rPr>
        <w:t>CONSIDERACIONES</w:t>
      </w:r>
    </w:p>
    <w:p w:rsidR="00060537" w:rsidRPr="00045BB7" w:rsidRDefault="00045BB7" w:rsidP="00060537">
      <w:pPr>
        <w:rPr>
          <w:rFonts w:ascii="Times New Roman" w:hAnsi="Times New Roman" w:cs="Times New Roman"/>
          <w:b/>
          <w:sz w:val="28"/>
          <w:szCs w:val="28"/>
        </w:rPr>
      </w:pPr>
    </w:p>
    <w:p w:rsidR="00B201B2" w:rsidRPr="00045BB7" w:rsidRDefault="00045BB7" w:rsidP="00005DC5">
      <w:pPr>
        <w:keepNext/>
        <w:keepLines/>
        <w:widowControl w:val="0"/>
        <w:numPr>
          <w:ilvl w:val="0"/>
          <w:numId w:val="9"/>
        </w:numPr>
        <w:pBdr>
          <w:top w:val="none" w:sz="0" w:space="0" w:color="000000"/>
          <w:left w:val="none" w:sz="0" w:space="0" w:color="000000"/>
          <w:bottom w:val="none" w:sz="0" w:space="0" w:color="000000"/>
          <w:right w:val="none" w:sz="0" w:space="0" w:color="000000"/>
          <w:between w:val="none" w:sz="0" w:space="0" w:color="000000"/>
        </w:pBdr>
        <w:tabs>
          <w:tab w:val="left" w:pos="1134"/>
        </w:tabs>
        <w:ind w:left="567" w:firstLine="0"/>
        <w:jc w:val="both"/>
        <w:outlineLvl w:val="0"/>
        <w:rPr>
          <w:rFonts w:ascii="Times New Roman" w:eastAsiaTheme="majorEastAsia" w:hAnsi="Times New Roman" w:cs="Times New Roman"/>
          <w:b/>
          <w:bCs/>
          <w:sz w:val="28"/>
          <w:szCs w:val="28"/>
          <w:lang w:val="es-ES" w:eastAsia="es-ES"/>
        </w:rPr>
      </w:pPr>
      <w:r w:rsidRPr="00045BB7">
        <w:rPr>
          <w:rFonts w:ascii="Times New Roman" w:eastAsiaTheme="majorEastAsia" w:hAnsi="Times New Roman" w:cs="Times New Roman"/>
          <w:b/>
          <w:bCs/>
          <w:sz w:val="28"/>
          <w:szCs w:val="28"/>
          <w:lang w:val="es-ES" w:eastAsia="es-ES"/>
        </w:rPr>
        <w:t>Competencia</w:t>
      </w:r>
    </w:p>
    <w:p w:rsidR="00060537" w:rsidRPr="00045BB7" w:rsidRDefault="00045BB7" w:rsidP="00060537">
      <w:pPr>
        <w:pStyle w:val="Prrafodelista"/>
        <w:spacing w:before="0"/>
        <w:rPr>
          <w:rFonts w:ascii="Times New Roman" w:hAnsi="Times New Roman" w:cs="Times New Roman"/>
          <w:bCs/>
          <w:i/>
          <w:szCs w:val="28"/>
        </w:rPr>
      </w:pPr>
    </w:p>
    <w:p w:rsidR="008D2F88"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Cs/>
          <w:i/>
          <w:sz w:val="28"/>
          <w:szCs w:val="28"/>
        </w:rPr>
      </w:pPr>
      <w:r w:rsidRPr="00045BB7">
        <w:rPr>
          <w:rFonts w:ascii="Times New Roman" w:hAnsi="Times New Roman" w:cs="Times New Roman"/>
          <w:bCs/>
          <w:iCs/>
          <w:sz w:val="28"/>
          <w:szCs w:val="28"/>
        </w:rPr>
        <w:t xml:space="preserve">La </w:t>
      </w:r>
      <w:r w:rsidRPr="00045BB7">
        <w:rPr>
          <w:rFonts w:ascii="Times New Roman" w:hAnsi="Times New Roman" w:cs="Times New Roman"/>
          <w:bCs/>
          <w:iCs/>
          <w:sz w:val="28"/>
          <w:szCs w:val="28"/>
        </w:rPr>
        <w:t xml:space="preserve">Corte Constitucional es competente para adelantar el control de constitucionalidad </w:t>
      </w:r>
      <w:r w:rsidRPr="00045BB7">
        <w:rPr>
          <w:rFonts w:ascii="Times New Roman" w:hAnsi="Times New Roman" w:cs="Times New Roman"/>
          <w:bCs/>
          <w:iCs/>
          <w:sz w:val="28"/>
          <w:szCs w:val="28"/>
        </w:rPr>
        <w:t>de las normas demandadas</w:t>
      </w:r>
      <w:r w:rsidRPr="00045BB7">
        <w:rPr>
          <w:rFonts w:ascii="Times New Roman" w:hAnsi="Times New Roman" w:cs="Times New Roman"/>
          <w:bCs/>
          <w:iCs/>
          <w:sz w:val="28"/>
          <w:szCs w:val="28"/>
        </w:rPr>
        <w:t xml:space="preserve">, de conformidad con lo dispuesto por el numeral 4 del artículo 241 de la Constitución. </w:t>
      </w:r>
    </w:p>
    <w:p w:rsidR="00060537" w:rsidRPr="00045BB7" w:rsidRDefault="00045BB7" w:rsidP="00060537">
      <w:pPr>
        <w:pStyle w:val="Prrafodelista"/>
        <w:tabs>
          <w:tab w:val="left" w:pos="709"/>
        </w:tabs>
        <w:ind w:left="0" w:right="-8"/>
        <w:contextualSpacing/>
        <w:rPr>
          <w:rFonts w:ascii="Times New Roman" w:hAnsi="Times New Roman" w:cs="Times New Roman"/>
          <w:bCs/>
          <w:i/>
          <w:szCs w:val="28"/>
        </w:rPr>
      </w:pPr>
    </w:p>
    <w:p w:rsidR="00B201B2" w:rsidRPr="00045BB7" w:rsidRDefault="00045BB7" w:rsidP="00005DC5">
      <w:pPr>
        <w:pStyle w:val="Ttulo1"/>
        <w:keepNext/>
        <w:keepLines/>
        <w:widowControl w:val="0"/>
        <w:numPr>
          <w:ilvl w:val="0"/>
          <w:numId w:val="9"/>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ind w:left="567" w:firstLine="0"/>
        <w:jc w:val="both"/>
        <w:rPr>
          <w:rFonts w:ascii="Times New Roman" w:hAnsi="Times New Roman" w:cs="Times New Roman"/>
          <w:shd w:val="clear" w:color="auto" w:fill="FFFFFF"/>
        </w:rPr>
      </w:pPr>
      <w:r w:rsidRPr="00045BB7">
        <w:rPr>
          <w:rFonts w:ascii="Times New Roman" w:hAnsi="Times New Roman" w:cs="Times New Roman"/>
          <w:shd w:val="clear" w:color="auto" w:fill="FFFFFF"/>
        </w:rPr>
        <w:t>Estructura de la decisión</w:t>
      </w:r>
    </w:p>
    <w:p w:rsidR="00060537" w:rsidRPr="00045BB7" w:rsidRDefault="00045BB7" w:rsidP="00060537">
      <w:pPr>
        <w:pStyle w:val="Prrafodelista"/>
        <w:tabs>
          <w:tab w:val="left" w:pos="709"/>
        </w:tabs>
        <w:ind w:left="0" w:right="-8"/>
        <w:contextualSpacing/>
        <w:rPr>
          <w:rFonts w:ascii="Times New Roman" w:hAnsi="Times New Roman" w:cs="Times New Roman"/>
          <w:bCs/>
          <w:iCs/>
          <w:szCs w:val="28"/>
        </w:rPr>
      </w:pPr>
    </w:p>
    <w:p w:rsidR="00E71EA7"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La presente decisión tendrá la siguiente estructura. En primer lugar, como cuestiones previas, la Sala Plena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 xml:space="preserve">examinará si en el presente caso existe cosa juzgada en relación con lo decidido en la </w:t>
      </w:r>
      <w:r w:rsidRPr="00045BB7">
        <w:rPr>
          <w:rFonts w:ascii="Times New Roman" w:hAnsi="Times New Roman" w:cs="Times New Roman"/>
          <w:sz w:val="28"/>
          <w:szCs w:val="28"/>
        </w:rPr>
        <w:t>S</w:t>
      </w:r>
      <w:r w:rsidRPr="00045BB7">
        <w:rPr>
          <w:rFonts w:ascii="Times New Roman" w:hAnsi="Times New Roman" w:cs="Times New Roman"/>
          <w:sz w:val="28"/>
          <w:szCs w:val="28"/>
        </w:rPr>
        <w:t xml:space="preserve">entencia C-145 de 2018 y, </w:t>
      </w:r>
      <w:r w:rsidRPr="00045BB7">
        <w:rPr>
          <w:rFonts w:ascii="Times New Roman" w:hAnsi="Times New Roman" w:cs="Times New Roman"/>
          <w:i/>
          <w:iCs/>
          <w:sz w:val="28"/>
          <w:szCs w:val="28"/>
        </w:rPr>
        <w:t xml:space="preserve">(ii) </w:t>
      </w:r>
      <w:r w:rsidRPr="00045BB7">
        <w:rPr>
          <w:rFonts w:ascii="Times New Roman" w:hAnsi="Times New Roman" w:cs="Times New Roman"/>
          <w:sz w:val="28"/>
          <w:szCs w:val="28"/>
        </w:rPr>
        <w:t>estudiará la aptitud sustantiva de la demanda. En segundo lugar, de ser procedente</w:t>
      </w:r>
      <w:r w:rsidRPr="00045BB7">
        <w:rPr>
          <w:rFonts w:ascii="Times New Roman" w:hAnsi="Times New Roman" w:cs="Times New Roman"/>
          <w:sz w:val="28"/>
          <w:szCs w:val="28"/>
        </w:rPr>
        <w:t xml:space="preserve">, analizará si las normas demandadas vulneran los artículos 51 de la Constitución Política y 11.1 del PIDESC. En esta sección, la Sala formulará el problema jurídico de fondo, determinará la metodología para solucionarlo y resolverá el caso concreto. </w:t>
      </w:r>
    </w:p>
    <w:p w:rsidR="00B6646A" w:rsidRPr="00045BB7" w:rsidRDefault="00045BB7" w:rsidP="00B6646A">
      <w:pPr>
        <w:tabs>
          <w:tab w:val="left" w:pos="0"/>
          <w:tab w:val="left" w:pos="567"/>
        </w:tabs>
        <w:ind w:right="51"/>
        <w:contextualSpacing/>
        <w:jc w:val="both"/>
        <w:rPr>
          <w:rFonts w:ascii="Times New Roman" w:hAnsi="Times New Roman" w:cs="Times New Roman"/>
          <w:sz w:val="28"/>
          <w:lang w:val="es-ES_tradnl"/>
        </w:rPr>
      </w:pPr>
    </w:p>
    <w:p w:rsidR="00810FF5" w:rsidRPr="00045BB7" w:rsidRDefault="00045BB7" w:rsidP="00005DC5">
      <w:pPr>
        <w:pStyle w:val="Ttulo1"/>
        <w:keepNext/>
        <w:keepLines/>
        <w:widowControl w:val="0"/>
        <w:numPr>
          <w:ilvl w:val="0"/>
          <w:numId w:val="9"/>
        </w:numPr>
        <w:pBdr>
          <w:top w:val="none" w:sz="0" w:space="0" w:color="000000"/>
          <w:left w:val="none" w:sz="0" w:space="0" w:color="000000"/>
          <w:bottom w:val="none" w:sz="0" w:space="0" w:color="000000"/>
          <w:right w:val="none" w:sz="0" w:space="0" w:color="000000"/>
          <w:between w:val="none" w:sz="0" w:space="0" w:color="000000"/>
        </w:pBdr>
        <w:tabs>
          <w:tab w:val="left" w:pos="1134"/>
        </w:tabs>
        <w:autoSpaceDE/>
        <w:autoSpaceDN/>
        <w:adjustRightInd/>
        <w:ind w:left="567" w:firstLine="0"/>
        <w:jc w:val="both"/>
        <w:rPr>
          <w:rFonts w:ascii="Times New Roman" w:hAnsi="Times New Roman" w:cs="Times New Roman"/>
          <w:shd w:val="clear" w:color="auto" w:fill="FFFFFF"/>
        </w:rPr>
      </w:pPr>
      <w:r w:rsidRPr="00045BB7">
        <w:rPr>
          <w:rFonts w:ascii="Times New Roman" w:hAnsi="Times New Roman" w:cs="Times New Roman"/>
          <w:shd w:val="clear" w:color="auto" w:fill="FFFFFF"/>
        </w:rPr>
        <w:t>Cue</w:t>
      </w:r>
      <w:r w:rsidRPr="00045BB7">
        <w:rPr>
          <w:rFonts w:ascii="Times New Roman" w:hAnsi="Times New Roman" w:cs="Times New Roman"/>
          <w:shd w:val="clear" w:color="auto" w:fill="FFFFFF"/>
        </w:rPr>
        <w:t>st</w:t>
      </w:r>
      <w:r w:rsidRPr="00045BB7">
        <w:rPr>
          <w:rFonts w:ascii="Times New Roman" w:hAnsi="Times New Roman" w:cs="Times New Roman"/>
          <w:shd w:val="clear" w:color="auto" w:fill="FFFFFF"/>
        </w:rPr>
        <w:t>iones</w:t>
      </w:r>
      <w:r w:rsidRPr="00045BB7">
        <w:rPr>
          <w:rFonts w:ascii="Times New Roman" w:hAnsi="Times New Roman" w:cs="Times New Roman"/>
          <w:shd w:val="clear" w:color="auto" w:fill="FFFFFF"/>
        </w:rPr>
        <w:t xml:space="preserve"> previa</w:t>
      </w:r>
      <w:r w:rsidRPr="00045BB7">
        <w:rPr>
          <w:rFonts w:ascii="Times New Roman" w:hAnsi="Times New Roman" w:cs="Times New Roman"/>
          <w:shd w:val="clear" w:color="auto" w:fill="FFFFFF"/>
        </w:rPr>
        <w:t>s</w:t>
      </w:r>
    </w:p>
    <w:p w:rsidR="00810FF5" w:rsidRPr="00045BB7" w:rsidRDefault="00045BB7" w:rsidP="00810FF5">
      <w:pPr>
        <w:rPr>
          <w:rFonts w:ascii="Times New Roman" w:hAnsi="Times New Roman" w:cs="Times New Roman"/>
          <w:sz w:val="28"/>
          <w:lang w:val="es-ES_tradnl"/>
        </w:rPr>
      </w:pPr>
    </w:p>
    <w:p w:rsidR="00B201B2" w:rsidRPr="00045BB7" w:rsidRDefault="00045BB7" w:rsidP="00005DC5">
      <w:pPr>
        <w:pStyle w:val="Prrafodelista"/>
        <w:widowControl w:val="0"/>
        <w:numPr>
          <w:ilvl w:val="1"/>
          <w:numId w:val="9"/>
        </w:numPr>
        <w:tabs>
          <w:tab w:val="left" w:pos="1134"/>
        </w:tabs>
        <w:autoSpaceDE/>
        <w:autoSpaceDN/>
        <w:adjustRightInd/>
        <w:spacing w:before="0"/>
        <w:ind w:right="0"/>
        <w:contextualSpacing/>
        <w:rPr>
          <w:rFonts w:ascii="Times New Roman" w:hAnsi="Times New Roman" w:cs="Times New Roman"/>
          <w:b/>
          <w:bCs/>
          <w:shd w:val="clear" w:color="auto" w:fill="FFFFFF"/>
        </w:rPr>
      </w:pPr>
      <w:r w:rsidRPr="00045BB7">
        <w:rPr>
          <w:rFonts w:ascii="Times New Roman" w:hAnsi="Times New Roman" w:cs="Times New Roman"/>
          <w:b/>
          <w:bCs/>
          <w:shd w:val="clear" w:color="auto" w:fill="FFFFFF"/>
        </w:rPr>
        <w:t>Cosa juzgada</w:t>
      </w:r>
      <w:r w:rsidRPr="00045BB7">
        <w:rPr>
          <w:rFonts w:ascii="Times New Roman" w:hAnsi="Times New Roman" w:cs="Times New Roman"/>
          <w:b/>
          <w:bCs/>
          <w:shd w:val="clear" w:color="auto" w:fill="FFFFFF"/>
        </w:rPr>
        <w:t xml:space="preserve"> en relación con los artículos 50 y 51 demandados</w:t>
      </w:r>
    </w:p>
    <w:p w:rsidR="00B201B2" w:rsidRPr="00045BB7" w:rsidRDefault="00045BB7" w:rsidP="00DE461A">
      <w:pPr>
        <w:tabs>
          <w:tab w:val="left" w:pos="0"/>
          <w:tab w:val="left" w:pos="567"/>
        </w:tabs>
        <w:ind w:right="51"/>
        <w:contextualSpacing/>
        <w:jc w:val="both"/>
        <w:rPr>
          <w:rFonts w:ascii="Times New Roman" w:hAnsi="Times New Roman" w:cs="Times New Roman"/>
          <w:sz w:val="28"/>
          <w:szCs w:val="28"/>
        </w:rPr>
      </w:pPr>
    </w:p>
    <w:p w:rsidR="0071283A" w:rsidRPr="00045BB7" w:rsidRDefault="00045BB7" w:rsidP="00E27C63">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La Corte Constitucional ha adoptado dos metodologías al momento de aproximarse al estudio de la cosa juzgada constitucional: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 xml:space="preserve">en algunas sentencias efectúa primero el </w:t>
      </w:r>
      <w:r w:rsidRPr="00045BB7">
        <w:rPr>
          <w:rFonts w:ascii="Times New Roman" w:hAnsi="Times New Roman" w:cs="Times New Roman"/>
          <w:sz w:val="28"/>
          <w:szCs w:val="28"/>
        </w:rPr>
        <w:t>análisis de la aptitud sustantiva de la demanda y después el de cosa juzgada constitucional</w:t>
      </w:r>
      <w:r w:rsidRPr="00045BB7">
        <w:rPr>
          <w:rStyle w:val="Refdenotaalpie"/>
          <w:rFonts w:ascii="Times New Roman" w:hAnsi="Times New Roman" w:cs="Times New Roman"/>
          <w:sz w:val="28"/>
          <w:szCs w:val="28"/>
        </w:rPr>
        <w:footnoteReference w:id="79"/>
      </w:r>
      <w:r w:rsidRPr="00045BB7">
        <w:rPr>
          <w:rFonts w:ascii="Times New Roman" w:hAnsi="Times New Roman" w:cs="Times New Roman"/>
          <w:sz w:val="28"/>
          <w:szCs w:val="28"/>
        </w:rPr>
        <w:t xml:space="preserve"> mientras que, </w:t>
      </w:r>
      <w:r w:rsidRPr="00045BB7">
        <w:rPr>
          <w:rFonts w:ascii="Times New Roman" w:hAnsi="Times New Roman" w:cs="Times New Roman"/>
          <w:i/>
          <w:iCs/>
          <w:sz w:val="28"/>
          <w:szCs w:val="28"/>
        </w:rPr>
        <w:t xml:space="preserve">(ii) </w:t>
      </w:r>
      <w:r w:rsidRPr="00045BB7">
        <w:rPr>
          <w:rFonts w:ascii="Times New Roman" w:hAnsi="Times New Roman" w:cs="Times New Roman"/>
          <w:sz w:val="28"/>
          <w:szCs w:val="28"/>
        </w:rPr>
        <w:t xml:space="preserve">en otras providencias ha adoptado una técnica inversa, es decir, en primera medida ha estudiado si se configura el fenómeno de la cosa juzgada para en segundo lugar, </w:t>
      </w:r>
      <w:r w:rsidRPr="00045BB7">
        <w:rPr>
          <w:rFonts w:ascii="Times New Roman" w:hAnsi="Times New Roman" w:cs="Times New Roman"/>
          <w:sz w:val="28"/>
          <w:szCs w:val="28"/>
        </w:rPr>
        <w:t>determinar</w:t>
      </w:r>
      <w:r w:rsidRPr="00045BB7">
        <w:rPr>
          <w:rFonts w:ascii="Times New Roman" w:hAnsi="Times New Roman" w:cs="Times New Roman"/>
          <w:sz w:val="28"/>
          <w:szCs w:val="28"/>
        </w:rPr>
        <w:t xml:space="preserve"> la aptitud del cargo</w:t>
      </w:r>
      <w:r w:rsidRPr="00045BB7">
        <w:rPr>
          <w:rStyle w:val="Refdenotaalpie"/>
          <w:rFonts w:ascii="Times New Roman" w:hAnsi="Times New Roman" w:cs="Times New Roman"/>
          <w:sz w:val="28"/>
          <w:szCs w:val="28"/>
        </w:rPr>
        <w:footnoteReference w:id="80"/>
      </w:r>
      <w:r w:rsidRPr="00045BB7">
        <w:rPr>
          <w:rFonts w:ascii="Times New Roman" w:hAnsi="Times New Roman" w:cs="Times New Roman"/>
          <w:sz w:val="28"/>
          <w:szCs w:val="28"/>
        </w:rPr>
        <w:t xml:space="preserve">. </w:t>
      </w:r>
    </w:p>
    <w:p w:rsidR="0071283A" w:rsidRPr="00045BB7" w:rsidRDefault="00045BB7" w:rsidP="0071283A">
      <w:pPr>
        <w:tabs>
          <w:tab w:val="left" w:pos="0"/>
          <w:tab w:val="left" w:pos="567"/>
        </w:tabs>
        <w:ind w:right="51"/>
        <w:contextualSpacing/>
        <w:jc w:val="both"/>
        <w:rPr>
          <w:rFonts w:ascii="Times New Roman" w:hAnsi="Times New Roman" w:cs="Times New Roman"/>
          <w:sz w:val="28"/>
          <w:szCs w:val="28"/>
        </w:rPr>
      </w:pPr>
    </w:p>
    <w:p w:rsidR="00E27C63" w:rsidRPr="00045BB7" w:rsidRDefault="00045BB7" w:rsidP="00E27C63">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En el presente caso, la Sala encuentra necesario exami</w:t>
      </w:r>
      <w:r w:rsidRPr="00045BB7">
        <w:rPr>
          <w:rFonts w:ascii="Times New Roman" w:hAnsi="Times New Roman" w:cs="Times New Roman"/>
          <w:sz w:val="28"/>
          <w:szCs w:val="28"/>
        </w:rPr>
        <w:t xml:space="preserve">nar si existe cosa juzgada en relación con lo decidido en la Sentencia C-145 de 2018, porque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en esa providencia judicial, este Tribunal se pronunció sobre la constitucionalidad de la totalidad de los artículos 50 y 51 de la Ley 1676 de 2013, demandados</w:t>
      </w:r>
      <w:r w:rsidRPr="00045BB7">
        <w:rPr>
          <w:rFonts w:ascii="Times New Roman" w:hAnsi="Times New Roman" w:cs="Times New Roman"/>
          <w:sz w:val="28"/>
          <w:szCs w:val="28"/>
        </w:rPr>
        <w:t xml:space="preserve"> en este caso</w:t>
      </w:r>
      <w:r w:rsidRPr="00045BB7">
        <w:rPr>
          <w:rStyle w:val="Refdenotaalpie"/>
          <w:rFonts w:ascii="Times New Roman" w:hAnsi="Times New Roman" w:cs="Times New Roman"/>
          <w:sz w:val="28"/>
          <w:szCs w:val="28"/>
          <w:lang w:val="es-ES_tradnl"/>
        </w:rPr>
        <w:footnoteReference w:id="81"/>
      </w:r>
      <w:r w:rsidRPr="00045BB7">
        <w:rPr>
          <w:rFonts w:ascii="Times New Roman" w:hAnsi="Times New Roman" w:cs="Times New Roman"/>
          <w:sz w:val="28"/>
          <w:szCs w:val="28"/>
        </w:rPr>
        <w:t xml:space="preserve"> y, </w:t>
      </w:r>
      <w:r w:rsidRPr="00045BB7">
        <w:rPr>
          <w:rFonts w:ascii="Times New Roman" w:hAnsi="Times New Roman" w:cs="Times New Roman"/>
          <w:i/>
          <w:iCs/>
          <w:sz w:val="28"/>
          <w:szCs w:val="28"/>
        </w:rPr>
        <w:t xml:space="preserve">(ii) </w:t>
      </w:r>
      <w:r w:rsidRPr="00045BB7">
        <w:rPr>
          <w:rFonts w:ascii="Times New Roman" w:hAnsi="Times New Roman" w:cs="Times New Roman"/>
          <w:sz w:val="28"/>
          <w:szCs w:val="28"/>
        </w:rPr>
        <w:t>dos de los intervinientes solicitan que la Corte se esté a lo resuelto en tal oportunidad. En esa medida, resulta relevante analizar esta cuestión previa en virtud de asegurar un escenario pleno de acceso a la administración de justi</w:t>
      </w:r>
      <w:r w:rsidRPr="00045BB7">
        <w:rPr>
          <w:rFonts w:ascii="Times New Roman" w:hAnsi="Times New Roman" w:cs="Times New Roman"/>
          <w:sz w:val="28"/>
          <w:szCs w:val="28"/>
        </w:rPr>
        <w:t xml:space="preserve">cia, por razones de pedagogía constitucional y dada la aproximación que hace el demandante a la mencionada sentencia. </w:t>
      </w:r>
    </w:p>
    <w:p w:rsidR="008D380C" w:rsidRPr="00045BB7" w:rsidRDefault="00045BB7" w:rsidP="008D380C">
      <w:pPr>
        <w:tabs>
          <w:tab w:val="left" w:pos="0"/>
          <w:tab w:val="left" w:pos="567"/>
        </w:tabs>
        <w:ind w:right="51"/>
        <w:contextualSpacing/>
        <w:jc w:val="both"/>
        <w:rPr>
          <w:rFonts w:ascii="Times New Roman" w:hAnsi="Times New Roman" w:cs="Times New Roman"/>
          <w:sz w:val="28"/>
          <w:szCs w:val="28"/>
        </w:rPr>
      </w:pPr>
    </w:p>
    <w:p w:rsidR="00694086" w:rsidRPr="00045BB7" w:rsidRDefault="00045BB7" w:rsidP="00005DC5">
      <w:pPr>
        <w:pStyle w:val="Prrafodelista"/>
        <w:numPr>
          <w:ilvl w:val="0"/>
          <w:numId w:val="10"/>
        </w:numPr>
        <w:tabs>
          <w:tab w:val="left" w:pos="0"/>
          <w:tab w:val="left" w:pos="567"/>
        </w:tabs>
        <w:ind w:right="51"/>
        <w:contextualSpacing/>
        <w:rPr>
          <w:rFonts w:ascii="Times New Roman" w:hAnsi="Times New Roman" w:cs="Times New Roman"/>
          <w:b/>
          <w:bCs/>
          <w:szCs w:val="28"/>
          <w:lang w:eastAsia="es-CO"/>
        </w:rPr>
      </w:pPr>
      <w:r w:rsidRPr="00045BB7">
        <w:rPr>
          <w:rFonts w:ascii="Times New Roman" w:hAnsi="Times New Roman" w:cs="Times New Roman"/>
          <w:b/>
          <w:bCs/>
          <w:szCs w:val="28"/>
          <w:lang w:eastAsia="es-CO"/>
        </w:rPr>
        <w:t>La cosa juzgada constitucional. Reiteración de jurisprudencia</w:t>
      </w:r>
    </w:p>
    <w:p w:rsidR="005D3E16" w:rsidRPr="00045BB7" w:rsidRDefault="00045BB7" w:rsidP="005D3E16">
      <w:pPr>
        <w:tabs>
          <w:tab w:val="left" w:pos="0"/>
          <w:tab w:val="left" w:pos="567"/>
        </w:tabs>
        <w:ind w:right="51"/>
        <w:contextualSpacing/>
        <w:jc w:val="both"/>
        <w:rPr>
          <w:rFonts w:ascii="Times New Roman" w:hAnsi="Times New Roman" w:cs="Times New Roman"/>
          <w:sz w:val="28"/>
          <w:szCs w:val="28"/>
        </w:rPr>
      </w:pPr>
    </w:p>
    <w:p w:rsidR="00060537"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sz w:val="28"/>
          <w:szCs w:val="28"/>
          <w:lang w:val="es-ES_tradnl"/>
        </w:rPr>
      </w:pPr>
      <w:r w:rsidRPr="00045BB7">
        <w:rPr>
          <w:rFonts w:ascii="Times New Roman" w:hAnsi="Times New Roman" w:cs="Times New Roman"/>
          <w:sz w:val="28"/>
          <w:szCs w:val="28"/>
          <w:lang w:val="es-ES_tradnl"/>
        </w:rPr>
        <w:t xml:space="preserve">El artículo 243 de la Constitución Política prevé que “los fallos que la </w:t>
      </w:r>
      <w:r w:rsidRPr="00045BB7">
        <w:rPr>
          <w:rFonts w:ascii="Times New Roman" w:hAnsi="Times New Roman" w:cs="Times New Roman"/>
          <w:sz w:val="28"/>
          <w:szCs w:val="28"/>
          <w:lang w:val="es-ES_tradnl"/>
        </w:rPr>
        <w:t>Corte dicte en ejercicio del control jurisdiccional hacen tránsito a cosa juzgada constitucional”. La cosa juzgada constitucional es una institución jurídico procesal mediante la cual se otorga a las decisiones judiciales el carácter de “inmutables, vincul</w:t>
      </w:r>
      <w:r w:rsidRPr="00045BB7">
        <w:rPr>
          <w:rFonts w:ascii="Times New Roman" w:hAnsi="Times New Roman" w:cs="Times New Roman"/>
          <w:sz w:val="28"/>
          <w:szCs w:val="28"/>
          <w:lang w:val="es-ES_tradnl"/>
        </w:rPr>
        <w:t>antes y definitivas”</w:t>
      </w:r>
      <w:r w:rsidRPr="00045BB7">
        <w:rPr>
          <w:rStyle w:val="Refdenotaalpie"/>
          <w:rFonts w:ascii="Times New Roman" w:hAnsi="Times New Roman" w:cs="Times New Roman"/>
          <w:sz w:val="28"/>
          <w:szCs w:val="28"/>
          <w:lang w:val="es-ES_tradnl"/>
        </w:rPr>
        <w:footnoteReference w:id="82"/>
      </w:r>
      <w:r w:rsidRPr="00045BB7">
        <w:rPr>
          <w:rFonts w:ascii="Times New Roman" w:hAnsi="Times New Roman" w:cs="Times New Roman"/>
          <w:sz w:val="28"/>
          <w:szCs w:val="28"/>
          <w:lang w:val="es-ES_tradnl"/>
        </w:rPr>
        <w:t xml:space="preserve">. De acuerdo con la jurisprudencia constitucional, son requisitos de la cosa juzgada </w:t>
      </w:r>
      <w:r w:rsidRPr="00045BB7">
        <w:rPr>
          <w:rFonts w:ascii="Times New Roman" w:hAnsi="Times New Roman" w:cs="Times New Roman"/>
          <w:i/>
          <w:iCs/>
          <w:sz w:val="28"/>
          <w:szCs w:val="28"/>
          <w:lang w:val="es-ES_tradnl"/>
        </w:rPr>
        <w:t xml:space="preserve">(i) </w:t>
      </w:r>
      <w:r w:rsidRPr="00045BB7">
        <w:rPr>
          <w:rFonts w:ascii="Times New Roman" w:hAnsi="Times New Roman" w:cs="Times New Roman"/>
          <w:sz w:val="28"/>
          <w:szCs w:val="28"/>
          <w:lang w:val="es-ES_tradnl"/>
        </w:rPr>
        <w:t xml:space="preserve">la </w:t>
      </w:r>
      <w:r w:rsidRPr="00045BB7">
        <w:rPr>
          <w:rFonts w:ascii="Times New Roman" w:hAnsi="Times New Roman" w:cs="Times New Roman"/>
          <w:sz w:val="28"/>
          <w:szCs w:val="28"/>
          <w:lang w:val="es-ES_tradnl"/>
        </w:rPr>
        <w:t>identidad de objeto o “contenido normativo”</w:t>
      </w:r>
      <w:r w:rsidRPr="00045BB7">
        <w:rPr>
          <w:rStyle w:val="Refdenotaalpie"/>
          <w:rFonts w:ascii="Times New Roman" w:hAnsi="Times New Roman" w:cs="Times New Roman"/>
          <w:sz w:val="28"/>
          <w:szCs w:val="28"/>
          <w:lang w:val="es-ES_tradnl"/>
        </w:rPr>
        <w:footnoteReference w:id="83"/>
      </w:r>
      <w:r w:rsidRPr="00045BB7">
        <w:rPr>
          <w:rFonts w:ascii="Times New Roman" w:hAnsi="Times New Roman" w:cs="Times New Roman"/>
          <w:sz w:val="28"/>
          <w:szCs w:val="28"/>
          <w:lang w:val="es-ES_tradnl"/>
        </w:rPr>
        <w:t xml:space="preserve">, </w:t>
      </w:r>
      <w:r w:rsidRPr="00045BB7">
        <w:rPr>
          <w:rFonts w:ascii="Times New Roman" w:hAnsi="Times New Roman" w:cs="Times New Roman"/>
          <w:i/>
          <w:iCs/>
          <w:sz w:val="28"/>
          <w:szCs w:val="28"/>
          <w:lang w:val="es-ES_tradnl"/>
        </w:rPr>
        <w:t xml:space="preserve">(ii) </w:t>
      </w:r>
      <w:r w:rsidRPr="00045BB7">
        <w:rPr>
          <w:rFonts w:ascii="Times New Roman" w:hAnsi="Times New Roman" w:cs="Times New Roman"/>
          <w:sz w:val="28"/>
          <w:szCs w:val="28"/>
          <w:lang w:val="es-ES_tradnl"/>
        </w:rPr>
        <w:t xml:space="preserve">la identidad de cargos y </w:t>
      </w:r>
      <w:r w:rsidRPr="00045BB7">
        <w:rPr>
          <w:rFonts w:ascii="Times New Roman" w:hAnsi="Times New Roman" w:cs="Times New Roman"/>
          <w:i/>
          <w:iCs/>
          <w:sz w:val="28"/>
          <w:szCs w:val="28"/>
          <w:lang w:val="es-ES_tradnl"/>
        </w:rPr>
        <w:t xml:space="preserve">(iii) </w:t>
      </w:r>
      <w:r w:rsidRPr="00045BB7">
        <w:rPr>
          <w:rFonts w:ascii="Times New Roman" w:hAnsi="Times New Roman" w:cs="Times New Roman"/>
          <w:sz w:val="28"/>
          <w:szCs w:val="28"/>
          <w:lang w:val="es-ES_tradnl"/>
        </w:rPr>
        <w:t xml:space="preserve">la identidad del parámetro de control de constitucionalidad. </w:t>
      </w:r>
      <w:r w:rsidRPr="00045BB7">
        <w:rPr>
          <w:rFonts w:ascii="Times New Roman" w:hAnsi="Times New Roman" w:cs="Times New Roman"/>
          <w:sz w:val="28"/>
          <w:szCs w:val="28"/>
          <w:lang w:val="es-ES_tradnl"/>
        </w:rPr>
        <w:t>Estos elementos son, en conjunto, condiciones necesarias y suficientes para declarar la cosa juzgada</w:t>
      </w:r>
      <w:r w:rsidRPr="00045BB7">
        <w:rPr>
          <w:rStyle w:val="Refdenotaalpie"/>
          <w:rFonts w:ascii="Times New Roman" w:hAnsi="Times New Roman" w:cs="Times New Roman"/>
          <w:sz w:val="28"/>
          <w:szCs w:val="28"/>
          <w:lang w:val="es-ES_tradnl"/>
        </w:rPr>
        <w:footnoteReference w:id="84"/>
      </w:r>
      <w:r w:rsidRPr="00045BB7">
        <w:rPr>
          <w:rFonts w:ascii="Times New Roman" w:hAnsi="Times New Roman" w:cs="Times New Roman"/>
          <w:sz w:val="28"/>
          <w:szCs w:val="28"/>
          <w:lang w:val="es-ES_tradnl"/>
        </w:rPr>
        <w:t xml:space="preserve">. </w:t>
      </w:r>
    </w:p>
    <w:p w:rsidR="008069D9" w:rsidRPr="00045BB7" w:rsidRDefault="00045BB7" w:rsidP="008069D9">
      <w:pPr>
        <w:tabs>
          <w:tab w:val="left" w:pos="0"/>
          <w:tab w:val="left" w:pos="567"/>
        </w:tabs>
        <w:ind w:right="51"/>
        <w:contextualSpacing/>
        <w:jc w:val="both"/>
        <w:rPr>
          <w:rFonts w:ascii="Times New Roman" w:hAnsi="Times New Roman" w:cs="Times New Roman"/>
          <w:sz w:val="28"/>
          <w:szCs w:val="28"/>
          <w:lang w:val="es-ES_tradnl"/>
        </w:rPr>
      </w:pPr>
    </w:p>
    <w:p w:rsidR="008069D9"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sz w:val="28"/>
          <w:szCs w:val="28"/>
          <w:lang w:val="es-ES_tradnl"/>
        </w:rPr>
      </w:pPr>
      <w:r w:rsidRPr="00045BB7">
        <w:rPr>
          <w:rFonts w:ascii="Times New Roman" w:hAnsi="Times New Roman" w:cs="Times New Roman"/>
          <w:sz w:val="28"/>
          <w:szCs w:val="28"/>
          <w:lang w:val="es-ES_tradnl"/>
        </w:rPr>
        <w:t>El principal efecto de la cosa juzgada</w:t>
      </w:r>
      <w:r w:rsidRPr="00045BB7">
        <w:rPr>
          <w:rFonts w:ascii="Times New Roman" w:hAnsi="Times New Roman" w:cs="Times New Roman"/>
          <w:sz w:val="28"/>
          <w:szCs w:val="28"/>
          <w:lang w:val="es-ES_tradnl"/>
        </w:rPr>
        <w:t xml:space="preserve"> de las sentencias de constitucionalidad es la prohibición e imposibilidad de que la Corte pueda volver a conocer y decidir de fondo sobre un tema ya resuelto</w:t>
      </w:r>
      <w:r w:rsidRPr="00045BB7">
        <w:rPr>
          <w:rStyle w:val="Refdenotaalpie"/>
          <w:rFonts w:ascii="Times New Roman" w:hAnsi="Times New Roman" w:cs="Times New Roman"/>
          <w:sz w:val="28"/>
          <w:szCs w:val="28"/>
          <w:lang w:val="es-ES_tradnl"/>
        </w:rPr>
        <w:footnoteReference w:id="85"/>
      </w:r>
      <w:r w:rsidRPr="00045BB7">
        <w:rPr>
          <w:rFonts w:ascii="Times New Roman" w:hAnsi="Times New Roman" w:cs="Times New Roman"/>
          <w:sz w:val="28"/>
          <w:szCs w:val="28"/>
          <w:lang w:val="es-ES_tradnl"/>
        </w:rPr>
        <w:t>. La Corte Constitucional ha precisado, sin embargo, que los efectos de la cosa juzgada varían de</w:t>
      </w:r>
      <w:r w:rsidRPr="00045BB7">
        <w:rPr>
          <w:rFonts w:ascii="Times New Roman" w:hAnsi="Times New Roman" w:cs="Times New Roman"/>
          <w:sz w:val="28"/>
          <w:szCs w:val="28"/>
          <w:lang w:val="es-ES_tradnl"/>
        </w:rPr>
        <w:t xml:space="preserve">pendiendo de si la norma demandada fue declarada exequible o inexequible. En el primer escenario </w:t>
      </w:r>
      <w:r w:rsidRPr="00045BB7">
        <w:rPr>
          <w:rFonts w:ascii="Times New Roman" w:hAnsi="Times New Roman" w:cs="Times New Roman"/>
          <w:i/>
          <w:iCs/>
          <w:sz w:val="28"/>
          <w:szCs w:val="28"/>
          <w:lang w:val="es-ES_tradnl"/>
        </w:rPr>
        <w:t>-exequibilidad-</w:t>
      </w:r>
      <w:r w:rsidRPr="00045BB7">
        <w:rPr>
          <w:rFonts w:ascii="Times New Roman" w:hAnsi="Times New Roman" w:cs="Times New Roman"/>
          <w:sz w:val="28"/>
          <w:szCs w:val="28"/>
          <w:lang w:val="es-ES_tradnl"/>
        </w:rPr>
        <w:t>, en principio la Corte deberá estarse a lo resuelto en la providencia anterior “para garantizar la seguridad jurídica de sus decisiones”</w:t>
      </w:r>
      <w:r w:rsidRPr="00045BB7">
        <w:rPr>
          <w:rStyle w:val="Refdenotaalpie"/>
          <w:rFonts w:ascii="Times New Roman" w:hAnsi="Times New Roman" w:cs="Times New Roman"/>
          <w:sz w:val="28"/>
          <w:szCs w:val="28"/>
          <w:lang w:val="es-ES_tradnl"/>
        </w:rPr>
        <w:footnoteReference w:id="86"/>
      </w:r>
      <w:r w:rsidRPr="00045BB7">
        <w:rPr>
          <w:rFonts w:ascii="Times New Roman" w:hAnsi="Times New Roman" w:cs="Times New Roman"/>
          <w:sz w:val="28"/>
          <w:szCs w:val="28"/>
          <w:lang w:val="es-ES_tradnl"/>
        </w:rPr>
        <w:t xml:space="preserve">. Lo </w:t>
      </w:r>
      <w:r w:rsidRPr="00045BB7">
        <w:rPr>
          <w:rFonts w:ascii="Times New Roman" w:hAnsi="Times New Roman" w:cs="Times New Roman"/>
          <w:sz w:val="28"/>
          <w:szCs w:val="28"/>
          <w:lang w:val="es-ES_tradnl"/>
        </w:rPr>
        <w:t>anterior, salvo que se constante alguna de las excepciones que enervan la cosa juzgada y que permiten adelantar un nuevo estudio de fondo</w:t>
      </w:r>
      <w:r w:rsidRPr="00045BB7">
        <w:rPr>
          <w:rStyle w:val="Refdenotaalpie"/>
          <w:rFonts w:ascii="Times New Roman" w:hAnsi="Times New Roman" w:cs="Times New Roman"/>
          <w:sz w:val="28"/>
          <w:szCs w:val="28"/>
          <w:lang w:val="es-ES_tradnl"/>
        </w:rPr>
        <w:footnoteReference w:id="87"/>
      </w:r>
      <w:r w:rsidRPr="00045BB7">
        <w:rPr>
          <w:rFonts w:ascii="Times New Roman" w:hAnsi="Times New Roman" w:cs="Times New Roman"/>
          <w:sz w:val="28"/>
          <w:szCs w:val="28"/>
          <w:lang w:val="es-ES_tradnl"/>
        </w:rPr>
        <w:t>.</w:t>
      </w:r>
      <w:r w:rsidRPr="00045BB7">
        <w:rPr>
          <w:rFonts w:ascii="Times New Roman" w:hAnsi="Times New Roman" w:cs="Times New Roman"/>
          <w:sz w:val="28"/>
          <w:szCs w:val="28"/>
          <w:lang w:val="es-ES_tradnl"/>
        </w:rPr>
        <w:t xml:space="preserve"> En el segundo supuesto </w:t>
      </w:r>
      <w:r w:rsidRPr="00045BB7">
        <w:rPr>
          <w:rFonts w:ascii="Times New Roman" w:hAnsi="Times New Roman" w:cs="Times New Roman"/>
          <w:i/>
          <w:iCs/>
          <w:sz w:val="28"/>
          <w:szCs w:val="28"/>
          <w:lang w:val="es-ES_tradnl"/>
        </w:rPr>
        <w:t>-inexequibilidad-</w:t>
      </w:r>
      <w:r w:rsidRPr="00045BB7">
        <w:rPr>
          <w:rFonts w:ascii="Times New Roman" w:hAnsi="Times New Roman" w:cs="Times New Roman"/>
          <w:sz w:val="28"/>
          <w:szCs w:val="28"/>
          <w:lang w:val="es-ES_tradnl"/>
        </w:rPr>
        <w:t>, la Corte también deberá estarse a lo resuelto, pero en este caso la cosa j</w:t>
      </w:r>
      <w:r w:rsidRPr="00045BB7">
        <w:rPr>
          <w:rFonts w:ascii="Times New Roman" w:hAnsi="Times New Roman" w:cs="Times New Roman"/>
          <w:sz w:val="28"/>
          <w:szCs w:val="28"/>
          <w:lang w:val="es-ES_tradnl"/>
        </w:rPr>
        <w:t xml:space="preserve">uzgada es absoluta y no admite excepciones, </w:t>
      </w:r>
      <w:r w:rsidRPr="00045BB7">
        <w:rPr>
          <w:rFonts w:ascii="Times New Roman" w:hAnsi="Times New Roman" w:cs="Times New Roman"/>
          <w:sz w:val="28"/>
          <w:szCs w:val="28"/>
          <w:lang w:val="es-ES_tradnl"/>
        </w:rPr>
        <w:t>por cuanto</w:t>
      </w:r>
      <w:r w:rsidRPr="00045BB7">
        <w:rPr>
          <w:rFonts w:ascii="Times New Roman" w:hAnsi="Times New Roman" w:cs="Times New Roman"/>
          <w:sz w:val="28"/>
          <w:szCs w:val="28"/>
          <w:lang w:val="es-ES_tradnl"/>
        </w:rPr>
        <w:t xml:space="preserve"> la declaratoria de inexequibilidad retira la norma demandada del ordenamiento jurídico</w:t>
      </w:r>
      <w:r w:rsidRPr="00045BB7">
        <w:rPr>
          <w:rStyle w:val="Refdenotaalpie"/>
          <w:rFonts w:ascii="Times New Roman" w:hAnsi="Times New Roman" w:cs="Times New Roman"/>
          <w:sz w:val="28"/>
          <w:szCs w:val="28"/>
          <w:lang w:val="es-ES_tradnl"/>
        </w:rPr>
        <w:footnoteReference w:id="88"/>
      </w:r>
      <w:r w:rsidRPr="00045BB7">
        <w:rPr>
          <w:rFonts w:ascii="Times New Roman" w:hAnsi="Times New Roman" w:cs="Times New Roman"/>
          <w:sz w:val="28"/>
          <w:szCs w:val="28"/>
          <w:lang w:val="es-ES_tradnl"/>
        </w:rPr>
        <w:t>.</w:t>
      </w:r>
    </w:p>
    <w:p w:rsidR="00520FD5" w:rsidRPr="00045BB7" w:rsidRDefault="00045BB7" w:rsidP="00520FD5">
      <w:pPr>
        <w:pStyle w:val="Prrafodelista"/>
        <w:rPr>
          <w:rFonts w:ascii="Times New Roman" w:hAnsi="Times New Roman" w:cs="Times New Roman"/>
          <w:szCs w:val="28"/>
          <w:lang w:eastAsia="es-CO"/>
        </w:rPr>
      </w:pPr>
    </w:p>
    <w:p w:rsidR="00520FD5"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sz w:val="28"/>
          <w:szCs w:val="28"/>
          <w:lang w:val="es-ES_tradnl"/>
        </w:rPr>
      </w:pPr>
      <w:r w:rsidRPr="00045BB7">
        <w:rPr>
          <w:rFonts w:ascii="Times New Roman" w:hAnsi="Times New Roman" w:cs="Times New Roman"/>
          <w:sz w:val="28"/>
          <w:szCs w:val="28"/>
          <w:lang w:val="es-ES_tradnl"/>
        </w:rPr>
        <w:t>La jurisprudencia constitucional ha sostenido de forma pacífica que “las decisiones inhibitorias que profiere e</w:t>
      </w:r>
      <w:r w:rsidRPr="00045BB7">
        <w:rPr>
          <w:rFonts w:ascii="Times New Roman" w:hAnsi="Times New Roman" w:cs="Times New Roman"/>
          <w:sz w:val="28"/>
          <w:szCs w:val="28"/>
          <w:lang w:val="es-ES_tradnl"/>
        </w:rPr>
        <w:t>n ejercicio de sus funciones jurisdiccionales, especialmente en el marco de los procesos de control abstracto de constitucionalidad, no hacen tránsito a cosa juzgada”</w:t>
      </w:r>
      <w:r w:rsidRPr="00045BB7">
        <w:rPr>
          <w:rStyle w:val="Refdenotaalpie"/>
          <w:rFonts w:ascii="Times New Roman" w:hAnsi="Times New Roman" w:cs="Times New Roman"/>
          <w:sz w:val="28"/>
          <w:szCs w:val="28"/>
          <w:lang w:val="es-ES_tradnl"/>
        </w:rPr>
        <w:footnoteReference w:id="89"/>
      </w:r>
      <w:r w:rsidRPr="00045BB7">
        <w:rPr>
          <w:rFonts w:ascii="Times New Roman" w:hAnsi="Times New Roman" w:cs="Times New Roman"/>
          <w:sz w:val="28"/>
          <w:szCs w:val="28"/>
          <w:lang w:val="es-ES_tradnl"/>
        </w:rPr>
        <w:t xml:space="preserve">. Esto es así, porque en este tipo de decisiones </w:t>
      </w:r>
      <w:r w:rsidRPr="00045BB7">
        <w:rPr>
          <w:rFonts w:ascii="Times New Roman" w:hAnsi="Times New Roman" w:cs="Times New Roman"/>
          <w:sz w:val="28"/>
          <w:szCs w:val="28"/>
          <w:lang w:val="es-ES_tradnl"/>
        </w:rPr>
        <w:t>no se</w:t>
      </w:r>
      <w:r w:rsidRPr="00045BB7">
        <w:rPr>
          <w:rFonts w:ascii="Times New Roman" w:hAnsi="Times New Roman" w:cs="Times New Roman"/>
          <w:sz w:val="28"/>
          <w:szCs w:val="28"/>
          <w:lang w:val="es-ES_tradnl"/>
        </w:rPr>
        <w:t xml:space="preserve"> lleva a cabo un examen de fondo de</w:t>
      </w:r>
      <w:r w:rsidRPr="00045BB7">
        <w:rPr>
          <w:rFonts w:ascii="Times New Roman" w:hAnsi="Times New Roman" w:cs="Times New Roman"/>
          <w:sz w:val="28"/>
          <w:szCs w:val="28"/>
          <w:lang w:val="es-ES_tradnl"/>
        </w:rPr>
        <w:t xml:space="preserve"> las disposiciones demandadas. Por el contrario, se limita a examinar la aptitud de los cargos formulados en la demanda, conforme a las exigencias argumentativas desarrolladas por la jurisprudencia constitucional. </w:t>
      </w:r>
    </w:p>
    <w:p w:rsidR="00EC1297" w:rsidRPr="00045BB7" w:rsidRDefault="00045BB7" w:rsidP="00EC1297">
      <w:pPr>
        <w:pStyle w:val="Prrafodelista"/>
        <w:rPr>
          <w:rFonts w:ascii="Times New Roman" w:hAnsi="Times New Roman" w:cs="Times New Roman"/>
          <w:b/>
          <w:bCs/>
          <w:szCs w:val="28"/>
          <w:lang w:eastAsia="es-CO"/>
        </w:rPr>
      </w:pPr>
    </w:p>
    <w:p w:rsidR="00EC1297" w:rsidRPr="00045BB7" w:rsidRDefault="00045BB7" w:rsidP="00005DC5">
      <w:pPr>
        <w:pStyle w:val="Prrafodelista"/>
        <w:numPr>
          <w:ilvl w:val="0"/>
          <w:numId w:val="10"/>
        </w:numPr>
        <w:tabs>
          <w:tab w:val="left" w:pos="0"/>
          <w:tab w:val="left" w:pos="567"/>
        </w:tabs>
        <w:ind w:right="51"/>
        <w:contextualSpacing/>
        <w:rPr>
          <w:rFonts w:ascii="Times New Roman" w:hAnsi="Times New Roman" w:cs="Times New Roman"/>
          <w:b/>
          <w:bCs/>
          <w:szCs w:val="28"/>
          <w:lang w:eastAsia="es-CO"/>
        </w:rPr>
      </w:pPr>
      <w:r w:rsidRPr="00045BB7">
        <w:rPr>
          <w:rFonts w:ascii="Times New Roman" w:hAnsi="Times New Roman" w:cs="Times New Roman"/>
          <w:b/>
          <w:bCs/>
          <w:szCs w:val="28"/>
          <w:lang w:eastAsia="es-CO"/>
        </w:rPr>
        <w:t xml:space="preserve">No existe cosa juzgada en relación con lo decidido por la Corte en la </w:t>
      </w:r>
      <w:r w:rsidRPr="00045BB7">
        <w:rPr>
          <w:rFonts w:ascii="Times New Roman" w:hAnsi="Times New Roman" w:cs="Times New Roman"/>
          <w:b/>
          <w:bCs/>
          <w:szCs w:val="28"/>
          <w:lang w:eastAsia="es-CO"/>
        </w:rPr>
        <w:t>S</w:t>
      </w:r>
      <w:r w:rsidRPr="00045BB7">
        <w:rPr>
          <w:rFonts w:ascii="Times New Roman" w:hAnsi="Times New Roman" w:cs="Times New Roman"/>
          <w:b/>
          <w:bCs/>
          <w:szCs w:val="28"/>
          <w:lang w:eastAsia="es-CO"/>
        </w:rPr>
        <w:t>entencia C-145 de 2018</w:t>
      </w:r>
    </w:p>
    <w:p w:rsidR="00520FD5" w:rsidRPr="00045BB7" w:rsidRDefault="00045BB7" w:rsidP="00520FD5">
      <w:pPr>
        <w:tabs>
          <w:tab w:val="left" w:pos="0"/>
          <w:tab w:val="left" w:pos="567"/>
        </w:tabs>
        <w:ind w:right="51"/>
        <w:contextualSpacing/>
        <w:rPr>
          <w:rFonts w:ascii="Times New Roman" w:hAnsi="Times New Roman" w:cs="Times New Roman"/>
          <w:b/>
          <w:bCs/>
          <w:sz w:val="28"/>
          <w:szCs w:val="28"/>
        </w:rPr>
      </w:pPr>
    </w:p>
    <w:p w:rsidR="00520FD5"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
          <w:bCs/>
          <w:sz w:val="28"/>
          <w:szCs w:val="28"/>
          <w:lang w:val="es-ES_tradnl"/>
        </w:rPr>
      </w:pPr>
      <w:r w:rsidRPr="00045BB7">
        <w:rPr>
          <w:rFonts w:ascii="Times New Roman" w:hAnsi="Times New Roman" w:cs="Times New Roman"/>
          <w:sz w:val="28"/>
          <w:szCs w:val="28"/>
          <w:lang w:val="es-ES_tradnl"/>
        </w:rPr>
        <w:t xml:space="preserve">La Sala Plena </w:t>
      </w:r>
      <w:r w:rsidRPr="00045BB7">
        <w:rPr>
          <w:rFonts w:ascii="Times New Roman" w:hAnsi="Times New Roman" w:cs="Times New Roman"/>
          <w:sz w:val="28"/>
          <w:szCs w:val="28"/>
          <w:lang w:val="es-ES_tradnl"/>
        </w:rPr>
        <w:t xml:space="preserve">constata que la Corte Constitucional examinó la constitucionalidad de los artículos 50 y </w:t>
      </w:r>
      <w:r w:rsidRPr="00045BB7">
        <w:rPr>
          <w:rFonts w:ascii="Times New Roman" w:hAnsi="Times New Roman" w:cs="Times New Roman"/>
          <w:sz w:val="28"/>
          <w:szCs w:val="28"/>
          <w:lang w:val="es-ES_tradnl"/>
        </w:rPr>
        <w:t>5</w:t>
      </w:r>
      <w:r w:rsidRPr="00045BB7">
        <w:rPr>
          <w:rFonts w:ascii="Times New Roman" w:hAnsi="Times New Roman" w:cs="Times New Roman"/>
          <w:sz w:val="28"/>
          <w:szCs w:val="28"/>
          <w:lang w:val="es-ES_tradnl"/>
        </w:rPr>
        <w:t xml:space="preserve">1 de la Ley </w:t>
      </w:r>
      <w:r w:rsidRPr="00045BB7">
        <w:rPr>
          <w:rFonts w:ascii="Times New Roman" w:hAnsi="Times New Roman" w:cs="Times New Roman"/>
          <w:sz w:val="28"/>
          <w:szCs w:val="28"/>
          <w:lang w:val="es-ES_tradnl"/>
        </w:rPr>
        <w:t xml:space="preserve">1676 de 2013, en la </w:t>
      </w:r>
      <w:r w:rsidRPr="00045BB7">
        <w:rPr>
          <w:rFonts w:ascii="Times New Roman" w:hAnsi="Times New Roman" w:cs="Times New Roman"/>
          <w:sz w:val="28"/>
          <w:szCs w:val="28"/>
          <w:lang w:val="es-ES_tradnl"/>
        </w:rPr>
        <w:t>S</w:t>
      </w:r>
      <w:r w:rsidRPr="00045BB7">
        <w:rPr>
          <w:rFonts w:ascii="Times New Roman" w:hAnsi="Times New Roman" w:cs="Times New Roman"/>
          <w:sz w:val="28"/>
          <w:szCs w:val="28"/>
          <w:lang w:val="es-ES_tradnl"/>
        </w:rPr>
        <w:t xml:space="preserve">entencia C-145 de 2018. </w:t>
      </w:r>
      <w:r w:rsidRPr="00045BB7">
        <w:rPr>
          <w:rFonts w:ascii="Times New Roman" w:hAnsi="Times New Roman" w:cs="Times New Roman"/>
          <w:sz w:val="28"/>
          <w:szCs w:val="28"/>
          <w:lang w:val="es-ES_tradnl"/>
        </w:rPr>
        <w:t>No obstante</w:t>
      </w:r>
      <w:r w:rsidRPr="00045BB7">
        <w:rPr>
          <w:rFonts w:ascii="Times New Roman" w:hAnsi="Times New Roman" w:cs="Times New Roman"/>
          <w:sz w:val="28"/>
          <w:szCs w:val="28"/>
          <w:lang w:val="es-ES_tradnl"/>
        </w:rPr>
        <w:t>, considera que en el presente asunto no se configura cosa juzgada</w:t>
      </w:r>
      <w:r w:rsidRPr="00045BB7">
        <w:rPr>
          <w:rFonts w:ascii="Times New Roman" w:hAnsi="Times New Roman" w:cs="Times New Roman"/>
          <w:sz w:val="28"/>
          <w:szCs w:val="28"/>
          <w:lang w:val="es-ES_tradnl"/>
        </w:rPr>
        <w:t>, contrario a lo que afirman dos intervinientes,</w:t>
      </w:r>
      <w:r w:rsidRPr="00045BB7">
        <w:rPr>
          <w:rFonts w:ascii="Times New Roman" w:hAnsi="Times New Roman" w:cs="Times New Roman"/>
          <w:sz w:val="28"/>
          <w:szCs w:val="28"/>
          <w:lang w:val="es-ES_tradnl"/>
        </w:rPr>
        <w:t xml:space="preserve"> porque entre la demanda bajo estudio y la que </w:t>
      </w:r>
      <w:r w:rsidRPr="00045BB7">
        <w:rPr>
          <w:rFonts w:ascii="Times New Roman" w:hAnsi="Times New Roman" w:cs="Times New Roman"/>
          <w:sz w:val="28"/>
          <w:szCs w:val="28"/>
          <w:lang w:val="es-ES_tradnl"/>
        </w:rPr>
        <w:t>se</w:t>
      </w:r>
      <w:r w:rsidRPr="00045BB7">
        <w:rPr>
          <w:rFonts w:ascii="Times New Roman" w:hAnsi="Times New Roman" w:cs="Times New Roman"/>
          <w:sz w:val="28"/>
          <w:szCs w:val="28"/>
          <w:lang w:val="es-ES_tradnl"/>
        </w:rPr>
        <w:t xml:space="preserve"> resolvió en esa sentencia no existe identidad de cargo</w:t>
      </w:r>
      <w:r w:rsidRPr="00045BB7">
        <w:rPr>
          <w:rFonts w:ascii="Times New Roman" w:hAnsi="Times New Roman" w:cs="Times New Roman"/>
          <w:sz w:val="28"/>
          <w:szCs w:val="28"/>
          <w:lang w:val="es-ES_tradnl"/>
        </w:rPr>
        <w:t>.</w:t>
      </w:r>
      <w:r w:rsidRPr="00045BB7">
        <w:rPr>
          <w:rFonts w:ascii="Times New Roman" w:hAnsi="Times New Roman" w:cs="Times New Roman"/>
          <w:sz w:val="28"/>
          <w:szCs w:val="28"/>
          <w:lang w:val="es-ES_tradnl"/>
        </w:rPr>
        <w:t xml:space="preserve"> </w:t>
      </w:r>
    </w:p>
    <w:p w:rsidR="0006252C" w:rsidRPr="00045BB7" w:rsidRDefault="00045BB7" w:rsidP="0006252C">
      <w:pPr>
        <w:tabs>
          <w:tab w:val="left" w:pos="0"/>
          <w:tab w:val="left" w:pos="567"/>
        </w:tabs>
        <w:ind w:right="51"/>
        <w:contextualSpacing/>
        <w:jc w:val="both"/>
        <w:rPr>
          <w:rFonts w:ascii="Times New Roman" w:hAnsi="Times New Roman" w:cs="Times New Roman"/>
          <w:b/>
          <w:bCs/>
          <w:sz w:val="28"/>
          <w:szCs w:val="28"/>
          <w:lang w:val="es-ES_tradnl"/>
        </w:rPr>
      </w:pPr>
    </w:p>
    <w:p w:rsidR="00AC19FA"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b/>
          <w:bCs/>
          <w:sz w:val="28"/>
          <w:szCs w:val="28"/>
          <w:lang w:val="es-ES_tradnl"/>
        </w:rPr>
      </w:pPr>
      <w:r w:rsidRPr="00045BB7">
        <w:rPr>
          <w:rFonts w:ascii="Times New Roman" w:hAnsi="Times New Roman" w:cs="Times New Roman"/>
          <w:i/>
          <w:iCs/>
          <w:sz w:val="28"/>
          <w:szCs w:val="28"/>
          <w:lang w:val="es-ES_tradnl"/>
        </w:rPr>
        <w:t xml:space="preserve">Sentencia C-145 de </w:t>
      </w:r>
      <w:r w:rsidRPr="00045BB7">
        <w:rPr>
          <w:rFonts w:ascii="Times New Roman" w:hAnsi="Times New Roman" w:cs="Times New Roman"/>
          <w:i/>
          <w:iCs/>
          <w:sz w:val="28"/>
          <w:szCs w:val="28"/>
          <w:lang w:val="es-ES_tradnl"/>
        </w:rPr>
        <w:t>2018.</w:t>
      </w:r>
      <w:r w:rsidRPr="00045BB7">
        <w:rPr>
          <w:rFonts w:ascii="Times New Roman" w:hAnsi="Times New Roman" w:cs="Times New Roman"/>
          <w:i/>
          <w:iCs/>
          <w:sz w:val="28"/>
          <w:szCs w:val="28"/>
          <w:lang w:val="es-ES_tradnl"/>
        </w:rPr>
        <w:t xml:space="preserve"> </w:t>
      </w:r>
      <w:r w:rsidRPr="00045BB7">
        <w:rPr>
          <w:rFonts w:ascii="Times New Roman" w:hAnsi="Times New Roman" w:cs="Times New Roman"/>
          <w:sz w:val="28"/>
          <w:szCs w:val="28"/>
          <w:lang w:val="es-ES_tradnl"/>
        </w:rPr>
        <w:t>La Corte examinó una demanda en contra de los artículos 50 y 51 de la Ley 1676 de 2013</w:t>
      </w:r>
      <w:r w:rsidRPr="00045BB7">
        <w:rPr>
          <w:rFonts w:ascii="Times New Roman" w:hAnsi="Times New Roman" w:cs="Times New Roman"/>
          <w:sz w:val="28"/>
          <w:szCs w:val="28"/>
          <w:lang w:val="es-ES_tradnl"/>
        </w:rPr>
        <w:t>, por ser presuntamente</w:t>
      </w:r>
      <w:r w:rsidRPr="00045BB7">
        <w:rPr>
          <w:rFonts w:ascii="Times New Roman" w:hAnsi="Times New Roman" w:cs="Times New Roman"/>
          <w:b/>
          <w:bCs/>
          <w:sz w:val="28"/>
          <w:szCs w:val="28"/>
          <w:lang w:val="es-ES_tradnl"/>
        </w:rPr>
        <w:t xml:space="preserve"> </w:t>
      </w:r>
      <w:r w:rsidRPr="00045BB7">
        <w:rPr>
          <w:rFonts w:ascii="Times New Roman" w:hAnsi="Times New Roman" w:cs="Times New Roman"/>
          <w:sz w:val="28"/>
          <w:szCs w:val="28"/>
          <w:lang w:val="es-ES_tradnl"/>
        </w:rPr>
        <w:t>contrari</w:t>
      </w:r>
      <w:r w:rsidRPr="00045BB7">
        <w:rPr>
          <w:rFonts w:ascii="Times New Roman" w:hAnsi="Times New Roman" w:cs="Times New Roman"/>
          <w:sz w:val="28"/>
          <w:szCs w:val="28"/>
          <w:lang w:val="es-ES_tradnl"/>
        </w:rPr>
        <w:t>o</w:t>
      </w:r>
      <w:r w:rsidRPr="00045BB7">
        <w:rPr>
          <w:rFonts w:ascii="Times New Roman" w:hAnsi="Times New Roman" w:cs="Times New Roman"/>
          <w:sz w:val="28"/>
          <w:szCs w:val="28"/>
          <w:lang w:val="es-ES_tradnl"/>
        </w:rPr>
        <w:t>s a</w:t>
      </w:r>
      <w:r w:rsidRPr="00045BB7">
        <w:rPr>
          <w:rFonts w:ascii="Times New Roman" w:hAnsi="Times New Roman" w:cs="Times New Roman"/>
          <w:b/>
          <w:bCs/>
          <w:sz w:val="28"/>
          <w:szCs w:val="28"/>
          <w:lang w:val="es-ES_tradnl"/>
        </w:rPr>
        <w:t xml:space="preserve"> </w:t>
      </w:r>
      <w:r w:rsidRPr="00045BB7">
        <w:rPr>
          <w:rFonts w:ascii="Times New Roman" w:hAnsi="Times New Roman" w:cs="Times New Roman"/>
          <w:sz w:val="28"/>
          <w:szCs w:val="28"/>
          <w:lang w:val="es-ES_tradnl"/>
        </w:rPr>
        <w:t>los derechos de los trabajadores y los menores de edad</w:t>
      </w:r>
      <w:r w:rsidRPr="00045BB7">
        <w:rPr>
          <w:rStyle w:val="Refdenotaalpie"/>
          <w:rFonts w:ascii="Times New Roman" w:hAnsi="Times New Roman" w:cs="Times New Roman"/>
          <w:sz w:val="28"/>
          <w:szCs w:val="28"/>
          <w:lang w:val="es-ES_tradnl"/>
        </w:rPr>
        <w:footnoteReference w:id="90"/>
      </w:r>
      <w:r w:rsidRPr="00045BB7">
        <w:rPr>
          <w:rFonts w:ascii="Times New Roman" w:hAnsi="Times New Roman" w:cs="Times New Roman"/>
          <w:sz w:val="28"/>
          <w:szCs w:val="28"/>
          <w:lang w:val="es-ES_tradnl"/>
        </w:rPr>
        <w:t>, dado que, a juicio del</w:t>
      </w:r>
      <w:r w:rsidRPr="00045BB7">
        <w:rPr>
          <w:rFonts w:ascii="Times New Roman" w:hAnsi="Times New Roman" w:cs="Times New Roman"/>
          <w:sz w:val="28"/>
          <w:szCs w:val="28"/>
          <w:lang w:val="es-ES_tradnl"/>
        </w:rPr>
        <w:t xml:space="preserve"> otrora</w:t>
      </w:r>
      <w:r w:rsidRPr="00045BB7">
        <w:rPr>
          <w:rFonts w:ascii="Times New Roman" w:hAnsi="Times New Roman" w:cs="Times New Roman"/>
          <w:sz w:val="28"/>
          <w:szCs w:val="28"/>
          <w:lang w:val="es-ES_tradnl"/>
        </w:rPr>
        <w:t xml:space="preserve"> demandante, “se modificó la prelación de</w:t>
      </w:r>
      <w:r w:rsidRPr="00045BB7">
        <w:rPr>
          <w:rFonts w:ascii="Times New Roman" w:hAnsi="Times New Roman" w:cs="Times New Roman"/>
          <w:sz w:val="28"/>
          <w:szCs w:val="28"/>
          <w:lang w:val="es-ES_tradnl"/>
        </w:rPr>
        <w:t xml:space="preserve"> créditos y, en particular, se alteró la primera categoría </w:t>
      </w:r>
      <w:r w:rsidRPr="00045BB7">
        <w:rPr>
          <w:rFonts w:ascii="Times New Roman" w:hAnsi="Times New Roman" w:cs="Times New Roman"/>
          <w:sz w:val="28"/>
          <w:szCs w:val="28"/>
        </w:rPr>
        <w:t>dentro de la cual se encuentran las obligaciones alimentarias de los menores de edad y aquellas de carácter laboral”</w:t>
      </w:r>
      <w:r w:rsidRPr="00045BB7">
        <w:rPr>
          <w:rStyle w:val="Refdenotaalpie"/>
          <w:rFonts w:ascii="Times New Roman" w:hAnsi="Times New Roman" w:cs="Times New Roman"/>
          <w:sz w:val="28"/>
          <w:szCs w:val="28"/>
        </w:rPr>
        <w:footnoteReference w:id="91"/>
      </w:r>
      <w:r w:rsidRPr="00045BB7">
        <w:rPr>
          <w:rFonts w:ascii="Times New Roman" w:hAnsi="Times New Roman" w:cs="Times New Roman"/>
          <w:sz w:val="28"/>
          <w:szCs w:val="28"/>
        </w:rPr>
        <w:t>.</w:t>
      </w:r>
      <w:r w:rsidRPr="00045BB7">
        <w:rPr>
          <w:rFonts w:ascii="Times New Roman" w:hAnsi="Times New Roman" w:cs="Times New Roman"/>
          <w:sz w:val="28"/>
          <w:szCs w:val="28"/>
          <w:lang w:val="es-ES_tradnl"/>
        </w:rPr>
        <w:t xml:space="preserve"> En esa oportunidad, </w:t>
      </w:r>
      <w:r w:rsidRPr="00045BB7">
        <w:rPr>
          <w:rFonts w:ascii="Times New Roman" w:hAnsi="Times New Roman" w:cs="Times New Roman"/>
          <w:sz w:val="28"/>
          <w:szCs w:val="28"/>
          <w:lang w:val="es-ES_tradnl"/>
        </w:rPr>
        <w:t xml:space="preserve">la Corporación </w:t>
      </w:r>
      <w:r w:rsidRPr="00045BB7">
        <w:rPr>
          <w:rFonts w:ascii="Times New Roman" w:hAnsi="Times New Roman" w:cs="Times New Roman"/>
          <w:sz w:val="28"/>
          <w:szCs w:val="28"/>
          <w:lang w:val="es-ES_tradnl"/>
        </w:rPr>
        <w:t>encontró que las normas demandadas admitían</w:t>
      </w:r>
      <w:r w:rsidRPr="00045BB7">
        <w:rPr>
          <w:rFonts w:ascii="Times New Roman" w:hAnsi="Times New Roman" w:cs="Times New Roman"/>
          <w:sz w:val="28"/>
          <w:szCs w:val="28"/>
          <w:lang w:val="es-ES_tradnl"/>
        </w:rPr>
        <w:t xml:space="preserve"> una interpretación acorde con la Constitución, esta es, que “el crédito del acreedor con garantía mobiliaria puede excluir a los créditos de primera clase respecto del bien sobre el que recae el derecho real, salvo que los demás bienes del deudor no sean </w:t>
      </w:r>
      <w:r w:rsidRPr="00045BB7">
        <w:rPr>
          <w:rFonts w:ascii="Times New Roman" w:hAnsi="Times New Roman" w:cs="Times New Roman"/>
          <w:sz w:val="28"/>
          <w:szCs w:val="28"/>
          <w:lang w:val="es-ES_tradnl"/>
        </w:rPr>
        <w:t>suficientes para cubrirlos, pues en este evento, los créditos de primer grado tendrán preferencia”</w:t>
      </w:r>
      <w:r w:rsidRPr="00045BB7">
        <w:rPr>
          <w:rStyle w:val="Refdenotaalpie"/>
          <w:rFonts w:ascii="Times New Roman" w:hAnsi="Times New Roman" w:cs="Times New Roman"/>
          <w:sz w:val="28"/>
          <w:szCs w:val="28"/>
          <w:lang w:val="es-ES_tradnl"/>
        </w:rPr>
        <w:footnoteReference w:id="92"/>
      </w:r>
      <w:r w:rsidRPr="00045BB7">
        <w:rPr>
          <w:rFonts w:ascii="Times New Roman" w:hAnsi="Times New Roman" w:cs="Times New Roman"/>
          <w:sz w:val="28"/>
          <w:szCs w:val="28"/>
          <w:lang w:val="es-ES_tradnl"/>
        </w:rPr>
        <w:t>.</w:t>
      </w:r>
      <w:r w:rsidRPr="00045BB7">
        <w:rPr>
          <w:rFonts w:ascii="Times New Roman" w:hAnsi="Times New Roman" w:cs="Times New Roman"/>
          <w:i/>
          <w:iCs/>
          <w:sz w:val="28"/>
          <w:szCs w:val="28"/>
          <w:lang w:val="es-ES_tradnl"/>
        </w:rPr>
        <w:t xml:space="preserve"> </w:t>
      </w:r>
      <w:r w:rsidRPr="00045BB7">
        <w:rPr>
          <w:rFonts w:ascii="Times New Roman" w:hAnsi="Times New Roman" w:cs="Times New Roman"/>
          <w:sz w:val="28"/>
          <w:szCs w:val="28"/>
          <w:lang w:val="es-ES_tradnl"/>
        </w:rPr>
        <w:t xml:space="preserve">Por ello, la Sala Plena declaró la exequibilidad condicionada de los artículos 50 y 51 de la Ley 1676 de 2013. </w:t>
      </w:r>
    </w:p>
    <w:p w:rsidR="00AC19FA" w:rsidRPr="00045BB7" w:rsidRDefault="00045BB7" w:rsidP="00AC19FA">
      <w:pPr>
        <w:pStyle w:val="Prrafodelista"/>
        <w:rPr>
          <w:rFonts w:ascii="Times New Roman" w:hAnsi="Times New Roman" w:cs="Times New Roman"/>
          <w:i/>
          <w:iCs/>
          <w:szCs w:val="28"/>
          <w:lang w:eastAsia="es-CO"/>
        </w:rPr>
      </w:pPr>
    </w:p>
    <w:p w:rsidR="00D900F1" w:rsidRPr="00045BB7" w:rsidRDefault="00045BB7" w:rsidP="00587100">
      <w:pPr>
        <w:numPr>
          <w:ilvl w:val="0"/>
          <w:numId w:val="8"/>
        </w:numPr>
        <w:tabs>
          <w:tab w:val="left" w:pos="0"/>
          <w:tab w:val="left" w:pos="567"/>
        </w:tabs>
        <w:ind w:left="0" w:right="51" w:firstLine="0"/>
        <w:contextualSpacing/>
        <w:jc w:val="both"/>
        <w:rPr>
          <w:rFonts w:ascii="Times New Roman" w:hAnsi="Times New Roman" w:cs="Times New Roman"/>
          <w:b/>
          <w:bCs/>
          <w:sz w:val="28"/>
          <w:szCs w:val="28"/>
          <w:lang w:val="es-ES_tradnl"/>
        </w:rPr>
      </w:pPr>
      <w:r w:rsidRPr="00045BB7">
        <w:rPr>
          <w:rFonts w:ascii="Times New Roman" w:hAnsi="Times New Roman" w:cs="Times New Roman"/>
          <w:sz w:val="28"/>
          <w:szCs w:val="28"/>
          <w:lang w:val="es-ES_tradnl"/>
        </w:rPr>
        <w:t xml:space="preserve">En tales términos, </w:t>
      </w:r>
      <w:r w:rsidRPr="00045BB7">
        <w:rPr>
          <w:rFonts w:ascii="Times New Roman" w:hAnsi="Times New Roman" w:cs="Times New Roman"/>
          <w:sz w:val="28"/>
          <w:szCs w:val="28"/>
          <w:lang w:val="es-ES_tradnl"/>
        </w:rPr>
        <w:t>se</w:t>
      </w:r>
      <w:r w:rsidRPr="00045BB7">
        <w:rPr>
          <w:rFonts w:ascii="Times New Roman" w:hAnsi="Times New Roman" w:cs="Times New Roman"/>
          <w:sz w:val="28"/>
          <w:szCs w:val="28"/>
          <w:lang w:val="es-ES_tradnl"/>
        </w:rPr>
        <w:t xml:space="preserve"> advierte</w:t>
      </w:r>
      <w:r w:rsidRPr="00045BB7">
        <w:rPr>
          <w:rFonts w:ascii="Times New Roman" w:hAnsi="Times New Roman" w:cs="Times New Roman"/>
          <w:sz w:val="28"/>
          <w:szCs w:val="28"/>
          <w:lang w:val="es-ES_tradnl"/>
        </w:rPr>
        <w:t xml:space="preserve">, en primer </w:t>
      </w:r>
      <w:r w:rsidRPr="00045BB7">
        <w:rPr>
          <w:rFonts w:ascii="Times New Roman" w:hAnsi="Times New Roman" w:cs="Times New Roman"/>
          <w:sz w:val="28"/>
          <w:szCs w:val="28"/>
          <w:lang w:val="es-ES_tradnl"/>
        </w:rPr>
        <w:t>lugar, que no hay identidad total de las normas demandadas, debido a que el inciso 1 del artículo 52 de la Ley 1676 de 2013 no fue demandado en aquella oportunidad. En segundo lugar,</w:t>
      </w:r>
      <w:r w:rsidRPr="00045BB7">
        <w:rPr>
          <w:rFonts w:ascii="Times New Roman" w:hAnsi="Times New Roman" w:cs="Times New Roman"/>
          <w:sz w:val="28"/>
          <w:szCs w:val="28"/>
          <w:lang w:val="es-ES_tradnl"/>
        </w:rPr>
        <w:t xml:space="preserve"> no existe cosa juzgada </w:t>
      </w:r>
      <w:r w:rsidRPr="00045BB7">
        <w:rPr>
          <w:rFonts w:ascii="Times New Roman" w:hAnsi="Times New Roman" w:cs="Times New Roman"/>
          <w:sz w:val="28"/>
          <w:szCs w:val="28"/>
          <w:lang w:val="es-ES_tradnl"/>
        </w:rPr>
        <w:t xml:space="preserve">frente a los artículos 50 y 51 y </w:t>
      </w:r>
      <w:r w:rsidRPr="00045BB7">
        <w:rPr>
          <w:rFonts w:ascii="Times New Roman" w:hAnsi="Times New Roman" w:cs="Times New Roman"/>
          <w:sz w:val="28"/>
          <w:szCs w:val="28"/>
          <w:lang w:val="es-ES_tradnl"/>
        </w:rPr>
        <w:t>en relación con l</w:t>
      </w:r>
      <w:r w:rsidRPr="00045BB7">
        <w:rPr>
          <w:rFonts w:ascii="Times New Roman" w:hAnsi="Times New Roman" w:cs="Times New Roman"/>
          <w:sz w:val="28"/>
          <w:szCs w:val="28"/>
          <w:lang w:val="es-ES_tradnl"/>
        </w:rPr>
        <w:t xml:space="preserve">o decidido en la </w:t>
      </w:r>
      <w:r w:rsidRPr="00045BB7">
        <w:rPr>
          <w:rFonts w:ascii="Times New Roman" w:hAnsi="Times New Roman" w:cs="Times New Roman"/>
          <w:sz w:val="28"/>
          <w:szCs w:val="28"/>
          <w:lang w:val="es-ES_tradnl"/>
        </w:rPr>
        <w:t>S</w:t>
      </w:r>
      <w:r w:rsidRPr="00045BB7">
        <w:rPr>
          <w:rFonts w:ascii="Times New Roman" w:hAnsi="Times New Roman" w:cs="Times New Roman"/>
          <w:sz w:val="28"/>
          <w:szCs w:val="28"/>
          <w:lang w:val="es-ES_tradnl"/>
        </w:rPr>
        <w:t xml:space="preserve">entencia C-145 de 2018. Esto, porque si bien </w:t>
      </w:r>
      <w:r w:rsidRPr="00045BB7">
        <w:rPr>
          <w:rFonts w:ascii="Times New Roman" w:hAnsi="Times New Roman" w:cs="Times New Roman"/>
          <w:sz w:val="28"/>
          <w:szCs w:val="28"/>
          <w:lang w:val="es-ES_tradnl"/>
        </w:rPr>
        <w:t>estas dos disposiciones</w:t>
      </w:r>
      <w:r w:rsidRPr="00045BB7">
        <w:rPr>
          <w:rFonts w:ascii="Times New Roman" w:hAnsi="Times New Roman" w:cs="Times New Roman"/>
          <w:sz w:val="28"/>
          <w:szCs w:val="28"/>
          <w:lang w:val="es-ES_tradnl"/>
        </w:rPr>
        <w:t xml:space="preserve"> demandadas </w:t>
      </w:r>
      <w:r w:rsidRPr="00045BB7">
        <w:rPr>
          <w:rFonts w:ascii="Times New Roman" w:hAnsi="Times New Roman" w:cs="Times New Roman"/>
          <w:sz w:val="28"/>
          <w:szCs w:val="28"/>
          <w:lang w:val="es-ES_tradnl"/>
        </w:rPr>
        <w:t xml:space="preserve">sí </w:t>
      </w:r>
      <w:r w:rsidRPr="00045BB7">
        <w:rPr>
          <w:rFonts w:ascii="Times New Roman" w:hAnsi="Times New Roman" w:cs="Times New Roman"/>
          <w:sz w:val="28"/>
          <w:szCs w:val="28"/>
          <w:lang w:val="es-ES_tradnl"/>
        </w:rPr>
        <w:t xml:space="preserve">son </w:t>
      </w:r>
      <w:r w:rsidRPr="00045BB7">
        <w:rPr>
          <w:rFonts w:ascii="Times New Roman" w:hAnsi="Times New Roman" w:cs="Times New Roman"/>
          <w:sz w:val="28"/>
          <w:szCs w:val="28"/>
          <w:lang w:val="es-ES_tradnl"/>
        </w:rPr>
        <w:t xml:space="preserve">las mismas, lo que implica que existe identidad </w:t>
      </w:r>
      <w:r w:rsidRPr="00045BB7">
        <w:rPr>
          <w:rFonts w:ascii="Times New Roman" w:hAnsi="Times New Roman" w:cs="Times New Roman"/>
          <w:sz w:val="28"/>
          <w:szCs w:val="28"/>
          <w:lang w:val="es-ES_tradnl"/>
        </w:rPr>
        <w:t xml:space="preserve">parcial </w:t>
      </w:r>
      <w:r w:rsidRPr="00045BB7">
        <w:rPr>
          <w:rFonts w:ascii="Times New Roman" w:hAnsi="Times New Roman" w:cs="Times New Roman"/>
          <w:sz w:val="28"/>
          <w:szCs w:val="28"/>
          <w:lang w:val="es-ES_tradnl"/>
        </w:rPr>
        <w:t>de objeto</w:t>
      </w:r>
      <w:r w:rsidRPr="00045BB7">
        <w:rPr>
          <w:rFonts w:ascii="Times New Roman" w:hAnsi="Times New Roman" w:cs="Times New Roman"/>
          <w:b/>
          <w:bCs/>
          <w:sz w:val="28"/>
          <w:szCs w:val="28"/>
          <w:lang w:val="es-ES_tradnl"/>
        </w:rPr>
        <w:t xml:space="preserve"> </w:t>
      </w:r>
      <w:r w:rsidRPr="00045BB7">
        <w:rPr>
          <w:rFonts w:ascii="Times New Roman" w:hAnsi="Times New Roman" w:cs="Times New Roman"/>
          <w:sz w:val="28"/>
          <w:szCs w:val="28"/>
          <w:lang w:val="es-ES_tradnl"/>
        </w:rPr>
        <w:t xml:space="preserve">los cargos formulados en el presente caso respecto de los artículos demandados no corresponden a los abordados en la </w:t>
      </w:r>
      <w:r w:rsidRPr="00045BB7">
        <w:rPr>
          <w:rFonts w:ascii="Times New Roman" w:hAnsi="Times New Roman" w:cs="Times New Roman"/>
          <w:sz w:val="28"/>
          <w:szCs w:val="28"/>
          <w:lang w:val="es-ES_tradnl"/>
        </w:rPr>
        <w:t>S</w:t>
      </w:r>
      <w:r w:rsidRPr="00045BB7">
        <w:rPr>
          <w:rFonts w:ascii="Times New Roman" w:hAnsi="Times New Roman" w:cs="Times New Roman"/>
          <w:sz w:val="28"/>
          <w:szCs w:val="28"/>
          <w:lang w:val="es-ES_tradnl"/>
        </w:rPr>
        <w:t>entencia C-145 de 2018. En dicha oportunidad, la Sala Plena no confrontó las normas acusadas frente al derecho a la vivienda digna</w:t>
      </w:r>
      <w:r w:rsidRPr="00045BB7">
        <w:rPr>
          <w:rFonts w:ascii="Times New Roman" w:hAnsi="Times New Roman" w:cs="Times New Roman"/>
          <w:sz w:val="28"/>
          <w:szCs w:val="28"/>
          <w:lang w:val="es-ES_tradnl"/>
        </w:rPr>
        <w:t xml:space="preserve"> (art. 5</w:t>
      </w:r>
      <w:r w:rsidRPr="00045BB7">
        <w:rPr>
          <w:rFonts w:ascii="Times New Roman" w:hAnsi="Times New Roman" w:cs="Times New Roman"/>
          <w:sz w:val="28"/>
          <w:szCs w:val="28"/>
          <w:lang w:val="es-ES_tradnl"/>
        </w:rPr>
        <w:t>1 de la C.P.)</w:t>
      </w:r>
      <w:r w:rsidRPr="00045BB7">
        <w:rPr>
          <w:rFonts w:ascii="Times New Roman" w:hAnsi="Times New Roman" w:cs="Times New Roman"/>
          <w:sz w:val="28"/>
          <w:szCs w:val="28"/>
          <w:lang w:val="es-ES_tradnl"/>
        </w:rPr>
        <w:t>, sino</w:t>
      </w:r>
      <w:r w:rsidRPr="00045BB7">
        <w:rPr>
          <w:rFonts w:ascii="Times New Roman" w:hAnsi="Times New Roman" w:cs="Times New Roman"/>
          <w:sz w:val="28"/>
          <w:szCs w:val="28"/>
          <w:lang w:val="es-ES_tradnl"/>
        </w:rPr>
        <w:t xml:space="preserve"> que</w:t>
      </w:r>
      <w:r w:rsidRPr="00045BB7">
        <w:rPr>
          <w:rFonts w:ascii="Times New Roman" w:hAnsi="Times New Roman" w:cs="Times New Roman"/>
          <w:sz w:val="28"/>
          <w:szCs w:val="28"/>
          <w:lang w:val="es-ES_tradnl"/>
        </w:rPr>
        <w:t xml:space="preserve"> analizó la conformidad </w:t>
      </w:r>
      <w:r w:rsidRPr="00045BB7">
        <w:rPr>
          <w:rFonts w:ascii="Times New Roman" w:hAnsi="Times New Roman" w:cs="Times New Roman"/>
          <w:sz w:val="28"/>
          <w:szCs w:val="28"/>
          <w:lang w:val="es-ES_tradnl"/>
        </w:rPr>
        <w:t xml:space="preserve">de los artículos </w:t>
      </w:r>
      <w:r w:rsidRPr="00045BB7">
        <w:rPr>
          <w:rFonts w:ascii="Times New Roman" w:hAnsi="Times New Roman" w:cs="Times New Roman"/>
          <w:sz w:val="28"/>
          <w:szCs w:val="28"/>
          <w:lang w:val="es-ES_tradnl"/>
        </w:rPr>
        <w:t xml:space="preserve">con la Constitución, en relación con los derechos </w:t>
      </w:r>
      <w:r w:rsidRPr="00045BB7">
        <w:rPr>
          <w:rFonts w:ascii="Times New Roman" w:hAnsi="Times New Roman" w:cs="Times New Roman"/>
          <w:sz w:val="28"/>
          <w:szCs w:val="28"/>
          <w:lang w:val="es-ES_tradnl"/>
        </w:rPr>
        <w:t>de los niños (art. 44 de la C.P.) y de los trabajadores (art. 53 de la C.P.)</w:t>
      </w:r>
      <w:r w:rsidRPr="00045BB7">
        <w:rPr>
          <w:rFonts w:ascii="Times New Roman" w:hAnsi="Times New Roman" w:cs="Times New Roman"/>
          <w:sz w:val="28"/>
          <w:szCs w:val="28"/>
          <w:lang w:val="es-ES_tradnl"/>
        </w:rPr>
        <w:t xml:space="preserve">, </w:t>
      </w:r>
      <w:r w:rsidRPr="00045BB7">
        <w:rPr>
          <w:rFonts w:ascii="Times New Roman" w:hAnsi="Times New Roman" w:cs="Times New Roman"/>
          <w:sz w:val="28"/>
          <w:szCs w:val="28"/>
          <w:lang w:val="es-ES_tradnl"/>
        </w:rPr>
        <w:t>por lo que</w:t>
      </w:r>
      <w:r w:rsidRPr="00045BB7">
        <w:rPr>
          <w:rFonts w:ascii="Times New Roman" w:hAnsi="Times New Roman" w:cs="Times New Roman"/>
          <w:sz w:val="28"/>
          <w:szCs w:val="28"/>
          <w:lang w:val="es-ES_tradnl"/>
        </w:rPr>
        <w:t>, a juicio de este Tribunal,</w:t>
      </w:r>
      <w:r w:rsidRPr="00045BB7">
        <w:rPr>
          <w:rFonts w:ascii="Times New Roman" w:hAnsi="Times New Roman" w:cs="Times New Roman"/>
          <w:sz w:val="28"/>
          <w:szCs w:val="28"/>
          <w:lang w:val="es-ES_tradnl"/>
        </w:rPr>
        <w:t xml:space="preserve"> no se presenta identidad </w:t>
      </w:r>
      <w:r w:rsidRPr="00045BB7">
        <w:rPr>
          <w:rFonts w:ascii="Times New Roman" w:hAnsi="Times New Roman" w:cs="Times New Roman"/>
          <w:sz w:val="28"/>
          <w:szCs w:val="28"/>
          <w:lang w:val="es-ES_tradnl"/>
        </w:rPr>
        <w:t>de cargo</w:t>
      </w:r>
      <w:r w:rsidRPr="00045BB7">
        <w:rPr>
          <w:rFonts w:ascii="Times New Roman" w:hAnsi="Times New Roman" w:cs="Times New Roman"/>
          <w:sz w:val="28"/>
          <w:szCs w:val="28"/>
        </w:rPr>
        <w:t>.</w:t>
      </w:r>
    </w:p>
    <w:p w:rsidR="00D900F1" w:rsidRPr="00045BB7" w:rsidRDefault="00045BB7" w:rsidP="00B30AA1">
      <w:pPr>
        <w:pStyle w:val="Prrafodelista"/>
        <w:rPr>
          <w:rFonts w:ascii="Times New Roman" w:hAnsi="Times New Roman" w:cs="Times New Roman"/>
          <w:szCs w:val="28"/>
          <w:lang w:eastAsia="es-CO"/>
        </w:rPr>
      </w:pPr>
    </w:p>
    <w:p w:rsidR="00C845CC" w:rsidRPr="00045BB7" w:rsidRDefault="00045BB7" w:rsidP="00D1529C">
      <w:pPr>
        <w:numPr>
          <w:ilvl w:val="0"/>
          <w:numId w:val="8"/>
        </w:numPr>
        <w:tabs>
          <w:tab w:val="left" w:pos="0"/>
          <w:tab w:val="left" w:pos="567"/>
        </w:tabs>
        <w:ind w:left="0" w:right="51" w:firstLine="0"/>
        <w:contextualSpacing/>
        <w:jc w:val="both"/>
        <w:rPr>
          <w:rFonts w:ascii="Times New Roman" w:hAnsi="Times New Roman" w:cs="Times New Roman"/>
          <w:sz w:val="28"/>
          <w:szCs w:val="28"/>
          <w:lang w:val="es-ES_tradnl"/>
        </w:rPr>
      </w:pPr>
      <w:r w:rsidRPr="00045BB7">
        <w:rPr>
          <w:rFonts w:ascii="Times New Roman" w:hAnsi="Times New Roman" w:cs="Times New Roman"/>
          <w:sz w:val="28"/>
          <w:szCs w:val="28"/>
          <w:lang w:val="es-ES_tradnl"/>
        </w:rPr>
        <w:t>Con fundamento en lo anterior y, contrario a lo afirmado por algunos intervinientes, se tiene que en la Sentencia C-145 de 2018 no</w:t>
      </w:r>
      <w:r w:rsidRPr="00045BB7">
        <w:rPr>
          <w:rFonts w:ascii="Times New Roman" w:hAnsi="Times New Roman" w:cs="Times New Roman"/>
          <w:sz w:val="28"/>
          <w:szCs w:val="28"/>
          <w:lang w:val="es-ES_tradnl"/>
        </w:rPr>
        <w:t xml:space="preserve"> se</w:t>
      </w:r>
      <w:r w:rsidRPr="00045BB7">
        <w:rPr>
          <w:rFonts w:ascii="Times New Roman" w:hAnsi="Times New Roman" w:cs="Times New Roman"/>
          <w:sz w:val="28"/>
          <w:szCs w:val="28"/>
          <w:lang w:val="es-ES_tradnl"/>
        </w:rPr>
        <w:t xml:space="preserve"> realizó un estudio de la norma a partir de toda la </w:t>
      </w:r>
      <w:r w:rsidRPr="00045BB7">
        <w:rPr>
          <w:rFonts w:ascii="Times New Roman" w:hAnsi="Times New Roman" w:cs="Times New Roman"/>
          <w:sz w:val="28"/>
          <w:szCs w:val="28"/>
          <w:lang w:val="es-ES_tradnl"/>
        </w:rPr>
        <w:t>Constitución,</w:t>
      </w:r>
      <w:r w:rsidRPr="00045BB7">
        <w:rPr>
          <w:rFonts w:ascii="Times New Roman" w:hAnsi="Times New Roman" w:cs="Times New Roman"/>
          <w:sz w:val="28"/>
          <w:szCs w:val="28"/>
          <w:lang w:val="es-ES_tradnl"/>
        </w:rPr>
        <w:t xml:space="preserve"> sino que</w:t>
      </w:r>
      <w:r w:rsidRPr="00045BB7">
        <w:rPr>
          <w:rFonts w:ascii="Times New Roman" w:hAnsi="Times New Roman" w:cs="Times New Roman"/>
          <w:sz w:val="28"/>
          <w:szCs w:val="28"/>
          <w:lang w:val="es-ES_tradnl"/>
        </w:rPr>
        <w:t xml:space="preserve"> se</w:t>
      </w:r>
      <w:r w:rsidRPr="00045BB7">
        <w:rPr>
          <w:rFonts w:ascii="Times New Roman" w:hAnsi="Times New Roman" w:cs="Times New Roman"/>
          <w:sz w:val="28"/>
          <w:szCs w:val="28"/>
          <w:lang w:val="es-ES_tradnl"/>
        </w:rPr>
        <w:t xml:space="preserve"> limitó su examen </w:t>
      </w:r>
      <w:r w:rsidRPr="00045BB7">
        <w:rPr>
          <w:rFonts w:ascii="Times New Roman" w:hAnsi="Times New Roman" w:cs="Times New Roman"/>
          <w:sz w:val="28"/>
          <w:szCs w:val="28"/>
          <w:lang w:val="es-ES_tradnl"/>
        </w:rPr>
        <w:t>a</w:t>
      </w:r>
      <w:r w:rsidRPr="00045BB7">
        <w:rPr>
          <w:rFonts w:ascii="Times New Roman" w:hAnsi="Times New Roman" w:cs="Times New Roman"/>
          <w:sz w:val="28"/>
          <w:szCs w:val="28"/>
          <w:lang w:val="es-ES_tradnl"/>
        </w:rPr>
        <w:t xml:space="preserve"> lo dispuesto en los artículos 44 y 53 superiores</w:t>
      </w:r>
      <w:r w:rsidRPr="00045BB7">
        <w:rPr>
          <w:rFonts w:ascii="Times New Roman" w:hAnsi="Times New Roman" w:cs="Times New Roman"/>
          <w:sz w:val="28"/>
          <w:szCs w:val="28"/>
          <w:lang w:val="es-ES_tradnl"/>
        </w:rPr>
        <w:t>, tal y como se evidencia de la delimitación efectuada por la Sala Plena en el problema jurídico:</w:t>
      </w:r>
    </w:p>
    <w:p w:rsidR="00C845CC" w:rsidRPr="00045BB7" w:rsidRDefault="00045BB7" w:rsidP="00C845CC">
      <w:pPr>
        <w:pStyle w:val="Prrafodelista"/>
        <w:rPr>
          <w:rFonts w:ascii="Times New Roman" w:hAnsi="Times New Roman" w:cs="Times New Roman"/>
          <w:szCs w:val="28"/>
          <w:lang w:eastAsia="es-CO"/>
        </w:rPr>
      </w:pPr>
    </w:p>
    <w:p w:rsidR="00C845CC" w:rsidRPr="00045BB7" w:rsidRDefault="00045BB7" w:rsidP="00C845CC">
      <w:pPr>
        <w:tabs>
          <w:tab w:val="left" w:pos="0"/>
          <w:tab w:val="left" w:pos="567"/>
        </w:tabs>
        <w:ind w:left="567" w:right="616"/>
        <w:contextualSpacing/>
        <w:jc w:val="both"/>
        <w:rPr>
          <w:rFonts w:ascii="Times New Roman" w:hAnsi="Times New Roman" w:cs="Times New Roman"/>
          <w:sz w:val="28"/>
          <w:lang w:val="es-ES_tradnl"/>
        </w:rPr>
      </w:pPr>
      <w:r w:rsidRPr="00045BB7">
        <w:rPr>
          <w:rFonts w:ascii="Times New Roman" w:hAnsi="Times New Roman" w:cs="Times New Roman"/>
          <w:sz w:val="28"/>
        </w:rPr>
        <w:t>“[L]a Sala deberá determinar si las potestades conferidas al acreedor garantizado para que, en un contexto d</w:t>
      </w:r>
      <w:r w:rsidRPr="00045BB7">
        <w:rPr>
          <w:rFonts w:ascii="Times New Roman" w:hAnsi="Times New Roman" w:cs="Times New Roman"/>
          <w:sz w:val="28"/>
        </w:rPr>
        <w:t>e insolvencia, ejecute su garantía por fuera del proceso de reorganización y, así mismo, en caso de hacerse parte del proceso, su obligación sea pagada con preferencia de las de todos los demás acreedores que participan del acuerdo de reorganización, viola</w:t>
      </w:r>
      <w:r w:rsidRPr="00045BB7">
        <w:rPr>
          <w:rFonts w:ascii="Times New Roman" w:hAnsi="Times New Roman" w:cs="Times New Roman"/>
          <w:sz w:val="28"/>
        </w:rPr>
        <w:t xml:space="preserve"> los derechos  los derechos de los niños (Art. 44 de la C.P.) y de los trabajadores (Art. 53 de la C.P.)”.</w:t>
      </w:r>
    </w:p>
    <w:p w:rsidR="00C845CC" w:rsidRPr="00045BB7" w:rsidRDefault="00045BB7" w:rsidP="00C845CC">
      <w:pPr>
        <w:pStyle w:val="Prrafodelista"/>
        <w:rPr>
          <w:rFonts w:ascii="Times New Roman" w:hAnsi="Times New Roman" w:cs="Times New Roman"/>
          <w:szCs w:val="28"/>
          <w:lang w:eastAsia="es-CO"/>
        </w:rPr>
      </w:pPr>
    </w:p>
    <w:p w:rsidR="004F746E" w:rsidRPr="00045BB7" w:rsidRDefault="00045BB7" w:rsidP="00C845CC">
      <w:pPr>
        <w:numPr>
          <w:ilvl w:val="0"/>
          <w:numId w:val="8"/>
        </w:numPr>
        <w:tabs>
          <w:tab w:val="left" w:pos="0"/>
          <w:tab w:val="left" w:pos="567"/>
        </w:tabs>
        <w:ind w:left="0" w:right="51" w:firstLine="0"/>
        <w:contextualSpacing/>
        <w:jc w:val="both"/>
        <w:rPr>
          <w:rFonts w:ascii="Times New Roman" w:hAnsi="Times New Roman" w:cs="Times New Roman"/>
          <w:sz w:val="28"/>
          <w:szCs w:val="28"/>
          <w:lang w:val="es-ES_tradnl"/>
        </w:rPr>
      </w:pPr>
      <w:r w:rsidRPr="00045BB7">
        <w:rPr>
          <w:rFonts w:ascii="Times New Roman" w:hAnsi="Times New Roman" w:cs="Times New Roman"/>
          <w:sz w:val="28"/>
          <w:szCs w:val="28"/>
          <w:lang w:val="es-ES_tradnl"/>
        </w:rPr>
        <w:t xml:space="preserve">Adicionalmente, esa misma sentencia también </w:t>
      </w:r>
      <w:r w:rsidRPr="00045BB7">
        <w:rPr>
          <w:rFonts w:ascii="Times New Roman" w:hAnsi="Times New Roman" w:cs="Times New Roman"/>
          <w:sz w:val="28"/>
          <w:szCs w:val="28"/>
          <w:lang w:val="es-ES_tradnl"/>
        </w:rPr>
        <w:t>circunscribió</w:t>
      </w:r>
      <w:r w:rsidRPr="00045BB7">
        <w:rPr>
          <w:rFonts w:ascii="Times New Roman" w:hAnsi="Times New Roman" w:cs="Times New Roman"/>
          <w:sz w:val="28"/>
          <w:szCs w:val="28"/>
          <w:lang w:val="es-ES_tradnl"/>
        </w:rPr>
        <w:t xml:space="preserve"> sus razonamientos </w:t>
      </w:r>
      <w:r w:rsidRPr="00045BB7">
        <w:rPr>
          <w:rFonts w:ascii="Times New Roman" w:hAnsi="Times New Roman" w:cs="Times New Roman"/>
          <w:sz w:val="28"/>
          <w:szCs w:val="28"/>
          <w:lang w:val="es-ES_tradnl"/>
        </w:rPr>
        <w:t>a las posibles afectaciones que</w:t>
      </w:r>
      <w:r w:rsidRPr="00045BB7">
        <w:rPr>
          <w:rFonts w:ascii="Times New Roman" w:hAnsi="Times New Roman" w:cs="Times New Roman"/>
          <w:sz w:val="28"/>
          <w:szCs w:val="28"/>
          <w:lang w:val="es-ES_tradnl"/>
        </w:rPr>
        <w:t>,</w:t>
      </w:r>
      <w:r w:rsidRPr="00045BB7">
        <w:rPr>
          <w:rFonts w:ascii="Times New Roman" w:hAnsi="Times New Roman" w:cs="Times New Roman"/>
          <w:sz w:val="28"/>
          <w:szCs w:val="28"/>
          <w:lang w:val="es-ES_tradnl"/>
        </w:rPr>
        <w:t xml:space="preserve"> con la aplicación de las medidas que co</w:t>
      </w:r>
      <w:r w:rsidRPr="00045BB7">
        <w:rPr>
          <w:rFonts w:ascii="Times New Roman" w:hAnsi="Times New Roman" w:cs="Times New Roman"/>
          <w:sz w:val="28"/>
          <w:szCs w:val="28"/>
          <w:lang w:val="es-ES_tradnl"/>
        </w:rPr>
        <w:t xml:space="preserve">ntemplan las disposiciones acusadas, pudieran sufrir </w:t>
      </w:r>
      <w:r w:rsidRPr="00045BB7">
        <w:rPr>
          <w:rFonts w:ascii="Times New Roman" w:hAnsi="Times New Roman" w:cs="Times New Roman"/>
          <w:sz w:val="28"/>
          <w:szCs w:val="28"/>
          <w:lang w:val="es-ES_tradnl"/>
        </w:rPr>
        <w:t>los trabajadores y menores de edad</w:t>
      </w:r>
      <w:r w:rsidRPr="00045BB7">
        <w:rPr>
          <w:rFonts w:ascii="Times New Roman" w:hAnsi="Times New Roman" w:cs="Times New Roman"/>
          <w:sz w:val="28"/>
          <w:szCs w:val="28"/>
          <w:lang w:val="es-ES_tradnl"/>
        </w:rPr>
        <w:t>.</w:t>
      </w:r>
      <w:r w:rsidRPr="00045BB7">
        <w:rPr>
          <w:rFonts w:ascii="Times New Roman" w:hAnsi="Times New Roman" w:cs="Times New Roman"/>
          <w:sz w:val="28"/>
          <w:szCs w:val="28"/>
          <w:lang w:val="es-ES_tradnl"/>
        </w:rPr>
        <w:t xml:space="preserve"> </w:t>
      </w:r>
      <w:r w:rsidRPr="00045BB7">
        <w:rPr>
          <w:rFonts w:ascii="Times New Roman" w:hAnsi="Times New Roman" w:cs="Times New Roman"/>
          <w:sz w:val="28"/>
          <w:szCs w:val="28"/>
          <w:lang w:val="es-ES_tradnl"/>
        </w:rPr>
        <w:t xml:space="preserve">En consecuencia, </w:t>
      </w:r>
      <w:r w:rsidRPr="00045BB7">
        <w:rPr>
          <w:rFonts w:ascii="Times New Roman" w:hAnsi="Times New Roman" w:cs="Times New Roman"/>
          <w:sz w:val="28"/>
          <w:szCs w:val="28"/>
          <w:lang w:val="es-ES_tradnl"/>
        </w:rPr>
        <w:t>en tanto</w:t>
      </w:r>
      <w:r w:rsidRPr="00045BB7">
        <w:rPr>
          <w:rFonts w:ascii="Times New Roman" w:hAnsi="Times New Roman" w:cs="Times New Roman"/>
          <w:sz w:val="28"/>
          <w:szCs w:val="28"/>
          <w:lang w:val="es-ES_tradnl"/>
        </w:rPr>
        <w:t xml:space="preserve"> no hay identidad de cargo, </w:t>
      </w:r>
      <w:r w:rsidRPr="00045BB7">
        <w:rPr>
          <w:rFonts w:ascii="Times New Roman" w:hAnsi="Times New Roman" w:cs="Times New Roman"/>
          <w:sz w:val="28"/>
          <w:szCs w:val="28"/>
          <w:lang w:val="es-ES_tradnl"/>
        </w:rPr>
        <w:t xml:space="preserve">no resulta necesario analizar si se presenta identidad del parámetro de control de constitucionalidad. </w:t>
      </w:r>
    </w:p>
    <w:p w:rsidR="00234A2B" w:rsidRPr="00045BB7" w:rsidRDefault="00045BB7" w:rsidP="00234A2B">
      <w:pPr>
        <w:tabs>
          <w:tab w:val="left" w:pos="0"/>
          <w:tab w:val="left" w:pos="567"/>
        </w:tabs>
        <w:ind w:right="51"/>
        <w:contextualSpacing/>
        <w:jc w:val="both"/>
        <w:rPr>
          <w:rFonts w:ascii="Times New Roman" w:hAnsi="Times New Roman" w:cs="Times New Roman"/>
          <w:sz w:val="28"/>
          <w:szCs w:val="28"/>
          <w:lang w:val="es-ES_tradnl"/>
        </w:rPr>
      </w:pPr>
    </w:p>
    <w:p w:rsidR="00060537" w:rsidRPr="00045BB7" w:rsidRDefault="00045BB7" w:rsidP="00005DC5">
      <w:pPr>
        <w:pStyle w:val="Prrafodelista"/>
        <w:widowControl w:val="0"/>
        <w:numPr>
          <w:ilvl w:val="1"/>
          <w:numId w:val="9"/>
        </w:numPr>
        <w:tabs>
          <w:tab w:val="left" w:pos="1134"/>
        </w:tabs>
        <w:autoSpaceDE/>
        <w:autoSpaceDN/>
        <w:adjustRightInd/>
        <w:spacing w:before="0"/>
        <w:ind w:right="0"/>
        <w:contextualSpacing/>
        <w:rPr>
          <w:rFonts w:ascii="Times New Roman" w:hAnsi="Times New Roman" w:cs="Times New Roman"/>
          <w:b/>
        </w:rPr>
      </w:pPr>
      <w:r w:rsidRPr="00045BB7">
        <w:rPr>
          <w:rFonts w:ascii="Times New Roman" w:hAnsi="Times New Roman" w:cs="Times New Roman"/>
          <w:b/>
        </w:rPr>
        <w:t>Aptitud</w:t>
      </w:r>
      <w:r w:rsidRPr="00045BB7">
        <w:rPr>
          <w:rFonts w:ascii="Times New Roman" w:hAnsi="Times New Roman" w:cs="Times New Roman"/>
          <w:b/>
        </w:rPr>
        <w:t xml:space="preserve"> s</w:t>
      </w:r>
      <w:r w:rsidRPr="00045BB7">
        <w:rPr>
          <w:rFonts w:ascii="Times New Roman" w:hAnsi="Times New Roman" w:cs="Times New Roman"/>
          <w:b/>
        </w:rPr>
        <w:t>ustantiva</w:t>
      </w:r>
      <w:r w:rsidRPr="00045BB7">
        <w:rPr>
          <w:rFonts w:ascii="Times New Roman" w:hAnsi="Times New Roman" w:cs="Times New Roman"/>
          <w:b/>
        </w:rPr>
        <w:t xml:space="preserve"> de la demanda</w:t>
      </w:r>
    </w:p>
    <w:p w:rsidR="00060537" w:rsidRPr="00045BB7" w:rsidRDefault="00045BB7" w:rsidP="00060537">
      <w:pPr>
        <w:widowControl w:val="0"/>
        <w:jc w:val="both"/>
        <w:rPr>
          <w:rFonts w:ascii="Times New Roman" w:hAnsi="Times New Roman" w:cs="Times New Roman"/>
          <w:b/>
          <w:sz w:val="28"/>
          <w:szCs w:val="28"/>
          <w:lang w:val="es-ES_tradnl"/>
        </w:rPr>
      </w:pPr>
    </w:p>
    <w:p w:rsidR="003C495D"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i/>
          <w:iCs/>
          <w:sz w:val="28"/>
          <w:szCs w:val="28"/>
        </w:rPr>
      </w:pPr>
      <w:r w:rsidRPr="00045BB7">
        <w:rPr>
          <w:rFonts w:ascii="Times New Roman" w:hAnsi="Times New Roman" w:cs="Times New Roman"/>
          <w:sz w:val="28"/>
          <w:szCs w:val="28"/>
        </w:rPr>
        <w:t>La Sala debe analizar si la demanda satisface las exigencias mínimas de argumentación desarrolladas por la jurisprudencia constitucional. Lo anterior, dado que varios intervinientes sostienen</w:t>
      </w:r>
      <w:r w:rsidRPr="00045BB7">
        <w:rPr>
          <w:rFonts w:ascii="Times New Roman" w:hAnsi="Times New Roman" w:cs="Times New Roman"/>
          <w:sz w:val="28"/>
          <w:szCs w:val="28"/>
        </w:rPr>
        <w:t xml:space="preserve"> que</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la demanda es inepta porque</w:t>
      </w:r>
      <w:r w:rsidRPr="00045BB7">
        <w:rPr>
          <w:rFonts w:ascii="Times New Roman" w:hAnsi="Times New Roman" w:cs="Times New Roman"/>
          <w:sz w:val="28"/>
          <w:szCs w:val="28"/>
        </w:rPr>
        <w:t xml:space="preserve"> no satisface las exigencias de </w:t>
      </w:r>
      <w:r w:rsidRPr="00045BB7">
        <w:rPr>
          <w:rFonts w:ascii="Times New Roman" w:hAnsi="Times New Roman" w:cs="Times New Roman"/>
          <w:sz w:val="28"/>
          <w:szCs w:val="28"/>
        </w:rPr>
        <w:t xml:space="preserve">certeza, especificidad, pertinencia y suficiencia. </w:t>
      </w:r>
    </w:p>
    <w:p w:rsidR="0042190B" w:rsidRPr="00045BB7" w:rsidRDefault="00045BB7" w:rsidP="0042190B">
      <w:pPr>
        <w:tabs>
          <w:tab w:val="left" w:pos="0"/>
          <w:tab w:val="left" w:pos="567"/>
        </w:tabs>
        <w:ind w:right="51"/>
        <w:contextualSpacing/>
        <w:jc w:val="both"/>
        <w:rPr>
          <w:rFonts w:ascii="Times New Roman" w:hAnsi="Times New Roman" w:cs="Times New Roman"/>
          <w:sz w:val="28"/>
          <w:szCs w:val="28"/>
        </w:rPr>
      </w:pPr>
    </w:p>
    <w:p w:rsidR="0042190B" w:rsidRPr="00045BB7" w:rsidRDefault="00045BB7" w:rsidP="00005DC5">
      <w:pPr>
        <w:pStyle w:val="Prrafodelista"/>
        <w:numPr>
          <w:ilvl w:val="0"/>
          <w:numId w:val="11"/>
        </w:numPr>
        <w:tabs>
          <w:tab w:val="left" w:pos="0"/>
          <w:tab w:val="left" w:pos="567"/>
        </w:tabs>
        <w:ind w:right="51"/>
        <w:contextualSpacing/>
        <w:rPr>
          <w:rFonts w:ascii="Times New Roman" w:hAnsi="Times New Roman" w:cs="Times New Roman"/>
          <w:b/>
          <w:bCs/>
          <w:szCs w:val="28"/>
          <w:lang w:eastAsia="es-CO"/>
        </w:rPr>
      </w:pPr>
      <w:r w:rsidRPr="00045BB7">
        <w:rPr>
          <w:rFonts w:ascii="Times New Roman" w:hAnsi="Times New Roman" w:cs="Times New Roman"/>
          <w:b/>
          <w:bCs/>
          <w:szCs w:val="28"/>
          <w:lang w:eastAsia="es-CO"/>
        </w:rPr>
        <w:t>Requisitos generales de las demandas de inconstitucionalidad y exigencias argumentativas</w:t>
      </w:r>
    </w:p>
    <w:p w:rsidR="0042190B" w:rsidRPr="00045BB7" w:rsidRDefault="00045BB7" w:rsidP="0042190B">
      <w:pPr>
        <w:tabs>
          <w:tab w:val="left" w:pos="0"/>
          <w:tab w:val="left" w:pos="567"/>
        </w:tabs>
        <w:ind w:right="51"/>
        <w:contextualSpacing/>
        <w:rPr>
          <w:rFonts w:ascii="Times New Roman" w:hAnsi="Times New Roman" w:cs="Times New Roman"/>
          <w:b/>
          <w:bCs/>
          <w:sz w:val="28"/>
          <w:szCs w:val="28"/>
        </w:rPr>
      </w:pPr>
    </w:p>
    <w:p w:rsidR="0042190B"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El artículo 2º del Decreto 2067 de 1991 prevé que uno de los requisitos de las demandas de inconstitucionalidad es la formulación del concepto de la violación. Esto implica </w:t>
      </w:r>
      <w:r w:rsidRPr="00045BB7">
        <w:rPr>
          <w:rFonts w:ascii="Times New Roman" w:hAnsi="Times New Roman" w:cs="Times New Roman"/>
          <w:sz w:val="28"/>
          <w:szCs w:val="28"/>
        </w:rPr>
        <w:t xml:space="preserve">que el demandante debe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 xml:space="preserve">identificar las normas constitucionales vulneradas, </w:t>
      </w:r>
      <w:r w:rsidRPr="00045BB7">
        <w:rPr>
          <w:rFonts w:ascii="Times New Roman" w:hAnsi="Times New Roman" w:cs="Times New Roman"/>
          <w:i/>
          <w:iCs/>
          <w:sz w:val="28"/>
          <w:szCs w:val="28"/>
        </w:rPr>
        <w:t>(ii)</w:t>
      </w:r>
      <w:r w:rsidRPr="00045BB7">
        <w:rPr>
          <w:rFonts w:ascii="Times New Roman" w:hAnsi="Times New Roman" w:cs="Times New Roman"/>
          <w:i/>
          <w:iCs/>
          <w:sz w:val="28"/>
          <w:szCs w:val="28"/>
        </w:rPr>
        <w:t xml:space="preserve"> </w:t>
      </w:r>
      <w:r w:rsidRPr="00045BB7">
        <w:rPr>
          <w:rFonts w:ascii="Times New Roman" w:hAnsi="Times New Roman" w:cs="Times New Roman"/>
          <w:sz w:val="28"/>
          <w:szCs w:val="28"/>
        </w:rPr>
        <w:t>exponer el contenido normativo de las disposiciones acusadas</w:t>
      </w:r>
      <w:r w:rsidRPr="00045BB7">
        <w:rPr>
          <w:rStyle w:val="Refdenotaalpie"/>
          <w:rFonts w:ascii="Times New Roman" w:hAnsi="Times New Roman" w:cs="Times New Roman"/>
          <w:sz w:val="28"/>
          <w:szCs w:val="28"/>
        </w:rPr>
        <w:footnoteReference w:id="93"/>
      </w:r>
      <w:r w:rsidRPr="00045BB7">
        <w:rPr>
          <w:rFonts w:ascii="Times New Roman" w:hAnsi="Times New Roman" w:cs="Times New Roman"/>
          <w:sz w:val="28"/>
          <w:szCs w:val="28"/>
        </w:rPr>
        <w:t xml:space="preserve"> y </w:t>
      </w:r>
      <w:r w:rsidRPr="00045BB7">
        <w:rPr>
          <w:rFonts w:ascii="Times New Roman" w:hAnsi="Times New Roman" w:cs="Times New Roman"/>
          <w:i/>
          <w:iCs/>
          <w:sz w:val="28"/>
          <w:szCs w:val="28"/>
        </w:rPr>
        <w:t xml:space="preserve">(iii) </w:t>
      </w:r>
      <w:r w:rsidRPr="00045BB7">
        <w:rPr>
          <w:rFonts w:ascii="Times New Roman" w:hAnsi="Times New Roman" w:cs="Times New Roman"/>
          <w:sz w:val="28"/>
          <w:szCs w:val="28"/>
        </w:rPr>
        <w:t xml:space="preserve">expresar las razones por las cuales los textos demandados violan la Constitución. A partir de la </w:t>
      </w:r>
      <w:r w:rsidRPr="00045BB7">
        <w:rPr>
          <w:rFonts w:ascii="Times New Roman" w:hAnsi="Times New Roman" w:cs="Times New Roman"/>
          <w:sz w:val="28"/>
          <w:szCs w:val="28"/>
        </w:rPr>
        <w:t>S</w:t>
      </w:r>
      <w:r w:rsidRPr="00045BB7">
        <w:rPr>
          <w:rFonts w:ascii="Times New Roman" w:hAnsi="Times New Roman" w:cs="Times New Roman"/>
          <w:sz w:val="28"/>
          <w:szCs w:val="28"/>
        </w:rPr>
        <w:t xml:space="preserve">entencia C-1052 de 2001, la jurisprudencia constitucional ha sostenido que las razones </w:t>
      </w:r>
      <w:r w:rsidRPr="00045BB7">
        <w:rPr>
          <w:rFonts w:ascii="Times New Roman" w:hAnsi="Times New Roman" w:cs="Times New Roman"/>
          <w:sz w:val="28"/>
          <w:szCs w:val="28"/>
        </w:rPr>
        <w:t>que fundamentan el concepto de la violación deben satisfacer cinco exigencias mínimas de argumentación: certeza, claridad, especificidad, pertinencia y suficiencia</w:t>
      </w:r>
      <w:r w:rsidRPr="00045BB7">
        <w:rPr>
          <w:rStyle w:val="Refdenotaalpie"/>
          <w:rFonts w:ascii="Times New Roman" w:hAnsi="Times New Roman" w:cs="Times New Roman"/>
          <w:sz w:val="28"/>
          <w:szCs w:val="28"/>
        </w:rPr>
        <w:footnoteReference w:id="94"/>
      </w:r>
      <w:r w:rsidRPr="00045BB7">
        <w:rPr>
          <w:rFonts w:ascii="Times New Roman" w:hAnsi="Times New Roman" w:cs="Times New Roman"/>
          <w:sz w:val="28"/>
          <w:szCs w:val="28"/>
        </w:rPr>
        <w:t>.</w:t>
      </w:r>
    </w:p>
    <w:p w:rsidR="005F55AE" w:rsidRPr="00045BB7" w:rsidRDefault="00045BB7" w:rsidP="005F55AE">
      <w:pPr>
        <w:tabs>
          <w:tab w:val="left" w:pos="0"/>
          <w:tab w:val="left" w:pos="567"/>
        </w:tabs>
        <w:ind w:right="51"/>
        <w:contextualSpacing/>
        <w:jc w:val="both"/>
        <w:rPr>
          <w:rFonts w:ascii="Times New Roman" w:hAnsi="Times New Roman" w:cs="Times New Roman"/>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6"/>
        <w:gridCol w:w="7097"/>
      </w:tblGrid>
      <w:tr w:rsidR="001E5FD4" w:rsidRPr="00045BB7" w:rsidTr="00750FFA">
        <w:tc>
          <w:tcPr>
            <w:tcW w:w="1736" w:type="dxa"/>
            <w:shd w:val="clear" w:color="auto" w:fill="D9D9D9" w:themeFill="background1" w:themeFillShade="D9"/>
          </w:tcPr>
          <w:p w:rsidR="005F55AE" w:rsidRPr="00045BB7" w:rsidRDefault="00045BB7" w:rsidP="005F55AE">
            <w:pPr>
              <w:tabs>
                <w:tab w:val="left" w:pos="0"/>
                <w:tab w:val="left" w:pos="567"/>
              </w:tabs>
              <w:ind w:right="51"/>
              <w:contextualSpacing/>
              <w:jc w:val="center"/>
              <w:rPr>
                <w:rFonts w:ascii="Times New Roman" w:hAnsi="Times New Roman" w:cs="Times New Roman"/>
                <w:b/>
                <w:sz w:val="28"/>
              </w:rPr>
            </w:pPr>
            <w:r w:rsidRPr="00045BB7">
              <w:rPr>
                <w:rFonts w:ascii="Times New Roman" w:hAnsi="Times New Roman" w:cs="Times New Roman"/>
                <w:b/>
                <w:sz w:val="28"/>
              </w:rPr>
              <w:t>Carga</w:t>
            </w:r>
          </w:p>
        </w:tc>
        <w:tc>
          <w:tcPr>
            <w:tcW w:w="7097" w:type="dxa"/>
            <w:shd w:val="clear" w:color="auto" w:fill="D9D9D9" w:themeFill="background1" w:themeFillShade="D9"/>
          </w:tcPr>
          <w:p w:rsidR="005F55AE" w:rsidRPr="00045BB7" w:rsidRDefault="00045BB7" w:rsidP="005F55AE">
            <w:pPr>
              <w:tabs>
                <w:tab w:val="left" w:pos="0"/>
                <w:tab w:val="left" w:pos="567"/>
              </w:tabs>
              <w:ind w:right="51"/>
              <w:contextualSpacing/>
              <w:jc w:val="center"/>
              <w:rPr>
                <w:rFonts w:ascii="Times New Roman" w:hAnsi="Times New Roman" w:cs="Times New Roman"/>
                <w:b/>
                <w:sz w:val="28"/>
              </w:rPr>
            </w:pPr>
            <w:r w:rsidRPr="00045BB7">
              <w:rPr>
                <w:rFonts w:ascii="Times New Roman" w:hAnsi="Times New Roman" w:cs="Times New Roman"/>
                <w:b/>
                <w:sz w:val="28"/>
              </w:rPr>
              <w:t>Contenido</w:t>
            </w:r>
          </w:p>
        </w:tc>
      </w:tr>
      <w:tr w:rsidR="001E5FD4" w:rsidRPr="00045BB7" w:rsidTr="00750FFA">
        <w:tc>
          <w:tcPr>
            <w:tcW w:w="1736" w:type="dxa"/>
            <w:shd w:val="clear" w:color="auto" w:fill="D9D9D9" w:themeFill="background1" w:themeFillShade="D9"/>
            <w:vAlign w:val="center"/>
          </w:tcPr>
          <w:p w:rsidR="005F55AE" w:rsidRPr="00045BB7" w:rsidRDefault="00045BB7" w:rsidP="005F55AE">
            <w:pPr>
              <w:tabs>
                <w:tab w:val="left" w:pos="0"/>
                <w:tab w:val="left" w:pos="567"/>
              </w:tabs>
              <w:ind w:right="51"/>
              <w:contextualSpacing/>
              <w:jc w:val="center"/>
              <w:rPr>
                <w:rFonts w:ascii="Times New Roman" w:hAnsi="Times New Roman" w:cs="Times New Roman"/>
                <w:b/>
                <w:bCs/>
                <w:sz w:val="28"/>
              </w:rPr>
            </w:pPr>
            <w:r w:rsidRPr="00045BB7">
              <w:rPr>
                <w:rFonts w:ascii="Times New Roman" w:hAnsi="Times New Roman" w:cs="Times New Roman"/>
                <w:b/>
                <w:bCs/>
                <w:sz w:val="28"/>
              </w:rPr>
              <w:t>Certeza</w:t>
            </w:r>
            <w:r w:rsidRPr="00045BB7">
              <w:rPr>
                <w:rStyle w:val="Refdenotaalpie"/>
                <w:rFonts w:ascii="Times New Roman" w:hAnsi="Times New Roman" w:cs="Times New Roman"/>
                <w:b/>
                <w:bCs/>
                <w:sz w:val="28"/>
              </w:rPr>
              <w:footnoteReference w:id="95"/>
            </w:r>
          </w:p>
        </w:tc>
        <w:tc>
          <w:tcPr>
            <w:tcW w:w="7097" w:type="dxa"/>
            <w:shd w:val="clear" w:color="auto" w:fill="auto"/>
          </w:tcPr>
          <w:p w:rsidR="005F55AE" w:rsidRPr="00045BB7" w:rsidRDefault="00045BB7" w:rsidP="005F55AE">
            <w:pPr>
              <w:tabs>
                <w:tab w:val="left" w:pos="0"/>
                <w:tab w:val="left" w:pos="567"/>
              </w:tabs>
              <w:ind w:right="51"/>
              <w:contextualSpacing/>
              <w:jc w:val="both"/>
              <w:rPr>
                <w:rFonts w:ascii="Times New Roman" w:hAnsi="Times New Roman" w:cs="Times New Roman"/>
                <w:sz w:val="28"/>
              </w:rPr>
            </w:pPr>
            <w:r w:rsidRPr="00045BB7">
              <w:rPr>
                <w:rFonts w:ascii="Times New Roman" w:hAnsi="Times New Roman" w:cs="Times New Roman"/>
                <w:bCs/>
                <w:sz w:val="28"/>
              </w:rPr>
              <w:t>Exige que la acusación recaiga sobre una “</w:t>
            </w:r>
            <w:r w:rsidRPr="00045BB7">
              <w:rPr>
                <w:rFonts w:ascii="Times New Roman" w:hAnsi="Times New Roman" w:cs="Times New Roman"/>
                <w:bCs/>
                <w:iCs/>
                <w:sz w:val="28"/>
              </w:rPr>
              <w:t xml:space="preserve">proposición jurídica </w:t>
            </w:r>
            <w:r w:rsidRPr="00045BB7">
              <w:rPr>
                <w:rFonts w:ascii="Times New Roman" w:hAnsi="Times New Roman" w:cs="Times New Roman"/>
                <w:bCs/>
                <w:iCs/>
                <w:sz w:val="28"/>
              </w:rPr>
              <w:t>real y existente</w:t>
            </w:r>
            <w:r w:rsidRPr="00045BB7">
              <w:rPr>
                <w:rFonts w:ascii="Times New Roman" w:hAnsi="Times New Roman" w:cs="Times New Roman"/>
                <w:bCs/>
                <w:sz w:val="28"/>
              </w:rPr>
              <w:t>”</w:t>
            </w:r>
            <w:r w:rsidRPr="00045BB7">
              <w:rPr>
                <w:rFonts w:ascii="Times New Roman" w:hAnsi="Times New Roman" w:cs="Times New Roman"/>
                <w:bCs/>
                <w:sz w:val="28"/>
                <w:vertAlign w:val="superscript"/>
              </w:rPr>
              <w:footnoteReference w:id="96"/>
            </w:r>
            <w:r w:rsidRPr="00045BB7">
              <w:rPr>
                <w:rFonts w:ascii="Times New Roman" w:hAnsi="Times New Roman" w:cs="Times New Roman"/>
                <w:bCs/>
                <w:sz w:val="28"/>
              </w:rPr>
              <w:t xml:space="preserve"> y no esté basada en “interpretaciones puramente subjetivas, caprichosas o irrazonables de los textos demandados”</w:t>
            </w:r>
            <w:r w:rsidRPr="00045BB7">
              <w:rPr>
                <w:rFonts w:ascii="Times New Roman" w:hAnsi="Times New Roman" w:cs="Times New Roman"/>
                <w:bCs/>
                <w:sz w:val="28"/>
                <w:vertAlign w:val="superscript"/>
              </w:rPr>
              <w:footnoteReference w:id="97"/>
            </w:r>
            <w:r w:rsidRPr="00045BB7">
              <w:rPr>
                <w:rFonts w:ascii="Times New Roman" w:hAnsi="Times New Roman" w:cs="Times New Roman"/>
                <w:bCs/>
                <w:sz w:val="28"/>
              </w:rPr>
              <w:t>.</w:t>
            </w:r>
          </w:p>
        </w:tc>
      </w:tr>
      <w:tr w:rsidR="001E5FD4" w:rsidRPr="00045BB7" w:rsidTr="00750FFA">
        <w:tc>
          <w:tcPr>
            <w:tcW w:w="1736" w:type="dxa"/>
            <w:shd w:val="clear" w:color="auto" w:fill="D9D9D9" w:themeFill="background1" w:themeFillShade="D9"/>
            <w:vAlign w:val="center"/>
          </w:tcPr>
          <w:p w:rsidR="005F55AE" w:rsidRPr="00045BB7" w:rsidRDefault="00045BB7" w:rsidP="005F55AE">
            <w:pPr>
              <w:tabs>
                <w:tab w:val="left" w:pos="0"/>
                <w:tab w:val="left" w:pos="567"/>
              </w:tabs>
              <w:ind w:right="51"/>
              <w:contextualSpacing/>
              <w:jc w:val="center"/>
              <w:rPr>
                <w:rFonts w:ascii="Times New Roman" w:hAnsi="Times New Roman" w:cs="Times New Roman"/>
                <w:b/>
                <w:bCs/>
                <w:sz w:val="28"/>
              </w:rPr>
            </w:pPr>
            <w:r w:rsidRPr="00045BB7">
              <w:rPr>
                <w:rFonts w:ascii="Times New Roman" w:hAnsi="Times New Roman" w:cs="Times New Roman"/>
                <w:b/>
                <w:bCs/>
                <w:sz w:val="28"/>
              </w:rPr>
              <w:t>Claridad</w:t>
            </w:r>
            <w:r w:rsidRPr="00045BB7">
              <w:rPr>
                <w:rStyle w:val="Refdenotaalpie"/>
                <w:rFonts w:ascii="Times New Roman" w:hAnsi="Times New Roman" w:cs="Times New Roman"/>
                <w:b/>
                <w:bCs/>
                <w:sz w:val="28"/>
              </w:rPr>
              <w:footnoteReference w:id="98"/>
            </w:r>
          </w:p>
        </w:tc>
        <w:tc>
          <w:tcPr>
            <w:tcW w:w="7097" w:type="dxa"/>
            <w:shd w:val="clear" w:color="auto" w:fill="auto"/>
          </w:tcPr>
          <w:p w:rsidR="005F55AE" w:rsidRPr="00045BB7" w:rsidRDefault="00045BB7" w:rsidP="005F55AE">
            <w:pPr>
              <w:tabs>
                <w:tab w:val="left" w:pos="0"/>
                <w:tab w:val="left" w:pos="567"/>
              </w:tabs>
              <w:ind w:right="51"/>
              <w:contextualSpacing/>
              <w:jc w:val="both"/>
              <w:rPr>
                <w:rFonts w:ascii="Times New Roman" w:hAnsi="Times New Roman" w:cs="Times New Roman"/>
                <w:sz w:val="28"/>
              </w:rPr>
            </w:pPr>
            <w:r w:rsidRPr="00045BB7">
              <w:rPr>
                <w:rFonts w:ascii="Times New Roman" w:hAnsi="Times New Roman" w:cs="Times New Roman"/>
                <w:bCs/>
                <w:sz w:val="28"/>
              </w:rPr>
              <w:t>Las palabras empleadas para formular los argumentos deben ser inteligibles o comprensibles</w:t>
            </w:r>
            <w:r w:rsidRPr="00045BB7">
              <w:rPr>
                <w:rFonts w:ascii="Times New Roman" w:hAnsi="Times New Roman" w:cs="Times New Roman"/>
                <w:bCs/>
                <w:sz w:val="28"/>
                <w:vertAlign w:val="superscript"/>
              </w:rPr>
              <w:footnoteReference w:id="99"/>
            </w:r>
            <w:r w:rsidRPr="00045BB7">
              <w:rPr>
                <w:rFonts w:ascii="Times New Roman" w:hAnsi="Times New Roman" w:cs="Times New Roman"/>
                <w:bCs/>
                <w:sz w:val="28"/>
              </w:rPr>
              <w:t xml:space="preserve">. Además, la </w:t>
            </w:r>
            <w:r w:rsidRPr="00045BB7">
              <w:rPr>
                <w:rFonts w:ascii="Times New Roman" w:hAnsi="Times New Roman" w:cs="Times New Roman"/>
                <w:bCs/>
                <w:sz w:val="28"/>
              </w:rPr>
              <w:t>exposición argumentativa debe seguir un hilo conductor lógico</w:t>
            </w:r>
            <w:r w:rsidRPr="00045BB7">
              <w:rPr>
                <w:rFonts w:ascii="Times New Roman" w:hAnsi="Times New Roman" w:cs="Times New Roman"/>
                <w:bCs/>
                <w:sz w:val="28"/>
                <w:vertAlign w:val="superscript"/>
              </w:rPr>
              <w:footnoteReference w:id="100"/>
            </w:r>
            <w:r w:rsidRPr="00045BB7">
              <w:rPr>
                <w:rFonts w:ascii="Times New Roman" w:hAnsi="Times New Roman" w:cs="Times New Roman"/>
                <w:bCs/>
                <w:sz w:val="28"/>
              </w:rPr>
              <w:t xml:space="preserve"> que “permita al lector comprender el contenido de su demanda y las justificaciones en las que se basa”</w:t>
            </w:r>
            <w:r w:rsidRPr="00045BB7">
              <w:rPr>
                <w:rFonts w:ascii="Times New Roman" w:hAnsi="Times New Roman" w:cs="Times New Roman"/>
                <w:bCs/>
                <w:sz w:val="28"/>
                <w:vertAlign w:val="superscript"/>
              </w:rPr>
              <w:footnoteReference w:id="101"/>
            </w:r>
            <w:r w:rsidRPr="00045BB7">
              <w:rPr>
                <w:rFonts w:ascii="Times New Roman" w:hAnsi="Times New Roman" w:cs="Times New Roman"/>
                <w:bCs/>
                <w:sz w:val="28"/>
              </w:rPr>
              <w:t>.</w:t>
            </w:r>
          </w:p>
        </w:tc>
      </w:tr>
      <w:tr w:rsidR="001E5FD4" w:rsidRPr="00045BB7" w:rsidTr="00750FFA">
        <w:tc>
          <w:tcPr>
            <w:tcW w:w="1736" w:type="dxa"/>
            <w:shd w:val="clear" w:color="auto" w:fill="D9D9D9" w:themeFill="background1" w:themeFillShade="D9"/>
            <w:vAlign w:val="center"/>
          </w:tcPr>
          <w:p w:rsidR="005F55AE" w:rsidRPr="00045BB7" w:rsidRDefault="00045BB7" w:rsidP="005F55AE">
            <w:pPr>
              <w:tabs>
                <w:tab w:val="left" w:pos="0"/>
                <w:tab w:val="left" w:pos="567"/>
              </w:tabs>
              <w:ind w:right="51"/>
              <w:contextualSpacing/>
              <w:jc w:val="center"/>
              <w:rPr>
                <w:rFonts w:ascii="Times New Roman" w:hAnsi="Times New Roman" w:cs="Times New Roman"/>
                <w:b/>
                <w:bCs/>
                <w:sz w:val="28"/>
              </w:rPr>
            </w:pPr>
            <w:r w:rsidRPr="00045BB7">
              <w:rPr>
                <w:rFonts w:ascii="Times New Roman" w:hAnsi="Times New Roman" w:cs="Times New Roman"/>
                <w:b/>
                <w:bCs/>
                <w:sz w:val="28"/>
              </w:rPr>
              <w:t>Especificidad</w:t>
            </w:r>
            <w:r w:rsidRPr="00045BB7">
              <w:rPr>
                <w:rStyle w:val="Refdenotaalpie"/>
                <w:rFonts w:ascii="Times New Roman" w:hAnsi="Times New Roman" w:cs="Times New Roman"/>
                <w:b/>
                <w:bCs/>
                <w:sz w:val="28"/>
              </w:rPr>
              <w:footnoteReference w:id="102"/>
            </w:r>
          </w:p>
        </w:tc>
        <w:tc>
          <w:tcPr>
            <w:tcW w:w="7097" w:type="dxa"/>
            <w:shd w:val="clear" w:color="auto" w:fill="auto"/>
          </w:tcPr>
          <w:p w:rsidR="005F55AE" w:rsidRPr="00045BB7" w:rsidRDefault="00045BB7" w:rsidP="005F55AE">
            <w:pPr>
              <w:tabs>
                <w:tab w:val="left" w:pos="0"/>
                <w:tab w:val="left" w:pos="567"/>
              </w:tabs>
              <w:ind w:right="51"/>
              <w:contextualSpacing/>
              <w:jc w:val="both"/>
              <w:rPr>
                <w:rFonts w:ascii="Times New Roman" w:hAnsi="Times New Roman" w:cs="Times New Roman"/>
                <w:bCs/>
                <w:sz w:val="28"/>
              </w:rPr>
            </w:pPr>
            <w:r w:rsidRPr="00045BB7">
              <w:rPr>
                <w:rFonts w:ascii="Times New Roman" w:hAnsi="Times New Roman" w:cs="Times New Roman"/>
                <w:bCs/>
                <w:iCs/>
                <w:sz w:val="28"/>
              </w:rPr>
              <w:t>Impone al demandante la carga de exponer argumentos concretos y precisos</w:t>
            </w:r>
            <w:r w:rsidRPr="00045BB7">
              <w:rPr>
                <w:rFonts w:ascii="Times New Roman" w:hAnsi="Times New Roman" w:cs="Times New Roman"/>
                <w:bCs/>
                <w:iCs/>
                <w:sz w:val="28"/>
              </w:rPr>
              <w:t xml:space="preserve"> que sustenten la solicitud de inconstitucionalidad, no</w:t>
            </w:r>
            <w:r w:rsidRPr="00045BB7">
              <w:rPr>
                <w:rFonts w:ascii="Times New Roman" w:hAnsi="Times New Roman" w:cs="Times New Roman"/>
                <w:bCs/>
                <w:i/>
                <w:iCs/>
                <w:sz w:val="28"/>
              </w:rPr>
              <w:t xml:space="preserve"> </w:t>
            </w:r>
            <w:r w:rsidRPr="00045BB7">
              <w:rPr>
                <w:rFonts w:ascii="Times New Roman" w:hAnsi="Times New Roman" w:cs="Times New Roman"/>
                <w:bCs/>
                <w:sz w:val="28"/>
              </w:rPr>
              <w:t>“genéricos o excesivamente vagos</w:t>
            </w:r>
            <w:r w:rsidRPr="00045BB7">
              <w:rPr>
                <w:rFonts w:ascii="Times New Roman" w:hAnsi="Times New Roman" w:cs="Times New Roman"/>
                <w:bCs/>
                <w:iCs/>
                <w:sz w:val="28"/>
              </w:rPr>
              <w:t>”</w:t>
            </w:r>
            <w:r w:rsidRPr="00045BB7">
              <w:rPr>
                <w:rFonts w:ascii="Times New Roman" w:hAnsi="Times New Roman" w:cs="Times New Roman"/>
                <w:bCs/>
                <w:sz w:val="28"/>
                <w:vertAlign w:val="superscript"/>
              </w:rPr>
              <w:footnoteReference w:id="103"/>
            </w:r>
            <w:r w:rsidRPr="00045BB7">
              <w:rPr>
                <w:rFonts w:ascii="Times New Roman" w:hAnsi="Times New Roman" w:cs="Times New Roman"/>
                <w:bCs/>
                <w:sz w:val="28"/>
              </w:rPr>
              <w:t>.</w:t>
            </w:r>
          </w:p>
        </w:tc>
      </w:tr>
      <w:tr w:rsidR="001E5FD4" w:rsidRPr="00045BB7" w:rsidTr="00750FFA">
        <w:tc>
          <w:tcPr>
            <w:tcW w:w="1736" w:type="dxa"/>
            <w:shd w:val="clear" w:color="auto" w:fill="D9D9D9" w:themeFill="background1" w:themeFillShade="D9"/>
            <w:vAlign w:val="center"/>
          </w:tcPr>
          <w:p w:rsidR="005F55AE" w:rsidRPr="00045BB7" w:rsidRDefault="00045BB7" w:rsidP="005F55AE">
            <w:pPr>
              <w:tabs>
                <w:tab w:val="left" w:pos="0"/>
                <w:tab w:val="left" w:pos="567"/>
              </w:tabs>
              <w:ind w:right="51"/>
              <w:contextualSpacing/>
              <w:jc w:val="center"/>
              <w:rPr>
                <w:rFonts w:ascii="Times New Roman" w:hAnsi="Times New Roman" w:cs="Times New Roman"/>
                <w:b/>
                <w:bCs/>
                <w:sz w:val="28"/>
              </w:rPr>
            </w:pPr>
            <w:r w:rsidRPr="00045BB7">
              <w:rPr>
                <w:rFonts w:ascii="Times New Roman" w:hAnsi="Times New Roman" w:cs="Times New Roman"/>
                <w:b/>
                <w:bCs/>
                <w:sz w:val="28"/>
              </w:rPr>
              <w:t>Pertinencia</w:t>
            </w:r>
            <w:r w:rsidRPr="00045BB7">
              <w:rPr>
                <w:rStyle w:val="Refdenotaalpie"/>
                <w:rFonts w:ascii="Times New Roman" w:hAnsi="Times New Roman" w:cs="Times New Roman"/>
                <w:b/>
                <w:bCs/>
                <w:sz w:val="28"/>
              </w:rPr>
              <w:footnoteReference w:id="104"/>
            </w:r>
          </w:p>
        </w:tc>
        <w:tc>
          <w:tcPr>
            <w:tcW w:w="7097" w:type="dxa"/>
            <w:shd w:val="clear" w:color="auto" w:fill="auto"/>
          </w:tcPr>
          <w:p w:rsidR="005F55AE" w:rsidRPr="00045BB7" w:rsidRDefault="00045BB7" w:rsidP="005F55AE">
            <w:pPr>
              <w:tabs>
                <w:tab w:val="left" w:pos="0"/>
                <w:tab w:val="left" w:pos="567"/>
              </w:tabs>
              <w:ind w:right="51"/>
              <w:contextualSpacing/>
              <w:jc w:val="both"/>
              <w:rPr>
                <w:rFonts w:ascii="Times New Roman" w:hAnsi="Times New Roman" w:cs="Times New Roman"/>
                <w:bCs/>
                <w:sz w:val="28"/>
              </w:rPr>
            </w:pPr>
            <w:r w:rsidRPr="00045BB7">
              <w:rPr>
                <w:rFonts w:ascii="Times New Roman" w:hAnsi="Times New Roman" w:cs="Times New Roman"/>
                <w:bCs/>
                <w:sz w:val="28"/>
              </w:rPr>
              <w:t>La acusación debe estar fundada en la transgresión de una disposición constitucional</w:t>
            </w:r>
            <w:r w:rsidRPr="00045BB7">
              <w:rPr>
                <w:rFonts w:ascii="Times New Roman" w:hAnsi="Times New Roman" w:cs="Times New Roman"/>
                <w:bCs/>
                <w:sz w:val="28"/>
                <w:vertAlign w:val="superscript"/>
              </w:rPr>
              <w:footnoteReference w:id="105"/>
            </w:r>
            <w:r w:rsidRPr="00045BB7">
              <w:rPr>
                <w:rFonts w:ascii="Times New Roman" w:hAnsi="Times New Roman" w:cs="Times New Roman"/>
                <w:bCs/>
                <w:sz w:val="28"/>
              </w:rPr>
              <w:t>. El demandante debe plantear argumentos de “</w:t>
            </w:r>
            <w:r w:rsidRPr="00045BB7">
              <w:rPr>
                <w:rFonts w:ascii="Times New Roman" w:hAnsi="Times New Roman" w:cs="Times New Roman"/>
                <w:bCs/>
                <w:iCs/>
                <w:sz w:val="28"/>
              </w:rPr>
              <w:t>naturaleza estrictam</w:t>
            </w:r>
            <w:r w:rsidRPr="00045BB7">
              <w:rPr>
                <w:rFonts w:ascii="Times New Roman" w:hAnsi="Times New Roman" w:cs="Times New Roman"/>
                <w:bCs/>
                <w:iCs/>
                <w:sz w:val="28"/>
              </w:rPr>
              <w:t>ente constitucional</w:t>
            </w:r>
            <w:r w:rsidRPr="00045BB7">
              <w:rPr>
                <w:rFonts w:ascii="Times New Roman" w:hAnsi="Times New Roman" w:cs="Times New Roman"/>
                <w:bCs/>
                <w:sz w:val="28"/>
              </w:rPr>
              <w:t>”</w:t>
            </w:r>
            <w:r w:rsidRPr="00045BB7">
              <w:rPr>
                <w:rFonts w:ascii="Times New Roman" w:hAnsi="Times New Roman" w:cs="Times New Roman"/>
                <w:bCs/>
                <w:sz w:val="28"/>
                <w:vertAlign w:val="superscript"/>
              </w:rPr>
              <w:footnoteReference w:id="106"/>
            </w:r>
            <w:r w:rsidRPr="00045BB7">
              <w:rPr>
                <w:rFonts w:ascii="Times New Roman" w:hAnsi="Times New Roman" w:cs="Times New Roman"/>
                <w:bCs/>
                <w:sz w:val="28"/>
              </w:rPr>
              <w:t xml:space="preserve"> </w:t>
            </w:r>
            <w:r w:rsidRPr="00045BB7">
              <w:rPr>
                <w:rFonts w:ascii="Times New Roman" w:hAnsi="Times New Roman" w:cs="Times New Roman"/>
                <w:bCs/>
                <w:iCs/>
                <w:sz w:val="28"/>
              </w:rPr>
              <w:t>y no de legalidad</w:t>
            </w:r>
            <w:r w:rsidRPr="00045BB7">
              <w:rPr>
                <w:rFonts w:ascii="Times New Roman" w:hAnsi="Times New Roman" w:cs="Times New Roman"/>
                <w:bCs/>
                <w:sz w:val="28"/>
              </w:rPr>
              <w:t>,</w:t>
            </w:r>
            <w:r w:rsidRPr="00045BB7">
              <w:rPr>
                <w:rFonts w:ascii="Times New Roman" w:hAnsi="Times New Roman" w:cs="Times New Roman"/>
                <w:bCs/>
                <w:i/>
                <w:iCs/>
                <w:sz w:val="28"/>
              </w:rPr>
              <w:t xml:space="preserve"> </w:t>
            </w:r>
            <w:r w:rsidRPr="00045BB7">
              <w:rPr>
                <w:rFonts w:ascii="Times New Roman" w:hAnsi="Times New Roman" w:cs="Times New Roman"/>
                <w:bCs/>
                <w:iCs/>
                <w:sz w:val="28"/>
              </w:rPr>
              <w:t>“</w:t>
            </w:r>
            <w:r w:rsidRPr="00045BB7">
              <w:rPr>
                <w:rFonts w:ascii="Times New Roman" w:hAnsi="Times New Roman" w:cs="Times New Roman"/>
                <w:bCs/>
                <w:sz w:val="28"/>
              </w:rPr>
              <w:t>conveniencia o corrección de las decisiones legislativas”</w:t>
            </w:r>
            <w:r w:rsidRPr="00045BB7">
              <w:rPr>
                <w:rFonts w:ascii="Times New Roman" w:hAnsi="Times New Roman" w:cs="Times New Roman"/>
                <w:bCs/>
                <w:sz w:val="28"/>
                <w:vertAlign w:val="superscript"/>
              </w:rPr>
              <w:footnoteReference w:id="107"/>
            </w:r>
            <w:r w:rsidRPr="00045BB7">
              <w:rPr>
                <w:rFonts w:ascii="Times New Roman" w:hAnsi="Times New Roman" w:cs="Times New Roman"/>
                <w:bCs/>
                <w:sz w:val="28"/>
              </w:rPr>
              <w:t>.</w:t>
            </w:r>
          </w:p>
        </w:tc>
      </w:tr>
      <w:tr w:rsidR="001E5FD4" w:rsidRPr="00045BB7" w:rsidTr="00750FFA">
        <w:tc>
          <w:tcPr>
            <w:tcW w:w="1736" w:type="dxa"/>
            <w:shd w:val="clear" w:color="auto" w:fill="D9D9D9" w:themeFill="background1" w:themeFillShade="D9"/>
            <w:vAlign w:val="center"/>
          </w:tcPr>
          <w:p w:rsidR="005F55AE" w:rsidRPr="00045BB7" w:rsidRDefault="00045BB7" w:rsidP="005F55AE">
            <w:pPr>
              <w:tabs>
                <w:tab w:val="left" w:pos="0"/>
                <w:tab w:val="left" w:pos="567"/>
              </w:tabs>
              <w:ind w:right="51"/>
              <w:contextualSpacing/>
              <w:jc w:val="center"/>
              <w:rPr>
                <w:rFonts w:ascii="Times New Roman" w:hAnsi="Times New Roman" w:cs="Times New Roman"/>
                <w:b/>
                <w:bCs/>
                <w:sz w:val="28"/>
              </w:rPr>
            </w:pPr>
            <w:r w:rsidRPr="00045BB7">
              <w:rPr>
                <w:rFonts w:ascii="Times New Roman" w:hAnsi="Times New Roman" w:cs="Times New Roman"/>
                <w:b/>
                <w:bCs/>
                <w:sz w:val="28"/>
              </w:rPr>
              <w:t>Suficiencia</w:t>
            </w:r>
          </w:p>
        </w:tc>
        <w:tc>
          <w:tcPr>
            <w:tcW w:w="7097" w:type="dxa"/>
            <w:shd w:val="clear" w:color="auto" w:fill="auto"/>
          </w:tcPr>
          <w:p w:rsidR="005F55AE" w:rsidRPr="00045BB7" w:rsidRDefault="00045BB7" w:rsidP="005F55AE">
            <w:pPr>
              <w:tabs>
                <w:tab w:val="left" w:pos="0"/>
                <w:tab w:val="left" w:pos="567"/>
              </w:tabs>
              <w:ind w:right="51"/>
              <w:contextualSpacing/>
              <w:jc w:val="both"/>
              <w:rPr>
                <w:rFonts w:ascii="Times New Roman" w:hAnsi="Times New Roman" w:cs="Times New Roman"/>
                <w:sz w:val="28"/>
              </w:rPr>
            </w:pPr>
            <w:r w:rsidRPr="00045BB7">
              <w:rPr>
                <w:rFonts w:ascii="Times New Roman" w:hAnsi="Times New Roman" w:cs="Times New Roman"/>
                <w:bCs/>
                <w:sz w:val="28"/>
              </w:rPr>
              <w:t>Exige que los argumentos formulados generen “una duda inicial sobre la constitucionalidad de la disposición demandada”</w:t>
            </w:r>
            <w:r w:rsidRPr="00045BB7">
              <w:rPr>
                <w:rFonts w:ascii="Times New Roman" w:hAnsi="Times New Roman" w:cs="Times New Roman"/>
                <w:bCs/>
                <w:sz w:val="28"/>
                <w:vertAlign w:val="superscript"/>
              </w:rPr>
              <w:footnoteReference w:id="108"/>
            </w:r>
            <w:r w:rsidRPr="00045BB7">
              <w:rPr>
                <w:rFonts w:ascii="Times New Roman" w:hAnsi="Times New Roman" w:cs="Times New Roman"/>
                <w:bCs/>
                <w:sz w:val="28"/>
              </w:rPr>
              <w:t xml:space="preserve">. La carga de </w:t>
            </w:r>
            <w:r w:rsidRPr="00045BB7">
              <w:rPr>
                <w:rFonts w:ascii="Times New Roman" w:hAnsi="Times New Roman" w:cs="Times New Roman"/>
                <w:bCs/>
                <w:sz w:val="28"/>
              </w:rPr>
              <w:t>suficiencia es un “criterio de cierre para definir la aptitud del cargo”</w:t>
            </w:r>
            <w:r w:rsidRPr="00045BB7">
              <w:rPr>
                <w:rFonts w:ascii="Times New Roman" w:hAnsi="Times New Roman" w:cs="Times New Roman"/>
                <w:bCs/>
                <w:sz w:val="28"/>
                <w:vertAlign w:val="superscript"/>
              </w:rPr>
              <w:footnoteReference w:id="109"/>
            </w:r>
            <w:r w:rsidRPr="00045BB7">
              <w:rPr>
                <w:rFonts w:ascii="Times New Roman" w:hAnsi="Times New Roman" w:cs="Times New Roman"/>
                <w:bCs/>
                <w:sz w:val="28"/>
              </w:rPr>
              <w:t>.</w:t>
            </w:r>
          </w:p>
        </w:tc>
      </w:tr>
    </w:tbl>
    <w:p w:rsidR="006D4C28" w:rsidRPr="00045BB7" w:rsidRDefault="00045BB7" w:rsidP="006D4C28">
      <w:pPr>
        <w:tabs>
          <w:tab w:val="left" w:pos="0"/>
          <w:tab w:val="left" w:pos="567"/>
        </w:tabs>
        <w:ind w:right="51"/>
        <w:contextualSpacing/>
        <w:jc w:val="both"/>
        <w:rPr>
          <w:rFonts w:ascii="Times New Roman" w:hAnsi="Times New Roman" w:cs="Times New Roman"/>
          <w:sz w:val="28"/>
          <w:szCs w:val="28"/>
        </w:rPr>
      </w:pPr>
    </w:p>
    <w:p w:rsidR="006D4C28" w:rsidRPr="00045BB7" w:rsidRDefault="00045BB7" w:rsidP="006D4C28">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En principio, la satisfacción de estos presupuestos se verifica durante la etapa de admisibilidad de la demanda. No obstante, la Sala Plena es competente para efectuar un nuevo </w:t>
      </w:r>
      <w:r w:rsidRPr="00045BB7">
        <w:rPr>
          <w:rFonts w:ascii="Times New Roman" w:hAnsi="Times New Roman" w:cs="Times New Roman"/>
          <w:sz w:val="28"/>
          <w:szCs w:val="28"/>
        </w:rPr>
        <w:t>análisis, “máxime cuando las intervenciones y el concepto de la Procuraduría General de la Nación brindan mayores elementos de juicio para definir si los razonamientos de la demanda pueden conducir a pronunciarse de fondo”</w:t>
      </w:r>
      <w:r w:rsidRPr="00045BB7">
        <w:rPr>
          <w:rStyle w:val="Refdenotaalpie"/>
          <w:rFonts w:ascii="Times New Roman" w:hAnsi="Times New Roman" w:cs="Times New Roman"/>
          <w:sz w:val="28"/>
          <w:szCs w:val="28"/>
        </w:rPr>
        <w:footnoteReference w:id="110"/>
      </w:r>
      <w:r w:rsidRPr="00045BB7">
        <w:rPr>
          <w:rFonts w:ascii="Times New Roman" w:hAnsi="Times New Roman" w:cs="Times New Roman"/>
          <w:sz w:val="28"/>
          <w:szCs w:val="28"/>
        </w:rPr>
        <w:t xml:space="preserve"> </w:t>
      </w:r>
    </w:p>
    <w:p w:rsidR="00423286" w:rsidRPr="00045BB7" w:rsidRDefault="00045BB7" w:rsidP="006D4C28">
      <w:pPr>
        <w:tabs>
          <w:tab w:val="left" w:pos="0"/>
          <w:tab w:val="left" w:pos="567"/>
        </w:tabs>
        <w:ind w:right="51"/>
        <w:contextualSpacing/>
        <w:jc w:val="both"/>
        <w:rPr>
          <w:rFonts w:ascii="Times New Roman" w:hAnsi="Times New Roman" w:cs="Times New Roman"/>
          <w:sz w:val="28"/>
          <w:szCs w:val="28"/>
        </w:rPr>
      </w:pPr>
    </w:p>
    <w:p w:rsidR="00423286"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En tal virtud, e</w:t>
      </w:r>
      <w:r w:rsidRPr="00045BB7">
        <w:rPr>
          <w:rFonts w:ascii="Times New Roman" w:hAnsi="Times New Roman" w:cs="Times New Roman"/>
          <w:sz w:val="28"/>
          <w:szCs w:val="28"/>
        </w:rPr>
        <w:t>l cumplimiento</w:t>
      </w:r>
      <w:r w:rsidRPr="00045BB7">
        <w:rPr>
          <w:rFonts w:ascii="Times New Roman" w:hAnsi="Times New Roman" w:cs="Times New Roman"/>
          <w:sz w:val="28"/>
          <w:szCs w:val="28"/>
        </w:rPr>
        <w:t xml:space="preserve"> de es</w:t>
      </w:r>
      <w:r w:rsidRPr="00045BB7">
        <w:rPr>
          <w:rFonts w:ascii="Times New Roman" w:hAnsi="Times New Roman" w:cs="Times New Roman"/>
          <w:sz w:val="28"/>
          <w:szCs w:val="28"/>
        </w:rPr>
        <w:t>as</w:t>
      </w:r>
      <w:r w:rsidRPr="00045BB7">
        <w:rPr>
          <w:rFonts w:ascii="Times New Roman" w:hAnsi="Times New Roman" w:cs="Times New Roman"/>
          <w:sz w:val="28"/>
          <w:szCs w:val="28"/>
        </w:rPr>
        <w:t xml:space="preserve"> exigencias argumentativas debe ser constatado por </w:t>
      </w:r>
      <w:r w:rsidRPr="00045BB7">
        <w:rPr>
          <w:rFonts w:ascii="Times New Roman" w:hAnsi="Times New Roman" w:cs="Times New Roman"/>
          <w:sz w:val="28"/>
          <w:szCs w:val="28"/>
        </w:rPr>
        <w:t xml:space="preserve">este </w:t>
      </w:r>
      <w:r w:rsidRPr="00045BB7">
        <w:rPr>
          <w:rFonts w:ascii="Times New Roman" w:hAnsi="Times New Roman" w:cs="Times New Roman"/>
          <w:sz w:val="28"/>
          <w:szCs w:val="28"/>
        </w:rPr>
        <w:t>A</w:t>
      </w:r>
      <w:r w:rsidRPr="00045BB7">
        <w:rPr>
          <w:rFonts w:ascii="Times New Roman" w:hAnsi="Times New Roman" w:cs="Times New Roman"/>
          <w:sz w:val="28"/>
          <w:szCs w:val="28"/>
        </w:rPr>
        <w:t xml:space="preserve">lto </w:t>
      </w:r>
      <w:r w:rsidRPr="00045BB7">
        <w:rPr>
          <w:rFonts w:ascii="Times New Roman" w:hAnsi="Times New Roman" w:cs="Times New Roman"/>
          <w:sz w:val="28"/>
          <w:szCs w:val="28"/>
        </w:rPr>
        <w:t>T</w:t>
      </w:r>
      <w:r w:rsidRPr="00045BB7">
        <w:rPr>
          <w:rFonts w:ascii="Times New Roman" w:hAnsi="Times New Roman" w:cs="Times New Roman"/>
          <w:sz w:val="28"/>
          <w:szCs w:val="28"/>
        </w:rPr>
        <w:t>ribunal</w:t>
      </w:r>
      <w:r w:rsidRPr="00045BB7">
        <w:rPr>
          <w:rFonts w:ascii="Times New Roman" w:hAnsi="Times New Roman" w:cs="Times New Roman"/>
          <w:sz w:val="28"/>
          <w:szCs w:val="28"/>
        </w:rPr>
        <w:t xml:space="preserve"> a partir de un examen que articule la naturaleza pública e informal de la acción de inconstitucionalidad</w:t>
      </w:r>
      <w:r w:rsidRPr="00045BB7">
        <w:rPr>
          <w:rStyle w:val="Refdenotaalpie"/>
          <w:rFonts w:ascii="Times New Roman" w:hAnsi="Times New Roman" w:cs="Times New Roman"/>
          <w:sz w:val="28"/>
          <w:szCs w:val="28"/>
        </w:rPr>
        <w:footnoteReference w:id="111"/>
      </w:r>
      <w:r w:rsidRPr="00045BB7">
        <w:rPr>
          <w:rFonts w:ascii="Times New Roman" w:hAnsi="Times New Roman" w:cs="Times New Roman"/>
          <w:sz w:val="28"/>
          <w:szCs w:val="28"/>
        </w:rPr>
        <w:t>, de un lado, y el carácter rogado de la misma</w:t>
      </w:r>
      <w:r w:rsidRPr="00045BB7">
        <w:rPr>
          <w:rStyle w:val="Refdenotaalpie"/>
          <w:rFonts w:ascii="Times New Roman" w:hAnsi="Times New Roman" w:cs="Times New Roman"/>
          <w:sz w:val="28"/>
          <w:szCs w:val="28"/>
        </w:rPr>
        <w:footnoteReference w:id="112"/>
      </w:r>
      <w:r w:rsidRPr="00045BB7">
        <w:rPr>
          <w:rFonts w:ascii="Times New Roman" w:hAnsi="Times New Roman" w:cs="Times New Roman"/>
          <w:sz w:val="28"/>
          <w:szCs w:val="28"/>
        </w:rPr>
        <w:t xml:space="preserve">, de otro. La constatación de falencias argumentativas en la formulación del concepto de violación impide que </w:t>
      </w:r>
      <w:r w:rsidRPr="00045BB7">
        <w:rPr>
          <w:rFonts w:ascii="Times New Roman" w:hAnsi="Times New Roman" w:cs="Times New Roman"/>
          <w:sz w:val="28"/>
          <w:szCs w:val="28"/>
        </w:rPr>
        <w:t>se</w:t>
      </w:r>
      <w:r w:rsidRPr="00045BB7">
        <w:rPr>
          <w:rFonts w:ascii="Times New Roman" w:hAnsi="Times New Roman" w:cs="Times New Roman"/>
          <w:sz w:val="28"/>
          <w:szCs w:val="28"/>
        </w:rPr>
        <w:t xml:space="preserve"> adelante un estudio de fondo y, en consecuencia, conduce a un fallo inhibitorio. </w:t>
      </w:r>
    </w:p>
    <w:p w:rsidR="00D8765F" w:rsidRPr="00045BB7" w:rsidRDefault="00045BB7" w:rsidP="0022720E">
      <w:pPr>
        <w:rPr>
          <w:rFonts w:ascii="Times New Roman" w:hAnsi="Times New Roman" w:cs="Times New Roman"/>
          <w:sz w:val="28"/>
          <w:szCs w:val="28"/>
        </w:rPr>
      </w:pPr>
    </w:p>
    <w:p w:rsidR="00D8765F" w:rsidRPr="00045BB7" w:rsidRDefault="00045BB7" w:rsidP="00005DC5">
      <w:pPr>
        <w:pStyle w:val="Prrafodelista"/>
        <w:numPr>
          <w:ilvl w:val="0"/>
          <w:numId w:val="11"/>
        </w:numPr>
        <w:tabs>
          <w:tab w:val="left" w:pos="0"/>
          <w:tab w:val="left" w:pos="567"/>
        </w:tabs>
        <w:ind w:right="51"/>
        <w:contextualSpacing/>
        <w:rPr>
          <w:rFonts w:ascii="Times New Roman" w:hAnsi="Times New Roman" w:cs="Times New Roman"/>
          <w:b/>
          <w:bCs/>
          <w:szCs w:val="28"/>
          <w:lang w:eastAsia="es-CO"/>
        </w:rPr>
      </w:pPr>
      <w:r w:rsidRPr="00045BB7">
        <w:rPr>
          <w:rFonts w:ascii="Times New Roman" w:hAnsi="Times New Roman" w:cs="Times New Roman"/>
          <w:b/>
          <w:bCs/>
          <w:szCs w:val="28"/>
          <w:lang w:eastAsia="es-CO"/>
        </w:rPr>
        <w:t>Examen de aptitud del cargo</w:t>
      </w:r>
    </w:p>
    <w:p w:rsidR="00D8765F" w:rsidRPr="00045BB7" w:rsidRDefault="00045BB7" w:rsidP="00D8765F">
      <w:pPr>
        <w:pStyle w:val="Prrafodelista"/>
        <w:rPr>
          <w:rFonts w:ascii="Times New Roman" w:hAnsi="Times New Roman" w:cs="Times New Roman"/>
          <w:szCs w:val="28"/>
          <w:lang w:eastAsia="es-CO"/>
        </w:rPr>
      </w:pPr>
    </w:p>
    <w:p w:rsidR="001E3530" w:rsidRPr="00045BB7" w:rsidRDefault="00045BB7" w:rsidP="001E3530">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La Sala Plena encuentra que el </w:t>
      </w:r>
      <w:r w:rsidRPr="00045BB7">
        <w:rPr>
          <w:rFonts w:ascii="Times New Roman" w:hAnsi="Times New Roman" w:cs="Times New Roman"/>
          <w:sz w:val="28"/>
          <w:szCs w:val="28"/>
        </w:rPr>
        <w:t xml:space="preserve">cargo por la presunta vulneración al derecho a la vivienda digna (arts. 51 C.P. y 11 del PIDESC) </w:t>
      </w:r>
      <w:r w:rsidRPr="00045BB7">
        <w:rPr>
          <w:rFonts w:ascii="Times New Roman" w:hAnsi="Times New Roman" w:cs="Times New Roman"/>
          <w:sz w:val="28"/>
          <w:szCs w:val="28"/>
        </w:rPr>
        <w:t xml:space="preserve">no </w:t>
      </w:r>
      <w:r w:rsidRPr="00045BB7">
        <w:rPr>
          <w:rFonts w:ascii="Times New Roman" w:hAnsi="Times New Roman" w:cs="Times New Roman"/>
          <w:sz w:val="28"/>
          <w:szCs w:val="28"/>
        </w:rPr>
        <w:t>es apto</w:t>
      </w:r>
      <w:r w:rsidRPr="00045BB7">
        <w:rPr>
          <w:rFonts w:ascii="Times New Roman" w:hAnsi="Times New Roman" w:cs="Times New Roman"/>
          <w:sz w:val="28"/>
          <w:szCs w:val="28"/>
        </w:rPr>
        <w:t xml:space="preserve"> en tanto </w:t>
      </w:r>
      <w:r w:rsidRPr="00045BB7">
        <w:rPr>
          <w:rFonts w:ascii="Times New Roman" w:hAnsi="Times New Roman" w:cs="Times New Roman"/>
          <w:sz w:val="28"/>
          <w:szCs w:val="28"/>
        </w:rPr>
        <w:t xml:space="preserve">no </w:t>
      </w:r>
      <w:r w:rsidRPr="00045BB7">
        <w:rPr>
          <w:rFonts w:ascii="Times New Roman" w:hAnsi="Times New Roman" w:cs="Times New Roman"/>
          <w:sz w:val="28"/>
          <w:szCs w:val="28"/>
        </w:rPr>
        <w:t xml:space="preserve">satisface las exigencias generales de argumentación desarrolladas por la Corte Constitucional. Con el fin de ilustrar </w:t>
      </w:r>
      <w:r w:rsidRPr="00045BB7">
        <w:rPr>
          <w:rFonts w:ascii="Times New Roman" w:hAnsi="Times New Roman" w:cs="Times New Roman"/>
          <w:sz w:val="28"/>
          <w:szCs w:val="28"/>
        </w:rPr>
        <w:t>la anterior afirma</w:t>
      </w:r>
      <w:r w:rsidRPr="00045BB7">
        <w:rPr>
          <w:rFonts w:ascii="Times New Roman" w:hAnsi="Times New Roman" w:cs="Times New Roman"/>
          <w:sz w:val="28"/>
          <w:szCs w:val="28"/>
        </w:rPr>
        <w:t>ción</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se</w:t>
      </w:r>
      <w:r w:rsidRPr="00045BB7">
        <w:rPr>
          <w:rFonts w:ascii="Times New Roman" w:hAnsi="Times New Roman" w:cs="Times New Roman"/>
          <w:sz w:val="28"/>
          <w:szCs w:val="28"/>
        </w:rPr>
        <w:t xml:space="preserve">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 xml:space="preserve">precisará el sentido </w:t>
      </w:r>
      <w:r w:rsidRPr="00045BB7">
        <w:rPr>
          <w:rFonts w:ascii="Times New Roman" w:hAnsi="Times New Roman" w:cs="Times New Roman"/>
          <w:sz w:val="28"/>
          <w:szCs w:val="28"/>
        </w:rPr>
        <w:t xml:space="preserve">y contexto </w:t>
      </w:r>
      <w:r w:rsidRPr="00045BB7">
        <w:rPr>
          <w:rFonts w:ascii="Times New Roman" w:hAnsi="Times New Roman" w:cs="Times New Roman"/>
          <w:sz w:val="28"/>
          <w:szCs w:val="28"/>
        </w:rPr>
        <w:t xml:space="preserve">de los </w:t>
      </w:r>
      <w:r w:rsidRPr="00045BB7">
        <w:rPr>
          <w:rFonts w:ascii="Times New Roman" w:hAnsi="Times New Roman" w:cs="Times New Roman"/>
          <w:sz w:val="28"/>
          <w:szCs w:val="28"/>
        </w:rPr>
        <w:t>artículos</w:t>
      </w:r>
      <w:r w:rsidRPr="00045BB7">
        <w:rPr>
          <w:rFonts w:ascii="Times New Roman" w:hAnsi="Times New Roman" w:cs="Times New Roman"/>
          <w:sz w:val="28"/>
          <w:szCs w:val="28"/>
        </w:rPr>
        <w:t xml:space="preserve"> demandados</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y, </w:t>
      </w:r>
      <w:r w:rsidRPr="00045BB7">
        <w:rPr>
          <w:rFonts w:ascii="Times New Roman" w:hAnsi="Times New Roman" w:cs="Times New Roman"/>
          <w:i/>
          <w:iCs/>
          <w:sz w:val="28"/>
          <w:szCs w:val="28"/>
        </w:rPr>
        <w:t xml:space="preserve">(ii) </w:t>
      </w:r>
      <w:r w:rsidRPr="00045BB7">
        <w:rPr>
          <w:rFonts w:ascii="Times New Roman" w:hAnsi="Times New Roman" w:cs="Times New Roman"/>
          <w:sz w:val="28"/>
          <w:szCs w:val="28"/>
        </w:rPr>
        <w:t>se pronunciará sobre cada uno de los requisitos.</w:t>
      </w:r>
    </w:p>
    <w:p w:rsidR="001E3530" w:rsidRPr="00045BB7" w:rsidRDefault="00045BB7" w:rsidP="001E3530">
      <w:pPr>
        <w:tabs>
          <w:tab w:val="left" w:pos="0"/>
          <w:tab w:val="left" w:pos="567"/>
        </w:tabs>
        <w:ind w:right="51"/>
        <w:contextualSpacing/>
        <w:jc w:val="both"/>
        <w:rPr>
          <w:rFonts w:ascii="Times New Roman" w:hAnsi="Times New Roman" w:cs="Times New Roman"/>
          <w:sz w:val="28"/>
          <w:szCs w:val="28"/>
        </w:rPr>
      </w:pPr>
    </w:p>
    <w:p w:rsidR="001E3530" w:rsidRPr="00045BB7" w:rsidRDefault="00045BB7" w:rsidP="001E3530">
      <w:pPr>
        <w:pStyle w:val="Prrafodelista"/>
        <w:numPr>
          <w:ilvl w:val="0"/>
          <w:numId w:val="12"/>
        </w:numPr>
        <w:tabs>
          <w:tab w:val="left" w:pos="0"/>
          <w:tab w:val="left" w:pos="567"/>
        </w:tabs>
        <w:ind w:right="51"/>
        <w:contextualSpacing/>
        <w:rPr>
          <w:rFonts w:ascii="Times New Roman" w:hAnsi="Times New Roman" w:cs="Times New Roman"/>
          <w:b/>
          <w:bCs/>
          <w:szCs w:val="28"/>
          <w:lang w:eastAsia="es-CO"/>
        </w:rPr>
      </w:pPr>
      <w:r w:rsidRPr="00045BB7">
        <w:rPr>
          <w:rFonts w:ascii="Times New Roman" w:hAnsi="Times New Roman" w:cs="Times New Roman"/>
          <w:b/>
          <w:bCs/>
          <w:szCs w:val="28"/>
          <w:lang w:eastAsia="es-CO"/>
        </w:rPr>
        <w:t>Sentido y contexto de los artículos demandados</w:t>
      </w:r>
    </w:p>
    <w:p w:rsidR="00A31485" w:rsidRPr="00045BB7" w:rsidRDefault="00045BB7" w:rsidP="00A31485">
      <w:pPr>
        <w:tabs>
          <w:tab w:val="left" w:pos="0"/>
          <w:tab w:val="left" w:pos="567"/>
        </w:tabs>
        <w:ind w:right="51"/>
        <w:contextualSpacing/>
        <w:jc w:val="both"/>
        <w:rPr>
          <w:rFonts w:ascii="Times New Roman" w:hAnsi="Times New Roman" w:cs="Times New Roman"/>
          <w:sz w:val="28"/>
          <w:szCs w:val="28"/>
        </w:rPr>
      </w:pPr>
    </w:p>
    <w:p w:rsidR="00D21ACE"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El inciso 2</w:t>
      </w:r>
      <w:r w:rsidRPr="00045BB7">
        <w:rPr>
          <w:rFonts w:ascii="Times New Roman" w:hAnsi="Times New Roman" w:cs="Times New Roman"/>
          <w:sz w:val="28"/>
          <w:szCs w:val="28"/>
        </w:rPr>
        <w:t xml:space="preserve"> del artículo 50</w:t>
      </w:r>
      <w:r w:rsidRPr="00045BB7">
        <w:rPr>
          <w:rFonts w:ascii="Times New Roman" w:hAnsi="Times New Roman" w:cs="Times New Roman"/>
          <w:sz w:val="28"/>
          <w:szCs w:val="28"/>
        </w:rPr>
        <w:t xml:space="preserve"> refiere a la posibilidad </w:t>
      </w:r>
      <w:r w:rsidRPr="00045BB7">
        <w:rPr>
          <w:rFonts w:ascii="Times New Roman" w:hAnsi="Times New Roman" w:cs="Times New Roman"/>
          <w:sz w:val="28"/>
          <w:szCs w:val="28"/>
        </w:rPr>
        <w:t xml:space="preserve">de que el juez del concurso autorice, a favor del acreedor garantizado y previa solicitud, la ejecución de bienes que no son necesarios para el desarrollo de la actividad económica del deudor o que se encuentren en riesgo de deterioro o pérdida. </w:t>
      </w:r>
      <w:r w:rsidRPr="00045BB7">
        <w:rPr>
          <w:rFonts w:ascii="Times New Roman" w:hAnsi="Times New Roman" w:cs="Times New Roman"/>
          <w:sz w:val="28"/>
          <w:szCs w:val="28"/>
        </w:rPr>
        <w:t>A su vez</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el inciso 6</w:t>
      </w:r>
      <w:r w:rsidRPr="00045BB7">
        <w:rPr>
          <w:rFonts w:ascii="Times New Roman" w:hAnsi="Times New Roman" w:cs="Times New Roman"/>
          <w:sz w:val="28"/>
          <w:szCs w:val="28"/>
        </w:rPr>
        <w:t xml:space="preserve"> del mismo artículo</w:t>
      </w:r>
      <w:r w:rsidRPr="00045BB7">
        <w:rPr>
          <w:rFonts w:ascii="Times New Roman" w:hAnsi="Times New Roman" w:cs="Times New Roman"/>
          <w:sz w:val="28"/>
          <w:szCs w:val="28"/>
        </w:rPr>
        <w:t xml:space="preserve"> establece el derecho que tiene el acreedor garantizado a que se le pague de manera preferente frente a los demás acreedores que hagan parte del acuerdo de reorganización.</w:t>
      </w:r>
      <w:r w:rsidRPr="00045BB7">
        <w:rPr>
          <w:rFonts w:ascii="Times New Roman" w:hAnsi="Times New Roman" w:cs="Times New Roman"/>
          <w:sz w:val="28"/>
          <w:szCs w:val="28"/>
        </w:rPr>
        <w:t xml:space="preserve"> </w:t>
      </w:r>
    </w:p>
    <w:p w:rsidR="00A31485" w:rsidRPr="00045BB7" w:rsidRDefault="00045BB7" w:rsidP="00A31485">
      <w:pPr>
        <w:tabs>
          <w:tab w:val="left" w:pos="0"/>
          <w:tab w:val="left" w:pos="567"/>
        </w:tabs>
        <w:ind w:right="51"/>
        <w:contextualSpacing/>
        <w:jc w:val="both"/>
        <w:rPr>
          <w:rFonts w:ascii="Times New Roman" w:hAnsi="Times New Roman" w:cs="Times New Roman"/>
          <w:sz w:val="28"/>
          <w:szCs w:val="28"/>
        </w:rPr>
      </w:pPr>
    </w:p>
    <w:p w:rsidR="00C84981" w:rsidRPr="00045BB7" w:rsidRDefault="00045BB7" w:rsidP="00005DC5">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Por su parte, el artículo 51</w:t>
      </w:r>
      <w:r w:rsidRPr="00045BB7">
        <w:rPr>
          <w:rFonts w:ascii="Times New Roman" w:hAnsi="Times New Roman" w:cs="Times New Roman"/>
          <w:sz w:val="28"/>
          <w:szCs w:val="28"/>
        </w:rPr>
        <w:t xml:space="preserve"> establece que el tratam</w:t>
      </w:r>
      <w:r w:rsidRPr="00045BB7">
        <w:rPr>
          <w:rFonts w:ascii="Times New Roman" w:hAnsi="Times New Roman" w:cs="Times New Roman"/>
          <w:sz w:val="28"/>
          <w:szCs w:val="28"/>
        </w:rPr>
        <w:t xml:space="preserve">iento </w:t>
      </w:r>
      <w:r w:rsidRPr="00045BB7">
        <w:rPr>
          <w:rFonts w:ascii="Times New Roman" w:hAnsi="Times New Roman" w:cs="Times New Roman"/>
          <w:sz w:val="28"/>
          <w:szCs w:val="28"/>
        </w:rPr>
        <w:t>del</w:t>
      </w:r>
      <w:r w:rsidRPr="00045BB7">
        <w:rPr>
          <w:rFonts w:ascii="Times New Roman" w:hAnsi="Times New Roman" w:cs="Times New Roman"/>
          <w:sz w:val="28"/>
          <w:szCs w:val="28"/>
        </w:rPr>
        <w:t xml:space="preserve"> artículo 50 aplica </w:t>
      </w:r>
      <w:r w:rsidRPr="00045BB7">
        <w:rPr>
          <w:rFonts w:ascii="Times New Roman" w:hAnsi="Times New Roman" w:cs="Times New Roman"/>
          <w:sz w:val="28"/>
          <w:szCs w:val="28"/>
        </w:rPr>
        <w:t xml:space="preserve">tanto </w:t>
      </w:r>
      <w:r w:rsidRPr="00045BB7">
        <w:rPr>
          <w:rFonts w:ascii="Times New Roman" w:hAnsi="Times New Roman" w:cs="Times New Roman"/>
          <w:sz w:val="28"/>
          <w:szCs w:val="28"/>
        </w:rPr>
        <w:t xml:space="preserve">en el marco del proceso de reorganización </w:t>
      </w:r>
      <w:r w:rsidRPr="00045BB7">
        <w:rPr>
          <w:rFonts w:ascii="Times New Roman" w:hAnsi="Times New Roman" w:cs="Times New Roman"/>
          <w:sz w:val="28"/>
          <w:szCs w:val="28"/>
        </w:rPr>
        <w:t>empresarial</w:t>
      </w:r>
      <w:r w:rsidRPr="00045BB7">
        <w:rPr>
          <w:rFonts w:ascii="Times New Roman" w:hAnsi="Times New Roman" w:cs="Times New Roman"/>
          <w:sz w:val="28"/>
          <w:szCs w:val="28"/>
        </w:rPr>
        <w:t xml:space="preserve"> como </w:t>
      </w:r>
      <w:r w:rsidRPr="00045BB7">
        <w:rPr>
          <w:rFonts w:ascii="Times New Roman" w:hAnsi="Times New Roman" w:cs="Times New Roman"/>
          <w:sz w:val="28"/>
          <w:szCs w:val="28"/>
        </w:rPr>
        <w:t>en la validación judicial de acuerdos extrajudiciales de reorganización.</w:t>
      </w:r>
      <w:r w:rsidRPr="00045BB7">
        <w:rPr>
          <w:rFonts w:ascii="Times New Roman" w:hAnsi="Times New Roman" w:cs="Times New Roman"/>
          <w:sz w:val="28"/>
          <w:szCs w:val="28"/>
        </w:rPr>
        <w:t xml:space="preserve"> Estos tipos de acuerdos se promueven por fuera del proceso de reorganización y se dan entre el deudor y los acreedores externos. “Una vez celebrados, cualquiera de las partes que haya tomado parte de dicho acuerdo podrá pedir al juez del concurso […] la a</w:t>
      </w:r>
      <w:r w:rsidRPr="00045BB7">
        <w:rPr>
          <w:rFonts w:ascii="Times New Roman" w:hAnsi="Times New Roman" w:cs="Times New Roman"/>
          <w:sz w:val="28"/>
          <w:szCs w:val="28"/>
        </w:rPr>
        <w:t>pertura de un proceso de validación del acuerdo extrajudicial de reorganización”</w:t>
      </w:r>
      <w:r w:rsidRPr="00045BB7">
        <w:rPr>
          <w:rStyle w:val="Refdenotaalpie"/>
          <w:rFonts w:ascii="Times New Roman" w:hAnsi="Times New Roman" w:cs="Times New Roman"/>
          <w:sz w:val="28"/>
          <w:szCs w:val="28"/>
        </w:rPr>
        <w:footnoteReference w:id="113"/>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Finalmente, el inciso 1 del artículo 52 </w:t>
      </w:r>
      <w:r w:rsidRPr="00045BB7">
        <w:rPr>
          <w:rFonts w:ascii="Times New Roman" w:hAnsi="Times New Roman" w:cs="Times New Roman"/>
          <w:sz w:val="28"/>
          <w:szCs w:val="28"/>
        </w:rPr>
        <w:t>r</w:t>
      </w:r>
      <w:r w:rsidRPr="00045BB7">
        <w:rPr>
          <w:rFonts w:ascii="Times New Roman" w:hAnsi="Times New Roman" w:cs="Times New Roman"/>
          <w:sz w:val="28"/>
          <w:szCs w:val="28"/>
        </w:rPr>
        <w:t>efiere</w:t>
      </w:r>
      <w:r w:rsidRPr="00045BB7">
        <w:rPr>
          <w:rFonts w:ascii="Times New Roman" w:hAnsi="Times New Roman" w:cs="Times New Roman"/>
          <w:sz w:val="28"/>
          <w:szCs w:val="28"/>
        </w:rPr>
        <w:t xml:space="preserve"> a</w:t>
      </w:r>
      <w:r w:rsidRPr="00045BB7">
        <w:rPr>
          <w:rFonts w:ascii="Times New Roman" w:hAnsi="Times New Roman" w:cs="Times New Roman"/>
          <w:sz w:val="28"/>
          <w:szCs w:val="28"/>
        </w:rPr>
        <w:t xml:space="preserve"> la posibilidad </w:t>
      </w:r>
      <w:r w:rsidRPr="00045BB7">
        <w:rPr>
          <w:rFonts w:ascii="Times New Roman" w:hAnsi="Times New Roman" w:cs="Times New Roman"/>
          <w:sz w:val="28"/>
          <w:szCs w:val="28"/>
        </w:rPr>
        <w:t xml:space="preserve">de excluir </w:t>
      </w:r>
      <w:r w:rsidRPr="00045BB7">
        <w:rPr>
          <w:rFonts w:ascii="Times New Roman" w:hAnsi="Times New Roman" w:cs="Times New Roman"/>
          <w:sz w:val="28"/>
          <w:szCs w:val="28"/>
        </w:rPr>
        <w:t xml:space="preserve">de la masa liquidatoria </w:t>
      </w:r>
      <w:r w:rsidRPr="00045BB7">
        <w:rPr>
          <w:rFonts w:ascii="Times New Roman" w:hAnsi="Times New Roman" w:cs="Times New Roman"/>
          <w:sz w:val="28"/>
          <w:szCs w:val="28"/>
        </w:rPr>
        <w:t>los bienes del deudor que son objeto de garantía del acreedor garantizado</w:t>
      </w:r>
      <w:r w:rsidRPr="00045BB7">
        <w:rPr>
          <w:rFonts w:ascii="Times New Roman" w:hAnsi="Times New Roman" w:cs="Times New Roman"/>
          <w:sz w:val="28"/>
          <w:szCs w:val="28"/>
        </w:rPr>
        <w:t xml:space="preserve">. </w:t>
      </w:r>
    </w:p>
    <w:p w:rsidR="001E3530" w:rsidRPr="00045BB7" w:rsidRDefault="00045BB7" w:rsidP="001E3530">
      <w:pPr>
        <w:pStyle w:val="Prrafodelista"/>
        <w:rPr>
          <w:rFonts w:ascii="Times New Roman" w:hAnsi="Times New Roman" w:cs="Times New Roman"/>
          <w:szCs w:val="28"/>
          <w:lang w:eastAsia="es-CO"/>
        </w:rPr>
      </w:pPr>
    </w:p>
    <w:p w:rsidR="001E3530" w:rsidRPr="00045BB7" w:rsidRDefault="00045BB7" w:rsidP="001E3530">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lang w:val="es-ES_tradnl"/>
        </w:rPr>
        <w:t xml:space="preserve">La Sala Plena no puede comenzar el estudio de aptitud del cargo propuesto, sin antes </w:t>
      </w:r>
      <w:r w:rsidRPr="00045BB7">
        <w:rPr>
          <w:rFonts w:ascii="Times New Roman" w:hAnsi="Times New Roman" w:cs="Times New Roman"/>
          <w:sz w:val="28"/>
          <w:szCs w:val="28"/>
        </w:rPr>
        <w:t>explicar que el artículo 3 de la Ley 1116 de 2006 establece que se encuentran excluidas del régimen de insolvencia las personas jurídicas que estén sometidas a una reg</w:t>
      </w:r>
      <w:r w:rsidRPr="00045BB7">
        <w:rPr>
          <w:rFonts w:ascii="Times New Roman" w:hAnsi="Times New Roman" w:cs="Times New Roman"/>
          <w:sz w:val="28"/>
          <w:szCs w:val="28"/>
        </w:rPr>
        <w:t xml:space="preserve">ulación especial. Dentro de esta categoría se ubican quienes adelantan actividades de urbanización, construcción y venta de inmuebles destinados a vivienda, en razón a que se trata de una actividad de interés público que tiene incidencia en la garantía de </w:t>
      </w:r>
      <w:r w:rsidRPr="00045BB7">
        <w:rPr>
          <w:rFonts w:ascii="Times New Roman" w:hAnsi="Times New Roman" w:cs="Times New Roman"/>
          <w:sz w:val="28"/>
          <w:szCs w:val="28"/>
        </w:rPr>
        <w:t>derechos fundamentales, cuyo régimen especial está previsto en el artículo 125 de la Ley 388 de 1997. Esta última norma determina que las sociedades que se dediquen a ese tipo de actividades están sujetas al ejercicio de la facultad de toma de posesión (</w:t>
      </w:r>
      <w:r w:rsidRPr="00045BB7">
        <w:rPr>
          <w:rFonts w:ascii="Times New Roman" w:hAnsi="Times New Roman" w:cs="Times New Roman"/>
          <w:i/>
          <w:iCs/>
          <w:sz w:val="28"/>
          <w:szCs w:val="28"/>
        </w:rPr>
        <w:t>co</w:t>
      </w:r>
      <w:r w:rsidRPr="00045BB7">
        <w:rPr>
          <w:rFonts w:ascii="Times New Roman" w:hAnsi="Times New Roman" w:cs="Times New Roman"/>
          <w:i/>
          <w:iCs/>
          <w:sz w:val="28"/>
          <w:szCs w:val="28"/>
        </w:rPr>
        <w:t>mpetencia administrativa</w:t>
      </w:r>
      <w:r w:rsidRPr="00045BB7">
        <w:rPr>
          <w:rFonts w:ascii="Times New Roman" w:hAnsi="Times New Roman" w:cs="Times New Roman"/>
          <w:sz w:val="28"/>
          <w:szCs w:val="28"/>
        </w:rPr>
        <w:t>), la cual está en cabeza de las autoridades</w:t>
      </w:r>
      <w:r w:rsidRPr="00045BB7">
        <w:rPr>
          <w:rFonts w:ascii="Times New Roman" w:hAnsi="Times New Roman" w:cs="Times New Roman"/>
          <w:sz w:val="28"/>
          <w:szCs w:val="28"/>
        </w:rPr>
        <w:t xml:space="preserve"> municipales y</w:t>
      </w:r>
      <w:r w:rsidRPr="00045BB7">
        <w:rPr>
          <w:rFonts w:ascii="Times New Roman" w:hAnsi="Times New Roman" w:cs="Times New Roman"/>
          <w:sz w:val="28"/>
          <w:szCs w:val="28"/>
        </w:rPr>
        <w:t xml:space="preserve"> distritales, en ejercicio de sus funciones de inspección, vigilancia y control</w:t>
      </w:r>
      <w:r w:rsidRPr="00045BB7">
        <w:rPr>
          <w:rStyle w:val="Refdenotaalpie"/>
          <w:rFonts w:ascii="Times New Roman" w:hAnsi="Times New Roman" w:cs="Times New Roman"/>
          <w:sz w:val="28"/>
          <w:szCs w:val="28"/>
        </w:rPr>
        <w:footnoteReference w:id="114"/>
      </w:r>
      <w:r w:rsidRPr="00045BB7">
        <w:rPr>
          <w:rFonts w:ascii="Times New Roman" w:hAnsi="Times New Roman" w:cs="Times New Roman"/>
          <w:sz w:val="28"/>
          <w:szCs w:val="28"/>
        </w:rPr>
        <w:t xml:space="preserve"> y puede adoptarse con el fin de salvaguardar a la empresa y, si no es posible, liquidar la sociedad, como mecanismo de protección del pago de las acreencias. </w:t>
      </w:r>
    </w:p>
    <w:p w:rsidR="001E3530" w:rsidRPr="00045BB7" w:rsidRDefault="00045BB7" w:rsidP="001E3530">
      <w:pPr>
        <w:pStyle w:val="Prrafodelista"/>
        <w:rPr>
          <w:rFonts w:ascii="Times New Roman" w:hAnsi="Times New Roman" w:cs="Times New Roman"/>
          <w:szCs w:val="28"/>
          <w:lang w:eastAsia="es-CO"/>
        </w:rPr>
      </w:pPr>
    </w:p>
    <w:p w:rsidR="00B64FEF" w:rsidRPr="00045BB7" w:rsidRDefault="00045BB7" w:rsidP="001E3530">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No obstante, la Ley 388 de 1997 también habilita a la Superintendencia de Sociedades para conoc</w:t>
      </w:r>
      <w:r w:rsidRPr="00045BB7">
        <w:rPr>
          <w:rFonts w:ascii="Times New Roman" w:hAnsi="Times New Roman" w:cs="Times New Roman"/>
          <w:sz w:val="28"/>
          <w:szCs w:val="28"/>
        </w:rPr>
        <w:t>er de los procesos concursales de las personas que se ocupen de la actividad inmobiliaria para vivienda (</w:t>
      </w:r>
      <w:r w:rsidRPr="00045BB7">
        <w:rPr>
          <w:rFonts w:ascii="Times New Roman" w:hAnsi="Times New Roman" w:cs="Times New Roman"/>
          <w:i/>
          <w:iCs/>
          <w:sz w:val="28"/>
          <w:szCs w:val="28"/>
        </w:rPr>
        <w:t>competencia jurisdiccional</w:t>
      </w:r>
      <w:r w:rsidRPr="00045BB7">
        <w:rPr>
          <w:rFonts w:ascii="Times New Roman" w:hAnsi="Times New Roman" w:cs="Times New Roman"/>
          <w:sz w:val="28"/>
          <w:szCs w:val="28"/>
        </w:rPr>
        <w:t xml:space="preserve">), con la condición de que se cumplan los requisitos especiales previstos en el primer inciso del artículo 125 </w:t>
      </w:r>
      <w:r w:rsidRPr="00045BB7">
        <w:rPr>
          <w:rFonts w:ascii="Times New Roman" w:hAnsi="Times New Roman" w:cs="Times New Roman"/>
          <w:i/>
          <w:iCs/>
          <w:sz w:val="28"/>
          <w:szCs w:val="28"/>
        </w:rPr>
        <w:t>ibídem</w:t>
      </w:r>
      <w:r w:rsidRPr="00045BB7">
        <w:rPr>
          <w:rFonts w:ascii="Times New Roman" w:hAnsi="Times New Roman" w:cs="Times New Roman"/>
          <w:sz w:val="28"/>
          <w:szCs w:val="28"/>
        </w:rPr>
        <w:t>, esto e</w:t>
      </w:r>
      <w:r w:rsidRPr="00045BB7">
        <w:rPr>
          <w:rFonts w:ascii="Times New Roman" w:hAnsi="Times New Roman" w:cs="Times New Roman"/>
          <w:sz w:val="28"/>
          <w:szCs w:val="28"/>
        </w:rPr>
        <w:t xml:space="preserve">s, cuando: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 xml:space="preserve">hayan suspendido el pago de sus obligaciones o, </w:t>
      </w:r>
      <w:r w:rsidRPr="00045BB7">
        <w:rPr>
          <w:rFonts w:ascii="Times New Roman" w:hAnsi="Times New Roman" w:cs="Times New Roman"/>
          <w:i/>
          <w:iCs/>
          <w:sz w:val="28"/>
          <w:szCs w:val="28"/>
        </w:rPr>
        <w:t xml:space="preserve">(ii) </w:t>
      </w:r>
      <w:r w:rsidRPr="00045BB7">
        <w:rPr>
          <w:rFonts w:ascii="Times New Roman" w:hAnsi="Times New Roman" w:cs="Times New Roman"/>
          <w:sz w:val="28"/>
          <w:szCs w:val="28"/>
        </w:rPr>
        <w:t xml:space="preserve">su patrimonio sufra grave quebranto que ponga en peligro la oportuna atención de sus obligaciones y, </w:t>
      </w:r>
      <w:r w:rsidRPr="00045BB7">
        <w:rPr>
          <w:rFonts w:ascii="Times New Roman" w:hAnsi="Times New Roman" w:cs="Times New Roman"/>
          <w:i/>
          <w:iCs/>
          <w:sz w:val="28"/>
          <w:szCs w:val="28"/>
        </w:rPr>
        <w:t xml:space="preserve">(iii) </w:t>
      </w:r>
      <w:r w:rsidRPr="00045BB7">
        <w:rPr>
          <w:rFonts w:ascii="Times New Roman" w:hAnsi="Times New Roman" w:cs="Times New Roman"/>
          <w:sz w:val="28"/>
          <w:szCs w:val="28"/>
        </w:rPr>
        <w:t>siempre y cuando la sociedad esté desarrollando su actividad de conformidad con e</w:t>
      </w:r>
      <w:r w:rsidRPr="00045BB7">
        <w:rPr>
          <w:rFonts w:ascii="Times New Roman" w:hAnsi="Times New Roman" w:cs="Times New Roman"/>
          <w:sz w:val="28"/>
          <w:szCs w:val="28"/>
        </w:rPr>
        <w:t>l ordenamiento jurídico</w:t>
      </w:r>
      <w:r w:rsidRPr="00045BB7">
        <w:rPr>
          <w:rStyle w:val="Refdenotaalpie"/>
          <w:rFonts w:ascii="Times New Roman" w:hAnsi="Times New Roman" w:cs="Times New Roman"/>
          <w:sz w:val="28"/>
          <w:szCs w:val="28"/>
        </w:rPr>
        <w:footnoteReference w:id="115"/>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w:t>
      </w:r>
    </w:p>
    <w:p w:rsidR="00B64FEF" w:rsidRPr="00045BB7" w:rsidRDefault="00045BB7" w:rsidP="000940E7">
      <w:pPr>
        <w:pStyle w:val="Prrafodelista"/>
        <w:rPr>
          <w:rFonts w:ascii="Times New Roman" w:hAnsi="Times New Roman" w:cs="Times New Roman"/>
          <w:szCs w:val="28"/>
          <w:lang w:eastAsia="es-CO"/>
        </w:rPr>
      </w:pPr>
    </w:p>
    <w:p w:rsidR="001E3530" w:rsidRPr="00045BB7" w:rsidRDefault="00045BB7" w:rsidP="001E3530">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En tal virtud y con la finalidad de analizar la aptitud del cargo, es necesario hacer una breve exposición y contextualización acerca del régimen de insolvencia empresarial y sus características en tanto</w:t>
      </w:r>
      <w:r w:rsidRPr="00045BB7">
        <w:rPr>
          <w:rFonts w:ascii="Times New Roman" w:hAnsi="Times New Roman" w:cs="Times New Roman"/>
          <w:sz w:val="28"/>
          <w:szCs w:val="28"/>
        </w:rPr>
        <w:t xml:space="preserve">, </w:t>
      </w:r>
      <w:r w:rsidRPr="00045BB7">
        <w:rPr>
          <w:rFonts w:ascii="Times New Roman" w:hAnsi="Times New Roman" w:cs="Times New Roman"/>
          <w:i/>
          <w:iCs/>
          <w:sz w:val="28"/>
          <w:szCs w:val="28"/>
        </w:rPr>
        <w:t>(i)</w:t>
      </w:r>
      <w:r w:rsidRPr="00045BB7">
        <w:rPr>
          <w:rFonts w:ascii="Times New Roman" w:hAnsi="Times New Roman" w:cs="Times New Roman"/>
          <w:sz w:val="28"/>
          <w:szCs w:val="28"/>
        </w:rPr>
        <w:t xml:space="preserve"> los artículos deman</w:t>
      </w:r>
      <w:r w:rsidRPr="00045BB7">
        <w:rPr>
          <w:rFonts w:ascii="Times New Roman" w:hAnsi="Times New Roman" w:cs="Times New Roman"/>
          <w:sz w:val="28"/>
          <w:szCs w:val="28"/>
        </w:rPr>
        <w:t xml:space="preserve">dados aplican en </w:t>
      </w:r>
      <w:r w:rsidRPr="00045BB7">
        <w:rPr>
          <w:rFonts w:ascii="Times New Roman" w:hAnsi="Times New Roman" w:cs="Times New Roman"/>
          <w:sz w:val="28"/>
          <w:szCs w:val="28"/>
        </w:rPr>
        <w:t xml:space="preserve">el marco de </w:t>
      </w:r>
      <w:r w:rsidRPr="00045BB7">
        <w:rPr>
          <w:rFonts w:ascii="Times New Roman" w:hAnsi="Times New Roman" w:cs="Times New Roman"/>
          <w:sz w:val="28"/>
          <w:szCs w:val="28"/>
        </w:rPr>
        <w:t xml:space="preserve">este tipo de procesos y, </w:t>
      </w:r>
      <w:r w:rsidRPr="00045BB7">
        <w:rPr>
          <w:rFonts w:ascii="Times New Roman" w:hAnsi="Times New Roman" w:cs="Times New Roman"/>
          <w:i/>
          <w:iCs/>
          <w:sz w:val="28"/>
          <w:szCs w:val="28"/>
        </w:rPr>
        <w:t xml:space="preserve">(ii) </w:t>
      </w:r>
      <w:r w:rsidRPr="00045BB7">
        <w:rPr>
          <w:rFonts w:ascii="Times New Roman" w:hAnsi="Times New Roman" w:cs="Times New Roman"/>
          <w:sz w:val="28"/>
          <w:szCs w:val="28"/>
        </w:rPr>
        <w:t xml:space="preserve">a pesar de que las actividades de urbanización, construcción y venta de inmuebles destinados a vivienda tienen una regulación especial (párr. 59, </w:t>
      </w:r>
      <w:r w:rsidRPr="00045BB7">
        <w:rPr>
          <w:rFonts w:ascii="Times New Roman" w:hAnsi="Times New Roman" w:cs="Times New Roman"/>
          <w:i/>
          <w:iCs/>
          <w:sz w:val="28"/>
          <w:szCs w:val="28"/>
        </w:rPr>
        <w:t>supra)</w:t>
      </w:r>
      <w:r w:rsidRPr="00045BB7">
        <w:rPr>
          <w:rFonts w:ascii="Times New Roman" w:hAnsi="Times New Roman" w:cs="Times New Roman"/>
          <w:sz w:val="28"/>
          <w:szCs w:val="28"/>
        </w:rPr>
        <w:t>, las personas que adelanten este tipo de act</w:t>
      </w:r>
      <w:r w:rsidRPr="00045BB7">
        <w:rPr>
          <w:rFonts w:ascii="Times New Roman" w:hAnsi="Times New Roman" w:cs="Times New Roman"/>
          <w:sz w:val="28"/>
          <w:szCs w:val="28"/>
        </w:rPr>
        <w:t>ividades también pueden estar sometidas a</w:t>
      </w:r>
      <w:r w:rsidRPr="00045BB7">
        <w:rPr>
          <w:rFonts w:ascii="Times New Roman" w:hAnsi="Times New Roman" w:cs="Times New Roman"/>
          <w:sz w:val="28"/>
          <w:szCs w:val="28"/>
        </w:rPr>
        <w:t>l régimen que prevé la Ley 1116 de 2006</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(párr. 60, </w:t>
      </w:r>
      <w:r w:rsidRPr="00045BB7">
        <w:rPr>
          <w:rFonts w:ascii="Times New Roman" w:hAnsi="Times New Roman" w:cs="Times New Roman"/>
          <w:i/>
          <w:iCs/>
          <w:sz w:val="28"/>
          <w:szCs w:val="28"/>
        </w:rPr>
        <w:t>supra</w:t>
      </w:r>
      <w:r w:rsidRPr="00045BB7">
        <w:rPr>
          <w:rFonts w:ascii="Times New Roman" w:hAnsi="Times New Roman" w:cs="Times New Roman"/>
          <w:sz w:val="28"/>
          <w:szCs w:val="28"/>
        </w:rPr>
        <w:t>).</w:t>
      </w:r>
    </w:p>
    <w:p w:rsidR="00B12F97" w:rsidRPr="00045BB7" w:rsidRDefault="00045BB7" w:rsidP="00B12F97">
      <w:pPr>
        <w:pStyle w:val="Prrafodelista"/>
        <w:rPr>
          <w:rFonts w:ascii="Times New Roman" w:hAnsi="Times New Roman" w:cs="Times New Roman"/>
          <w:szCs w:val="28"/>
          <w:lang w:eastAsia="es-CO"/>
        </w:rPr>
      </w:pPr>
    </w:p>
    <w:p w:rsidR="00B12F97" w:rsidRPr="00045BB7" w:rsidRDefault="00045BB7" w:rsidP="00B12F97">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i/>
          <w:iCs/>
          <w:sz w:val="28"/>
          <w:szCs w:val="28"/>
        </w:rPr>
        <w:t xml:space="preserve">El régimen de insolvencia empresarial. </w:t>
      </w:r>
      <w:r w:rsidRPr="00045BB7">
        <w:rPr>
          <w:rFonts w:ascii="Times New Roman" w:hAnsi="Times New Roman" w:cs="Times New Roman"/>
          <w:sz w:val="28"/>
          <w:szCs w:val="28"/>
        </w:rPr>
        <w:t>En Colombia el régimen de insolvencia empresarial está regulado principalmente por la Ley 1116 de 2006</w:t>
      </w:r>
      <w:r w:rsidRPr="00045BB7">
        <w:rPr>
          <w:rStyle w:val="Refdenotaalpie"/>
          <w:rFonts w:ascii="Times New Roman" w:hAnsi="Times New Roman" w:cs="Times New Roman"/>
          <w:sz w:val="28"/>
          <w:szCs w:val="28"/>
        </w:rPr>
        <w:footnoteReference w:id="116"/>
      </w:r>
      <w:r w:rsidRPr="00045BB7">
        <w:rPr>
          <w:rFonts w:ascii="Times New Roman" w:hAnsi="Times New Roman" w:cs="Times New Roman"/>
          <w:sz w:val="28"/>
          <w:szCs w:val="28"/>
        </w:rPr>
        <w:t xml:space="preserve">, cuya </w:t>
      </w:r>
      <w:r w:rsidRPr="00045BB7">
        <w:rPr>
          <w:rFonts w:ascii="Times New Roman" w:hAnsi="Times New Roman" w:cs="Times New Roman"/>
          <w:sz w:val="28"/>
          <w:szCs w:val="28"/>
        </w:rPr>
        <w:t>finalidad es “la protección del crédito y la recuperación y conservación de la empresa como unidad económica y fuente generadora de empleo”</w:t>
      </w:r>
      <w:r w:rsidRPr="00045BB7">
        <w:rPr>
          <w:rStyle w:val="Refdenotaalpie"/>
          <w:rFonts w:ascii="Times New Roman" w:hAnsi="Times New Roman" w:cs="Times New Roman"/>
          <w:sz w:val="28"/>
          <w:szCs w:val="28"/>
        </w:rPr>
        <w:footnoteReference w:id="117"/>
      </w:r>
      <w:r w:rsidRPr="00045BB7">
        <w:rPr>
          <w:rFonts w:ascii="Times New Roman" w:hAnsi="Times New Roman" w:cs="Times New Roman"/>
          <w:sz w:val="28"/>
          <w:szCs w:val="28"/>
        </w:rPr>
        <w:t>. Este régimen está estructurado a partir de dos tipos de trámites: los procesos de reorganización y los procesos de</w:t>
      </w:r>
      <w:r w:rsidRPr="00045BB7">
        <w:rPr>
          <w:rFonts w:ascii="Times New Roman" w:hAnsi="Times New Roman" w:cs="Times New Roman"/>
          <w:sz w:val="28"/>
          <w:szCs w:val="28"/>
        </w:rPr>
        <w:t xml:space="preserve"> liquidación judicial</w:t>
      </w:r>
      <w:r w:rsidRPr="00045BB7">
        <w:rPr>
          <w:rStyle w:val="Refdenotaalpie"/>
          <w:rFonts w:ascii="Times New Roman" w:hAnsi="Times New Roman" w:cs="Times New Roman"/>
          <w:sz w:val="28"/>
          <w:szCs w:val="28"/>
        </w:rPr>
        <w:footnoteReference w:id="118"/>
      </w:r>
      <w:r w:rsidRPr="00045BB7">
        <w:rPr>
          <w:rFonts w:ascii="Times New Roman" w:hAnsi="Times New Roman" w:cs="Times New Roman"/>
          <w:sz w:val="28"/>
          <w:szCs w:val="28"/>
        </w:rPr>
        <w:t xml:space="preserve">. </w:t>
      </w:r>
    </w:p>
    <w:p w:rsidR="00B12F97" w:rsidRPr="00045BB7" w:rsidRDefault="00045BB7" w:rsidP="00B12F97">
      <w:pPr>
        <w:pStyle w:val="Prrafodelista"/>
        <w:rPr>
          <w:rFonts w:ascii="Times New Roman" w:hAnsi="Times New Roman" w:cs="Times New Roman"/>
          <w:szCs w:val="28"/>
          <w:lang w:eastAsia="es-CO"/>
        </w:rPr>
      </w:pPr>
    </w:p>
    <w:p w:rsidR="00B12F97" w:rsidRPr="00045BB7" w:rsidRDefault="00045BB7" w:rsidP="00AE6460">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Por un lado, el </w:t>
      </w:r>
      <w:r w:rsidRPr="00045BB7">
        <w:rPr>
          <w:rFonts w:ascii="Times New Roman" w:hAnsi="Times New Roman" w:cs="Times New Roman"/>
          <w:i/>
          <w:iCs/>
          <w:sz w:val="28"/>
          <w:szCs w:val="28"/>
        </w:rPr>
        <w:t>proceso de reorganización</w:t>
      </w:r>
      <w:r w:rsidRPr="00045BB7">
        <w:rPr>
          <w:rFonts w:ascii="Times New Roman" w:hAnsi="Times New Roman" w:cs="Times New Roman"/>
          <w:sz w:val="28"/>
          <w:szCs w:val="28"/>
        </w:rPr>
        <w:t xml:space="preserve"> propende por preservar empresas que sean viables y normalizar sus relaciones comerciales y crediticias a través de la restructuración operacional y administrativa de sus activos y pasivos</w:t>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a partir </w:t>
      </w:r>
      <w:r w:rsidRPr="00045BB7">
        <w:rPr>
          <w:rFonts w:ascii="Times New Roman" w:hAnsi="Times New Roman" w:cs="Times New Roman"/>
          <w:sz w:val="28"/>
          <w:szCs w:val="28"/>
        </w:rPr>
        <w:t>de la negociación entre el deudor y sus acreedores (acuerdo de reorganización)</w:t>
      </w:r>
      <w:r w:rsidRPr="00045BB7">
        <w:rPr>
          <w:rFonts w:ascii="Times New Roman" w:hAnsi="Times New Roman" w:cs="Times New Roman"/>
          <w:sz w:val="28"/>
          <w:szCs w:val="28"/>
        </w:rPr>
        <w:t>, la cual es verificada por el juez del concurso a fin de que cumpla con los requisitos legales</w:t>
      </w:r>
      <w:r w:rsidRPr="00045BB7">
        <w:rPr>
          <w:rStyle w:val="Refdenotaalpie"/>
          <w:rFonts w:ascii="Times New Roman" w:hAnsi="Times New Roman" w:cs="Times New Roman"/>
          <w:sz w:val="28"/>
          <w:szCs w:val="28"/>
        </w:rPr>
        <w:footnoteReference w:id="119"/>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De otro lado, el </w:t>
      </w:r>
      <w:r w:rsidRPr="00045BB7">
        <w:rPr>
          <w:rFonts w:ascii="Times New Roman" w:hAnsi="Times New Roman" w:cs="Times New Roman"/>
          <w:i/>
          <w:iCs/>
          <w:sz w:val="28"/>
          <w:szCs w:val="28"/>
        </w:rPr>
        <w:t>proceso de liquidación judicial</w:t>
      </w:r>
      <w:r w:rsidRPr="00045BB7">
        <w:rPr>
          <w:rFonts w:ascii="Times New Roman" w:hAnsi="Times New Roman" w:cs="Times New Roman"/>
          <w:sz w:val="28"/>
          <w:szCs w:val="28"/>
        </w:rPr>
        <w:t xml:space="preserve"> tiene como finalidad </w:t>
      </w:r>
      <w:r w:rsidRPr="00045BB7">
        <w:rPr>
          <w:rFonts w:ascii="Times New Roman" w:hAnsi="Times New Roman" w:cs="Times New Roman"/>
          <w:sz w:val="28"/>
          <w:szCs w:val="28"/>
        </w:rPr>
        <w:t>aprovechar el patrimonio del deudor para pagar la mayor cantidad de acreencias posibles y, supone la cesación de pagos por su parte. En tal sentido, la apertura de este trámite judicial conlleva la disolución de la persona jurídica y, la remisión al juez d</w:t>
      </w:r>
      <w:r w:rsidRPr="00045BB7">
        <w:rPr>
          <w:rFonts w:ascii="Times New Roman" w:hAnsi="Times New Roman" w:cs="Times New Roman"/>
          <w:sz w:val="28"/>
          <w:szCs w:val="28"/>
        </w:rPr>
        <w:t>el concurso de todos los procesos de ejecución que estén en curso en contra del deudor, a fin de que sean tenidos en cuenta para la calificación y graduación de créditos y derechos de voto</w:t>
      </w:r>
      <w:r w:rsidRPr="00045BB7">
        <w:rPr>
          <w:rStyle w:val="Refdenotaalpie"/>
          <w:rFonts w:ascii="Times New Roman" w:hAnsi="Times New Roman" w:cs="Times New Roman"/>
          <w:sz w:val="28"/>
          <w:szCs w:val="28"/>
        </w:rPr>
        <w:footnoteReference w:id="120"/>
      </w:r>
      <w:r w:rsidRPr="00045BB7">
        <w:rPr>
          <w:rFonts w:ascii="Times New Roman" w:hAnsi="Times New Roman" w:cs="Times New Roman"/>
          <w:sz w:val="28"/>
          <w:szCs w:val="28"/>
        </w:rPr>
        <w:t>.</w:t>
      </w:r>
    </w:p>
    <w:p w:rsidR="00B12F97" w:rsidRPr="00045BB7" w:rsidRDefault="00045BB7" w:rsidP="006C1853">
      <w:pPr>
        <w:rPr>
          <w:rFonts w:ascii="Times New Roman" w:hAnsi="Times New Roman" w:cs="Times New Roman"/>
          <w:sz w:val="28"/>
        </w:rPr>
      </w:pPr>
    </w:p>
    <w:p w:rsidR="00AE6460" w:rsidRPr="00045BB7" w:rsidRDefault="00045BB7" w:rsidP="00AE6460">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i/>
          <w:iCs/>
          <w:sz w:val="28"/>
          <w:szCs w:val="28"/>
        </w:rPr>
        <w:t xml:space="preserve">Contexto de expedición de la Ley 1676 de 2013. </w:t>
      </w:r>
      <w:r w:rsidRPr="00045BB7">
        <w:rPr>
          <w:rFonts w:ascii="Times New Roman" w:hAnsi="Times New Roman" w:cs="Times New Roman"/>
          <w:sz w:val="28"/>
          <w:szCs w:val="28"/>
        </w:rPr>
        <w:t xml:space="preserve">Esta ley de iniciativa gubernamental, en cabeza del Ministerio de </w:t>
      </w:r>
      <w:r w:rsidRPr="00045BB7">
        <w:rPr>
          <w:rFonts w:ascii="Times New Roman" w:hAnsi="Times New Roman" w:cs="Times New Roman"/>
          <w:sz w:val="28"/>
          <w:szCs w:val="28"/>
        </w:rPr>
        <w:t>Comercio, Industria y Turismo</w:t>
      </w:r>
      <w:r w:rsidRPr="00045BB7">
        <w:rPr>
          <w:rFonts w:ascii="Times New Roman" w:hAnsi="Times New Roman" w:cs="Times New Roman"/>
          <w:sz w:val="28"/>
          <w:szCs w:val="28"/>
        </w:rPr>
        <w:t>, contó con una comisión redactora especial coordinada por la Superintendencia de Sociedades</w:t>
      </w:r>
      <w:r w:rsidRPr="00045BB7">
        <w:rPr>
          <w:rStyle w:val="Refdenotaalpie"/>
          <w:rFonts w:ascii="Times New Roman" w:hAnsi="Times New Roman" w:cs="Times New Roman"/>
          <w:sz w:val="28"/>
          <w:szCs w:val="28"/>
        </w:rPr>
        <w:footnoteReference w:id="121"/>
      </w:r>
      <w:r w:rsidRPr="00045BB7">
        <w:rPr>
          <w:rFonts w:ascii="Times New Roman" w:hAnsi="Times New Roman" w:cs="Times New Roman"/>
          <w:sz w:val="28"/>
          <w:szCs w:val="28"/>
        </w:rPr>
        <w:t xml:space="preserve"> y, fue promovida con ocasión de la dificultad que presentaban los c</w:t>
      </w:r>
      <w:r w:rsidRPr="00045BB7">
        <w:rPr>
          <w:rFonts w:ascii="Times New Roman" w:hAnsi="Times New Roman" w:cs="Times New Roman"/>
          <w:sz w:val="28"/>
          <w:szCs w:val="28"/>
        </w:rPr>
        <w:t xml:space="preserve">onsumidores, las empresas micro, pequeñas y medianas para acceder a créditos por la falta de mecanismos de respaldo de la deuda. En ese sentido, la Ley 1676 de 2013 se expidió con el propósito de fomentar e incrementar el acceso al crédito, a través de la </w:t>
      </w:r>
      <w:r w:rsidRPr="00045BB7">
        <w:rPr>
          <w:rFonts w:ascii="Times New Roman" w:hAnsi="Times New Roman" w:cs="Times New Roman"/>
          <w:sz w:val="28"/>
          <w:szCs w:val="28"/>
        </w:rPr>
        <w:t>ampliación del tipo de bienes que pueden ser objeto de garantías mobiliarias</w:t>
      </w:r>
      <w:r w:rsidRPr="00045BB7">
        <w:rPr>
          <w:rStyle w:val="Refdenotaalpie"/>
          <w:rFonts w:ascii="Times New Roman" w:hAnsi="Times New Roman" w:cs="Times New Roman"/>
          <w:sz w:val="28"/>
          <w:szCs w:val="28"/>
        </w:rPr>
        <w:footnoteReference w:id="122"/>
      </w:r>
      <w:r w:rsidRPr="00045BB7">
        <w:rPr>
          <w:rFonts w:ascii="Times New Roman" w:hAnsi="Times New Roman" w:cs="Times New Roman"/>
          <w:sz w:val="28"/>
          <w:szCs w:val="28"/>
        </w:rPr>
        <w:t>. Por lo tanto, el punto de partida fue la funcionalidad de las garantías, la prelación, la oponibilidad, y la ejecución, en el marco de un sistema de registro moderno, por contra</w:t>
      </w:r>
      <w:r w:rsidRPr="00045BB7">
        <w:rPr>
          <w:rFonts w:ascii="Times New Roman" w:hAnsi="Times New Roman" w:cs="Times New Roman"/>
          <w:sz w:val="28"/>
          <w:szCs w:val="28"/>
        </w:rPr>
        <w:t>posición a la normativa que existía antes, puesto que se presentaban falencias en el registro de los contratos de prenda y fiducia en garantía</w:t>
      </w:r>
      <w:r w:rsidRPr="00045BB7">
        <w:rPr>
          <w:rFonts w:ascii="Times New Roman" w:hAnsi="Times New Roman" w:cs="Times New Roman"/>
          <w:sz w:val="28"/>
          <w:szCs w:val="28"/>
        </w:rPr>
        <w:t>.</w:t>
      </w:r>
    </w:p>
    <w:p w:rsidR="00B12F97" w:rsidRPr="00045BB7" w:rsidRDefault="00045BB7" w:rsidP="00AE6460">
      <w:pPr>
        <w:tabs>
          <w:tab w:val="left" w:pos="0"/>
          <w:tab w:val="left" w:pos="567"/>
        </w:tabs>
        <w:ind w:right="51"/>
        <w:contextualSpacing/>
        <w:jc w:val="both"/>
        <w:rPr>
          <w:rFonts w:ascii="Times New Roman" w:hAnsi="Times New Roman" w:cs="Times New Roman"/>
          <w:sz w:val="28"/>
          <w:szCs w:val="28"/>
        </w:rPr>
      </w:pPr>
    </w:p>
    <w:p w:rsidR="00B12F97" w:rsidRPr="00045BB7" w:rsidRDefault="00045BB7" w:rsidP="00B12F97">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En resumen, los regímenes de insolvencia y de garantías mobiliarias </w:t>
      </w:r>
      <w:r w:rsidRPr="00045BB7">
        <w:rPr>
          <w:rFonts w:ascii="Times New Roman" w:hAnsi="Times New Roman" w:cs="Times New Roman"/>
          <w:sz w:val="28"/>
          <w:szCs w:val="28"/>
        </w:rPr>
        <w:t xml:space="preserve">tienen como fines principales </w:t>
      </w:r>
      <w:r w:rsidRPr="00045BB7">
        <w:rPr>
          <w:rFonts w:ascii="Times New Roman" w:hAnsi="Times New Roman" w:cs="Times New Roman"/>
          <w:sz w:val="28"/>
          <w:szCs w:val="28"/>
        </w:rPr>
        <w:t>la protección</w:t>
      </w:r>
      <w:r w:rsidRPr="00045BB7">
        <w:rPr>
          <w:rFonts w:ascii="Times New Roman" w:hAnsi="Times New Roman" w:cs="Times New Roman"/>
          <w:sz w:val="28"/>
          <w:szCs w:val="28"/>
        </w:rPr>
        <w:t xml:space="preserve"> del crédito, la recuperación y conservación de la empresa como fuente de empleo y unidad de explotación económica y, en caso de no lograrse lo anterior, garantizar un proceso de liquidación adecuado</w:t>
      </w:r>
      <w:r w:rsidRPr="00045BB7">
        <w:rPr>
          <w:rStyle w:val="Refdenotaalpie"/>
          <w:rFonts w:ascii="Times New Roman" w:hAnsi="Times New Roman" w:cs="Times New Roman"/>
          <w:sz w:val="28"/>
          <w:szCs w:val="28"/>
        </w:rPr>
        <w:footnoteReference w:id="123"/>
      </w:r>
      <w:r w:rsidRPr="00045BB7">
        <w:rPr>
          <w:rFonts w:ascii="Times New Roman" w:hAnsi="Times New Roman" w:cs="Times New Roman"/>
          <w:sz w:val="28"/>
          <w:szCs w:val="28"/>
        </w:rPr>
        <w:t>.</w:t>
      </w:r>
    </w:p>
    <w:p w:rsidR="001E3530" w:rsidRPr="00045BB7" w:rsidRDefault="00045BB7" w:rsidP="00B64D7B">
      <w:pPr>
        <w:tabs>
          <w:tab w:val="left" w:pos="0"/>
          <w:tab w:val="left" w:pos="567"/>
        </w:tabs>
        <w:ind w:right="51"/>
        <w:contextualSpacing/>
        <w:jc w:val="both"/>
        <w:rPr>
          <w:rFonts w:ascii="Times New Roman" w:hAnsi="Times New Roman" w:cs="Times New Roman"/>
          <w:sz w:val="28"/>
          <w:szCs w:val="28"/>
        </w:rPr>
      </w:pPr>
    </w:p>
    <w:p w:rsidR="006C4859" w:rsidRPr="00045BB7" w:rsidRDefault="00045BB7" w:rsidP="006C4859">
      <w:pPr>
        <w:pStyle w:val="Prrafodelista"/>
        <w:numPr>
          <w:ilvl w:val="0"/>
          <w:numId w:val="12"/>
        </w:numPr>
        <w:tabs>
          <w:tab w:val="left" w:pos="0"/>
          <w:tab w:val="left" w:pos="567"/>
        </w:tabs>
        <w:ind w:right="51"/>
        <w:contextualSpacing/>
        <w:rPr>
          <w:rFonts w:ascii="Times New Roman" w:hAnsi="Times New Roman" w:cs="Times New Roman"/>
          <w:b/>
          <w:bCs/>
          <w:szCs w:val="28"/>
          <w:lang w:eastAsia="es-CO"/>
        </w:rPr>
      </w:pPr>
      <w:r w:rsidRPr="00045BB7">
        <w:rPr>
          <w:rFonts w:ascii="Times New Roman" w:hAnsi="Times New Roman" w:cs="Times New Roman"/>
          <w:b/>
          <w:bCs/>
          <w:szCs w:val="28"/>
          <w:lang w:eastAsia="es-CO"/>
        </w:rPr>
        <w:t>Valoración de la aptitud del cargo</w:t>
      </w:r>
    </w:p>
    <w:p w:rsidR="006C4859" w:rsidRPr="00045BB7" w:rsidRDefault="00045BB7" w:rsidP="00B64D7B">
      <w:pPr>
        <w:tabs>
          <w:tab w:val="left" w:pos="0"/>
          <w:tab w:val="left" w:pos="567"/>
        </w:tabs>
        <w:ind w:right="51"/>
        <w:contextualSpacing/>
        <w:jc w:val="both"/>
        <w:rPr>
          <w:rFonts w:ascii="Times New Roman" w:hAnsi="Times New Roman" w:cs="Times New Roman"/>
          <w:sz w:val="28"/>
          <w:szCs w:val="28"/>
        </w:rPr>
      </w:pPr>
    </w:p>
    <w:p w:rsidR="0007643D" w:rsidRPr="00045BB7" w:rsidRDefault="00045BB7" w:rsidP="00715F1B">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w:t>
      </w:r>
      <w:r w:rsidRPr="00045BB7">
        <w:rPr>
          <w:rFonts w:ascii="Times New Roman" w:hAnsi="Times New Roman" w:cs="Times New Roman"/>
          <w:sz w:val="28"/>
          <w:szCs w:val="28"/>
        </w:rPr>
        <w:t>l actor afirma q</w:t>
      </w:r>
      <w:r w:rsidRPr="00045BB7">
        <w:rPr>
          <w:rFonts w:ascii="Times New Roman" w:hAnsi="Times New Roman" w:cs="Times New Roman"/>
          <w:sz w:val="28"/>
          <w:szCs w:val="28"/>
        </w:rPr>
        <w:t>ue las disposiciones acusadas son contrarias al derecho fundamental a la vivienda, en tanto “permiten que, en contextos de insolvencia empresarial, reorganización, validación o liquidación de personas naturales o jurídicas dedicadas a la construcción y ena</w:t>
      </w:r>
      <w:r w:rsidRPr="00045BB7">
        <w:rPr>
          <w:rFonts w:ascii="Times New Roman" w:hAnsi="Times New Roman" w:cs="Times New Roman"/>
          <w:sz w:val="28"/>
          <w:szCs w:val="28"/>
        </w:rPr>
        <w:t>jenación de inmuebles destinados a vivienda, los acreedores amparados con garantías reales y/o mobiliarias puedan (i) ejecutar su garantía, y (ii) recibir el pago de manera preferente sobre los promitentes compradores de vivienda, beneficiarios de área o c</w:t>
      </w:r>
      <w:r w:rsidRPr="00045BB7">
        <w:rPr>
          <w:rFonts w:ascii="Times New Roman" w:hAnsi="Times New Roman" w:cs="Times New Roman"/>
          <w:sz w:val="28"/>
          <w:szCs w:val="28"/>
        </w:rPr>
        <w:t>ualquiera sea su denominación, que siendo acreedores se han hecho parte del proceso y han sido reconocidos en él”</w:t>
      </w:r>
      <w:r w:rsidRPr="00045BB7">
        <w:rPr>
          <w:rStyle w:val="Refdenotaalpie"/>
          <w:rFonts w:ascii="Times New Roman" w:hAnsi="Times New Roman" w:cs="Times New Roman"/>
          <w:sz w:val="28"/>
          <w:szCs w:val="28"/>
        </w:rPr>
        <w:footnoteReference w:id="124"/>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En criterio de la Sala, </w:t>
      </w:r>
      <w:r w:rsidRPr="00045BB7">
        <w:rPr>
          <w:rFonts w:ascii="Times New Roman" w:hAnsi="Times New Roman" w:cs="Times New Roman"/>
          <w:sz w:val="28"/>
          <w:szCs w:val="28"/>
        </w:rPr>
        <w:t xml:space="preserve">aunque el planteamiento es </w:t>
      </w:r>
      <w:r w:rsidRPr="00045BB7">
        <w:rPr>
          <w:rFonts w:ascii="Times New Roman" w:hAnsi="Times New Roman" w:cs="Times New Roman"/>
          <w:i/>
          <w:iCs/>
          <w:sz w:val="28"/>
          <w:szCs w:val="28"/>
        </w:rPr>
        <w:t>claro</w:t>
      </w:r>
      <w:r w:rsidRPr="00045BB7">
        <w:rPr>
          <w:rFonts w:ascii="Times New Roman" w:hAnsi="Times New Roman" w:cs="Times New Roman"/>
          <w:sz w:val="28"/>
          <w:szCs w:val="28"/>
        </w:rPr>
        <w:t xml:space="preserve">, carece de </w:t>
      </w:r>
      <w:r w:rsidRPr="00045BB7">
        <w:rPr>
          <w:rFonts w:ascii="Times New Roman" w:hAnsi="Times New Roman" w:cs="Times New Roman"/>
          <w:i/>
          <w:iCs/>
          <w:sz w:val="28"/>
          <w:szCs w:val="28"/>
        </w:rPr>
        <w:t>certeza</w:t>
      </w:r>
      <w:r w:rsidRPr="00045BB7">
        <w:rPr>
          <w:rFonts w:ascii="Times New Roman" w:hAnsi="Times New Roman" w:cs="Times New Roman"/>
          <w:sz w:val="28"/>
          <w:szCs w:val="28"/>
        </w:rPr>
        <w:t xml:space="preserve">, </w:t>
      </w:r>
      <w:r w:rsidRPr="00045BB7">
        <w:rPr>
          <w:rFonts w:ascii="Times New Roman" w:hAnsi="Times New Roman" w:cs="Times New Roman"/>
          <w:i/>
          <w:iCs/>
          <w:sz w:val="28"/>
          <w:szCs w:val="28"/>
        </w:rPr>
        <w:t>especificidad</w:t>
      </w:r>
      <w:r w:rsidRPr="00045BB7">
        <w:rPr>
          <w:rFonts w:ascii="Times New Roman" w:hAnsi="Times New Roman" w:cs="Times New Roman"/>
          <w:sz w:val="28"/>
          <w:szCs w:val="28"/>
        </w:rPr>
        <w:t xml:space="preserve">, </w:t>
      </w:r>
      <w:r w:rsidRPr="00045BB7">
        <w:rPr>
          <w:rFonts w:ascii="Times New Roman" w:hAnsi="Times New Roman" w:cs="Times New Roman"/>
          <w:i/>
          <w:iCs/>
          <w:sz w:val="28"/>
          <w:szCs w:val="28"/>
        </w:rPr>
        <w:t>pertinencia</w:t>
      </w:r>
      <w:r w:rsidRPr="00045BB7">
        <w:rPr>
          <w:rFonts w:ascii="Times New Roman" w:hAnsi="Times New Roman" w:cs="Times New Roman"/>
          <w:sz w:val="28"/>
          <w:szCs w:val="28"/>
        </w:rPr>
        <w:t xml:space="preserve"> y </w:t>
      </w:r>
      <w:r w:rsidRPr="00045BB7">
        <w:rPr>
          <w:rFonts w:ascii="Times New Roman" w:hAnsi="Times New Roman" w:cs="Times New Roman"/>
          <w:i/>
          <w:iCs/>
          <w:sz w:val="28"/>
          <w:szCs w:val="28"/>
        </w:rPr>
        <w:t>suficiencia</w:t>
      </w:r>
      <w:r w:rsidRPr="00045BB7">
        <w:rPr>
          <w:rFonts w:ascii="Times New Roman" w:hAnsi="Times New Roman" w:cs="Times New Roman"/>
          <w:sz w:val="28"/>
          <w:szCs w:val="28"/>
        </w:rPr>
        <w:t>. E</w:t>
      </w:r>
      <w:r w:rsidRPr="00045BB7">
        <w:rPr>
          <w:rFonts w:ascii="Times New Roman" w:hAnsi="Times New Roman" w:cs="Times New Roman"/>
          <w:sz w:val="28"/>
          <w:szCs w:val="28"/>
        </w:rPr>
        <w:t xml:space="preserve">n consecuencia, </w:t>
      </w:r>
      <w:r w:rsidRPr="00045BB7">
        <w:rPr>
          <w:rFonts w:ascii="Times New Roman" w:hAnsi="Times New Roman" w:cs="Times New Roman"/>
          <w:sz w:val="28"/>
          <w:szCs w:val="28"/>
        </w:rPr>
        <w:t xml:space="preserve">no </w:t>
      </w:r>
      <w:r w:rsidRPr="00045BB7">
        <w:rPr>
          <w:rFonts w:ascii="Times New Roman" w:hAnsi="Times New Roman" w:cs="Times New Roman"/>
          <w:sz w:val="28"/>
          <w:szCs w:val="28"/>
        </w:rPr>
        <w:t>cuenta con aptitud sustantiva, por las razones que se exponen a continuación</w:t>
      </w:r>
      <w:r w:rsidRPr="00045BB7">
        <w:rPr>
          <w:rFonts w:ascii="Times New Roman" w:hAnsi="Times New Roman" w:cs="Times New Roman"/>
          <w:sz w:val="28"/>
          <w:szCs w:val="28"/>
        </w:rPr>
        <w:t>.</w:t>
      </w:r>
    </w:p>
    <w:p w:rsidR="00A12BA8" w:rsidRPr="00045BB7" w:rsidRDefault="00045BB7" w:rsidP="00B70F78">
      <w:pPr>
        <w:rPr>
          <w:rFonts w:ascii="Times New Roman" w:hAnsi="Times New Roman" w:cs="Times New Roman"/>
          <w:i/>
          <w:iCs/>
          <w:sz w:val="28"/>
          <w:szCs w:val="28"/>
        </w:rPr>
      </w:pPr>
    </w:p>
    <w:p w:rsidR="007211E1" w:rsidRPr="00045BB7" w:rsidRDefault="00045BB7" w:rsidP="008F40FC">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i/>
          <w:iCs/>
          <w:sz w:val="28"/>
          <w:szCs w:val="28"/>
        </w:rPr>
        <w:t xml:space="preserve">Claridad. </w:t>
      </w:r>
      <w:r w:rsidRPr="00045BB7">
        <w:rPr>
          <w:rFonts w:ascii="Times New Roman" w:hAnsi="Times New Roman" w:cs="Times New Roman"/>
          <w:sz w:val="28"/>
          <w:szCs w:val="28"/>
        </w:rPr>
        <w:t xml:space="preserve">La demanda es clara </w:t>
      </w:r>
      <w:r w:rsidRPr="00045BB7">
        <w:rPr>
          <w:rFonts w:ascii="Times New Roman" w:hAnsi="Times New Roman" w:cs="Times New Roman"/>
          <w:sz w:val="28"/>
          <w:szCs w:val="28"/>
        </w:rPr>
        <w:t xml:space="preserve">porque sigue un hilo de argumentación lógico. En efecto, el demandante expone de forma comprensible las razones por las cuales considera que las normas demandadas vulneran la Constitución. En particular, argumenta que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se favorece de manera desproporcio</w:t>
      </w:r>
      <w:r w:rsidRPr="00045BB7">
        <w:rPr>
          <w:rFonts w:ascii="Times New Roman" w:hAnsi="Times New Roman" w:cs="Times New Roman"/>
          <w:sz w:val="28"/>
          <w:szCs w:val="28"/>
        </w:rPr>
        <w:t xml:space="preserve">nada a los acreedores con garantías reales, en detrimento de aquellas personas cuyos créditos surgen de la necesidad de adquirir vivienda; </w:t>
      </w:r>
      <w:r w:rsidRPr="00045BB7">
        <w:rPr>
          <w:rFonts w:ascii="Times New Roman" w:hAnsi="Times New Roman" w:cs="Times New Roman"/>
          <w:i/>
          <w:iCs/>
          <w:sz w:val="28"/>
          <w:szCs w:val="28"/>
        </w:rPr>
        <w:t xml:space="preserve">(ii) </w:t>
      </w:r>
      <w:r w:rsidRPr="00045BB7">
        <w:rPr>
          <w:rFonts w:ascii="Times New Roman" w:hAnsi="Times New Roman" w:cs="Times New Roman"/>
          <w:sz w:val="28"/>
          <w:szCs w:val="28"/>
        </w:rPr>
        <w:t xml:space="preserve">“el legislador incumplió su deber constitucional de hacer efectivo el derecho a la vivienda digna y tomar </w:t>
      </w:r>
      <w:r w:rsidRPr="00045BB7">
        <w:rPr>
          <w:rFonts w:ascii="Times New Roman" w:hAnsi="Times New Roman" w:cs="Times New Roman"/>
          <w:sz w:val="28"/>
          <w:szCs w:val="28"/>
        </w:rPr>
        <w:t>medidas apropiadas para asegurar la efectividad de este derecho”</w:t>
      </w:r>
      <w:r w:rsidRPr="00045BB7">
        <w:rPr>
          <w:rStyle w:val="Refdenotaalpie"/>
          <w:rFonts w:ascii="Times New Roman" w:hAnsi="Times New Roman" w:cs="Times New Roman"/>
          <w:sz w:val="28"/>
          <w:szCs w:val="28"/>
        </w:rPr>
        <w:footnoteReference w:id="125"/>
      </w:r>
      <w:r w:rsidRPr="00045BB7">
        <w:rPr>
          <w:rFonts w:ascii="Times New Roman" w:hAnsi="Times New Roman" w:cs="Times New Roman"/>
          <w:sz w:val="28"/>
          <w:szCs w:val="28"/>
        </w:rPr>
        <w:t xml:space="preserve"> y, </w:t>
      </w:r>
      <w:r w:rsidRPr="00045BB7">
        <w:rPr>
          <w:rFonts w:ascii="Times New Roman" w:hAnsi="Times New Roman" w:cs="Times New Roman"/>
          <w:i/>
          <w:iCs/>
          <w:sz w:val="28"/>
          <w:szCs w:val="28"/>
        </w:rPr>
        <w:t>(iii)</w:t>
      </w:r>
      <w:r w:rsidRPr="00045BB7">
        <w:rPr>
          <w:rFonts w:ascii="Times New Roman" w:hAnsi="Times New Roman" w:cs="Times New Roman"/>
          <w:sz w:val="28"/>
          <w:szCs w:val="28"/>
        </w:rPr>
        <w:t xml:space="preserve"> los artículos acusados derivan en una regresividad de las garantías fundamentales amparadas por el artículo 51 de la Constitución Política, puesto que “antes de la expedición de la </w:t>
      </w:r>
      <w:r w:rsidRPr="00045BB7">
        <w:rPr>
          <w:rFonts w:ascii="Times New Roman" w:hAnsi="Times New Roman" w:cs="Times New Roman"/>
          <w:sz w:val="28"/>
          <w:szCs w:val="28"/>
        </w:rPr>
        <w:t>norma no era posible ejercer el privilegio que las disposiciones demandadas permiten a partir de 2013”</w:t>
      </w:r>
      <w:r w:rsidRPr="00045BB7">
        <w:rPr>
          <w:rStyle w:val="Refdenotaalpie"/>
          <w:rFonts w:ascii="Times New Roman" w:hAnsi="Times New Roman" w:cs="Times New Roman"/>
          <w:sz w:val="28"/>
          <w:szCs w:val="28"/>
        </w:rPr>
        <w:footnoteReference w:id="126"/>
      </w:r>
      <w:r w:rsidRPr="00045BB7">
        <w:rPr>
          <w:rFonts w:ascii="Times New Roman" w:hAnsi="Times New Roman" w:cs="Times New Roman"/>
          <w:sz w:val="28"/>
          <w:szCs w:val="28"/>
        </w:rPr>
        <w:t>.</w:t>
      </w:r>
    </w:p>
    <w:p w:rsidR="008F40FC" w:rsidRPr="00045BB7" w:rsidRDefault="00045BB7" w:rsidP="000940E7">
      <w:pPr>
        <w:pStyle w:val="Prrafodelista"/>
        <w:rPr>
          <w:rFonts w:ascii="Times New Roman" w:hAnsi="Times New Roman" w:cs="Times New Roman"/>
          <w:szCs w:val="28"/>
          <w:lang w:eastAsia="es-CO"/>
        </w:rPr>
      </w:pPr>
    </w:p>
    <w:p w:rsidR="007211E1" w:rsidRPr="00045BB7" w:rsidRDefault="00045BB7" w:rsidP="009F30B1">
      <w:pPr>
        <w:numPr>
          <w:ilvl w:val="0"/>
          <w:numId w:val="8"/>
        </w:numPr>
        <w:tabs>
          <w:tab w:val="left" w:pos="0"/>
          <w:tab w:val="left" w:pos="567"/>
        </w:tabs>
        <w:ind w:left="0" w:right="51" w:firstLine="0"/>
        <w:contextualSpacing/>
        <w:jc w:val="both"/>
        <w:rPr>
          <w:rFonts w:ascii="Times New Roman" w:hAnsi="Times New Roman" w:cs="Times New Roman"/>
          <w:i/>
          <w:iCs/>
          <w:sz w:val="28"/>
          <w:szCs w:val="28"/>
        </w:rPr>
      </w:pPr>
      <w:r w:rsidRPr="00045BB7">
        <w:rPr>
          <w:rFonts w:ascii="Times New Roman" w:hAnsi="Times New Roman" w:cs="Times New Roman"/>
          <w:sz w:val="28"/>
          <w:szCs w:val="28"/>
        </w:rPr>
        <w:t>Adicional a lo referido, el accionante es explícito en solicitar a la Corte como pretensión principal la declaratoria de inexequibilidad de las normas</w:t>
      </w:r>
      <w:r w:rsidRPr="00045BB7">
        <w:rPr>
          <w:rFonts w:ascii="Times New Roman" w:hAnsi="Times New Roman" w:cs="Times New Roman"/>
          <w:sz w:val="28"/>
          <w:szCs w:val="28"/>
        </w:rPr>
        <w:t xml:space="preserve"> demandadas y, de manera subsidiaria la exequibilidad condicionada, de forma que se reconozca a los adquirientes de vivienda la misma prerrogativa de los menores de edad y los trabajadores, en los términos de la Sentencia C-145 de 2018. </w:t>
      </w:r>
    </w:p>
    <w:p w:rsidR="008F40FC" w:rsidRPr="00045BB7" w:rsidRDefault="00045BB7" w:rsidP="000940E7">
      <w:pPr>
        <w:tabs>
          <w:tab w:val="left" w:pos="0"/>
          <w:tab w:val="left" w:pos="567"/>
        </w:tabs>
        <w:ind w:right="51"/>
        <w:contextualSpacing/>
        <w:jc w:val="both"/>
        <w:rPr>
          <w:rFonts w:ascii="Times New Roman" w:hAnsi="Times New Roman" w:cs="Times New Roman"/>
          <w:i/>
          <w:iCs/>
          <w:sz w:val="28"/>
          <w:szCs w:val="28"/>
        </w:rPr>
      </w:pPr>
    </w:p>
    <w:p w:rsidR="0007643D" w:rsidRPr="00045BB7" w:rsidRDefault="00045BB7" w:rsidP="0007643D">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i/>
          <w:iCs/>
          <w:sz w:val="28"/>
          <w:szCs w:val="28"/>
        </w:rPr>
        <w:t xml:space="preserve">Certeza. </w:t>
      </w:r>
      <w:r w:rsidRPr="00045BB7">
        <w:rPr>
          <w:rFonts w:ascii="Times New Roman" w:hAnsi="Times New Roman" w:cs="Times New Roman"/>
          <w:sz w:val="28"/>
          <w:szCs w:val="28"/>
        </w:rPr>
        <w:t>El cargo</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no </w:t>
      </w:r>
      <w:r w:rsidRPr="00045BB7">
        <w:rPr>
          <w:rFonts w:ascii="Times New Roman" w:hAnsi="Times New Roman" w:cs="Times New Roman"/>
          <w:sz w:val="28"/>
          <w:szCs w:val="28"/>
        </w:rPr>
        <w:t>es cierto</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puesto que</w:t>
      </w:r>
      <w:r w:rsidRPr="00045BB7">
        <w:rPr>
          <w:rFonts w:ascii="Times New Roman" w:hAnsi="Times New Roman" w:cs="Times New Roman"/>
          <w:sz w:val="28"/>
          <w:szCs w:val="28"/>
        </w:rPr>
        <w:t xml:space="preserve"> los argumentos presentados por el demandante</w:t>
      </w:r>
      <w:r w:rsidRPr="00045BB7">
        <w:rPr>
          <w:rFonts w:ascii="Times New Roman" w:hAnsi="Times New Roman" w:cs="Times New Roman"/>
          <w:sz w:val="28"/>
          <w:szCs w:val="28"/>
        </w:rPr>
        <w:t>, tal y como lo advirtieron varios de los intervinientes</w:t>
      </w:r>
      <w:r w:rsidRPr="00045BB7">
        <w:rPr>
          <w:rFonts w:ascii="Times New Roman" w:hAnsi="Times New Roman" w:cs="Times New Roman"/>
          <w:sz w:val="28"/>
          <w:szCs w:val="28"/>
        </w:rPr>
        <w:t xml:space="preserve"> y el Ministerio Público</w:t>
      </w:r>
      <w:r w:rsidRPr="00045BB7">
        <w:rPr>
          <w:rFonts w:ascii="Times New Roman" w:hAnsi="Times New Roman" w:cs="Times New Roman"/>
          <w:sz w:val="28"/>
          <w:szCs w:val="28"/>
        </w:rPr>
        <w:t>, surgen de una lectura incorrecta y descontextualizada de las normas acusadas</w:t>
      </w:r>
      <w:r w:rsidRPr="00045BB7">
        <w:rPr>
          <w:rFonts w:ascii="Times New Roman" w:hAnsi="Times New Roman" w:cs="Times New Roman"/>
          <w:sz w:val="28"/>
          <w:szCs w:val="28"/>
        </w:rPr>
        <w:t>, a partir de la cual el acto</w:t>
      </w:r>
      <w:r w:rsidRPr="00045BB7">
        <w:rPr>
          <w:rFonts w:ascii="Times New Roman" w:hAnsi="Times New Roman" w:cs="Times New Roman"/>
          <w:sz w:val="28"/>
          <w:szCs w:val="28"/>
        </w:rPr>
        <w:t>r infiere consecuencias subjetivas de las disposiciones acusadas.</w:t>
      </w:r>
      <w:r w:rsidRPr="00045BB7">
        <w:rPr>
          <w:rFonts w:ascii="Times New Roman" w:hAnsi="Times New Roman" w:cs="Times New Roman"/>
          <w:sz w:val="28"/>
          <w:szCs w:val="28"/>
        </w:rPr>
        <w:t xml:space="preserve"> En primer lugar, el reproche de inconstitucionalidad parte de una generalización de las condiciones en las que se encuentra la empresa constructora en los diversos escenarios que prevén los </w:t>
      </w:r>
      <w:r w:rsidRPr="00045BB7">
        <w:rPr>
          <w:rFonts w:ascii="Times New Roman" w:hAnsi="Times New Roman" w:cs="Times New Roman"/>
          <w:sz w:val="28"/>
          <w:szCs w:val="28"/>
        </w:rPr>
        <w:t>procesos concursales y, omite que</w:t>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en el contexto de la reorganización, a diferencia de la liquidación judicial, el deudor está en una situación que compromete su liquidez pero, en principio, su patrimonio no resulta insuficiente para atender las obligaciones contraídas y los negocios cele</w:t>
      </w:r>
      <w:r w:rsidRPr="00045BB7">
        <w:rPr>
          <w:rFonts w:ascii="Times New Roman" w:hAnsi="Times New Roman" w:cs="Times New Roman"/>
          <w:sz w:val="28"/>
          <w:szCs w:val="28"/>
        </w:rPr>
        <w:t>brados</w:t>
      </w:r>
      <w:r w:rsidRPr="00045BB7">
        <w:rPr>
          <w:rStyle w:val="Refdenotaalpie"/>
          <w:rFonts w:ascii="Times New Roman" w:hAnsi="Times New Roman" w:cs="Times New Roman"/>
          <w:sz w:val="28"/>
          <w:szCs w:val="28"/>
        </w:rPr>
        <w:footnoteReference w:id="127"/>
      </w:r>
      <w:r w:rsidRPr="00045BB7">
        <w:rPr>
          <w:rFonts w:ascii="Times New Roman" w:hAnsi="Times New Roman" w:cs="Times New Roman"/>
          <w:sz w:val="28"/>
          <w:szCs w:val="28"/>
        </w:rPr>
        <w:t xml:space="preserve">. Así, en sentido estricto, en ese momento no se está ante la asignación de una masa de activos en déficit frente a los pasivos, como sí sucede en el escenario de la liquidación, en el que los pagos deben ser rigurosamente controlados, ya que de lo </w:t>
      </w:r>
      <w:r w:rsidRPr="00045BB7">
        <w:rPr>
          <w:rFonts w:ascii="Times New Roman" w:hAnsi="Times New Roman" w:cs="Times New Roman"/>
          <w:sz w:val="28"/>
          <w:szCs w:val="28"/>
        </w:rPr>
        <w:t>contrario se pueden afectar las posibilidades de pago de las acreencias con preferencia</w:t>
      </w:r>
      <w:r w:rsidRPr="00045BB7">
        <w:rPr>
          <w:rStyle w:val="Refdenotaalpie"/>
          <w:rFonts w:ascii="Times New Roman" w:hAnsi="Times New Roman" w:cs="Times New Roman"/>
          <w:sz w:val="28"/>
          <w:szCs w:val="28"/>
        </w:rPr>
        <w:footnoteReference w:id="128"/>
      </w:r>
      <w:r w:rsidRPr="00045BB7">
        <w:rPr>
          <w:rFonts w:ascii="Times New Roman" w:hAnsi="Times New Roman" w:cs="Times New Roman"/>
          <w:sz w:val="28"/>
          <w:szCs w:val="28"/>
        </w:rPr>
        <w:t xml:space="preserve">. </w:t>
      </w:r>
    </w:p>
    <w:p w:rsidR="0007643D" w:rsidRPr="00045BB7" w:rsidRDefault="00045BB7" w:rsidP="0007643D">
      <w:pPr>
        <w:pStyle w:val="Prrafodelista"/>
        <w:rPr>
          <w:rFonts w:ascii="Times New Roman" w:hAnsi="Times New Roman" w:cs="Times New Roman"/>
          <w:szCs w:val="28"/>
          <w:lang w:eastAsia="es-CO"/>
        </w:rPr>
      </w:pPr>
    </w:p>
    <w:p w:rsidR="0007643D" w:rsidRPr="00045BB7" w:rsidRDefault="00045BB7" w:rsidP="00AC11AD">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As</w:t>
      </w:r>
      <w:r w:rsidRPr="00045BB7">
        <w:rPr>
          <w:rFonts w:ascii="Times New Roman" w:hAnsi="Times New Roman" w:cs="Times New Roman"/>
          <w:sz w:val="28"/>
          <w:szCs w:val="28"/>
        </w:rPr>
        <w:t>i</w:t>
      </w:r>
      <w:r w:rsidRPr="00045BB7">
        <w:rPr>
          <w:rFonts w:ascii="Times New Roman" w:hAnsi="Times New Roman" w:cs="Times New Roman"/>
          <w:sz w:val="28"/>
          <w:szCs w:val="28"/>
        </w:rPr>
        <w:t>mismo, el accionante omite que el objetivo de las partes que suscriben un contrato como la promesa de compraventa de un bien inmueble destinado a vivienda, es cu</w:t>
      </w:r>
      <w:r w:rsidRPr="00045BB7">
        <w:rPr>
          <w:rFonts w:ascii="Times New Roman" w:hAnsi="Times New Roman" w:cs="Times New Roman"/>
          <w:sz w:val="28"/>
          <w:szCs w:val="28"/>
        </w:rPr>
        <w:t xml:space="preserve">mplir con los acuerdos pactados, a pesar de que el constructor entre en un proceso concursal. En ese sentido, la Corte Suprema de Justicia, Sala de Casación Civil, ha precisado que el régimen concursal no es ajeno al postulado de </w:t>
      </w:r>
      <w:r w:rsidRPr="00045BB7">
        <w:rPr>
          <w:rFonts w:ascii="Times New Roman" w:hAnsi="Times New Roman" w:cs="Times New Roman"/>
          <w:i/>
          <w:iCs/>
          <w:sz w:val="28"/>
          <w:szCs w:val="28"/>
        </w:rPr>
        <w:t>continuidad de los contrat</w:t>
      </w:r>
      <w:r w:rsidRPr="00045BB7">
        <w:rPr>
          <w:rFonts w:ascii="Times New Roman" w:hAnsi="Times New Roman" w:cs="Times New Roman"/>
          <w:i/>
          <w:iCs/>
          <w:sz w:val="28"/>
          <w:szCs w:val="28"/>
        </w:rPr>
        <w:t>os</w:t>
      </w:r>
      <w:r w:rsidRPr="00045BB7">
        <w:rPr>
          <w:rFonts w:ascii="Times New Roman" w:hAnsi="Times New Roman" w:cs="Times New Roman"/>
          <w:sz w:val="28"/>
          <w:szCs w:val="28"/>
        </w:rPr>
        <w:t>, por el contrario, propende por la estabilidad y la fuerza normativa de los acuerdos que celebran las partes ya que el cumplimiento de estos es consecuente con los fines de la reestructuración de las empresas</w:t>
      </w:r>
      <w:r w:rsidRPr="00045BB7">
        <w:rPr>
          <w:rStyle w:val="Refdenotaalpie"/>
          <w:rFonts w:ascii="Times New Roman" w:hAnsi="Times New Roman" w:cs="Times New Roman"/>
          <w:sz w:val="28"/>
          <w:szCs w:val="28"/>
        </w:rPr>
        <w:footnoteReference w:id="129"/>
      </w:r>
      <w:r w:rsidRPr="00045BB7">
        <w:rPr>
          <w:rFonts w:ascii="Times New Roman" w:hAnsi="Times New Roman" w:cs="Times New Roman"/>
          <w:sz w:val="28"/>
          <w:szCs w:val="28"/>
        </w:rPr>
        <w:t xml:space="preserve">. </w:t>
      </w:r>
    </w:p>
    <w:p w:rsidR="00B34A4C" w:rsidRPr="00045BB7" w:rsidRDefault="00045BB7" w:rsidP="00B34A4C">
      <w:pPr>
        <w:tabs>
          <w:tab w:val="left" w:pos="0"/>
          <w:tab w:val="left" w:pos="567"/>
        </w:tabs>
        <w:ind w:right="51"/>
        <w:contextualSpacing/>
        <w:jc w:val="both"/>
        <w:rPr>
          <w:rFonts w:ascii="Times New Roman" w:hAnsi="Times New Roman" w:cs="Times New Roman"/>
          <w:sz w:val="28"/>
          <w:szCs w:val="28"/>
        </w:rPr>
      </w:pPr>
    </w:p>
    <w:p w:rsidR="0007643D" w:rsidRPr="00045BB7" w:rsidRDefault="00045BB7" w:rsidP="0007643D">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Aunado a lo anterior, no se tiene en </w:t>
      </w:r>
      <w:r w:rsidRPr="00045BB7">
        <w:rPr>
          <w:rFonts w:ascii="Times New Roman" w:hAnsi="Times New Roman" w:cs="Times New Roman"/>
          <w:sz w:val="28"/>
          <w:szCs w:val="28"/>
        </w:rPr>
        <w:t>cuenta en el cargo que</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el tratamiento especial para el pago al acreedor garantizado no opera de manera automática, sino que ese crédito especial se somete al proceso de verificación y determinación del inventario de pasivos y activos sujeto al proceso de r</w:t>
      </w:r>
      <w:r w:rsidRPr="00045BB7">
        <w:rPr>
          <w:rFonts w:ascii="Times New Roman" w:hAnsi="Times New Roman" w:cs="Times New Roman"/>
          <w:sz w:val="28"/>
          <w:szCs w:val="28"/>
        </w:rPr>
        <w:t>eorganización y, una vez el juez determina que los bienes no son necesarios para la actividad económica del deudor o que corren riesgo de deterioro o pérdida, puede autorizar la ejecución de garantías reales. Esto quiere decir que le corresponde al operado</w:t>
      </w:r>
      <w:r w:rsidRPr="00045BB7">
        <w:rPr>
          <w:rFonts w:ascii="Times New Roman" w:hAnsi="Times New Roman" w:cs="Times New Roman"/>
          <w:sz w:val="28"/>
          <w:szCs w:val="28"/>
        </w:rPr>
        <w:t xml:space="preserve">r judicial analizar caso a caso si procede o no la ejecución de esas garantías. </w:t>
      </w:r>
    </w:p>
    <w:p w:rsidR="00EE4D01" w:rsidRPr="00045BB7" w:rsidRDefault="00045BB7" w:rsidP="00EE4D01">
      <w:pPr>
        <w:pStyle w:val="Prrafodelista"/>
        <w:rPr>
          <w:rFonts w:ascii="Times New Roman" w:hAnsi="Times New Roman" w:cs="Times New Roman"/>
          <w:szCs w:val="28"/>
          <w:lang w:eastAsia="es-CO"/>
        </w:rPr>
      </w:pPr>
    </w:p>
    <w:p w:rsidR="00EE4D01" w:rsidRPr="00045BB7" w:rsidRDefault="00045BB7" w:rsidP="0007643D">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En tal sentido, no puede generalizar el actor los supuestos frente a los cuales se le permitiría al acreedor ejecutar su preferencia pues, puede ocurrir que en determinados e</w:t>
      </w:r>
      <w:r w:rsidRPr="00045BB7">
        <w:rPr>
          <w:rFonts w:ascii="Times New Roman" w:hAnsi="Times New Roman" w:cs="Times New Roman"/>
          <w:sz w:val="28"/>
          <w:szCs w:val="28"/>
        </w:rPr>
        <w:t>scenarios los artículos 50 y 51 demandados no apliquen en tanto el lote de la construcción, los materiales, la maquinaria, entre otros</w:t>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se</w:t>
      </w:r>
      <w:r w:rsidRPr="00045BB7">
        <w:rPr>
          <w:rFonts w:ascii="Times New Roman" w:hAnsi="Times New Roman" w:cs="Times New Roman"/>
          <w:sz w:val="28"/>
          <w:szCs w:val="28"/>
        </w:rPr>
        <w:t>an</w:t>
      </w:r>
      <w:r w:rsidRPr="00045BB7">
        <w:rPr>
          <w:rFonts w:ascii="Times New Roman" w:hAnsi="Times New Roman" w:cs="Times New Roman"/>
          <w:sz w:val="28"/>
          <w:szCs w:val="28"/>
        </w:rPr>
        <w:t xml:space="preserve"> considerados como bienes necesarios para la actividad económica del deudor. </w:t>
      </w:r>
    </w:p>
    <w:p w:rsidR="004B11CB" w:rsidRPr="00045BB7" w:rsidRDefault="00045BB7" w:rsidP="00AA36B2">
      <w:pPr>
        <w:tabs>
          <w:tab w:val="left" w:pos="0"/>
          <w:tab w:val="left" w:pos="567"/>
        </w:tabs>
        <w:ind w:right="51"/>
        <w:contextualSpacing/>
        <w:jc w:val="both"/>
        <w:rPr>
          <w:rFonts w:ascii="Times New Roman" w:hAnsi="Times New Roman" w:cs="Times New Roman"/>
          <w:sz w:val="28"/>
          <w:szCs w:val="28"/>
        </w:rPr>
      </w:pPr>
    </w:p>
    <w:p w:rsidR="004B11CB" w:rsidRPr="00045BB7" w:rsidRDefault="00045BB7" w:rsidP="00161846">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En segundo lugar, en relación con el </w:t>
      </w:r>
      <w:r w:rsidRPr="00045BB7">
        <w:rPr>
          <w:rFonts w:ascii="Times New Roman" w:hAnsi="Times New Roman" w:cs="Times New Roman"/>
          <w:sz w:val="28"/>
          <w:szCs w:val="28"/>
        </w:rPr>
        <w:t>escenario de liquidación, es de resaltar que este proceso judicial persigue el máximo aprovechamiento del patrimonio del deudor, de forma que se pueda pagar la mayor cantidad de acreencias.</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Bajo ese entendido, la preferencia que contempla el artículo deman</w:t>
      </w:r>
      <w:r w:rsidRPr="00045BB7">
        <w:rPr>
          <w:rFonts w:ascii="Times New Roman" w:hAnsi="Times New Roman" w:cs="Times New Roman"/>
          <w:sz w:val="28"/>
          <w:szCs w:val="28"/>
        </w:rPr>
        <w:t>dado no es ajena al derecho civil y comercial sino que va en línea con la naturaleza del acreedor garantizado y la distinción que hace el derecho civil colombiano frente a los créditos generales y especiales</w:t>
      </w:r>
      <w:r w:rsidRPr="00045BB7">
        <w:rPr>
          <w:rStyle w:val="Refdenotaalpie"/>
          <w:rFonts w:ascii="Times New Roman" w:hAnsi="Times New Roman" w:cs="Times New Roman"/>
          <w:sz w:val="28"/>
          <w:szCs w:val="28"/>
        </w:rPr>
        <w:footnoteReference w:id="130"/>
      </w:r>
      <w:r w:rsidRPr="00045BB7">
        <w:rPr>
          <w:rFonts w:ascii="Times New Roman" w:hAnsi="Times New Roman" w:cs="Times New Roman"/>
          <w:sz w:val="28"/>
          <w:szCs w:val="28"/>
        </w:rPr>
        <w:t>. En ese orden de ideas, los acreedores cuya pre</w:t>
      </w:r>
      <w:r w:rsidRPr="00045BB7">
        <w:rPr>
          <w:rFonts w:ascii="Times New Roman" w:hAnsi="Times New Roman" w:cs="Times New Roman"/>
          <w:sz w:val="28"/>
          <w:szCs w:val="28"/>
        </w:rPr>
        <w:t>stación se encuentra garantizada con un bien específico, como ocurre en el caso de los acreedores con garantía real, siempre van a tener derecho a que se les pague con cargo a ese bien en particular, circunstancia que no nace con la Ley de Garantías Mobili</w:t>
      </w:r>
      <w:r w:rsidRPr="00045BB7">
        <w:rPr>
          <w:rFonts w:ascii="Times New Roman" w:hAnsi="Times New Roman" w:cs="Times New Roman"/>
          <w:sz w:val="28"/>
          <w:szCs w:val="28"/>
        </w:rPr>
        <w:t>arias sino que tiene su fundamento y se remonta a la teoría general de las obligaciones. En ese sentido, y en línea con lo que plantean algunos intervinientes,</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aunque la crisis del deudor origina una tensión frente al modo en que serán cumplidas </w:t>
      </w:r>
      <w:r w:rsidRPr="00045BB7">
        <w:rPr>
          <w:rFonts w:ascii="Times New Roman" w:hAnsi="Times New Roman" w:cs="Times New Roman"/>
          <w:sz w:val="28"/>
          <w:szCs w:val="28"/>
        </w:rPr>
        <w:t>las obliga</w:t>
      </w:r>
      <w:r w:rsidRPr="00045BB7">
        <w:rPr>
          <w:rFonts w:ascii="Times New Roman" w:hAnsi="Times New Roman" w:cs="Times New Roman"/>
          <w:sz w:val="28"/>
          <w:szCs w:val="28"/>
        </w:rPr>
        <w:t xml:space="preserve">ciones </w:t>
      </w:r>
      <w:r w:rsidRPr="00045BB7">
        <w:rPr>
          <w:rFonts w:ascii="Times New Roman" w:hAnsi="Times New Roman" w:cs="Times New Roman"/>
          <w:sz w:val="28"/>
          <w:szCs w:val="28"/>
        </w:rPr>
        <w:t xml:space="preserve">respecto de todos los acreedores, </w:t>
      </w:r>
      <w:r w:rsidRPr="00045BB7">
        <w:rPr>
          <w:rFonts w:ascii="Times New Roman" w:hAnsi="Times New Roman" w:cs="Times New Roman"/>
          <w:sz w:val="28"/>
          <w:szCs w:val="28"/>
        </w:rPr>
        <w:t>en principio,</w:t>
      </w:r>
      <w:r w:rsidRPr="00045BB7">
        <w:rPr>
          <w:rFonts w:ascii="Times New Roman" w:hAnsi="Times New Roman" w:cs="Times New Roman"/>
          <w:sz w:val="28"/>
          <w:szCs w:val="28"/>
        </w:rPr>
        <w:t xml:space="preserve"> las acreencias de los compradores de vivienda no </w:t>
      </w:r>
      <w:r w:rsidRPr="00045BB7">
        <w:rPr>
          <w:rFonts w:ascii="Times New Roman" w:hAnsi="Times New Roman" w:cs="Times New Roman"/>
          <w:sz w:val="28"/>
          <w:szCs w:val="28"/>
        </w:rPr>
        <w:t xml:space="preserve">se enfrentan directamente </w:t>
      </w:r>
      <w:r w:rsidRPr="00045BB7">
        <w:rPr>
          <w:rFonts w:ascii="Times New Roman" w:hAnsi="Times New Roman" w:cs="Times New Roman"/>
          <w:sz w:val="28"/>
          <w:szCs w:val="28"/>
        </w:rPr>
        <w:t>con las de los acreedores con garantía real, puesto que la</w:t>
      </w:r>
      <w:r w:rsidRPr="00045BB7">
        <w:rPr>
          <w:rFonts w:ascii="Times New Roman" w:hAnsi="Times New Roman" w:cs="Times New Roman"/>
          <w:sz w:val="28"/>
          <w:szCs w:val="28"/>
        </w:rPr>
        <w:t>s</w:t>
      </w:r>
      <w:r w:rsidRPr="00045BB7">
        <w:rPr>
          <w:rFonts w:ascii="Times New Roman" w:hAnsi="Times New Roman" w:cs="Times New Roman"/>
          <w:sz w:val="28"/>
          <w:szCs w:val="28"/>
        </w:rPr>
        <w:t xml:space="preserve"> de los primeros deriva</w:t>
      </w:r>
      <w:r w:rsidRPr="00045BB7">
        <w:rPr>
          <w:rFonts w:ascii="Times New Roman" w:hAnsi="Times New Roman" w:cs="Times New Roman"/>
          <w:sz w:val="28"/>
          <w:szCs w:val="28"/>
        </w:rPr>
        <w:t>n</w:t>
      </w:r>
      <w:r w:rsidRPr="00045BB7">
        <w:rPr>
          <w:rFonts w:ascii="Times New Roman" w:hAnsi="Times New Roman" w:cs="Times New Roman"/>
          <w:sz w:val="28"/>
          <w:szCs w:val="28"/>
        </w:rPr>
        <w:t xml:space="preserve"> de los dineros que entregaron como anticip</w:t>
      </w:r>
      <w:r w:rsidRPr="00045BB7">
        <w:rPr>
          <w:rFonts w:ascii="Times New Roman" w:hAnsi="Times New Roman" w:cs="Times New Roman"/>
          <w:sz w:val="28"/>
          <w:szCs w:val="28"/>
        </w:rPr>
        <w:t>os del bien inmueble, mientras que la</w:t>
      </w:r>
      <w:r w:rsidRPr="00045BB7">
        <w:rPr>
          <w:rFonts w:ascii="Times New Roman" w:hAnsi="Times New Roman" w:cs="Times New Roman"/>
          <w:sz w:val="28"/>
          <w:szCs w:val="28"/>
        </w:rPr>
        <w:t>s</w:t>
      </w:r>
      <w:r w:rsidRPr="00045BB7">
        <w:rPr>
          <w:rFonts w:ascii="Times New Roman" w:hAnsi="Times New Roman" w:cs="Times New Roman"/>
          <w:sz w:val="28"/>
          <w:szCs w:val="28"/>
        </w:rPr>
        <w:t xml:space="preserve"> de los segundos </w:t>
      </w:r>
      <w:r w:rsidRPr="00045BB7">
        <w:rPr>
          <w:rFonts w:ascii="Times New Roman" w:hAnsi="Times New Roman" w:cs="Times New Roman"/>
          <w:sz w:val="28"/>
          <w:szCs w:val="28"/>
        </w:rPr>
        <w:t>son</w:t>
      </w:r>
      <w:r w:rsidRPr="00045BB7">
        <w:rPr>
          <w:rFonts w:ascii="Times New Roman" w:hAnsi="Times New Roman" w:cs="Times New Roman"/>
          <w:sz w:val="28"/>
          <w:szCs w:val="28"/>
        </w:rPr>
        <w:t xml:space="preserve"> directamente el bien objeto de garantía.</w:t>
      </w:r>
      <w:r w:rsidRPr="00045BB7">
        <w:rPr>
          <w:rFonts w:ascii="Times New Roman" w:hAnsi="Times New Roman" w:cs="Times New Roman"/>
          <w:sz w:val="28"/>
          <w:szCs w:val="28"/>
        </w:rPr>
        <w:t xml:space="preserve"> </w:t>
      </w:r>
    </w:p>
    <w:p w:rsidR="00242D87" w:rsidRPr="00045BB7" w:rsidRDefault="00045BB7" w:rsidP="00242D87">
      <w:pPr>
        <w:tabs>
          <w:tab w:val="left" w:pos="0"/>
          <w:tab w:val="left" w:pos="567"/>
        </w:tabs>
        <w:ind w:right="51"/>
        <w:contextualSpacing/>
        <w:jc w:val="both"/>
        <w:rPr>
          <w:rFonts w:ascii="Times New Roman" w:hAnsi="Times New Roman" w:cs="Times New Roman"/>
          <w:sz w:val="28"/>
          <w:szCs w:val="28"/>
        </w:rPr>
      </w:pPr>
    </w:p>
    <w:p w:rsidR="00242D87" w:rsidRPr="00045BB7" w:rsidRDefault="00045BB7" w:rsidP="00B12F97">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Por lo tanto, </w:t>
      </w:r>
      <w:r w:rsidRPr="00045BB7">
        <w:rPr>
          <w:rFonts w:ascii="Times New Roman" w:hAnsi="Times New Roman" w:cs="Times New Roman"/>
          <w:sz w:val="28"/>
          <w:szCs w:val="28"/>
        </w:rPr>
        <w:t xml:space="preserve">aunque los artículos atacados tienen un contenido autónomo, </w:t>
      </w:r>
      <w:r w:rsidRPr="00045BB7">
        <w:rPr>
          <w:rFonts w:ascii="Times New Roman" w:hAnsi="Times New Roman" w:cs="Times New Roman"/>
          <w:sz w:val="28"/>
          <w:szCs w:val="28"/>
        </w:rPr>
        <w:t>el problema que plantea el demandante realmente no se desprende</w:t>
      </w:r>
      <w:r w:rsidRPr="00045BB7">
        <w:rPr>
          <w:rFonts w:ascii="Times New Roman" w:hAnsi="Times New Roman" w:cs="Times New Roman"/>
          <w:sz w:val="28"/>
          <w:szCs w:val="28"/>
        </w:rPr>
        <w:t xml:space="preserve"> de</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dicho conteni</w:t>
      </w:r>
      <w:r w:rsidRPr="00045BB7">
        <w:rPr>
          <w:rFonts w:ascii="Times New Roman" w:hAnsi="Times New Roman" w:cs="Times New Roman"/>
          <w:sz w:val="28"/>
          <w:szCs w:val="28"/>
        </w:rPr>
        <w:t>do,</w:t>
      </w:r>
      <w:r w:rsidRPr="00045BB7">
        <w:rPr>
          <w:rFonts w:ascii="Times New Roman" w:hAnsi="Times New Roman" w:cs="Times New Roman"/>
          <w:sz w:val="28"/>
          <w:szCs w:val="28"/>
        </w:rPr>
        <w:t xml:space="preserve"> sino de </w:t>
      </w:r>
      <w:r w:rsidRPr="00045BB7">
        <w:rPr>
          <w:rFonts w:ascii="Times New Roman" w:hAnsi="Times New Roman" w:cs="Times New Roman"/>
          <w:sz w:val="28"/>
          <w:szCs w:val="28"/>
        </w:rPr>
        <w:t xml:space="preserve">la naturaleza misma de ese tipo de créditos, circunstancia que no </w:t>
      </w:r>
      <w:r w:rsidRPr="00045BB7">
        <w:rPr>
          <w:rFonts w:ascii="Times New Roman" w:hAnsi="Times New Roman" w:cs="Times New Roman"/>
          <w:sz w:val="28"/>
          <w:szCs w:val="28"/>
        </w:rPr>
        <w:t xml:space="preserve">se </w:t>
      </w:r>
      <w:r w:rsidRPr="00045BB7">
        <w:rPr>
          <w:rFonts w:ascii="Times New Roman" w:hAnsi="Times New Roman" w:cs="Times New Roman"/>
          <w:sz w:val="28"/>
          <w:szCs w:val="28"/>
        </w:rPr>
        <w:t xml:space="preserve">deriva de las disposiciones acusadas sino de </w:t>
      </w:r>
      <w:r w:rsidRPr="00045BB7">
        <w:rPr>
          <w:rFonts w:ascii="Times New Roman" w:hAnsi="Times New Roman" w:cs="Times New Roman"/>
          <w:sz w:val="28"/>
          <w:szCs w:val="28"/>
        </w:rPr>
        <w:t xml:space="preserve">normas del Código Civil que no fueron demandadas. </w:t>
      </w:r>
    </w:p>
    <w:p w:rsidR="004B11CB" w:rsidRPr="00045BB7" w:rsidRDefault="00045BB7" w:rsidP="00A12BA8">
      <w:pPr>
        <w:rPr>
          <w:rFonts w:ascii="Times New Roman" w:hAnsi="Times New Roman" w:cs="Times New Roman"/>
          <w:sz w:val="28"/>
          <w:szCs w:val="28"/>
        </w:rPr>
      </w:pPr>
    </w:p>
    <w:p w:rsidR="004B11CB" w:rsidRPr="00045BB7" w:rsidRDefault="00045BB7" w:rsidP="004B11CB">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lang w:val="es-ES_tradnl"/>
        </w:rPr>
        <w:t>En tercer lugar</w:t>
      </w:r>
      <w:r w:rsidRPr="00045BB7">
        <w:rPr>
          <w:rFonts w:ascii="Times New Roman" w:hAnsi="Times New Roman" w:cs="Times New Roman"/>
          <w:sz w:val="28"/>
          <w:szCs w:val="28"/>
          <w:lang w:val="es-ES_tradnl"/>
        </w:rPr>
        <w:t xml:space="preserve">, el cargo parte </w:t>
      </w:r>
      <w:r w:rsidRPr="00045BB7">
        <w:rPr>
          <w:rFonts w:ascii="Times New Roman" w:hAnsi="Times New Roman" w:cs="Times New Roman"/>
          <w:sz w:val="28"/>
          <w:szCs w:val="28"/>
        </w:rPr>
        <w:t xml:space="preserve">de una lectura aislada y descontextualizada de la norma en tanto desconoce que el ordenamiento jurídico sí contempla protecciones a favor de los compradores de vivienda que se puedan ver afectados por un proceso de liquidación del constructor, como se </w:t>
      </w:r>
      <w:r w:rsidRPr="00045BB7">
        <w:rPr>
          <w:rFonts w:ascii="Times New Roman" w:hAnsi="Times New Roman" w:cs="Times New Roman"/>
          <w:sz w:val="28"/>
          <w:szCs w:val="28"/>
        </w:rPr>
        <w:t>proc</w:t>
      </w:r>
      <w:r w:rsidRPr="00045BB7">
        <w:rPr>
          <w:rFonts w:ascii="Times New Roman" w:hAnsi="Times New Roman" w:cs="Times New Roman"/>
          <w:sz w:val="28"/>
          <w:szCs w:val="28"/>
        </w:rPr>
        <w:t>ede a explicar.</w:t>
      </w:r>
    </w:p>
    <w:p w:rsidR="004B11CB" w:rsidRPr="00045BB7" w:rsidRDefault="00045BB7" w:rsidP="004B11CB">
      <w:pPr>
        <w:pStyle w:val="Prrafodelista"/>
        <w:rPr>
          <w:rFonts w:ascii="Times New Roman" w:hAnsi="Times New Roman" w:cs="Times New Roman"/>
          <w:szCs w:val="28"/>
          <w:lang w:eastAsia="es-CO"/>
        </w:rPr>
      </w:pPr>
    </w:p>
    <w:p w:rsidR="004B11CB" w:rsidRPr="00045BB7" w:rsidRDefault="00045BB7" w:rsidP="00B81E1F">
      <w:pPr>
        <w:tabs>
          <w:tab w:val="left" w:pos="0"/>
          <w:tab w:val="left" w:pos="567"/>
        </w:tabs>
        <w:ind w:right="51"/>
        <w:contextualSpacing/>
        <w:jc w:val="both"/>
        <w:rPr>
          <w:rFonts w:ascii="Times New Roman" w:hAnsi="Times New Roman" w:cs="Times New Roman"/>
          <w:i/>
          <w:iCs/>
          <w:sz w:val="28"/>
          <w:szCs w:val="28"/>
          <w:u w:val="single"/>
        </w:rPr>
      </w:pPr>
      <w:r w:rsidRPr="00045BB7">
        <w:rPr>
          <w:rFonts w:ascii="Times New Roman" w:hAnsi="Times New Roman" w:cs="Times New Roman"/>
          <w:i/>
          <w:iCs/>
          <w:sz w:val="28"/>
          <w:szCs w:val="28"/>
          <w:u w:val="single"/>
        </w:rPr>
        <w:t>Protecciones comunes a todos los adquirientes de vivienda</w:t>
      </w:r>
    </w:p>
    <w:p w:rsidR="004B11CB" w:rsidRPr="00045BB7" w:rsidRDefault="00045BB7" w:rsidP="00B81E1F">
      <w:pPr>
        <w:rPr>
          <w:rFonts w:ascii="Times New Roman" w:hAnsi="Times New Roman" w:cs="Times New Roman"/>
          <w:sz w:val="28"/>
        </w:rPr>
      </w:pPr>
    </w:p>
    <w:p w:rsidR="00125AC7" w:rsidRPr="00045BB7" w:rsidRDefault="00045BB7" w:rsidP="00125AC7">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lang w:val="es-ES_tradnl"/>
        </w:rPr>
        <w:t>La</w:t>
      </w:r>
      <w:r w:rsidRPr="00045BB7">
        <w:rPr>
          <w:rFonts w:ascii="Times New Roman" w:hAnsi="Times New Roman" w:cs="Times New Roman"/>
          <w:i/>
          <w:iCs/>
          <w:sz w:val="28"/>
          <w:szCs w:val="28"/>
          <w:lang w:val="es-ES_tradnl"/>
        </w:rPr>
        <w:t xml:space="preserve"> primera protección</w:t>
      </w:r>
      <w:r w:rsidRPr="00045BB7">
        <w:rPr>
          <w:rFonts w:ascii="Times New Roman" w:hAnsi="Times New Roman" w:cs="Times New Roman"/>
          <w:sz w:val="28"/>
          <w:szCs w:val="28"/>
          <w:lang w:val="es-ES_tradnl"/>
        </w:rPr>
        <w:t xml:space="preserve"> surge del artículo 51 de la Ley 1116 de 2006, que determina </w:t>
      </w:r>
      <w:r w:rsidRPr="00045BB7">
        <w:rPr>
          <w:rFonts w:ascii="Times New Roman" w:hAnsi="Times New Roman" w:cs="Times New Roman"/>
          <w:sz w:val="28"/>
          <w:szCs w:val="28"/>
        </w:rPr>
        <w:t xml:space="preserve">que los promitentes compradores de inmuebles de vivienda deben comparecer al proceso dentro de la </w:t>
      </w:r>
      <w:r w:rsidRPr="00045BB7">
        <w:rPr>
          <w:rFonts w:ascii="Times New Roman" w:hAnsi="Times New Roman" w:cs="Times New Roman"/>
          <w:sz w:val="28"/>
          <w:szCs w:val="28"/>
        </w:rPr>
        <w:t>oportunidad legal, a fin de que soliciten la ejecución de la venta prometida, caso en el cual el juez del concurso ordenará al liquidador que otorgue escritura pública de compraventa, previa consignación del valor restante del precio, si aplica, para lo cu</w:t>
      </w:r>
      <w:r w:rsidRPr="00045BB7">
        <w:rPr>
          <w:rFonts w:ascii="Times New Roman" w:hAnsi="Times New Roman" w:cs="Times New Roman"/>
          <w:sz w:val="28"/>
          <w:szCs w:val="28"/>
        </w:rPr>
        <w:t>al procederá el levantamiento de las medidas cautelares que afecten el bien</w:t>
      </w:r>
      <w:r w:rsidRPr="00045BB7">
        <w:rPr>
          <w:rStyle w:val="Refdenotaalpie"/>
          <w:rFonts w:ascii="Times New Roman" w:hAnsi="Times New Roman" w:cs="Times New Roman"/>
          <w:sz w:val="28"/>
          <w:szCs w:val="28"/>
        </w:rPr>
        <w:footnoteReference w:id="131"/>
      </w:r>
      <w:r w:rsidRPr="00045BB7">
        <w:rPr>
          <w:rFonts w:ascii="Times New Roman" w:hAnsi="Times New Roman" w:cs="Times New Roman"/>
          <w:sz w:val="28"/>
          <w:szCs w:val="28"/>
        </w:rPr>
        <w:t xml:space="preserve">. </w:t>
      </w:r>
    </w:p>
    <w:p w:rsidR="004B11CB" w:rsidRPr="00045BB7" w:rsidRDefault="00045BB7" w:rsidP="00125AC7">
      <w:pPr>
        <w:tabs>
          <w:tab w:val="left" w:pos="0"/>
          <w:tab w:val="left" w:pos="567"/>
        </w:tabs>
        <w:ind w:right="51"/>
        <w:contextualSpacing/>
        <w:jc w:val="both"/>
        <w:rPr>
          <w:rFonts w:ascii="Times New Roman" w:hAnsi="Times New Roman" w:cs="Times New Roman"/>
          <w:sz w:val="28"/>
          <w:szCs w:val="28"/>
        </w:rPr>
      </w:pPr>
    </w:p>
    <w:p w:rsidR="00125AC7" w:rsidRPr="00045BB7" w:rsidRDefault="00045BB7" w:rsidP="00125AC7">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lang w:val="es-ES_tradnl"/>
        </w:rPr>
        <w:t xml:space="preserve">Esto es relevante en tanto el </w:t>
      </w:r>
      <w:r w:rsidRPr="00045BB7">
        <w:rPr>
          <w:rFonts w:ascii="Times New Roman" w:hAnsi="Times New Roman" w:cs="Times New Roman"/>
          <w:sz w:val="28"/>
          <w:szCs w:val="28"/>
          <w:lang w:val="es-ES_tradnl"/>
        </w:rPr>
        <w:t>trámite</w:t>
      </w:r>
      <w:r w:rsidRPr="00045BB7">
        <w:rPr>
          <w:rFonts w:ascii="Times New Roman" w:hAnsi="Times New Roman" w:cs="Times New Roman"/>
          <w:sz w:val="28"/>
          <w:szCs w:val="28"/>
          <w:lang w:val="es-ES_tradnl"/>
        </w:rPr>
        <w:t xml:space="preserve"> concursal es la oportunidad procesal que tienen los adquirientes de vivienda para que su derecho sea considerado y puedan exigir el cumpli</w:t>
      </w:r>
      <w:r w:rsidRPr="00045BB7">
        <w:rPr>
          <w:rFonts w:ascii="Times New Roman" w:hAnsi="Times New Roman" w:cs="Times New Roman"/>
          <w:sz w:val="28"/>
          <w:szCs w:val="28"/>
          <w:lang w:val="es-ES_tradnl"/>
        </w:rPr>
        <w:t>miento de la obligación de hacer que surge del contrato de promesa de compraventa.</w:t>
      </w:r>
      <w:r w:rsidRPr="00045BB7">
        <w:rPr>
          <w:rFonts w:ascii="Times New Roman" w:hAnsi="Times New Roman" w:cs="Times New Roman"/>
          <w:sz w:val="28"/>
          <w:szCs w:val="28"/>
        </w:rPr>
        <w:t xml:space="preserve"> </w:t>
      </w:r>
      <w:r w:rsidRPr="00045BB7">
        <w:rPr>
          <w:rFonts w:ascii="Times New Roman" w:hAnsi="Times New Roman" w:cs="Times New Roman"/>
          <w:sz w:val="28"/>
          <w:szCs w:val="28"/>
          <w:lang w:val="es-ES_tradnl"/>
        </w:rPr>
        <w:t>De esta manera, la ley habilita al juez para que ordene al liquidador del concurso que les otorgue escritura pública de compraventa, previa verificación del pago total del i</w:t>
      </w:r>
      <w:r w:rsidRPr="00045BB7">
        <w:rPr>
          <w:rFonts w:ascii="Times New Roman" w:hAnsi="Times New Roman" w:cs="Times New Roman"/>
          <w:sz w:val="28"/>
          <w:szCs w:val="28"/>
          <w:lang w:val="es-ES_tradnl"/>
        </w:rPr>
        <w:t>nmueble. También, faculta a la autoridad judicial para que disponga la cancelación de la hipoteca de mayor extensión que afecta a todo el proyecto y efectué la entrega material del bien, en caso de que no se haya realizado</w:t>
      </w:r>
      <w:r w:rsidRPr="00045BB7">
        <w:rPr>
          <w:rStyle w:val="Refdenotaalpie"/>
          <w:rFonts w:ascii="Times New Roman" w:hAnsi="Times New Roman" w:cs="Times New Roman"/>
          <w:sz w:val="28"/>
          <w:szCs w:val="28"/>
          <w:lang w:val="es-ES_tradnl"/>
        </w:rPr>
        <w:footnoteReference w:id="132"/>
      </w:r>
      <w:r w:rsidRPr="00045BB7">
        <w:rPr>
          <w:rFonts w:ascii="Times New Roman" w:hAnsi="Times New Roman" w:cs="Times New Roman"/>
          <w:sz w:val="28"/>
          <w:szCs w:val="28"/>
          <w:lang w:val="es-ES_tradnl"/>
        </w:rPr>
        <w:t xml:space="preserve">. </w:t>
      </w:r>
      <w:r w:rsidRPr="00045BB7">
        <w:rPr>
          <w:rFonts w:ascii="Times New Roman" w:hAnsi="Times New Roman" w:cs="Times New Roman"/>
          <w:sz w:val="28"/>
          <w:szCs w:val="28"/>
          <w:lang w:val="es-ES_tradnl"/>
        </w:rPr>
        <w:t>T</w:t>
      </w:r>
      <w:r w:rsidRPr="00045BB7">
        <w:rPr>
          <w:rFonts w:ascii="Times New Roman" w:hAnsi="Times New Roman" w:cs="Times New Roman"/>
          <w:sz w:val="28"/>
          <w:szCs w:val="28"/>
        </w:rPr>
        <w:t>al posibilidad</w:t>
      </w:r>
      <w:r w:rsidRPr="00045BB7">
        <w:rPr>
          <w:rFonts w:ascii="Times New Roman" w:hAnsi="Times New Roman" w:cs="Times New Roman"/>
          <w:sz w:val="28"/>
          <w:szCs w:val="28"/>
        </w:rPr>
        <w:t xml:space="preserve"> será efectiva</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“si con los bienes restantes queda garantizado el pago de los gastos de administración y de las obligaciones privilegiadas”</w:t>
      </w:r>
      <w:r w:rsidRPr="00045BB7">
        <w:rPr>
          <w:rStyle w:val="Refdenotaalpie"/>
          <w:rFonts w:ascii="Times New Roman" w:hAnsi="Times New Roman" w:cs="Times New Roman"/>
          <w:sz w:val="28"/>
          <w:szCs w:val="28"/>
        </w:rPr>
        <w:footnoteReference w:id="133"/>
      </w:r>
      <w:r w:rsidRPr="00045BB7">
        <w:rPr>
          <w:rFonts w:ascii="Times New Roman" w:hAnsi="Times New Roman" w:cs="Times New Roman"/>
          <w:sz w:val="28"/>
          <w:szCs w:val="28"/>
        </w:rPr>
        <w:t xml:space="preserve">. </w:t>
      </w:r>
    </w:p>
    <w:p w:rsidR="004B11CB" w:rsidRPr="00045BB7" w:rsidRDefault="00045BB7" w:rsidP="004B11CB">
      <w:pPr>
        <w:tabs>
          <w:tab w:val="left" w:pos="0"/>
          <w:tab w:val="left" w:pos="567"/>
        </w:tabs>
        <w:ind w:right="51"/>
        <w:contextualSpacing/>
        <w:jc w:val="both"/>
        <w:rPr>
          <w:rFonts w:ascii="Times New Roman" w:hAnsi="Times New Roman" w:cs="Times New Roman"/>
          <w:sz w:val="28"/>
          <w:szCs w:val="28"/>
        </w:rPr>
      </w:pPr>
    </w:p>
    <w:p w:rsidR="004B11CB" w:rsidRPr="00045BB7" w:rsidRDefault="00045BB7" w:rsidP="004B11CB">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Si lo anterior no es posible dado el estado de avance del proyecto, el artículo</w:t>
      </w:r>
      <w:r w:rsidRPr="00045BB7">
        <w:rPr>
          <w:rFonts w:ascii="Times New Roman" w:hAnsi="Times New Roman" w:cs="Times New Roman"/>
          <w:sz w:val="28"/>
          <w:szCs w:val="28"/>
        </w:rPr>
        <w:t xml:space="preserve"> 51 de la Ley 1116 de 2006</w:t>
      </w:r>
      <w:r w:rsidRPr="00045BB7">
        <w:rPr>
          <w:rFonts w:ascii="Times New Roman" w:hAnsi="Times New Roman" w:cs="Times New Roman"/>
          <w:sz w:val="28"/>
          <w:szCs w:val="28"/>
        </w:rPr>
        <w:t xml:space="preserve"> dispone que procede la</w:t>
      </w:r>
      <w:r w:rsidRPr="00045BB7">
        <w:rPr>
          <w:rFonts w:ascii="Times New Roman" w:hAnsi="Times New Roman" w:cs="Times New Roman"/>
          <w:sz w:val="28"/>
          <w:szCs w:val="28"/>
        </w:rPr>
        <w:t xml:space="preserve"> devolución de las sumas pagadas, de conformidad con las reglas de prelación de créditos. Sobre el particular, el artículo 125 de la Ley 388 de 1997, establece que “los valores o créditos que por concepto de cuotas hubieren cancelado los promitentes compra</w:t>
      </w:r>
      <w:r w:rsidRPr="00045BB7">
        <w:rPr>
          <w:rFonts w:ascii="Times New Roman" w:hAnsi="Times New Roman" w:cs="Times New Roman"/>
          <w:sz w:val="28"/>
          <w:szCs w:val="28"/>
        </w:rPr>
        <w:t>dores, se tendrán como créditos privilegiados de segunda clase, en los términos del artículo 10 del Decreto 2610 de 1979</w:t>
      </w:r>
      <w:r w:rsidRPr="00045BB7">
        <w:rPr>
          <w:rStyle w:val="Refdenotaalpie"/>
          <w:rFonts w:ascii="Times New Roman" w:hAnsi="Times New Roman" w:cs="Times New Roman"/>
          <w:sz w:val="28"/>
          <w:szCs w:val="28"/>
        </w:rPr>
        <w:footnoteReference w:id="134"/>
      </w:r>
      <w:r w:rsidRPr="00045BB7">
        <w:rPr>
          <w:rFonts w:ascii="Times New Roman" w:hAnsi="Times New Roman" w:cs="Times New Roman"/>
          <w:sz w:val="28"/>
          <w:szCs w:val="28"/>
        </w:rPr>
        <w:t xml:space="preserve">, siempre que la promesa de contrato haya sido válidamente celebrada y se tenga certeza de su otorgamiento”. </w:t>
      </w:r>
    </w:p>
    <w:p w:rsidR="004B11CB" w:rsidRPr="00045BB7" w:rsidRDefault="00045BB7" w:rsidP="003C1BDD">
      <w:pPr>
        <w:rPr>
          <w:rFonts w:ascii="Times New Roman" w:hAnsi="Times New Roman" w:cs="Times New Roman"/>
          <w:sz w:val="28"/>
        </w:rPr>
      </w:pPr>
    </w:p>
    <w:p w:rsidR="004B11CB" w:rsidRPr="00045BB7" w:rsidRDefault="00045BB7" w:rsidP="004B11CB">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Asimismo, se desprende </w:t>
      </w:r>
      <w:r w:rsidRPr="00045BB7">
        <w:rPr>
          <w:rFonts w:ascii="Times New Roman" w:hAnsi="Times New Roman" w:cs="Times New Roman"/>
          <w:sz w:val="28"/>
          <w:szCs w:val="28"/>
        </w:rPr>
        <w:t>del artículo</w:t>
      </w:r>
      <w:r w:rsidRPr="00045BB7">
        <w:rPr>
          <w:rFonts w:ascii="Times New Roman" w:hAnsi="Times New Roman" w:cs="Times New Roman"/>
          <w:sz w:val="28"/>
          <w:szCs w:val="28"/>
        </w:rPr>
        <w:t xml:space="preserve"> 52</w:t>
      </w:r>
      <w:r w:rsidRPr="00045BB7">
        <w:rPr>
          <w:rFonts w:ascii="Times New Roman" w:hAnsi="Times New Roman" w:cs="Times New Roman"/>
          <w:sz w:val="28"/>
          <w:szCs w:val="28"/>
        </w:rPr>
        <w:t xml:space="preserve"> demandado que</w:t>
      </w:r>
      <w:r w:rsidRPr="00045BB7">
        <w:rPr>
          <w:rFonts w:ascii="Times New Roman" w:hAnsi="Times New Roman" w:cs="Times New Roman"/>
          <w:sz w:val="28"/>
          <w:szCs w:val="28"/>
        </w:rPr>
        <w:t xml:space="preserve"> puede suceder que el valor del bien no corresponda al valor de la obligación garantizada,</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por lo tanto, si es superior, existen las siguientes opciones: </w:t>
      </w:r>
      <w:r w:rsidRPr="00045BB7">
        <w:rPr>
          <w:rFonts w:ascii="Times New Roman" w:hAnsi="Times New Roman" w:cs="Times New Roman"/>
          <w:i/>
          <w:iCs/>
          <w:sz w:val="28"/>
          <w:szCs w:val="28"/>
        </w:rPr>
        <w:t>(i)</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se vende y el producto de esa venta se le adjudica en primer lugar al</w:t>
      </w:r>
      <w:r w:rsidRPr="00045BB7">
        <w:rPr>
          <w:rFonts w:ascii="Times New Roman" w:hAnsi="Times New Roman" w:cs="Times New Roman"/>
          <w:sz w:val="28"/>
          <w:szCs w:val="28"/>
        </w:rPr>
        <w:t xml:space="preserve"> acreedor garantizado y el remanente se entrega al liquidador para que pague a los demás acreedores en el orden de prelación correspondiente; </w:t>
      </w:r>
      <w:r w:rsidRPr="00045BB7">
        <w:rPr>
          <w:rFonts w:ascii="Times New Roman" w:hAnsi="Times New Roman" w:cs="Times New Roman"/>
          <w:i/>
          <w:iCs/>
          <w:sz w:val="28"/>
          <w:szCs w:val="28"/>
        </w:rPr>
        <w:t>(ii)</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el acreedor garantizado puede optar por quedarse con el bien y pagar el saldo al liquidador para que con este</w:t>
      </w:r>
      <w:r w:rsidRPr="00045BB7">
        <w:rPr>
          <w:rFonts w:ascii="Times New Roman" w:hAnsi="Times New Roman" w:cs="Times New Roman"/>
          <w:sz w:val="28"/>
          <w:szCs w:val="28"/>
        </w:rPr>
        <w:t xml:space="preserve"> se </w:t>
      </w:r>
      <w:r w:rsidRPr="00045BB7">
        <w:rPr>
          <w:rFonts w:ascii="Times New Roman" w:hAnsi="Times New Roman" w:cs="Times New Roman"/>
          <w:sz w:val="28"/>
          <w:szCs w:val="28"/>
        </w:rPr>
        <w:t>efectué</w:t>
      </w:r>
      <w:r w:rsidRPr="00045BB7">
        <w:rPr>
          <w:rFonts w:ascii="Times New Roman" w:hAnsi="Times New Roman" w:cs="Times New Roman"/>
          <w:sz w:val="28"/>
          <w:szCs w:val="28"/>
        </w:rPr>
        <w:t xml:space="preserve"> el pago a los demás acreedores</w:t>
      </w:r>
      <w:r w:rsidRPr="00045BB7">
        <w:rPr>
          <w:rFonts w:ascii="Times New Roman" w:hAnsi="Times New Roman" w:cs="Times New Roman"/>
          <w:sz w:val="28"/>
          <w:szCs w:val="28"/>
        </w:rPr>
        <w:t xml:space="preserve"> y,</w:t>
      </w:r>
      <w:r w:rsidRPr="00045BB7">
        <w:rPr>
          <w:rFonts w:ascii="Times New Roman" w:hAnsi="Times New Roman" w:cs="Times New Roman"/>
          <w:sz w:val="28"/>
          <w:szCs w:val="28"/>
        </w:rPr>
        <w:t xml:space="preserve"> </w:t>
      </w:r>
      <w:r w:rsidRPr="00045BB7">
        <w:rPr>
          <w:rFonts w:ascii="Times New Roman" w:hAnsi="Times New Roman" w:cs="Times New Roman"/>
          <w:i/>
          <w:iCs/>
          <w:sz w:val="28"/>
          <w:szCs w:val="28"/>
        </w:rPr>
        <w:t xml:space="preserve">(iii) </w:t>
      </w:r>
      <w:r w:rsidRPr="00045BB7">
        <w:rPr>
          <w:rFonts w:ascii="Times New Roman" w:hAnsi="Times New Roman" w:cs="Times New Roman"/>
          <w:sz w:val="28"/>
          <w:szCs w:val="28"/>
        </w:rPr>
        <w:t xml:space="preserve">se le adjudica el bien al acreedor garantizado hasta la concurrencia del valor de la obligación garantizada y, el remanente se adjudica a los demás acreedores (esto, en los escenarios donde opera el pago </w:t>
      </w:r>
      <w:r w:rsidRPr="00045BB7">
        <w:rPr>
          <w:rFonts w:ascii="Times New Roman" w:hAnsi="Times New Roman" w:cs="Times New Roman"/>
          <w:sz w:val="28"/>
          <w:szCs w:val="28"/>
        </w:rPr>
        <w:t>por adjudicación)</w:t>
      </w:r>
      <w:r w:rsidRPr="00045BB7">
        <w:rPr>
          <w:rStyle w:val="Refdenotaalpie"/>
          <w:rFonts w:ascii="Times New Roman" w:hAnsi="Times New Roman" w:cs="Times New Roman"/>
          <w:sz w:val="28"/>
          <w:szCs w:val="28"/>
        </w:rPr>
        <w:footnoteReference w:id="135"/>
      </w:r>
      <w:r w:rsidRPr="00045BB7">
        <w:rPr>
          <w:rFonts w:ascii="Times New Roman" w:hAnsi="Times New Roman" w:cs="Times New Roman"/>
          <w:sz w:val="28"/>
          <w:szCs w:val="28"/>
        </w:rPr>
        <w:t>.</w:t>
      </w:r>
    </w:p>
    <w:p w:rsidR="004B11CB" w:rsidRPr="00045BB7" w:rsidRDefault="00045BB7" w:rsidP="004B11CB">
      <w:pPr>
        <w:tabs>
          <w:tab w:val="left" w:pos="0"/>
          <w:tab w:val="left" w:pos="567"/>
        </w:tabs>
        <w:ind w:right="51"/>
        <w:contextualSpacing/>
        <w:jc w:val="both"/>
        <w:rPr>
          <w:rFonts w:ascii="Times New Roman" w:hAnsi="Times New Roman" w:cs="Times New Roman"/>
          <w:sz w:val="28"/>
          <w:szCs w:val="28"/>
        </w:rPr>
      </w:pPr>
    </w:p>
    <w:p w:rsidR="004B11CB" w:rsidRPr="00045BB7" w:rsidRDefault="00045BB7" w:rsidP="004B11CB">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La </w:t>
      </w:r>
      <w:r w:rsidRPr="00045BB7">
        <w:rPr>
          <w:rFonts w:ascii="Times New Roman" w:hAnsi="Times New Roman" w:cs="Times New Roman"/>
          <w:i/>
          <w:iCs/>
          <w:sz w:val="28"/>
          <w:szCs w:val="28"/>
        </w:rPr>
        <w:t>segunda protección</w:t>
      </w:r>
      <w:r w:rsidRPr="00045BB7">
        <w:rPr>
          <w:rFonts w:ascii="Times New Roman" w:hAnsi="Times New Roman" w:cs="Times New Roman"/>
          <w:sz w:val="28"/>
          <w:szCs w:val="28"/>
        </w:rPr>
        <w:t xml:space="preserve"> deriva del artículo 55 de la Ley 546 de 1999</w:t>
      </w:r>
      <w:r w:rsidRPr="00045BB7">
        <w:rPr>
          <w:rStyle w:val="Refdenotaalpie"/>
          <w:rFonts w:ascii="Times New Roman" w:hAnsi="Times New Roman" w:cs="Times New Roman"/>
          <w:sz w:val="28"/>
          <w:szCs w:val="28"/>
        </w:rPr>
        <w:footnoteReference w:id="136"/>
      </w:r>
      <w:r w:rsidRPr="00045BB7">
        <w:rPr>
          <w:rFonts w:ascii="Times New Roman" w:hAnsi="Times New Roman" w:cs="Times New Roman"/>
          <w:sz w:val="28"/>
          <w:szCs w:val="28"/>
        </w:rPr>
        <w:t>, según el cual el Estado debe determinar mecanismos que aseguren que los dineros recibidos por las personas dedicadas a la construcción de inmuebles para vivienda, por</w:t>
      </w:r>
      <w:r w:rsidRPr="00045BB7">
        <w:rPr>
          <w:rFonts w:ascii="Times New Roman" w:hAnsi="Times New Roman" w:cs="Times New Roman"/>
          <w:sz w:val="28"/>
          <w:szCs w:val="28"/>
        </w:rPr>
        <w:t xml:space="preserve"> concepto de ventas y pago de cuotas iniciales, sean canalizados por medio de instrumentos que aseguren la adecuada inversión y destinación de los recursos del proyecto. </w:t>
      </w:r>
    </w:p>
    <w:p w:rsidR="004B11CB" w:rsidRPr="00045BB7" w:rsidRDefault="00045BB7" w:rsidP="004B11CB">
      <w:pPr>
        <w:rPr>
          <w:rFonts w:ascii="Times New Roman" w:hAnsi="Times New Roman" w:cs="Times New Roman"/>
          <w:sz w:val="28"/>
          <w:szCs w:val="28"/>
        </w:rPr>
      </w:pPr>
    </w:p>
    <w:p w:rsidR="004B11CB" w:rsidRPr="00045BB7" w:rsidRDefault="00045BB7" w:rsidP="00432FD8">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Hoy en día, las constructoras y promotoras de proyectos inmobiliarios trabajan de </w:t>
      </w:r>
      <w:r w:rsidRPr="00045BB7">
        <w:rPr>
          <w:rFonts w:ascii="Times New Roman" w:hAnsi="Times New Roman" w:cs="Times New Roman"/>
          <w:sz w:val="28"/>
          <w:szCs w:val="28"/>
        </w:rPr>
        <w:t>forma más frecuente con el modelo de venta sobre planos</w:t>
      </w:r>
      <w:r w:rsidRPr="00045BB7">
        <w:rPr>
          <w:rStyle w:val="Refdenotaalpie"/>
          <w:rFonts w:ascii="Times New Roman" w:hAnsi="Times New Roman" w:cs="Times New Roman"/>
          <w:sz w:val="28"/>
          <w:szCs w:val="28"/>
        </w:rPr>
        <w:footnoteReference w:id="137"/>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forma de negocio </w:t>
      </w:r>
      <w:r w:rsidRPr="00045BB7">
        <w:rPr>
          <w:rFonts w:ascii="Times New Roman" w:hAnsi="Times New Roman" w:cs="Times New Roman"/>
          <w:sz w:val="28"/>
          <w:szCs w:val="28"/>
        </w:rPr>
        <w:t xml:space="preserve">que </w:t>
      </w:r>
      <w:r w:rsidRPr="00045BB7">
        <w:rPr>
          <w:rFonts w:ascii="Times New Roman" w:hAnsi="Times New Roman" w:cs="Times New Roman"/>
          <w:sz w:val="28"/>
          <w:szCs w:val="28"/>
        </w:rPr>
        <w:t xml:space="preserve">conlleva riesgos para los futuros adquirientes, dado que desembolsan un monto de dinero considerable al constructor con la expectativa de que se logre ejecutar el proyecto ofrecido. En </w:t>
      </w:r>
      <w:r w:rsidRPr="00045BB7">
        <w:rPr>
          <w:rFonts w:ascii="Times New Roman" w:hAnsi="Times New Roman" w:cs="Times New Roman"/>
          <w:sz w:val="28"/>
          <w:szCs w:val="28"/>
        </w:rPr>
        <w:t>consecuencia</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por regla general, en este tipo de </w:t>
      </w:r>
      <w:r w:rsidRPr="00045BB7">
        <w:rPr>
          <w:rFonts w:ascii="Times New Roman" w:hAnsi="Times New Roman" w:cs="Times New Roman"/>
          <w:sz w:val="28"/>
          <w:szCs w:val="28"/>
        </w:rPr>
        <w:t>actividades comerciale</w:t>
      </w:r>
      <w:r w:rsidRPr="00045BB7">
        <w:rPr>
          <w:rFonts w:ascii="Times New Roman" w:hAnsi="Times New Roman" w:cs="Times New Roman"/>
          <w:sz w:val="28"/>
          <w:szCs w:val="28"/>
        </w:rPr>
        <w:t>s</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se </w:t>
      </w:r>
      <w:r w:rsidRPr="00045BB7">
        <w:rPr>
          <w:rFonts w:ascii="Times New Roman" w:hAnsi="Times New Roman" w:cs="Times New Roman"/>
          <w:sz w:val="28"/>
          <w:szCs w:val="28"/>
        </w:rPr>
        <w:t>acude</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a</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la fiducia mercantil</w:t>
      </w:r>
      <w:r w:rsidRPr="00045BB7">
        <w:rPr>
          <w:rStyle w:val="Refdenotaalpie"/>
          <w:rFonts w:ascii="Times New Roman" w:hAnsi="Times New Roman" w:cs="Times New Roman"/>
          <w:sz w:val="28"/>
          <w:szCs w:val="28"/>
        </w:rPr>
        <w:footnoteReference w:id="138"/>
      </w:r>
      <w:r w:rsidRPr="00045BB7">
        <w:rPr>
          <w:rFonts w:ascii="Times New Roman" w:hAnsi="Times New Roman" w:cs="Times New Roman"/>
          <w:sz w:val="28"/>
          <w:szCs w:val="28"/>
        </w:rPr>
        <w:t xml:space="preserve"> o al encargo fiduciario</w:t>
      </w:r>
      <w:r w:rsidRPr="00045BB7">
        <w:rPr>
          <w:rStyle w:val="Refdenotaalpie"/>
          <w:rFonts w:ascii="Times New Roman" w:hAnsi="Times New Roman" w:cs="Times New Roman"/>
          <w:sz w:val="28"/>
          <w:szCs w:val="28"/>
        </w:rPr>
        <w:footnoteReference w:id="139"/>
      </w:r>
      <w:r w:rsidRPr="00045BB7">
        <w:rPr>
          <w:rFonts w:ascii="Times New Roman" w:hAnsi="Times New Roman" w:cs="Times New Roman"/>
          <w:sz w:val="28"/>
          <w:szCs w:val="28"/>
        </w:rPr>
        <w:t xml:space="preserve"> para que un tercero brinde tranquilidad al inversor (adquiriente) y asegure que los recursos serán destinados para la labor convenida</w:t>
      </w:r>
      <w:r w:rsidRPr="00045BB7">
        <w:rPr>
          <w:rStyle w:val="Refdenotaalpie"/>
          <w:rFonts w:ascii="Times New Roman" w:hAnsi="Times New Roman" w:cs="Times New Roman"/>
          <w:sz w:val="28"/>
          <w:szCs w:val="28"/>
        </w:rPr>
        <w:footnoteReference w:id="140"/>
      </w:r>
      <w:r w:rsidRPr="00045BB7">
        <w:rPr>
          <w:rFonts w:ascii="Times New Roman" w:hAnsi="Times New Roman" w:cs="Times New Roman"/>
          <w:sz w:val="28"/>
          <w:szCs w:val="28"/>
        </w:rPr>
        <w:t xml:space="preserve">. En ese contexto, las fiduciarias asumen el compromiso legal </w:t>
      </w:r>
      <w:r w:rsidRPr="00045BB7">
        <w:rPr>
          <w:rFonts w:ascii="Times New Roman" w:hAnsi="Times New Roman" w:cs="Times New Roman"/>
          <w:sz w:val="28"/>
          <w:szCs w:val="28"/>
        </w:rPr>
        <w:t>de “realizar el análisis de los riesgos que involucra cada proyecto, así como contar con contratos fiduciarios adecuados al negocio específico y efectuar una correcta divulgación de información al público sobre el alcance y efectos de su participación”</w:t>
      </w:r>
      <w:r w:rsidRPr="00045BB7">
        <w:rPr>
          <w:rStyle w:val="Refdenotaalpie"/>
          <w:rFonts w:ascii="Times New Roman" w:hAnsi="Times New Roman" w:cs="Times New Roman"/>
          <w:sz w:val="28"/>
          <w:szCs w:val="28"/>
        </w:rPr>
        <w:footnoteReference w:id="141"/>
      </w:r>
      <w:r w:rsidRPr="00045BB7">
        <w:rPr>
          <w:rFonts w:ascii="Times New Roman" w:hAnsi="Times New Roman" w:cs="Times New Roman"/>
          <w:sz w:val="28"/>
          <w:szCs w:val="28"/>
        </w:rPr>
        <w:t xml:space="preserve">. </w:t>
      </w:r>
    </w:p>
    <w:p w:rsidR="004B11CB" w:rsidRPr="00045BB7" w:rsidRDefault="00045BB7" w:rsidP="004B11CB">
      <w:pPr>
        <w:pStyle w:val="Prrafodelista"/>
        <w:rPr>
          <w:rFonts w:ascii="Times New Roman" w:hAnsi="Times New Roman" w:cs="Times New Roman"/>
          <w:szCs w:val="28"/>
          <w:lang w:eastAsia="es-CO"/>
        </w:rPr>
      </w:pPr>
    </w:p>
    <w:p w:rsidR="004B11CB" w:rsidRPr="00045BB7" w:rsidRDefault="00045BB7" w:rsidP="004B11CB">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En esa línea, la Corte Suprema de Justicia, Sala de Casación Civil, ha señalado que el incumplimiento de cualquiera de los deberes que asume </w:t>
      </w:r>
      <w:r w:rsidRPr="00045BB7">
        <w:rPr>
          <w:rFonts w:ascii="Times New Roman" w:hAnsi="Times New Roman" w:cs="Times New Roman"/>
          <w:sz w:val="28"/>
          <w:szCs w:val="28"/>
        </w:rPr>
        <w:t xml:space="preserve">una </w:t>
      </w:r>
      <w:r w:rsidRPr="00045BB7">
        <w:rPr>
          <w:rFonts w:ascii="Times New Roman" w:hAnsi="Times New Roman" w:cs="Times New Roman"/>
          <w:sz w:val="28"/>
          <w:szCs w:val="28"/>
        </w:rPr>
        <w:t xml:space="preserve">sociedad fiduciaria genera responsabilidad frente a los compradores de vivienda. Esto, en concordancia con el </w:t>
      </w:r>
      <w:r w:rsidRPr="00045BB7">
        <w:rPr>
          <w:rFonts w:ascii="Times New Roman" w:hAnsi="Times New Roman" w:cs="Times New Roman"/>
          <w:sz w:val="28"/>
          <w:szCs w:val="28"/>
        </w:rPr>
        <w:t>artículo 1243 del Código de Comercio, según el cual las fiducias responden hasta por culpa leve en el cumplimiento de su gestión</w:t>
      </w:r>
      <w:r w:rsidRPr="00045BB7">
        <w:rPr>
          <w:rStyle w:val="Refdenotaalpie"/>
          <w:rFonts w:ascii="Times New Roman" w:hAnsi="Times New Roman" w:cs="Times New Roman"/>
          <w:sz w:val="28"/>
          <w:szCs w:val="28"/>
        </w:rPr>
        <w:footnoteReference w:id="142"/>
      </w:r>
      <w:r w:rsidRPr="00045BB7">
        <w:rPr>
          <w:rFonts w:ascii="Times New Roman" w:hAnsi="Times New Roman" w:cs="Times New Roman"/>
          <w:sz w:val="28"/>
          <w:szCs w:val="28"/>
        </w:rPr>
        <w:t>. Por ello, la Corte Suprema de Justicia ha determinado que cuando se demuestra que las fiduciarias transfieren el dinero de lo</w:t>
      </w:r>
      <w:r w:rsidRPr="00045BB7">
        <w:rPr>
          <w:rFonts w:ascii="Times New Roman" w:hAnsi="Times New Roman" w:cs="Times New Roman"/>
          <w:sz w:val="28"/>
          <w:szCs w:val="28"/>
        </w:rPr>
        <w:t>s compradores a los promotores/constructores de proyectos inmobiliarios sin estar cumplidas las condiciones pactadas para ello, (esto puede ser por ejemplo, que no se había llegado al punto de equilibro, que los constructores no eran solventes o no contaba</w:t>
      </w:r>
      <w:r w:rsidRPr="00045BB7">
        <w:rPr>
          <w:rFonts w:ascii="Times New Roman" w:hAnsi="Times New Roman" w:cs="Times New Roman"/>
          <w:sz w:val="28"/>
          <w:szCs w:val="28"/>
        </w:rPr>
        <w:t>n con carta de aprobación o preaprobación del crédito o no estaba completa la titularidad de los lotes de terreno), deben responderle a los compradores por los dineros que ya habían aportado</w:t>
      </w:r>
      <w:r w:rsidRPr="00045BB7">
        <w:rPr>
          <w:rStyle w:val="Refdenotaalpie"/>
          <w:rFonts w:ascii="Times New Roman" w:hAnsi="Times New Roman" w:cs="Times New Roman"/>
          <w:sz w:val="28"/>
          <w:szCs w:val="28"/>
        </w:rPr>
        <w:footnoteReference w:id="143"/>
      </w:r>
      <w:r w:rsidRPr="00045BB7">
        <w:rPr>
          <w:rFonts w:ascii="Times New Roman" w:hAnsi="Times New Roman" w:cs="Times New Roman"/>
          <w:sz w:val="28"/>
          <w:szCs w:val="28"/>
        </w:rPr>
        <w:t>.</w:t>
      </w:r>
    </w:p>
    <w:p w:rsidR="004B11CB" w:rsidRPr="00045BB7" w:rsidRDefault="00045BB7" w:rsidP="004B11CB">
      <w:pPr>
        <w:pStyle w:val="Prrafodelista"/>
        <w:rPr>
          <w:rFonts w:ascii="Times New Roman" w:hAnsi="Times New Roman" w:cs="Times New Roman"/>
          <w:szCs w:val="28"/>
          <w:lang w:eastAsia="es-CO"/>
        </w:rPr>
      </w:pPr>
    </w:p>
    <w:p w:rsidR="004B11CB" w:rsidRPr="00045BB7" w:rsidRDefault="00045BB7" w:rsidP="004B11CB">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En suma, el ordenamiento jurídico contempla dos tipos de prote</w:t>
      </w:r>
      <w:r w:rsidRPr="00045BB7">
        <w:rPr>
          <w:rFonts w:ascii="Times New Roman" w:hAnsi="Times New Roman" w:cs="Times New Roman"/>
          <w:sz w:val="28"/>
          <w:szCs w:val="28"/>
        </w:rPr>
        <w:t xml:space="preserve">cción a favor de los compradores de vivienda que resultan relevantes en los escenarios en que la empresa constructora se vea inmersa en un proceso de liquidación. La </w:t>
      </w:r>
      <w:r w:rsidRPr="00045BB7">
        <w:rPr>
          <w:rFonts w:ascii="Times New Roman" w:hAnsi="Times New Roman" w:cs="Times New Roman"/>
          <w:i/>
          <w:iCs/>
          <w:sz w:val="28"/>
          <w:szCs w:val="28"/>
        </w:rPr>
        <w:t>primera</w:t>
      </w:r>
      <w:r w:rsidRPr="00045BB7">
        <w:rPr>
          <w:rFonts w:ascii="Times New Roman" w:hAnsi="Times New Roman" w:cs="Times New Roman"/>
          <w:sz w:val="28"/>
          <w:szCs w:val="28"/>
        </w:rPr>
        <w:t>, emana de la Ley 388 de 1997 y tiene desarrollo directo en la Ley de Insolvencia y propende principalmente porque se cumpla el deber de hacer, esto es, que se otorgue escritura pública de compraventa y se transfiera el bien inmueble, en los casos en que e</w:t>
      </w:r>
      <w:r w:rsidRPr="00045BB7">
        <w:rPr>
          <w:rFonts w:ascii="Times New Roman" w:hAnsi="Times New Roman" w:cs="Times New Roman"/>
          <w:sz w:val="28"/>
          <w:szCs w:val="28"/>
        </w:rPr>
        <w:t>sto sea posible por el estado de construcción del bien. Si esto no es posible, se busca que los dineros aportados sean efectivamente devueltos y, por ello, los adquirientes están en una categoría privilegiada, solo por debajo de los créditos de primera cla</w:t>
      </w:r>
      <w:r w:rsidRPr="00045BB7">
        <w:rPr>
          <w:rFonts w:ascii="Times New Roman" w:hAnsi="Times New Roman" w:cs="Times New Roman"/>
          <w:sz w:val="28"/>
          <w:szCs w:val="28"/>
        </w:rPr>
        <w:t xml:space="preserve">se. La </w:t>
      </w:r>
      <w:r w:rsidRPr="00045BB7">
        <w:rPr>
          <w:rFonts w:ascii="Times New Roman" w:hAnsi="Times New Roman" w:cs="Times New Roman"/>
          <w:i/>
          <w:iCs/>
          <w:sz w:val="28"/>
          <w:szCs w:val="28"/>
        </w:rPr>
        <w:t xml:space="preserve">segunda </w:t>
      </w:r>
      <w:r w:rsidRPr="00045BB7">
        <w:rPr>
          <w:rFonts w:ascii="Times New Roman" w:hAnsi="Times New Roman" w:cs="Times New Roman"/>
          <w:sz w:val="28"/>
          <w:szCs w:val="28"/>
        </w:rPr>
        <w:t>protección, si bien no deriva directamente del régimen de insolvencia, sí ampara de manera efectiva los derechos de los compradores en tanto en virtud de ella sus dineros pueden ser recuperados a cargo de la fiduciaria, siempre y cuando se d</w:t>
      </w:r>
      <w:r w:rsidRPr="00045BB7">
        <w:rPr>
          <w:rFonts w:ascii="Times New Roman" w:hAnsi="Times New Roman" w:cs="Times New Roman"/>
          <w:sz w:val="28"/>
          <w:szCs w:val="28"/>
        </w:rPr>
        <w:t xml:space="preserve">emuestre su falta de diligencia (culpa leve) al entregar los recursos a un proyecto que no arribó a buen término, situación que generalmente se materializa cuando no hay solvencia o el proyecto inmobiliario no alcanza el punto de equilibrio. </w:t>
      </w:r>
    </w:p>
    <w:p w:rsidR="004B11CB" w:rsidRPr="00045BB7" w:rsidRDefault="00045BB7" w:rsidP="004B11CB">
      <w:pPr>
        <w:tabs>
          <w:tab w:val="left" w:pos="0"/>
          <w:tab w:val="left" w:pos="567"/>
        </w:tabs>
        <w:ind w:right="51"/>
        <w:contextualSpacing/>
        <w:jc w:val="both"/>
        <w:rPr>
          <w:rFonts w:ascii="Times New Roman" w:hAnsi="Times New Roman" w:cs="Times New Roman"/>
          <w:sz w:val="28"/>
          <w:szCs w:val="28"/>
        </w:rPr>
      </w:pPr>
    </w:p>
    <w:p w:rsidR="004B11CB" w:rsidRPr="00045BB7" w:rsidRDefault="00045BB7" w:rsidP="004B11CB">
      <w:pPr>
        <w:tabs>
          <w:tab w:val="left" w:pos="0"/>
          <w:tab w:val="left" w:pos="567"/>
        </w:tabs>
        <w:ind w:right="51"/>
        <w:contextualSpacing/>
        <w:jc w:val="both"/>
        <w:rPr>
          <w:rFonts w:ascii="Times New Roman" w:hAnsi="Times New Roman" w:cs="Times New Roman"/>
          <w:i/>
          <w:iCs/>
          <w:sz w:val="28"/>
          <w:szCs w:val="28"/>
          <w:u w:val="single"/>
        </w:rPr>
      </w:pPr>
      <w:r w:rsidRPr="00045BB7">
        <w:rPr>
          <w:rFonts w:ascii="Times New Roman" w:hAnsi="Times New Roman" w:cs="Times New Roman"/>
          <w:i/>
          <w:iCs/>
          <w:sz w:val="28"/>
          <w:szCs w:val="28"/>
          <w:u w:val="single"/>
        </w:rPr>
        <w:t>Protecciones</w:t>
      </w:r>
      <w:r w:rsidRPr="00045BB7">
        <w:rPr>
          <w:rFonts w:ascii="Times New Roman" w:hAnsi="Times New Roman" w:cs="Times New Roman"/>
          <w:i/>
          <w:iCs/>
          <w:sz w:val="28"/>
          <w:szCs w:val="28"/>
          <w:u w:val="single"/>
        </w:rPr>
        <w:t xml:space="preserve"> diferenciadas en razón a la naturaleza de las viviendas de interés social (VIS) y prioritario (VIP)</w:t>
      </w:r>
    </w:p>
    <w:p w:rsidR="004B11CB" w:rsidRPr="00045BB7" w:rsidRDefault="00045BB7" w:rsidP="004B11CB">
      <w:pPr>
        <w:tabs>
          <w:tab w:val="left" w:pos="0"/>
          <w:tab w:val="left" w:pos="567"/>
        </w:tabs>
        <w:ind w:right="51"/>
        <w:contextualSpacing/>
        <w:jc w:val="both"/>
        <w:rPr>
          <w:rFonts w:ascii="Times New Roman" w:hAnsi="Times New Roman" w:cs="Times New Roman"/>
          <w:sz w:val="28"/>
          <w:szCs w:val="28"/>
        </w:rPr>
      </w:pPr>
    </w:p>
    <w:p w:rsidR="004B11CB" w:rsidRPr="00045BB7" w:rsidRDefault="00045BB7" w:rsidP="004B11CB">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En este punto, se destaca que el accionante refiere que el impacto y los efectos de las normas atacadas son “aún más relevante[s] en los casos de operacio</w:t>
      </w:r>
      <w:r w:rsidRPr="00045BB7">
        <w:rPr>
          <w:rFonts w:ascii="Times New Roman" w:hAnsi="Times New Roman" w:cs="Times New Roman"/>
          <w:sz w:val="28"/>
          <w:szCs w:val="28"/>
        </w:rPr>
        <w:t xml:space="preserve">nes contractuales encaminadas a la compra de vivienda de interés social [sic] quienes suelen ser personas con escasos recursos económicos que comprometen todo su patrimonio para adquirirla”. </w:t>
      </w:r>
    </w:p>
    <w:p w:rsidR="004B11CB" w:rsidRPr="00045BB7" w:rsidRDefault="00045BB7" w:rsidP="004B11CB">
      <w:pPr>
        <w:tabs>
          <w:tab w:val="left" w:pos="0"/>
          <w:tab w:val="left" w:pos="567"/>
        </w:tabs>
        <w:ind w:right="51"/>
        <w:contextualSpacing/>
        <w:jc w:val="both"/>
        <w:rPr>
          <w:rFonts w:ascii="Times New Roman" w:hAnsi="Times New Roman" w:cs="Times New Roman"/>
          <w:sz w:val="28"/>
          <w:szCs w:val="28"/>
        </w:rPr>
      </w:pPr>
    </w:p>
    <w:p w:rsidR="004B11CB" w:rsidRPr="00045BB7" w:rsidRDefault="00045BB7" w:rsidP="0067596A">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Al respecto, la Sala Plena encuentra que</w:t>
      </w:r>
      <w:r w:rsidRPr="00045BB7">
        <w:rPr>
          <w:rFonts w:ascii="Times New Roman" w:hAnsi="Times New Roman" w:cs="Times New Roman"/>
          <w:sz w:val="28"/>
          <w:szCs w:val="28"/>
        </w:rPr>
        <w:t xml:space="preserve"> el demandante omite qu</w:t>
      </w:r>
      <w:r w:rsidRPr="00045BB7">
        <w:rPr>
          <w:rFonts w:ascii="Times New Roman" w:hAnsi="Times New Roman" w:cs="Times New Roman"/>
          <w:sz w:val="28"/>
          <w:szCs w:val="28"/>
        </w:rPr>
        <w:t>e</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también existen regulaciones que propenden por la defensa de los intereses de los adquirientes de este tipo de viviendas. </w:t>
      </w:r>
      <w:r w:rsidRPr="00045BB7">
        <w:rPr>
          <w:rFonts w:ascii="Times New Roman" w:hAnsi="Times New Roman" w:cs="Times New Roman"/>
          <w:sz w:val="28"/>
          <w:szCs w:val="28"/>
        </w:rPr>
        <w:t>En ese sentido, el artículo 19 de la Ley 1537 de 2012</w:t>
      </w:r>
      <w:r w:rsidRPr="00045BB7">
        <w:rPr>
          <w:rStyle w:val="Refdenotaalpie"/>
          <w:rFonts w:ascii="Times New Roman" w:hAnsi="Times New Roman" w:cs="Times New Roman"/>
          <w:sz w:val="28"/>
          <w:szCs w:val="28"/>
        </w:rPr>
        <w:footnoteReference w:id="144"/>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contempla una protección para los inmuebles que se desarrollen </w:t>
      </w:r>
      <w:r w:rsidRPr="00045BB7">
        <w:rPr>
          <w:rFonts w:ascii="Times New Roman" w:hAnsi="Times New Roman" w:cs="Times New Roman"/>
          <w:sz w:val="28"/>
          <w:szCs w:val="28"/>
        </w:rPr>
        <w:t>en virtud de e</w:t>
      </w:r>
      <w:r w:rsidRPr="00045BB7">
        <w:rPr>
          <w:rFonts w:ascii="Times New Roman" w:hAnsi="Times New Roman" w:cs="Times New Roman"/>
          <w:sz w:val="28"/>
          <w:szCs w:val="28"/>
        </w:rPr>
        <w:t xml:space="preserve">squemas de financiación de vivienda de interés social y prioritario en los siguientes términos: </w:t>
      </w:r>
    </w:p>
    <w:p w:rsidR="004B11CB" w:rsidRPr="00045BB7" w:rsidRDefault="00045BB7" w:rsidP="004B11CB">
      <w:pPr>
        <w:pStyle w:val="Prrafodelista"/>
        <w:rPr>
          <w:rFonts w:ascii="Times New Roman" w:hAnsi="Times New Roman" w:cs="Times New Roman"/>
          <w:szCs w:val="28"/>
          <w:lang w:eastAsia="es-CO"/>
        </w:rPr>
      </w:pPr>
    </w:p>
    <w:p w:rsidR="004B11CB" w:rsidRPr="00045BB7" w:rsidRDefault="00045BB7" w:rsidP="0001184D">
      <w:pPr>
        <w:tabs>
          <w:tab w:val="left" w:pos="0"/>
          <w:tab w:val="left" w:pos="567"/>
        </w:tabs>
        <w:ind w:left="567" w:right="616"/>
        <w:contextualSpacing/>
        <w:jc w:val="both"/>
        <w:rPr>
          <w:rFonts w:ascii="Times New Roman" w:hAnsi="Times New Roman" w:cs="Times New Roman"/>
          <w:sz w:val="28"/>
        </w:rPr>
      </w:pPr>
      <w:r w:rsidRPr="00045BB7">
        <w:rPr>
          <w:rFonts w:ascii="Times New Roman" w:hAnsi="Times New Roman" w:cs="Times New Roman"/>
          <w:sz w:val="28"/>
        </w:rPr>
        <w:t>“En ningún caso la garantía de los derechos fiduciarios facultará al establecimiento de crédito a obtener ningún derecho real sobre los inmuebles fideicomitid</w:t>
      </w:r>
      <w:r w:rsidRPr="00045BB7">
        <w:rPr>
          <w:rFonts w:ascii="Times New Roman" w:hAnsi="Times New Roman" w:cs="Times New Roman"/>
          <w:sz w:val="28"/>
        </w:rPr>
        <w:t xml:space="preserve">os para el respectivo proyecto. La garantía consistirá en el derecho del </w:t>
      </w:r>
      <w:r w:rsidRPr="00045BB7">
        <w:rPr>
          <w:rFonts w:ascii="Times New Roman" w:hAnsi="Times New Roman" w:cs="Times New Roman"/>
          <w:sz w:val="28"/>
          <w:shd w:val="clear" w:color="auto" w:fill="FFFFFF"/>
        </w:rPr>
        <w:t>establecimiento</w:t>
      </w:r>
      <w:r w:rsidRPr="00045BB7">
        <w:rPr>
          <w:rFonts w:ascii="Times New Roman" w:hAnsi="Times New Roman" w:cs="Times New Roman"/>
          <w:sz w:val="28"/>
        </w:rPr>
        <w:t xml:space="preserve"> de crédito para que, en caso de incumplimiento del constructor, pueda asumir y concluir directamente o a través de terceros, el proyecto financiado, de acuerdo con las</w:t>
      </w:r>
      <w:r w:rsidRPr="00045BB7">
        <w:rPr>
          <w:rFonts w:ascii="Times New Roman" w:hAnsi="Times New Roman" w:cs="Times New Roman"/>
          <w:sz w:val="28"/>
        </w:rPr>
        <w:t xml:space="preserve"> condiciones que establezca el Gobierno Nacional”. </w:t>
      </w:r>
    </w:p>
    <w:p w:rsidR="004B11CB" w:rsidRPr="00045BB7" w:rsidRDefault="00045BB7" w:rsidP="004B11CB">
      <w:pPr>
        <w:tabs>
          <w:tab w:val="left" w:pos="0"/>
          <w:tab w:val="left" w:pos="567"/>
        </w:tabs>
        <w:ind w:right="51"/>
        <w:contextualSpacing/>
        <w:jc w:val="both"/>
        <w:rPr>
          <w:rFonts w:ascii="Times New Roman" w:hAnsi="Times New Roman" w:cs="Times New Roman"/>
          <w:sz w:val="28"/>
          <w:szCs w:val="28"/>
        </w:rPr>
      </w:pPr>
    </w:p>
    <w:p w:rsidR="004B11CB" w:rsidRPr="00045BB7" w:rsidRDefault="00045BB7" w:rsidP="004B11CB">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 De esta forma, </w:t>
      </w:r>
      <w:r w:rsidRPr="00045BB7">
        <w:rPr>
          <w:rFonts w:ascii="Times New Roman" w:hAnsi="Times New Roman" w:cs="Times New Roman"/>
          <w:sz w:val="28"/>
          <w:szCs w:val="28"/>
        </w:rPr>
        <w:t xml:space="preserve">carece de certeza </w:t>
      </w:r>
      <w:r w:rsidRPr="00045BB7">
        <w:rPr>
          <w:rFonts w:ascii="Times New Roman" w:hAnsi="Times New Roman" w:cs="Times New Roman"/>
          <w:sz w:val="28"/>
          <w:szCs w:val="28"/>
        </w:rPr>
        <w:t xml:space="preserve">la </w:t>
      </w:r>
      <w:r w:rsidRPr="00045BB7">
        <w:rPr>
          <w:rFonts w:ascii="Times New Roman" w:hAnsi="Times New Roman" w:cs="Times New Roman"/>
          <w:sz w:val="28"/>
          <w:szCs w:val="28"/>
        </w:rPr>
        <w:t>argumentación</w:t>
      </w:r>
      <w:r w:rsidRPr="00045BB7">
        <w:rPr>
          <w:rFonts w:ascii="Times New Roman" w:hAnsi="Times New Roman" w:cs="Times New Roman"/>
          <w:sz w:val="28"/>
          <w:szCs w:val="28"/>
        </w:rPr>
        <w:t xml:space="preserve"> del accionante a partir de la cual plantea un escenario de regresividad y desprotección puesto que la obligación del Estado en relación con el derecho a la vivienda se perfecciona en </w:t>
      </w:r>
      <w:r w:rsidRPr="00045BB7">
        <w:rPr>
          <w:rFonts w:ascii="Times New Roman" w:hAnsi="Times New Roman" w:cs="Times New Roman"/>
          <w:sz w:val="28"/>
          <w:szCs w:val="28"/>
        </w:rPr>
        <w:t>acciones</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de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 xml:space="preserve">prevención del riesgo que conlleva cualquier tipo de actividad económica y, </w:t>
      </w:r>
      <w:r w:rsidRPr="00045BB7">
        <w:rPr>
          <w:rFonts w:ascii="Times New Roman" w:hAnsi="Times New Roman" w:cs="Times New Roman"/>
          <w:i/>
          <w:iCs/>
          <w:sz w:val="28"/>
          <w:szCs w:val="28"/>
        </w:rPr>
        <w:t>(ii)</w:t>
      </w:r>
      <w:r w:rsidRPr="00045BB7">
        <w:rPr>
          <w:rFonts w:ascii="Times New Roman" w:hAnsi="Times New Roman" w:cs="Times New Roman"/>
          <w:sz w:val="28"/>
          <w:szCs w:val="28"/>
        </w:rPr>
        <w:t xml:space="preserve"> mitigación de los perjuicios que puedan surgir cuando a pesar de la prevención y</w:t>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por la naturaleza de las transacciones económicas, se materialice un escenario de riesgo, com</w:t>
      </w:r>
      <w:r w:rsidRPr="00045BB7">
        <w:rPr>
          <w:rFonts w:ascii="Times New Roman" w:hAnsi="Times New Roman" w:cs="Times New Roman"/>
          <w:sz w:val="28"/>
          <w:szCs w:val="28"/>
        </w:rPr>
        <w:t xml:space="preserve">o lo es la liquidación de la empresa constructora. </w:t>
      </w:r>
    </w:p>
    <w:p w:rsidR="00EE4D01" w:rsidRPr="00045BB7" w:rsidRDefault="00045BB7" w:rsidP="00EE4D01">
      <w:pPr>
        <w:pStyle w:val="Prrafodelista"/>
        <w:rPr>
          <w:rFonts w:ascii="Times New Roman" w:hAnsi="Times New Roman" w:cs="Times New Roman"/>
          <w:szCs w:val="28"/>
          <w:lang w:eastAsia="es-CO"/>
        </w:rPr>
      </w:pPr>
    </w:p>
    <w:p w:rsidR="00774DAF" w:rsidRPr="00045BB7" w:rsidRDefault="00045BB7" w:rsidP="00D0139E">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En ese marco, la protección de los adquirientes de vivienda no proviene únicamente de las normas contempladas en la Ley de Garantías Mobiliarias, sino de la Ley de Insolvencia y de las normas que regulan</w:t>
      </w:r>
      <w:r w:rsidRPr="00045BB7">
        <w:rPr>
          <w:rFonts w:ascii="Times New Roman" w:hAnsi="Times New Roman" w:cs="Times New Roman"/>
          <w:sz w:val="28"/>
          <w:szCs w:val="28"/>
        </w:rPr>
        <w:t xml:space="preserve"> la actividad de las fiduciarias, entre otras. Razón por la cual sus garantías o la presunta falta de ellas no pueden analizarse de forma aislada y descontextualizada.</w:t>
      </w:r>
    </w:p>
    <w:p w:rsidR="00F36986" w:rsidRPr="00045BB7" w:rsidRDefault="00045BB7" w:rsidP="000940E7">
      <w:pPr>
        <w:pStyle w:val="Prrafodelista"/>
        <w:rPr>
          <w:rFonts w:ascii="Times New Roman" w:hAnsi="Times New Roman" w:cs="Times New Roman"/>
          <w:szCs w:val="28"/>
          <w:lang w:eastAsia="es-CO"/>
        </w:rPr>
      </w:pPr>
    </w:p>
    <w:p w:rsidR="00F36986" w:rsidRPr="00045BB7" w:rsidRDefault="00045BB7" w:rsidP="00D0139E">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Ahora bien, la Sala resalta que a</w:t>
      </w:r>
      <w:r w:rsidRPr="00045BB7">
        <w:rPr>
          <w:rFonts w:ascii="Times New Roman" w:hAnsi="Times New Roman" w:cs="Times New Roman"/>
          <w:sz w:val="28"/>
          <w:szCs w:val="28"/>
        </w:rPr>
        <w:t xml:space="preserve">lgunos intervinientes </w:t>
      </w:r>
      <w:r w:rsidRPr="00045BB7">
        <w:rPr>
          <w:rFonts w:ascii="Times New Roman" w:hAnsi="Times New Roman" w:cs="Times New Roman"/>
          <w:sz w:val="28"/>
          <w:szCs w:val="28"/>
        </w:rPr>
        <w:t>afirman</w:t>
      </w:r>
      <w:r w:rsidRPr="00045BB7">
        <w:rPr>
          <w:rFonts w:ascii="Times New Roman" w:hAnsi="Times New Roman" w:cs="Times New Roman"/>
          <w:sz w:val="28"/>
          <w:szCs w:val="28"/>
        </w:rPr>
        <w:t xml:space="preserve"> que la demanda </w:t>
      </w:r>
      <w:r w:rsidRPr="00045BB7">
        <w:rPr>
          <w:rFonts w:ascii="Times New Roman" w:hAnsi="Times New Roman" w:cs="Times New Roman"/>
          <w:sz w:val="28"/>
          <w:szCs w:val="28"/>
        </w:rPr>
        <w:t>carece d</w:t>
      </w:r>
      <w:r w:rsidRPr="00045BB7">
        <w:rPr>
          <w:rFonts w:ascii="Times New Roman" w:hAnsi="Times New Roman" w:cs="Times New Roman"/>
          <w:sz w:val="28"/>
          <w:szCs w:val="28"/>
        </w:rPr>
        <w:t xml:space="preserve">e certeza ya que </w:t>
      </w:r>
      <w:r w:rsidRPr="00045BB7">
        <w:rPr>
          <w:rFonts w:ascii="Times New Roman" w:hAnsi="Times New Roman" w:cs="Times New Roman"/>
          <w:sz w:val="28"/>
          <w:szCs w:val="28"/>
        </w:rPr>
        <w:t>no explica por qué el supuesto trato diferenciado a favor de los acreedores con garantía real es</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injustificado frente a los acreedores promitentes compradores de vivienda, en tanto no es irrazonable que el Legislador haya previsto un régim</w:t>
      </w:r>
      <w:r w:rsidRPr="00045BB7">
        <w:rPr>
          <w:rFonts w:ascii="Times New Roman" w:hAnsi="Times New Roman" w:cs="Times New Roman"/>
          <w:sz w:val="28"/>
          <w:szCs w:val="28"/>
        </w:rPr>
        <w:t>en especial para los acreedores garantizados con bienes no necesarios para la actividad económica del deudor. Este argumento no responde a una análisis de falencias en el concepto de la violación, sino que da cuenta de una razón sustantiva que se sustenta,</w:t>
      </w:r>
      <w:r w:rsidRPr="00045BB7">
        <w:rPr>
          <w:rFonts w:ascii="Times New Roman" w:hAnsi="Times New Roman" w:cs="Times New Roman"/>
          <w:sz w:val="28"/>
          <w:szCs w:val="28"/>
        </w:rPr>
        <w:t xml:space="preserve"> al parecer, en la deferencia que esta Corte le ha reconocido al margen de configuración normativa que tiene el Legislador en este tipo de asuntos. En tal </w:t>
      </w:r>
      <w:r w:rsidRPr="00045BB7">
        <w:rPr>
          <w:rFonts w:ascii="Times New Roman" w:hAnsi="Times New Roman" w:cs="Times New Roman"/>
          <w:sz w:val="28"/>
          <w:szCs w:val="28"/>
        </w:rPr>
        <w:t>medida</w:t>
      </w:r>
      <w:r w:rsidRPr="00045BB7">
        <w:rPr>
          <w:rFonts w:ascii="Times New Roman" w:hAnsi="Times New Roman" w:cs="Times New Roman"/>
          <w:sz w:val="28"/>
          <w:szCs w:val="28"/>
        </w:rPr>
        <w:t xml:space="preserve">, no es posible desvirtuar la aptitud del cargo a partir de esa afirmación. </w:t>
      </w:r>
    </w:p>
    <w:p w:rsidR="00AA36B2" w:rsidRPr="00045BB7" w:rsidRDefault="00045BB7" w:rsidP="00AA36B2">
      <w:pPr>
        <w:tabs>
          <w:tab w:val="left" w:pos="0"/>
          <w:tab w:val="left" w:pos="567"/>
        </w:tabs>
        <w:ind w:right="51"/>
        <w:contextualSpacing/>
        <w:jc w:val="both"/>
        <w:rPr>
          <w:rFonts w:ascii="Times New Roman" w:hAnsi="Times New Roman" w:cs="Times New Roman"/>
          <w:sz w:val="28"/>
          <w:szCs w:val="28"/>
        </w:rPr>
      </w:pPr>
    </w:p>
    <w:p w:rsidR="00C10898" w:rsidRPr="00045BB7" w:rsidRDefault="00045BB7" w:rsidP="00A276DE">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i/>
          <w:iCs/>
          <w:sz w:val="28"/>
          <w:szCs w:val="28"/>
        </w:rPr>
        <w:t>Especificidad.</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La falta de certeza del cargo también afecta su especificidad porque al estar fundamentado en una interpretación errónea y descontextualizada de las normas acusadas, no es posible concluir que el accionante dio cuenta </w:t>
      </w:r>
      <w:r w:rsidRPr="00045BB7">
        <w:rPr>
          <w:rFonts w:ascii="Times New Roman" w:hAnsi="Times New Roman" w:cs="Times New Roman"/>
          <w:sz w:val="28"/>
          <w:szCs w:val="28"/>
        </w:rPr>
        <w:t>de una oposición</w:t>
      </w:r>
      <w:r w:rsidRPr="00045BB7">
        <w:rPr>
          <w:rFonts w:ascii="Times New Roman" w:hAnsi="Times New Roman" w:cs="Times New Roman"/>
          <w:sz w:val="28"/>
          <w:szCs w:val="28"/>
        </w:rPr>
        <w:t xml:space="preserve"> que contradiga de for</w:t>
      </w:r>
      <w:r w:rsidRPr="00045BB7">
        <w:rPr>
          <w:rFonts w:ascii="Times New Roman" w:hAnsi="Times New Roman" w:cs="Times New Roman"/>
          <w:sz w:val="28"/>
          <w:szCs w:val="28"/>
        </w:rPr>
        <w:t>ma verificable y objetiva</w:t>
      </w:r>
      <w:r w:rsidRPr="00045BB7">
        <w:rPr>
          <w:rFonts w:ascii="Times New Roman" w:hAnsi="Times New Roman" w:cs="Times New Roman"/>
          <w:sz w:val="28"/>
          <w:szCs w:val="28"/>
        </w:rPr>
        <w:t xml:space="preserve"> las expresiones demandadas y los artículos 51 de la Constitución Política y 11 del PIDESC</w:t>
      </w:r>
      <w:r w:rsidRPr="00045BB7">
        <w:rPr>
          <w:rFonts w:ascii="Times New Roman" w:hAnsi="Times New Roman" w:cs="Times New Roman"/>
          <w:sz w:val="28"/>
          <w:szCs w:val="28"/>
        </w:rPr>
        <w:t xml:space="preserve">. En esa medida, el demandante no expuso las razones por las cuales </w:t>
      </w:r>
      <w:r w:rsidRPr="00045BB7">
        <w:rPr>
          <w:rFonts w:ascii="Times New Roman" w:hAnsi="Times New Roman" w:cs="Times New Roman"/>
          <w:sz w:val="28"/>
          <w:szCs w:val="28"/>
        </w:rPr>
        <w:t xml:space="preserve">la preferencia que tiene el acreedor con garantía real, tanto </w:t>
      </w:r>
      <w:r w:rsidRPr="00045BB7">
        <w:rPr>
          <w:rFonts w:ascii="Times New Roman" w:hAnsi="Times New Roman" w:cs="Times New Roman"/>
          <w:sz w:val="28"/>
          <w:szCs w:val="28"/>
        </w:rPr>
        <w:t xml:space="preserve">en </w:t>
      </w:r>
      <w:r w:rsidRPr="00045BB7">
        <w:rPr>
          <w:rFonts w:ascii="Times New Roman" w:hAnsi="Times New Roman" w:cs="Times New Roman"/>
          <w:sz w:val="28"/>
          <w:szCs w:val="28"/>
        </w:rPr>
        <w:t>el proce</w:t>
      </w:r>
      <w:r w:rsidRPr="00045BB7">
        <w:rPr>
          <w:rFonts w:ascii="Times New Roman" w:hAnsi="Times New Roman" w:cs="Times New Roman"/>
          <w:sz w:val="28"/>
          <w:szCs w:val="28"/>
        </w:rPr>
        <w:t xml:space="preserve">so de reorganización como en la validación judicial de acuerdos extrajudiciales y en el escenario de liquidación </w:t>
      </w:r>
      <w:r w:rsidRPr="00045BB7">
        <w:rPr>
          <w:rFonts w:ascii="Times New Roman" w:hAnsi="Times New Roman" w:cs="Times New Roman"/>
          <w:sz w:val="28"/>
          <w:szCs w:val="28"/>
        </w:rPr>
        <w:t>son contrarias al derecho a la vivienda</w:t>
      </w:r>
      <w:r w:rsidRPr="00045BB7">
        <w:rPr>
          <w:rFonts w:ascii="Times New Roman" w:hAnsi="Times New Roman" w:cs="Times New Roman"/>
          <w:sz w:val="28"/>
          <w:szCs w:val="28"/>
        </w:rPr>
        <w:t xml:space="preserve"> e implican un retroceso frente a esta garantía. </w:t>
      </w:r>
      <w:r w:rsidRPr="00045BB7">
        <w:rPr>
          <w:rFonts w:ascii="Times New Roman" w:hAnsi="Times New Roman" w:cs="Times New Roman"/>
          <w:sz w:val="28"/>
          <w:szCs w:val="28"/>
        </w:rPr>
        <w:t>Esto, máxime cuando el demandante denuncia indistintame</w:t>
      </w:r>
      <w:r w:rsidRPr="00045BB7">
        <w:rPr>
          <w:rFonts w:ascii="Times New Roman" w:hAnsi="Times New Roman" w:cs="Times New Roman"/>
          <w:sz w:val="28"/>
          <w:szCs w:val="28"/>
        </w:rPr>
        <w:t xml:space="preserve">nte los tres artículos pese a que todos tienen contenidos normativos distintos y las garantías de los promitentes compradores difieren en el escenario de reorganización y liquidación. </w:t>
      </w:r>
    </w:p>
    <w:p w:rsidR="00072EE8" w:rsidRPr="00045BB7" w:rsidRDefault="00045BB7" w:rsidP="00072EE8">
      <w:pPr>
        <w:tabs>
          <w:tab w:val="left" w:pos="0"/>
          <w:tab w:val="left" w:pos="567"/>
        </w:tabs>
        <w:ind w:right="51"/>
        <w:contextualSpacing/>
        <w:jc w:val="both"/>
        <w:rPr>
          <w:rFonts w:ascii="Times New Roman" w:hAnsi="Times New Roman" w:cs="Times New Roman"/>
          <w:sz w:val="28"/>
          <w:szCs w:val="28"/>
        </w:rPr>
      </w:pPr>
    </w:p>
    <w:p w:rsidR="00C10898" w:rsidRPr="00045BB7" w:rsidRDefault="00045BB7" w:rsidP="00A1064D">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Aunado a lo anterior, le asiste razón a los intervinientes que señalan</w:t>
      </w:r>
      <w:r w:rsidRPr="00045BB7">
        <w:rPr>
          <w:rFonts w:ascii="Times New Roman" w:hAnsi="Times New Roman" w:cs="Times New Roman"/>
          <w:sz w:val="28"/>
          <w:szCs w:val="28"/>
        </w:rPr>
        <w:t xml:space="preserve"> que el actor generaliza los sujetos que se verían afectados por las normas</w:t>
      </w:r>
      <w:r w:rsidRPr="00045BB7">
        <w:rPr>
          <w:rFonts w:ascii="Times New Roman" w:hAnsi="Times New Roman" w:cs="Times New Roman"/>
          <w:sz w:val="28"/>
          <w:szCs w:val="28"/>
        </w:rPr>
        <w:t>, en tanto este refiere en general a compradores de inmuebles de proyectos de vivienda y omite que no todos los adquirientes de este tipo de bienes son personas naturales o que aunq</w:t>
      </w:r>
      <w:r w:rsidRPr="00045BB7">
        <w:rPr>
          <w:rFonts w:ascii="Times New Roman" w:hAnsi="Times New Roman" w:cs="Times New Roman"/>
          <w:sz w:val="28"/>
          <w:szCs w:val="28"/>
        </w:rPr>
        <w:t xml:space="preserve">ue lo sean </w:t>
      </w:r>
      <w:r w:rsidRPr="00045BB7">
        <w:rPr>
          <w:rFonts w:ascii="Times New Roman" w:hAnsi="Times New Roman" w:cs="Times New Roman"/>
          <w:sz w:val="28"/>
          <w:szCs w:val="28"/>
        </w:rPr>
        <w:t xml:space="preserve">la compra puede responder a </w:t>
      </w:r>
      <w:r w:rsidRPr="00045BB7">
        <w:rPr>
          <w:rFonts w:ascii="Times New Roman" w:hAnsi="Times New Roman" w:cs="Times New Roman"/>
          <w:sz w:val="28"/>
          <w:szCs w:val="28"/>
        </w:rPr>
        <w:t>fines diversos como la inversión, el arrendamiento a terceros, en</w:t>
      </w:r>
      <w:r w:rsidRPr="00045BB7">
        <w:rPr>
          <w:rFonts w:ascii="Times New Roman" w:hAnsi="Times New Roman" w:cs="Times New Roman"/>
          <w:sz w:val="28"/>
          <w:szCs w:val="28"/>
        </w:rPr>
        <w:t>tre</w:t>
      </w:r>
      <w:r w:rsidRPr="00045BB7">
        <w:rPr>
          <w:rFonts w:ascii="Times New Roman" w:hAnsi="Times New Roman" w:cs="Times New Roman"/>
          <w:sz w:val="28"/>
          <w:szCs w:val="28"/>
        </w:rPr>
        <w:t xml:space="preserve"> otros. </w:t>
      </w:r>
    </w:p>
    <w:p w:rsidR="0035428E" w:rsidRPr="00045BB7" w:rsidRDefault="00045BB7" w:rsidP="00522560">
      <w:pPr>
        <w:rPr>
          <w:rFonts w:ascii="Times New Roman" w:hAnsi="Times New Roman" w:cs="Times New Roman"/>
          <w:sz w:val="28"/>
          <w:szCs w:val="28"/>
        </w:rPr>
      </w:pPr>
    </w:p>
    <w:p w:rsidR="0035428E" w:rsidRPr="00045BB7" w:rsidRDefault="00045BB7" w:rsidP="0035428E">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L</w:t>
      </w:r>
      <w:r w:rsidRPr="00045BB7">
        <w:rPr>
          <w:rFonts w:ascii="Times New Roman" w:hAnsi="Times New Roman" w:cs="Times New Roman"/>
          <w:sz w:val="28"/>
          <w:szCs w:val="28"/>
        </w:rPr>
        <w:t>a Sala Plena</w:t>
      </w:r>
      <w:r w:rsidRPr="00045BB7">
        <w:rPr>
          <w:rFonts w:ascii="Times New Roman" w:hAnsi="Times New Roman" w:cs="Times New Roman"/>
          <w:sz w:val="28"/>
          <w:szCs w:val="28"/>
        </w:rPr>
        <w:t xml:space="preserve"> también</w:t>
      </w:r>
      <w:r w:rsidRPr="00045BB7">
        <w:rPr>
          <w:rFonts w:ascii="Times New Roman" w:hAnsi="Times New Roman" w:cs="Times New Roman"/>
          <w:sz w:val="28"/>
          <w:szCs w:val="28"/>
        </w:rPr>
        <w:t xml:space="preserve"> encuentra que el demandante sugiere, de manera subsidiaria, que la Corte condicion</w:t>
      </w:r>
      <w:r w:rsidRPr="00045BB7">
        <w:rPr>
          <w:rFonts w:ascii="Times New Roman" w:hAnsi="Times New Roman" w:cs="Times New Roman"/>
          <w:sz w:val="28"/>
          <w:szCs w:val="28"/>
        </w:rPr>
        <w:t>e</w:t>
      </w:r>
      <w:r w:rsidRPr="00045BB7">
        <w:rPr>
          <w:rFonts w:ascii="Times New Roman" w:hAnsi="Times New Roman" w:cs="Times New Roman"/>
          <w:sz w:val="28"/>
          <w:szCs w:val="28"/>
        </w:rPr>
        <w:t xml:space="preserve"> el entendimiento de la norma tal y como lo hizo en la Sentencia C-145 de 2018. Tal planteamiento no cumple con la carga de especificidad puesto que el demandante elude el deber de explicar por qué la situación que se estudió en esa oportunidad es análoga </w:t>
      </w:r>
      <w:r w:rsidRPr="00045BB7">
        <w:rPr>
          <w:rFonts w:ascii="Times New Roman" w:hAnsi="Times New Roman" w:cs="Times New Roman"/>
          <w:sz w:val="28"/>
          <w:szCs w:val="28"/>
        </w:rPr>
        <w:t>y, en particular, por</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qu</w:t>
      </w:r>
      <w:r w:rsidRPr="00045BB7">
        <w:rPr>
          <w:rFonts w:ascii="Times New Roman" w:hAnsi="Times New Roman" w:cs="Times New Roman"/>
          <w:sz w:val="28"/>
          <w:szCs w:val="28"/>
        </w:rPr>
        <w:t>é</w:t>
      </w:r>
      <w:r w:rsidRPr="00045BB7">
        <w:rPr>
          <w:rFonts w:ascii="Times New Roman" w:hAnsi="Times New Roman" w:cs="Times New Roman"/>
          <w:sz w:val="28"/>
          <w:szCs w:val="28"/>
        </w:rPr>
        <w:t xml:space="preserve"> se trata de </w:t>
      </w:r>
      <w:r w:rsidRPr="00045BB7">
        <w:rPr>
          <w:rFonts w:ascii="Times New Roman" w:hAnsi="Times New Roman" w:cs="Times New Roman"/>
          <w:sz w:val="28"/>
          <w:szCs w:val="28"/>
        </w:rPr>
        <w:t xml:space="preserve">situaciones </w:t>
      </w:r>
      <w:r w:rsidRPr="00045BB7">
        <w:rPr>
          <w:rFonts w:ascii="Times New Roman" w:hAnsi="Times New Roman" w:cs="Times New Roman"/>
          <w:sz w:val="28"/>
          <w:szCs w:val="28"/>
        </w:rPr>
        <w:t>equiparables. Al respecto, se destaca que a pesar de que el derecho a la vivienda digna es fundamental y goza de protección, el escenario planteado en la demanda no puede asimilarse al analizado en la Sente</w:t>
      </w:r>
      <w:r w:rsidRPr="00045BB7">
        <w:rPr>
          <w:rFonts w:ascii="Times New Roman" w:hAnsi="Times New Roman" w:cs="Times New Roman"/>
          <w:sz w:val="28"/>
          <w:szCs w:val="28"/>
        </w:rPr>
        <w:t>ncia C-145 de 2018</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por la razón de ser de la prelación general que tienen los créditos derivados de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 xml:space="preserve">las obligaciones alimentarias y </w:t>
      </w:r>
      <w:r w:rsidRPr="00045BB7">
        <w:rPr>
          <w:rFonts w:ascii="Times New Roman" w:hAnsi="Times New Roman" w:cs="Times New Roman"/>
          <w:i/>
          <w:iCs/>
          <w:sz w:val="28"/>
          <w:szCs w:val="28"/>
        </w:rPr>
        <w:t xml:space="preserve">(ii) </w:t>
      </w:r>
      <w:r w:rsidRPr="00045BB7">
        <w:rPr>
          <w:rFonts w:ascii="Times New Roman" w:hAnsi="Times New Roman" w:cs="Times New Roman"/>
          <w:sz w:val="28"/>
          <w:szCs w:val="28"/>
        </w:rPr>
        <w:t xml:space="preserve">del contrato de trabajo. </w:t>
      </w:r>
    </w:p>
    <w:p w:rsidR="0035428E" w:rsidRPr="00045BB7" w:rsidRDefault="00045BB7" w:rsidP="0035428E">
      <w:pPr>
        <w:pStyle w:val="Prrafodelista"/>
        <w:rPr>
          <w:rFonts w:ascii="Times New Roman" w:hAnsi="Times New Roman" w:cs="Times New Roman"/>
          <w:szCs w:val="28"/>
          <w:lang w:eastAsia="es-CO"/>
        </w:rPr>
      </w:pPr>
    </w:p>
    <w:p w:rsidR="0035428E" w:rsidRPr="00045BB7" w:rsidRDefault="00045BB7" w:rsidP="0035428E">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lang w:val="es-ES_tradnl"/>
        </w:rPr>
        <w:t>L</w:t>
      </w:r>
      <w:r w:rsidRPr="00045BB7">
        <w:rPr>
          <w:rFonts w:ascii="Times New Roman" w:hAnsi="Times New Roman" w:cs="Times New Roman"/>
          <w:sz w:val="28"/>
          <w:szCs w:val="28"/>
        </w:rPr>
        <w:t>os primeros responden a la efectividad del mandato constitucional de prevalencia del i</w:t>
      </w:r>
      <w:r w:rsidRPr="00045BB7">
        <w:rPr>
          <w:rFonts w:ascii="Times New Roman" w:hAnsi="Times New Roman" w:cs="Times New Roman"/>
          <w:sz w:val="28"/>
          <w:szCs w:val="28"/>
        </w:rPr>
        <w:t>nterés superior del menor y, los segundos refieren al pago oportuno de la remuneración salarial, garantía que se encuentra estrechamente ligada al mínimo vital, la dignidad humana y el ideal de un orden justo. Así, “la retribución salarial está directament</w:t>
      </w:r>
      <w:r w:rsidRPr="00045BB7">
        <w:rPr>
          <w:rFonts w:ascii="Times New Roman" w:hAnsi="Times New Roman" w:cs="Times New Roman"/>
          <w:sz w:val="28"/>
          <w:szCs w:val="28"/>
        </w:rPr>
        <w:t>e relacionada con la satisfacción del derecho fundamental de las personas a la subsistencia, reconocido por la Corte Constitucional como emanación de las garantías a la vida (Art. 11 C.P.), a la salud (Art. 49 C.P), al trabajo (Art. 25 C.P), y a la segurid</w:t>
      </w:r>
      <w:r w:rsidRPr="00045BB7">
        <w:rPr>
          <w:rFonts w:ascii="Times New Roman" w:hAnsi="Times New Roman" w:cs="Times New Roman"/>
          <w:sz w:val="28"/>
          <w:szCs w:val="28"/>
        </w:rPr>
        <w:t>ad social (Art. 48 C.P.)</w:t>
      </w:r>
      <w:r w:rsidRPr="00045BB7">
        <w:rPr>
          <w:rFonts w:ascii="Times New Roman" w:hAnsi="Times New Roman" w:cs="Times New Roman"/>
          <w:sz w:val="28"/>
          <w:szCs w:val="28"/>
        </w:rPr>
        <w:t>”</w:t>
      </w:r>
      <w:r w:rsidRPr="00045BB7">
        <w:rPr>
          <w:rStyle w:val="Refdenotaalpie"/>
          <w:rFonts w:ascii="Times New Roman" w:hAnsi="Times New Roman" w:cs="Times New Roman"/>
          <w:sz w:val="28"/>
          <w:szCs w:val="28"/>
        </w:rPr>
        <w:footnoteReference w:id="145"/>
      </w:r>
      <w:r w:rsidRPr="00045BB7">
        <w:rPr>
          <w:rFonts w:ascii="Times New Roman" w:hAnsi="Times New Roman" w:cs="Times New Roman"/>
          <w:sz w:val="28"/>
          <w:szCs w:val="28"/>
        </w:rPr>
        <w:t>.</w:t>
      </w:r>
    </w:p>
    <w:p w:rsidR="0035428E" w:rsidRPr="00045BB7" w:rsidRDefault="00045BB7" w:rsidP="0035428E">
      <w:pPr>
        <w:pStyle w:val="Prrafodelista"/>
        <w:rPr>
          <w:rFonts w:ascii="Times New Roman" w:hAnsi="Times New Roman" w:cs="Times New Roman"/>
          <w:szCs w:val="28"/>
          <w:lang w:eastAsia="es-CO"/>
        </w:rPr>
      </w:pPr>
    </w:p>
    <w:p w:rsidR="00BA0EC3" w:rsidRPr="00045BB7" w:rsidRDefault="00045BB7" w:rsidP="00BA0EC3">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Además, el demandante omite referir un principio básico de los regímenes concursales, esto es, el de la igualdad, contemplado en el artículo 4.2. de la Ley 1116 de 2006, que prevé “el tratamiento equitativo a todos los acreedores que concurran al proceso d</w:t>
      </w:r>
      <w:r w:rsidRPr="00045BB7">
        <w:rPr>
          <w:rFonts w:ascii="Times New Roman" w:hAnsi="Times New Roman" w:cs="Times New Roman"/>
          <w:sz w:val="28"/>
          <w:szCs w:val="28"/>
        </w:rPr>
        <w:t xml:space="preserve">e insolvencia, sin perjuicio de la aplicación de las reglas sobre la prelación de créditos y preferencias”. Así, la Corte ha reconocido “la existencia de un mandato de trato </w:t>
      </w:r>
      <w:r w:rsidRPr="00045BB7">
        <w:rPr>
          <w:rFonts w:ascii="Times New Roman" w:hAnsi="Times New Roman" w:cs="Times New Roman"/>
          <w:b/>
          <w:bCs/>
          <w:sz w:val="28"/>
          <w:szCs w:val="28"/>
        </w:rPr>
        <w:t>igual entre iguales</w:t>
      </w:r>
      <w:r w:rsidRPr="00045BB7">
        <w:rPr>
          <w:rFonts w:ascii="Times New Roman" w:hAnsi="Times New Roman" w:cs="Times New Roman"/>
          <w:sz w:val="28"/>
          <w:szCs w:val="28"/>
        </w:rPr>
        <w:t>, sin perjuicio de la existencia de reglas de prelación o de pr</w:t>
      </w:r>
      <w:r w:rsidRPr="00045BB7">
        <w:rPr>
          <w:rFonts w:ascii="Times New Roman" w:hAnsi="Times New Roman" w:cs="Times New Roman"/>
          <w:sz w:val="28"/>
          <w:szCs w:val="28"/>
        </w:rPr>
        <w:t>eferencia tal y como se ha previsto en diferentes cuerpos normativos (Código Civil, Código Sustantivo del Trabajo, Ley 1098, Ley 1116 y Ley 1676)”</w:t>
      </w:r>
      <w:r w:rsidRPr="00045BB7">
        <w:rPr>
          <w:rStyle w:val="Refdenotaalpie"/>
          <w:rFonts w:ascii="Times New Roman" w:hAnsi="Times New Roman" w:cs="Times New Roman"/>
          <w:sz w:val="28"/>
          <w:szCs w:val="28"/>
        </w:rPr>
        <w:footnoteReference w:id="146"/>
      </w:r>
      <w:r w:rsidRPr="00045BB7">
        <w:rPr>
          <w:rFonts w:ascii="Times New Roman" w:hAnsi="Times New Roman" w:cs="Times New Roman"/>
          <w:sz w:val="28"/>
          <w:szCs w:val="28"/>
        </w:rPr>
        <w:t xml:space="preserve"> (énfasis añadido)</w:t>
      </w:r>
      <w:r w:rsidRPr="00045BB7">
        <w:rPr>
          <w:rFonts w:ascii="Times New Roman" w:hAnsi="Times New Roman" w:cs="Times New Roman"/>
          <w:sz w:val="28"/>
          <w:szCs w:val="28"/>
        </w:rPr>
        <w:t>.</w:t>
      </w:r>
    </w:p>
    <w:p w:rsidR="00774DAF" w:rsidRPr="00045BB7" w:rsidRDefault="00045BB7" w:rsidP="003170AB">
      <w:pPr>
        <w:rPr>
          <w:rFonts w:ascii="Times New Roman" w:hAnsi="Times New Roman" w:cs="Times New Roman"/>
          <w:sz w:val="28"/>
          <w:szCs w:val="28"/>
        </w:rPr>
      </w:pPr>
    </w:p>
    <w:p w:rsidR="00410899" w:rsidRPr="00045BB7" w:rsidRDefault="00045BB7" w:rsidP="002F1F89">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i/>
          <w:iCs/>
          <w:sz w:val="28"/>
          <w:szCs w:val="28"/>
        </w:rPr>
        <w:t>Pertinencia.</w:t>
      </w:r>
      <w:r w:rsidRPr="00045BB7">
        <w:rPr>
          <w:rFonts w:ascii="Times New Roman" w:hAnsi="Times New Roman" w:cs="Times New Roman"/>
          <w:sz w:val="28"/>
          <w:szCs w:val="28"/>
        </w:rPr>
        <w:t xml:space="preserve"> La demanda </w:t>
      </w:r>
      <w:r w:rsidRPr="00045BB7">
        <w:rPr>
          <w:rFonts w:ascii="Times New Roman" w:hAnsi="Times New Roman" w:cs="Times New Roman"/>
          <w:sz w:val="28"/>
          <w:szCs w:val="28"/>
        </w:rPr>
        <w:t>tampoco satisface el requisito de pertinencia</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porque</w:t>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a pesar de</w:t>
      </w:r>
      <w:r w:rsidRPr="00045BB7">
        <w:rPr>
          <w:rFonts w:ascii="Times New Roman" w:hAnsi="Times New Roman" w:cs="Times New Roman"/>
          <w:sz w:val="28"/>
          <w:szCs w:val="28"/>
        </w:rPr>
        <w:t xml:space="preserve"> que</w:t>
      </w:r>
      <w:r w:rsidRPr="00045BB7">
        <w:rPr>
          <w:rFonts w:ascii="Times New Roman" w:hAnsi="Times New Roman" w:cs="Times New Roman"/>
          <w:sz w:val="28"/>
          <w:szCs w:val="28"/>
        </w:rPr>
        <w:t xml:space="preserve"> el cargo propuesto identifica un parámetro de control</w:t>
      </w:r>
      <w:r w:rsidRPr="00045BB7">
        <w:rPr>
          <w:rFonts w:ascii="Times New Roman" w:hAnsi="Times New Roman" w:cs="Times New Roman"/>
          <w:sz w:val="28"/>
          <w:szCs w:val="28"/>
        </w:rPr>
        <w:t xml:space="preserve"> y </w:t>
      </w:r>
      <w:r w:rsidRPr="00045BB7">
        <w:rPr>
          <w:rFonts w:ascii="Times New Roman" w:hAnsi="Times New Roman" w:cs="Times New Roman"/>
          <w:sz w:val="28"/>
          <w:szCs w:val="28"/>
        </w:rPr>
        <w:t>las razones que sustentan la acusación son de naturaleza constitucional (el derecho a la vivienda)</w:t>
      </w:r>
      <w:r w:rsidRPr="00045BB7">
        <w:rPr>
          <w:rFonts w:ascii="Times New Roman" w:hAnsi="Times New Roman" w:cs="Times New Roman"/>
          <w:sz w:val="28"/>
          <w:szCs w:val="28"/>
        </w:rPr>
        <w:t xml:space="preserve">, lo cierto es que parten de dos premisas que impiden construir un reproche de ese tipo: </w:t>
      </w:r>
      <w:r w:rsidRPr="00045BB7">
        <w:rPr>
          <w:rFonts w:ascii="Times New Roman" w:hAnsi="Times New Roman" w:cs="Times New Roman"/>
          <w:i/>
          <w:iCs/>
          <w:sz w:val="28"/>
          <w:szCs w:val="28"/>
        </w:rPr>
        <w:t xml:space="preserve">(i) </w:t>
      </w:r>
      <w:r w:rsidRPr="00045BB7">
        <w:rPr>
          <w:rFonts w:ascii="Times New Roman" w:hAnsi="Times New Roman" w:cs="Times New Roman"/>
          <w:sz w:val="28"/>
          <w:szCs w:val="28"/>
        </w:rPr>
        <w:t xml:space="preserve">asociar la vivienda con la propiedad y suponer que solo se accede a aquella a través de </w:t>
      </w:r>
      <w:r w:rsidRPr="00045BB7">
        <w:rPr>
          <w:rFonts w:ascii="Times New Roman" w:hAnsi="Times New Roman" w:cs="Times New Roman"/>
          <w:sz w:val="28"/>
          <w:szCs w:val="28"/>
        </w:rPr>
        <w:t>la compra</w:t>
      </w:r>
      <w:r w:rsidRPr="00045BB7">
        <w:rPr>
          <w:rFonts w:ascii="Times New Roman" w:hAnsi="Times New Roman" w:cs="Times New Roman"/>
          <w:sz w:val="28"/>
          <w:szCs w:val="28"/>
        </w:rPr>
        <w:t xml:space="preserve"> y, </w:t>
      </w:r>
      <w:r w:rsidRPr="00045BB7">
        <w:rPr>
          <w:rFonts w:ascii="Times New Roman" w:hAnsi="Times New Roman" w:cs="Times New Roman"/>
          <w:i/>
          <w:iCs/>
          <w:sz w:val="28"/>
          <w:szCs w:val="28"/>
        </w:rPr>
        <w:t xml:space="preserve">(ii) </w:t>
      </w:r>
      <w:r w:rsidRPr="00045BB7">
        <w:rPr>
          <w:rFonts w:ascii="Times New Roman" w:hAnsi="Times New Roman" w:cs="Times New Roman"/>
          <w:sz w:val="28"/>
          <w:szCs w:val="28"/>
        </w:rPr>
        <w:t xml:space="preserve">que la protección de todas las formas de tenencia aplica para todas las etapas pre y contractuales de la adquisición de vivienda propia. </w:t>
      </w:r>
    </w:p>
    <w:p w:rsidR="00410899" w:rsidRPr="00045BB7" w:rsidRDefault="00045BB7" w:rsidP="00410899">
      <w:pPr>
        <w:pStyle w:val="Prrafodelista"/>
        <w:rPr>
          <w:rFonts w:ascii="Times New Roman" w:hAnsi="Times New Roman" w:cs="Times New Roman"/>
          <w:szCs w:val="28"/>
          <w:lang w:eastAsia="es-CO"/>
        </w:rPr>
      </w:pPr>
    </w:p>
    <w:p w:rsidR="0070252E" w:rsidRPr="00045BB7" w:rsidRDefault="00045BB7" w:rsidP="002F1F89">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En tal medi</w:t>
      </w:r>
      <w:r w:rsidRPr="00045BB7">
        <w:rPr>
          <w:rFonts w:ascii="Times New Roman" w:hAnsi="Times New Roman" w:cs="Times New Roman"/>
          <w:sz w:val="28"/>
          <w:szCs w:val="28"/>
        </w:rPr>
        <w:t>da, l</w:t>
      </w:r>
      <w:r w:rsidRPr="00045BB7">
        <w:rPr>
          <w:rFonts w:ascii="Times New Roman" w:hAnsi="Times New Roman" w:cs="Times New Roman"/>
          <w:sz w:val="28"/>
          <w:szCs w:val="28"/>
        </w:rPr>
        <w:t xml:space="preserve">a Sala Plena reconoce que el actor afirma que se trata de una violación a la faceta de acceso a la vivienda, pero tal mención no resulta suficiente para justificar la conexión automática que plantea </w:t>
      </w:r>
      <w:r w:rsidRPr="00045BB7">
        <w:rPr>
          <w:rFonts w:ascii="Times New Roman" w:hAnsi="Times New Roman" w:cs="Times New Roman"/>
          <w:sz w:val="28"/>
          <w:szCs w:val="28"/>
        </w:rPr>
        <w:t>cuando</w:t>
      </w:r>
      <w:r w:rsidRPr="00045BB7">
        <w:rPr>
          <w:rFonts w:ascii="Times New Roman" w:hAnsi="Times New Roman" w:cs="Times New Roman"/>
          <w:sz w:val="28"/>
          <w:szCs w:val="28"/>
        </w:rPr>
        <w:t xml:space="preserve"> equipara el derecho a la vivienda digna con e</w:t>
      </w:r>
      <w:r w:rsidRPr="00045BB7">
        <w:rPr>
          <w:rFonts w:ascii="Times New Roman" w:hAnsi="Times New Roman" w:cs="Times New Roman"/>
          <w:sz w:val="28"/>
          <w:szCs w:val="28"/>
        </w:rPr>
        <w:t>l derecho de propiedad</w:t>
      </w:r>
      <w:r w:rsidRPr="00045BB7">
        <w:rPr>
          <w:rFonts w:ascii="Times New Roman" w:hAnsi="Times New Roman" w:cs="Times New Roman"/>
          <w:sz w:val="28"/>
          <w:szCs w:val="28"/>
        </w:rPr>
        <w:t>, pues aunque reconoce que la vivienda digna comprende más que la propiedad, su argumento se enfoca en sostener que la protección se extiende a “la expectativa razonable de adquirirla”</w:t>
      </w:r>
      <w:r w:rsidRPr="00045BB7">
        <w:rPr>
          <w:rStyle w:val="Refdenotaalpie"/>
          <w:rFonts w:ascii="Times New Roman" w:hAnsi="Times New Roman" w:cs="Times New Roman"/>
          <w:sz w:val="28"/>
          <w:szCs w:val="28"/>
        </w:rPr>
        <w:footnoteReference w:id="147"/>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 xml:space="preserve">Ello es una lectura </w:t>
      </w:r>
      <w:r w:rsidRPr="00045BB7">
        <w:rPr>
          <w:rFonts w:ascii="Times New Roman" w:hAnsi="Times New Roman" w:cs="Times New Roman"/>
          <w:sz w:val="28"/>
          <w:szCs w:val="28"/>
        </w:rPr>
        <w:t xml:space="preserve">parcial </w:t>
      </w:r>
      <w:r w:rsidRPr="00045BB7">
        <w:rPr>
          <w:rFonts w:ascii="Times New Roman" w:hAnsi="Times New Roman" w:cs="Times New Roman"/>
          <w:sz w:val="28"/>
          <w:szCs w:val="28"/>
        </w:rPr>
        <w:t>del derecho a la vi</w:t>
      </w:r>
      <w:r w:rsidRPr="00045BB7">
        <w:rPr>
          <w:rFonts w:ascii="Times New Roman" w:hAnsi="Times New Roman" w:cs="Times New Roman"/>
          <w:sz w:val="28"/>
          <w:szCs w:val="28"/>
        </w:rPr>
        <w:t>vienda digna pues la satisfacción de esta garantía se puede dar mediante su adquisición, arrendamiento, usufructo, entre otras formas; verlo de otra manera desembocaría en una comprensión limitada del mencionado derecho.</w:t>
      </w:r>
    </w:p>
    <w:p w:rsidR="0070252E" w:rsidRPr="00045BB7" w:rsidRDefault="00045BB7" w:rsidP="0070252E">
      <w:pPr>
        <w:tabs>
          <w:tab w:val="left" w:pos="0"/>
          <w:tab w:val="left" w:pos="567"/>
        </w:tabs>
        <w:ind w:right="51"/>
        <w:contextualSpacing/>
        <w:jc w:val="both"/>
        <w:rPr>
          <w:rFonts w:ascii="Times New Roman" w:hAnsi="Times New Roman" w:cs="Times New Roman"/>
          <w:sz w:val="28"/>
          <w:szCs w:val="28"/>
        </w:rPr>
      </w:pPr>
    </w:p>
    <w:p w:rsidR="0070252E" w:rsidRPr="00045BB7" w:rsidRDefault="00045BB7" w:rsidP="0070252E">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lang w:val="es-ES_tradnl"/>
        </w:rPr>
        <w:t xml:space="preserve">En efecto, </w:t>
      </w:r>
      <w:r w:rsidRPr="00045BB7">
        <w:rPr>
          <w:rFonts w:ascii="Times New Roman" w:hAnsi="Times New Roman" w:cs="Times New Roman"/>
          <w:sz w:val="28"/>
          <w:szCs w:val="28"/>
          <w:lang w:val="es-ES_tradnl"/>
        </w:rPr>
        <w:t xml:space="preserve">aunque la Corte ha protegido </w:t>
      </w:r>
      <w:r w:rsidRPr="00045BB7">
        <w:rPr>
          <w:rFonts w:ascii="Times New Roman" w:hAnsi="Times New Roman" w:cs="Times New Roman"/>
          <w:sz w:val="28"/>
          <w:szCs w:val="28"/>
          <w:lang w:val="es-ES_tradnl"/>
        </w:rPr>
        <w:t>aspectos relacionados con la</w:t>
      </w:r>
      <w:r w:rsidRPr="00045BB7">
        <w:rPr>
          <w:rFonts w:ascii="Times New Roman" w:hAnsi="Times New Roman" w:cs="Times New Roman"/>
          <w:sz w:val="28"/>
          <w:szCs w:val="28"/>
          <w:lang w:val="es-ES_tradnl"/>
        </w:rPr>
        <w:t xml:space="preserve"> adqui</w:t>
      </w:r>
      <w:r w:rsidRPr="00045BB7">
        <w:rPr>
          <w:rFonts w:ascii="Times New Roman" w:hAnsi="Times New Roman" w:cs="Times New Roman"/>
          <w:sz w:val="28"/>
          <w:szCs w:val="28"/>
          <w:lang w:val="es-ES_tradnl"/>
        </w:rPr>
        <w:t>sición de vivienda propia</w:t>
      </w:r>
      <w:r w:rsidRPr="00045BB7">
        <w:rPr>
          <w:rStyle w:val="Refdenotaalpie"/>
          <w:rFonts w:ascii="Times New Roman" w:hAnsi="Times New Roman" w:cs="Times New Roman"/>
          <w:sz w:val="28"/>
          <w:szCs w:val="28"/>
          <w:lang w:val="es-ES_tradnl"/>
        </w:rPr>
        <w:footnoteReference w:id="148"/>
      </w:r>
      <w:r w:rsidRPr="00045BB7">
        <w:rPr>
          <w:rFonts w:ascii="Times New Roman" w:hAnsi="Times New Roman" w:cs="Times New Roman"/>
          <w:sz w:val="28"/>
          <w:szCs w:val="28"/>
          <w:lang w:val="es-ES_tradnl"/>
        </w:rPr>
        <w:t xml:space="preserve">, su </w:t>
      </w:r>
      <w:r w:rsidRPr="00045BB7">
        <w:rPr>
          <w:rFonts w:ascii="Times New Roman" w:hAnsi="Times New Roman" w:cs="Times New Roman"/>
          <w:sz w:val="28"/>
          <w:szCs w:val="28"/>
          <w:lang w:val="es-ES_tradnl"/>
        </w:rPr>
        <w:t xml:space="preserve">jurisprudencia ha sido enfática en precisar que la obligación que surge del </w:t>
      </w:r>
      <w:r w:rsidRPr="00045BB7">
        <w:rPr>
          <w:rFonts w:ascii="Times New Roman" w:hAnsi="Times New Roman" w:cs="Times New Roman"/>
          <w:i/>
          <w:iCs/>
          <w:sz w:val="28"/>
          <w:szCs w:val="28"/>
          <w:lang w:val="es-ES_tradnl"/>
        </w:rPr>
        <w:t>acceso</w:t>
      </w:r>
      <w:r w:rsidRPr="00045BB7">
        <w:rPr>
          <w:rFonts w:ascii="Times New Roman" w:hAnsi="Times New Roman" w:cs="Times New Roman"/>
          <w:sz w:val="28"/>
          <w:szCs w:val="28"/>
          <w:lang w:val="es-ES_tradnl"/>
        </w:rPr>
        <w:t xml:space="preserve"> a la vivienda como contenido esencial de este derecho, corresponde a “atender distintas modalidades de vivienda y no limitarse a asegurar la propiedad sobre los inmuebles”</w:t>
      </w:r>
      <w:r w:rsidRPr="00045BB7">
        <w:rPr>
          <w:rStyle w:val="Refdenotaalpie"/>
          <w:rFonts w:ascii="Times New Roman" w:hAnsi="Times New Roman" w:cs="Times New Roman"/>
          <w:sz w:val="28"/>
          <w:szCs w:val="28"/>
          <w:lang w:val="es-ES_tradnl"/>
        </w:rPr>
        <w:footnoteReference w:id="149"/>
      </w:r>
      <w:r w:rsidRPr="00045BB7">
        <w:rPr>
          <w:rFonts w:ascii="Times New Roman" w:hAnsi="Times New Roman" w:cs="Times New Roman"/>
          <w:sz w:val="28"/>
          <w:szCs w:val="28"/>
          <w:lang w:val="es-ES_tradnl"/>
        </w:rPr>
        <w:t xml:space="preserve">. Desde esta perspectiva, le corresponde al Estado el diseño de varias estrategias </w:t>
      </w:r>
      <w:r w:rsidRPr="00045BB7">
        <w:rPr>
          <w:rFonts w:ascii="Times New Roman" w:hAnsi="Times New Roman" w:cs="Times New Roman"/>
          <w:sz w:val="28"/>
          <w:szCs w:val="28"/>
          <w:lang w:val="es-ES_tradnl"/>
        </w:rPr>
        <w:t>económicas, que</w:t>
      </w:r>
      <w:r w:rsidRPr="00045BB7">
        <w:rPr>
          <w:rFonts w:ascii="Times New Roman" w:hAnsi="Times New Roman" w:cs="Times New Roman"/>
          <w:sz w:val="28"/>
          <w:szCs w:val="28"/>
          <w:lang w:val="es-ES_tradnl"/>
        </w:rPr>
        <w:t>,</w:t>
      </w:r>
      <w:r w:rsidRPr="00045BB7">
        <w:rPr>
          <w:rFonts w:ascii="Times New Roman" w:hAnsi="Times New Roman" w:cs="Times New Roman"/>
          <w:sz w:val="28"/>
          <w:szCs w:val="28"/>
          <w:lang w:val="es-ES_tradnl"/>
        </w:rPr>
        <w:t xml:space="preserve"> si bien le pueden dar prelación a la adquisición de un inmueble para habitar, no refieren exclusivamente a la financiación o protección de la propiedad.</w:t>
      </w:r>
    </w:p>
    <w:p w:rsidR="0070252E" w:rsidRPr="00045BB7" w:rsidRDefault="00045BB7" w:rsidP="0070252E">
      <w:pPr>
        <w:pStyle w:val="Prrafodelista"/>
        <w:rPr>
          <w:rFonts w:ascii="Times New Roman" w:hAnsi="Times New Roman" w:cs="Times New Roman"/>
          <w:szCs w:val="28"/>
          <w:lang w:eastAsia="es-CO"/>
        </w:rPr>
      </w:pPr>
    </w:p>
    <w:p w:rsidR="0070252E" w:rsidRPr="00045BB7" w:rsidRDefault="00045BB7" w:rsidP="0070252E">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Frente al argumento que esboza el accionante a partir del cual concluye que las norma</w:t>
      </w:r>
      <w:r w:rsidRPr="00045BB7">
        <w:rPr>
          <w:rFonts w:ascii="Times New Roman" w:hAnsi="Times New Roman" w:cs="Times New Roman"/>
          <w:sz w:val="28"/>
          <w:szCs w:val="28"/>
        </w:rPr>
        <w:t>s acusadas son contrarias al deber que tiene el Estado de adoptar medidas destinadas a conferir seguridad legal de tenencia, es importante recordar que la promesa de compraventa es un contrato preparatorio que tiene por objeto una obligación de hacer, es d</w:t>
      </w:r>
      <w:r w:rsidRPr="00045BB7">
        <w:rPr>
          <w:rFonts w:ascii="Times New Roman" w:hAnsi="Times New Roman" w:cs="Times New Roman"/>
          <w:sz w:val="28"/>
          <w:szCs w:val="28"/>
        </w:rPr>
        <w:t>ecir, que garantiza que las partes suscribirán posteriormente el contrato de compraventa. En ese sentido, en manera alguna este acuerdo de voluntades otorga el derecho de propiedad o tenencia del bien inmueble al adquiriente, situación que únicamente se ma</w:t>
      </w:r>
      <w:r w:rsidRPr="00045BB7">
        <w:rPr>
          <w:rFonts w:ascii="Times New Roman" w:hAnsi="Times New Roman" w:cs="Times New Roman"/>
          <w:sz w:val="28"/>
          <w:szCs w:val="28"/>
        </w:rPr>
        <w:t xml:space="preserve">terializa con </w:t>
      </w:r>
      <w:r w:rsidRPr="00045BB7">
        <w:rPr>
          <w:rFonts w:ascii="Times New Roman" w:hAnsi="Times New Roman" w:cs="Times New Roman"/>
          <w:i/>
          <w:iCs/>
          <w:sz w:val="28"/>
          <w:szCs w:val="28"/>
        </w:rPr>
        <w:t>(i)</w:t>
      </w:r>
      <w:r w:rsidRPr="00045BB7">
        <w:rPr>
          <w:rFonts w:ascii="Times New Roman" w:hAnsi="Times New Roman" w:cs="Times New Roman"/>
          <w:sz w:val="28"/>
          <w:szCs w:val="28"/>
        </w:rPr>
        <w:t xml:space="preserve"> la firma del contrato de compraventa</w:t>
      </w:r>
      <w:r w:rsidRPr="00045BB7">
        <w:rPr>
          <w:rFonts w:ascii="Times New Roman" w:hAnsi="Times New Roman" w:cs="Times New Roman"/>
          <w:sz w:val="28"/>
          <w:szCs w:val="28"/>
        </w:rPr>
        <w:t xml:space="preserve"> y la suscripción de la escritura</w:t>
      </w:r>
      <w:r w:rsidRPr="00045BB7">
        <w:rPr>
          <w:rFonts w:ascii="Times New Roman" w:hAnsi="Times New Roman" w:cs="Times New Roman"/>
          <w:sz w:val="28"/>
          <w:szCs w:val="28"/>
        </w:rPr>
        <w:t xml:space="preserve"> (título traslaticio del dominio)</w:t>
      </w:r>
      <w:r w:rsidRPr="00045BB7">
        <w:rPr>
          <w:rFonts w:ascii="Times New Roman" w:hAnsi="Times New Roman" w:cs="Times New Roman"/>
          <w:sz w:val="28"/>
          <w:szCs w:val="28"/>
        </w:rPr>
        <w:t xml:space="preserve"> así como</w:t>
      </w:r>
      <w:r w:rsidRPr="00045BB7">
        <w:rPr>
          <w:rFonts w:ascii="Times New Roman" w:hAnsi="Times New Roman" w:cs="Times New Roman"/>
          <w:sz w:val="28"/>
          <w:szCs w:val="28"/>
        </w:rPr>
        <w:t xml:space="preserve">, </w:t>
      </w:r>
      <w:r w:rsidRPr="00045BB7">
        <w:rPr>
          <w:rFonts w:ascii="Times New Roman" w:hAnsi="Times New Roman" w:cs="Times New Roman"/>
          <w:i/>
          <w:iCs/>
          <w:sz w:val="28"/>
          <w:szCs w:val="28"/>
        </w:rPr>
        <w:t>(ii)</w:t>
      </w:r>
      <w:r w:rsidRPr="00045BB7">
        <w:rPr>
          <w:rFonts w:ascii="Times New Roman" w:hAnsi="Times New Roman" w:cs="Times New Roman"/>
          <w:sz w:val="28"/>
          <w:szCs w:val="28"/>
        </w:rPr>
        <w:t xml:space="preserve"> la inscripción de ese título en la oficina de registro de instrumentos públicos (tradición)</w:t>
      </w:r>
      <w:r w:rsidRPr="00045BB7">
        <w:rPr>
          <w:rStyle w:val="Refdenotaalpie"/>
          <w:rFonts w:ascii="Times New Roman" w:hAnsi="Times New Roman" w:cs="Times New Roman"/>
          <w:sz w:val="28"/>
          <w:szCs w:val="28"/>
        </w:rPr>
        <w:footnoteReference w:id="150"/>
      </w:r>
      <w:r w:rsidRPr="00045BB7">
        <w:rPr>
          <w:rFonts w:ascii="Times New Roman" w:hAnsi="Times New Roman" w:cs="Times New Roman"/>
          <w:sz w:val="28"/>
          <w:szCs w:val="28"/>
        </w:rPr>
        <w:t xml:space="preserve">. </w:t>
      </w:r>
    </w:p>
    <w:p w:rsidR="0070252E" w:rsidRPr="00045BB7" w:rsidRDefault="00045BB7" w:rsidP="0070252E">
      <w:pPr>
        <w:pStyle w:val="Prrafodelista"/>
        <w:rPr>
          <w:rFonts w:ascii="Times New Roman" w:hAnsi="Times New Roman" w:cs="Times New Roman"/>
          <w:szCs w:val="28"/>
          <w:lang w:eastAsia="es-CO"/>
        </w:rPr>
      </w:pPr>
    </w:p>
    <w:p w:rsidR="0070252E" w:rsidRPr="00045BB7" w:rsidRDefault="00045BB7" w:rsidP="0070252E">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 xml:space="preserve">Adicional a lo </w:t>
      </w:r>
      <w:r w:rsidRPr="00045BB7">
        <w:rPr>
          <w:rFonts w:ascii="Times New Roman" w:hAnsi="Times New Roman" w:cs="Times New Roman"/>
          <w:sz w:val="28"/>
          <w:szCs w:val="28"/>
        </w:rPr>
        <w:t>mencionado, se reitera que la seguridad de la tenencia, valor fundamental del derecho a la vivienda digna y adecuada, se manifiesta en formas diversas y</w:t>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por lo tanto, no está supeditada a un título formal específico y, mucho menos, a la propiedad de un bi</w:t>
      </w:r>
      <w:r w:rsidRPr="00045BB7">
        <w:rPr>
          <w:rFonts w:ascii="Times New Roman" w:hAnsi="Times New Roman" w:cs="Times New Roman"/>
          <w:sz w:val="28"/>
          <w:szCs w:val="28"/>
        </w:rPr>
        <w:t>en inmueble.</w:t>
      </w:r>
    </w:p>
    <w:p w:rsidR="0070252E" w:rsidRPr="00045BB7" w:rsidRDefault="00045BB7" w:rsidP="0070252E">
      <w:pPr>
        <w:rPr>
          <w:rFonts w:ascii="Times New Roman" w:hAnsi="Times New Roman" w:cs="Times New Roman"/>
          <w:sz w:val="28"/>
          <w:szCs w:val="28"/>
        </w:rPr>
      </w:pPr>
    </w:p>
    <w:p w:rsidR="001876BD" w:rsidRPr="00045BB7" w:rsidRDefault="00045BB7" w:rsidP="00075268">
      <w:pPr>
        <w:numPr>
          <w:ilvl w:val="0"/>
          <w:numId w:val="8"/>
        </w:numPr>
        <w:tabs>
          <w:tab w:val="left" w:pos="0"/>
          <w:tab w:val="left" w:pos="567"/>
        </w:tabs>
        <w:ind w:left="0" w:right="51" w:firstLine="0"/>
        <w:contextualSpacing/>
        <w:jc w:val="both"/>
        <w:rPr>
          <w:rFonts w:ascii="Times New Roman" w:hAnsi="Times New Roman" w:cs="Times New Roman"/>
          <w:sz w:val="28"/>
          <w:szCs w:val="28"/>
        </w:rPr>
      </w:pPr>
      <w:r w:rsidRPr="00045BB7">
        <w:rPr>
          <w:rFonts w:ascii="Times New Roman" w:hAnsi="Times New Roman" w:cs="Times New Roman"/>
          <w:sz w:val="28"/>
          <w:szCs w:val="28"/>
        </w:rPr>
        <w:t>Por otro lado, las razones del demandante</w:t>
      </w:r>
      <w:r w:rsidRPr="00045BB7">
        <w:rPr>
          <w:rFonts w:ascii="Times New Roman" w:hAnsi="Times New Roman" w:cs="Times New Roman"/>
          <w:sz w:val="28"/>
          <w:szCs w:val="28"/>
        </w:rPr>
        <w:t xml:space="preserve"> se fundamentan en una </w:t>
      </w:r>
      <w:r w:rsidRPr="00045BB7">
        <w:rPr>
          <w:rFonts w:ascii="Times New Roman" w:hAnsi="Times New Roman" w:cs="Times New Roman"/>
          <w:sz w:val="28"/>
          <w:szCs w:val="28"/>
        </w:rPr>
        <w:t xml:space="preserve">interpretación del uso abusivo de las normas. En efecto, </w:t>
      </w:r>
      <w:r w:rsidRPr="00045BB7">
        <w:rPr>
          <w:rFonts w:ascii="Times New Roman" w:hAnsi="Times New Roman" w:cs="Times New Roman"/>
          <w:sz w:val="28"/>
          <w:szCs w:val="28"/>
        </w:rPr>
        <w:t xml:space="preserve">afirma que </w:t>
      </w:r>
      <w:r w:rsidRPr="00045BB7">
        <w:rPr>
          <w:rFonts w:ascii="Times New Roman" w:hAnsi="Times New Roman" w:cs="Times New Roman"/>
          <w:sz w:val="28"/>
          <w:szCs w:val="28"/>
        </w:rPr>
        <w:t>los artículos</w:t>
      </w:r>
      <w:r w:rsidRPr="00045BB7">
        <w:rPr>
          <w:rFonts w:ascii="Times New Roman" w:hAnsi="Times New Roman" w:cs="Times New Roman"/>
          <w:sz w:val="28"/>
          <w:szCs w:val="28"/>
        </w:rPr>
        <w:t xml:space="preserve"> permite</w:t>
      </w:r>
      <w:r w:rsidRPr="00045BB7">
        <w:rPr>
          <w:rFonts w:ascii="Times New Roman" w:hAnsi="Times New Roman" w:cs="Times New Roman"/>
          <w:sz w:val="28"/>
          <w:szCs w:val="28"/>
        </w:rPr>
        <w:t>n</w:t>
      </w:r>
      <w:r w:rsidRPr="00045BB7">
        <w:rPr>
          <w:rFonts w:ascii="Times New Roman" w:hAnsi="Times New Roman" w:cs="Times New Roman"/>
          <w:sz w:val="28"/>
          <w:szCs w:val="28"/>
        </w:rPr>
        <w:t xml:space="preserve"> que se burle la prenda común de todos los acreedores</w:t>
      </w:r>
      <w:r w:rsidRPr="00045BB7">
        <w:rPr>
          <w:rFonts w:ascii="Times New Roman" w:hAnsi="Times New Roman" w:cs="Times New Roman"/>
          <w:sz w:val="28"/>
          <w:szCs w:val="28"/>
        </w:rPr>
        <w:t>, situación que no se deriva objeti</w:t>
      </w:r>
      <w:r w:rsidRPr="00045BB7">
        <w:rPr>
          <w:rFonts w:ascii="Times New Roman" w:hAnsi="Times New Roman" w:cs="Times New Roman"/>
          <w:sz w:val="28"/>
          <w:szCs w:val="28"/>
        </w:rPr>
        <w:t>vamente de las disposiciones atacadas</w:t>
      </w:r>
      <w:r w:rsidRPr="00045BB7">
        <w:rPr>
          <w:rFonts w:ascii="Times New Roman" w:hAnsi="Times New Roman" w:cs="Times New Roman"/>
          <w:sz w:val="28"/>
          <w:szCs w:val="28"/>
        </w:rPr>
        <w:t xml:space="preserve"> y que</w:t>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de ninguna manera</w:t>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es pertinente para activar el control abstracto de la norma por parte de la Corte Constitucional. </w:t>
      </w:r>
    </w:p>
    <w:p w:rsidR="0070252E" w:rsidRPr="00045BB7" w:rsidRDefault="00045BB7" w:rsidP="0070252E">
      <w:pPr>
        <w:tabs>
          <w:tab w:val="left" w:pos="0"/>
          <w:tab w:val="left" w:pos="567"/>
        </w:tabs>
        <w:ind w:right="51"/>
        <w:contextualSpacing/>
        <w:jc w:val="both"/>
        <w:rPr>
          <w:rFonts w:ascii="Times New Roman" w:hAnsi="Times New Roman" w:cs="Times New Roman"/>
          <w:sz w:val="28"/>
          <w:szCs w:val="28"/>
        </w:rPr>
      </w:pPr>
    </w:p>
    <w:p w:rsidR="00522560" w:rsidRPr="00045BB7" w:rsidRDefault="00045BB7" w:rsidP="00522560">
      <w:pPr>
        <w:numPr>
          <w:ilvl w:val="0"/>
          <w:numId w:val="8"/>
        </w:numPr>
        <w:tabs>
          <w:tab w:val="left" w:pos="0"/>
          <w:tab w:val="left" w:pos="567"/>
        </w:tabs>
        <w:ind w:left="0" w:right="51" w:firstLine="0"/>
        <w:contextualSpacing/>
        <w:jc w:val="both"/>
        <w:rPr>
          <w:rFonts w:ascii="Times New Roman" w:hAnsi="Times New Roman" w:cs="Times New Roman"/>
          <w:color w:val="000000" w:themeColor="text1"/>
          <w:sz w:val="28"/>
          <w:szCs w:val="28"/>
        </w:rPr>
      </w:pPr>
      <w:r w:rsidRPr="00045BB7">
        <w:rPr>
          <w:rFonts w:ascii="Times New Roman" w:hAnsi="Times New Roman" w:cs="Times New Roman"/>
          <w:i/>
          <w:iCs/>
          <w:sz w:val="28"/>
          <w:szCs w:val="28"/>
        </w:rPr>
        <w:t>Suficiencia.</w:t>
      </w:r>
      <w:r w:rsidRPr="00045BB7">
        <w:rPr>
          <w:rFonts w:ascii="Times New Roman" w:hAnsi="Times New Roman" w:cs="Times New Roman"/>
          <w:sz w:val="28"/>
          <w:szCs w:val="28"/>
        </w:rPr>
        <w:t xml:space="preserve"> </w:t>
      </w:r>
      <w:r w:rsidRPr="00045BB7">
        <w:rPr>
          <w:rFonts w:ascii="Times New Roman" w:hAnsi="Times New Roman" w:cs="Times New Roman"/>
          <w:color w:val="000000" w:themeColor="text1"/>
          <w:sz w:val="28"/>
          <w:szCs w:val="28"/>
        </w:rPr>
        <w:t xml:space="preserve">En línea con lo expuesto, el cargo tampoco es suficiente porque no logra despertar una duda mínima </w:t>
      </w:r>
      <w:r w:rsidRPr="00045BB7">
        <w:rPr>
          <w:rFonts w:ascii="Times New Roman" w:hAnsi="Times New Roman" w:cs="Times New Roman"/>
          <w:color w:val="000000" w:themeColor="text1"/>
          <w:sz w:val="28"/>
          <w:szCs w:val="28"/>
        </w:rPr>
        <w:t>que tenga la virtualidad de desvirtuar la presunción de constitucionalidad que tienen las normas legales y que propicie un pronunciamiento de fondo por parte</w:t>
      </w:r>
      <w:r w:rsidRPr="00045BB7">
        <w:rPr>
          <w:rFonts w:ascii="Times New Roman" w:hAnsi="Times New Roman" w:cs="Times New Roman"/>
          <w:color w:val="000000" w:themeColor="text1"/>
          <w:sz w:val="28"/>
          <w:szCs w:val="28"/>
        </w:rPr>
        <w:t xml:space="preserve"> de esta Corporación. </w:t>
      </w:r>
    </w:p>
    <w:p w:rsidR="00522560" w:rsidRPr="00045BB7" w:rsidRDefault="00045BB7" w:rsidP="00522560">
      <w:pPr>
        <w:pStyle w:val="Prrafodelista"/>
        <w:rPr>
          <w:rFonts w:ascii="Times New Roman" w:hAnsi="Times New Roman" w:cs="Times New Roman"/>
          <w:szCs w:val="28"/>
          <w:lang w:eastAsia="es-CO"/>
        </w:rPr>
      </w:pPr>
    </w:p>
    <w:p w:rsidR="00A762CA" w:rsidRPr="00045BB7" w:rsidRDefault="00045BB7" w:rsidP="0042190B">
      <w:pPr>
        <w:numPr>
          <w:ilvl w:val="0"/>
          <w:numId w:val="8"/>
        </w:numPr>
        <w:tabs>
          <w:tab w:val="left" w:pos="0"/>
          <w:tab w:val="left" w:pos="567"/>
        </w:tabs>
        <w:ind w:left="0" w:right="51" w:firstLine="0"/>
        <w:contextualSpacing/>
        <w:jc w:val="both"/>
        <w:rPr>
          <w:rFonts w:ascii="Times New Roman" w:hAnsi="Times New Roman" w:cs="Times New Roman"/>
          <w:color w:val="000000" w:themeColor="text1"/>
          <w:sz w:val="28"/>
          <w:szCs w:val="28"/>
        </w:rPr>
      </w:pPr>
      <w:r w:rsidRPr="00045BB7">
        <w:rPr>
          <w:rFonts w:ascii="Times New Roman" w:hAnsi="Times New Roman" w:cs="Times New Roman"/>
          <w:sz w:val="28"/>
          <w:szCs w:val="28"/>
        </w:rPr>
        <w:t>En consecuencia, la Corte concluye que el cargo formulado en contra de los incisos 2 y 6 (parcial) del artículo 50, el artículo 51 y el inciso 1 del artículo 52 de la Ley 1676 de 2013, por la presunta vulneración de los artículos 51 de la Constitución Polí</w:t>
      </w:r>
      <w:r w:rsidRPr="00045BB7">
        <w:rPr>
          <w:rFonts w:ascii="Times New Roman" w:hAnsi="Times New Roman" w:cs="Times New Roman"/>
          <w:sz w:val="28"/>
          <w:szCs w:val="28"/>
        </w:rPr>
        <w:t xml:space="preserve">tica y 11 del PIDESC </w:t>
      </w:r>
      <w:r w:rsidRPr="00045BB7">
        <w:rPr>
          <w:rFonts w:ascii="Times New Roman" w:hAnsi="Times New Roman" w:cs="Times New Roman"/>
          <w:sz w:val="28"/>
          <w:szCs w:val="28"/>
        </w:rPr>
        <w:t xml:space="preserve">no </w:t>
      </w:r>
      <w:r w:rsidRPr="00045BB7">
        <w:rPr>
          <w:rFonts w:ascii="Times New Roman" w:hAnsi="Times New Roman" w:cs="Times New Roman"/>
          <w:sz w:val="28"/>
          <w:szCs w:val="28"/>
        </w:rPr>
        <w:t>es apto</w:t>
      </w:r>
      <w:r w:rsidRPr="00045BB7">
        <w:rPr>
          <w:rFonts w:ascii="Times New Roman" w:hAnsi="Times New Roman" w:cs="Times New Roman"/>
          <w:sz w:val="28"/>
          <w:szCs w:val="28"/>
        </w:rPr>
        <w:t>,</w:t>
      </w:r>
      <w:r w:rsidRPr="00045BB7">
        <w:rPr>
          <w:rFonts w:ascii="Times New Roman" w:hAnsi="Times New Roman" w:cs="Times New Roman"/>
          <w:sz w:val="28"/>
          <w:szCs w:val="28"/>
        </w:rPr>
        <w:t xml:space="preserve"> </w:t>
      </w:r>
      <w:r w:rsidRPr="00045BB7">
        <w:rPr>
          <w:rFonts w:ascii="Times New Roman" w:hAnsi="Times New Roman" w:cs="Times New Roman"/>
          <w:sz w:val="28"/>
          <w:szCs w:val="28"/>
        </w:rPr>
        <w:t>por lo que le corresponde a la Corte declara</w:t>
      </w:r>
      <w:r w:rsidRPr="00045BB7">
        <w:rPr>
          <w:rFonts w:ascii="Times New Roman" w:hAnsi="Times New Roman" w:cs="Times New Roman"/>
          <w:sz w:val="28"/>
          <w:szCs w:val="28"/>
        </w:rPr>
        <w:t>r</w:t>
      </w:r>
      <w:r w:rsidRPr="00045BB7">
        <w:rPr>
          <w:rFonts w:ascii="Times New Roman" w:hAnsi="Times New Roman" w:cs="Times New Roman"/>
          <w:sz w:val="28"/>
          <w:szCs w:val="28"/>
        </w:rPr>
        <w:t xml:space="preserve">se inhibida para pronunciarse de fondo. </w:t>
      </w:r>
    </w:p>
    <w:p w:rsidR="00BC5541" w:rsidRPr="00045BB7" w:rsidRDefault="00045BB7" w:rsidP="006A1B60">
      <w:pPr>
        <w:tabs>
          <w:tab w:val="left" w:pos="0"/>
          <w:tab w:val="left" w:pos="567"/>
        </w:tabs>
        <w:ind w:right="51"/>
        <w:contextualSpacing/>
        <w:jc w:val="both"/>
        <w:rPr>
          <w:rFonts w:ascii="Times New Roman" w:hAnsi="Times New Roman" w:cs="Times New Roman"/>
          <w:i/>
          <w:iCs/>
          <w:sz w:val="28"/>
          <w:szCs w:val="28"/>
        </w:rPr>
      </w:pPr>
    </w:p>
    <w:p w:rsidR="00060537" w:rsidRPr="00045BB7" w:rsidRDefault="00045BB7" w:rsidP="00005DC5">
      <w:pPr>
        <w:pStyle w:val="Ttulo1"/>
        <w:numPr>
          <w:ilvl w:val="0"/>
          <w:numId w:val="6"/>
        </w:numPr>
        <w:pBdr>
          <w:left w:val="none" w:sz="0" w:space="31" w:color="000000"/>
        </w:pBdr>
        <w:ind w:left="360" w:hanging="360"/>
        <w:rPr>
          <w:rFonts w:ascii="Times New Roman" w:hAnsi="Times New Roman" w:cs="Times New Roman"/>
          <w:iCs/>
        </w:rPr>
      </w:pPr>
      <w:r w:rsidRPr="00045BB7">
        <w:rPr>
          <w:rFonts w:ascii="Times New Roman" w:hAnsi="Times New Roman" w:cs="Times New Roman"/>
        </w:rPr>
        <w:t>DECISIÓN</w:t>
      </w:r>
    </w:p>
    <w:p w:rsidR="00060537" w:rsidRPr="00045BB7" w:rsidRDefault="00045BB7" w:rsidP="00060537">
      <w:pPr>
        <w:widowControl w:val="0"/>
        <w:ind w:right="51"/>
        <w:jc w:val="both"/>
        <w:rPr>
          <w:rFonts w:ascii="Times New Roman" w:hAnsi="Times New Roman" w:cs="Times New Roman"/>
          <w:b/>
          <w:sz w:val="28"/>
          <w:szCs w:val="28"/>
        </w:rPr>
      </w:pPr>
    </w:p>
    <w:p w:rsidR="00060537" w:rsidRPr="00045BB7" w:rsidRDefault="00045BB7" w:rsidP="00060537">
      <w:pPr>
        <w:widowControl w:val="0"/>
        <w:ind w:right="51"/>
        <w:jc w:val="both"/>
        <w:rPr>
          <w:rFonts w:ascii="Times New Roman" w:hAnsi="Times New Roman" w:cs="Times New Roman"/>
          <w:sz w:val="28"/>
          <w:szCs w:val="28"/>
        </w:rPr>
      </w:pPr>
      <w:r w:rsidRPr="00045BB7">
        <w:rPr>
          <w:rFonts w:ascii="Times New Roman" w:hAnsi="Times New Roman" w:cs="Times New Roman"/>
          <w:sz w:val="28"/>
          <w:szCs w:val="28"/>
        </w:rPr>
        <w:t xml:space="preserve">En mérito de lo expuesto, la Sala </w:t>
      </w:r>
      <w:r w:rsidRPr="00045BB7">
        <w:rPr>
          <w:rFonts w:ascii="Times New Roman" w:hAnsi="Times New Roman" w:cs="Times New Roman"/>
          <w:sz w:val="28"/>
          <w:szCs w:val="28"/>
        </w:rPr>
        <w:t>Plena de</w:t>
      </w:r>
      <w:r w:rsidRPr="00045BB7">
        <w:rPr>
          <w:rFonts w:ascii="Times New Roman" w:hAnsi="Times New Roman" w:cs="Times New Roman"/>
          <w:sz w:val="28"/>
          <w:szCs w:val="28"/>
        </w:rPr>
        <w:t xml:space="preserve"> la Corte Constitucional, en nombre del pueblo y por mandato de la Constitución,</w:t>
      </w:r>
    </w:p>
    <w:p w:rsidR="00196561" w:rsidRPr="00045BB7" w:rsidRDefault="00045BB7" w:rsidP="00060537">
      <w:pPr>
        <w:ind w:right="51"/>
        <w:jc w:val="both"/>
        <w:rPr>
          <w:rFonts w:ascii="Times New Roman" w:hAnsi="Times New Roman" w:cs="Times New Roman"/>
          <w:sz w:val="28"/>
          <w:szCs w:val="28"/>
        </w:rPr>
      </w:pPr>
    </w:p>
    <w:p w:rsidR="00060537" w:rsidRPr="00045BB7" w:rsidRDefault="00045BB7" w:rsidP="00060537">
      <w:pPr>
        <w:widowControl w:val="0"/>
        <w:ind w:right="51"/>
        <w:jc w:val="center"/>
        <w:rPr>
          <w:rFonts w:ascii="Times New Roman" w:hAnsi="Times New Roman" w:cs="Times New Roman"/>
          <w:b/>
          <w:sz w:val="28"/>
          <w:szCs w:val="28"/>
        </w:rPr>
      </w:pPr>
      <w:r w:rsidRPr="00045BB7">
        <w:rPr>
          <w:rFonts w:ascii="Times New Roman" w:hAnsi="Times New Roman" w:cs="Times New Roman"/>
          <w:b/>
          <w:sz w:val="28"/>
          <w:szCs w:val="28"/>
        </w:rPr>
        <w:t>RESUELVE</w:t>
      </w:r>
    </w:p>
    <w:p w:rsidR="00060537" w:rsidRPr="00045BB7" w:rsidRDefault="00045BB7" w:rsidP="00060537">
      <w:pPr>
        <w:widowControl w:val="0"/>
        <w:ind w:right="51"/>
        <w:jc w:val="both"/>
        <w:rPr>
          <w:rFonts w:ascii="Times New Roman" w:hAnsi="Times New Roman" w:cs="Times New Roman"/>
          <w:b/>
          <w:sz w:val="28"/>
          <w:szCs w:val="28"/>
        </w:rPr>
      </w:pPr>
    </w:p>
    <w:p w:rsidR="00F86D91" w:rsidRPr="00045BB7" w:rsidRDefault="00045BB7" w:rsidP="00C8273B">
      <w:pPr>
        <w:widowControl w:val="0"/>
        <w:ind w:right="51"/>
        <w:jc w:val="both"/>
        <w:rPr>
          <w:rFonts w:ascii="Times New Roman" w:hAnsi="Times New Roman" w:cs="Times New Roman"/>
          <w:bCs/>
          <w:sz w:val="28"/>
          <w:szCs w:val="28"/>
        </w:rPr>
      </w:pPr>
      <w:r w:rsidRPr="00045BB7">
        <w:rPr>
          <w:rFonts w:ascii="Times New Roman" w:hAnsi="Times New Roman" w:cs="Times New Roman"/>
          <w:b/>
          <w:sz w:val="28"/>
          <w:szCs w:val="28"/>
        </w:rPr>
        <w:t>Único</w:t>
      </w:r>
      <w:r w:rsidRPr="00045BB7">
        <w:rPr>
          <w:rFonts w:ascii="Times New Roman" w:hAnsi="Times New Roman" w:cs="Times New Roman"/>
          <w:b/>
          <w:sz w:val="28"/>
          <w:szCs w:val="28"/>
        </w:rPr>
        <w:t xml:space="preserve">. </w:t>
      </w:r>
      <w:r w:rsidRPr="00045BB7">
        <w:rPr>
          <w:rFonts w:ascii="Times New Roman" w:hAnsi="Times New Roman" w:cs="Times New Roman"/>
          <w:bCs/>
          <w:sz w:val="28"/>
          <w:szCs w:val="28"/>
        </w:rPr>
        <w:t>Declarar</w:t>
      </w:r>
      <w:r w:rsidRPr="00045BB7">
        <w:rPr>
          <w:rFonts w:ascii="Times New Roman" w:hAnsi="Times New Roman" w:cs="Times New Roman"/>
          <w:bCs/>
          <w:sz w:val="28"/>
          <w:szCs w:val="28"/>
        </w:rPr>
        <w:t xml:space="preserve">se </w:t>
      </w:r>
      <w:r w:rsidRPr="00045BB7">
        <w:rPr>
          <w:rFonts w:ascii="Times New Roman" w:hAnsi="Times New Roman" w:cs="Times New Roman"/>
          <w:b/>
          <w:sz w:val="28"/>
          <w:szCs w:val="28"/>
        </w:rPr>
        <w:t>INHIBIDA</w:t>
      </w:r>
      <w:r w:rsidRPr="00045BB7">
        <w:rPr>
          <w:rFonts w:ascii="Times New Roman" w:hAnsi="Times New Roman" w:cs="Times New Roman"/>
          <w:bCs/>
          <w:sz w:val="28"/>
          <w:szCs w:val="28"/>
        </w:rPr>
        <w:t xml:space="preserve"> para pronunciarse sobre la constitucionalidad de los </w:t>
      </w:r>
      <w:r w:rsidRPr="00045BB7">
        <w:rPr>
          <w:rFonts w:ascii="Times New Roman" w:hAnsi="Times New Roman" w:cs="Times New Roman"/>
          <w:bCs/>
          <w:sz w:val="28"/>
          <w:szCs w:val="28"/>
        </w:rPr>
        <w:t xml:space="preserve">incisos 2 y 6 (parcial) del artículo 50, el artículo 51 y el inciso 1º del artículo 52 de la Ley 1676 de 2013, “por medio de la cual se promueve el acceso al crédito </w:t>
      </w:r>
      <w:r w:rsidRPr="00045BB7">
        <w:rPr>
          <w:rFonts w:ascii="Times New Roman" w:hAnsi="Times New Roman" w:cs="Times New Roman"/>
          <w:bCs/>
          <w:sz w:val="28"/>
          <w:szCs w:val="28"/>
        </w:rPr>
        <w:t xml:space="preserve">y se dictan normas sobre garantías mobiliarias”, </w:t>
      </w:r>
      <w:r w:rsidRPr="00045BB7">
        <w:rPr>
          <w:rFonts w:ascii="Times New Roman" w:hAnsi="Times New Roman" w:cs="Times New Roman"/>
          <w:bCs/>
          <w:sz w:val="28"/>
          <w:szCs w:val="28"/>
        </w:rPr>
        <w:t>por ineptitud sustantiva de la demanda.</w:t>
      </w:r>
    </w:p>
    <w:p w:rsidR="00060537" w:rsidRPr="00045BB7" w:rsidRDefault="00045BB7" w:rsidP="00060537">
      <w:pPr>
        <w:ind w:right="51"/>
        <w:jc w:val="both"/>
        <w:rPr>
          <w:rFonts w:ascii="Times New Roman" w:hAnsi="Times New Roman" w:cs="Times New Roman"/>
          <w:sz w:val="28"/>
          <w:szCs w:val="28"/>
        </w:rPr>
      </w:pPr>
    </w:p>
    <w:p w:rsidR="0087778E" w:rsidRPr="00045BB7" w:rsidRDefault="00045BB7" w:rsidP="00D90449">
      <w:pPr>
        <w:ind w:right="51"/>
        <w:jc w:val="both"/>
        <w:rPr>
          <w:rFonts w:ascii="Times New Roman" w:hAnsi="Times New Roman" w:cs="Times New Roman"/>
          <w:sz w:val="28"/>
          <w:szCs w:val="28"/>
        </w:rPr>
      </w:pPr>
      <w:r w:rsidRPr="00045BB7">
        <w:rPr>
          <w:rFonts w:ascii="Times New Roman" w:hAnsi="Times New Roman" w:cs="Times New Roman"/>
          <w:sz w:val="28"/>
          <w:szCs w:val="28"/>
        </w:rPr>
        <w:t>Notifíquese, c</w:t>
      </w:r>
      <w:r w:rsidRPr="00045BB7">
        <w:rPr>
          <w:rFonts w:ascii="Times New Roman" w:hAnsi="Times New Roman" w:cs="Times New Roman"/>
          <w:sz w:val="28"/>
          <w:szCs w:val="28"/>
        </w:rPr>
        <w:t>omuníquese y cúmplase,</w:t>
      </w:r>
    </w:p>
    <w:p w:rsidR="00E05113" w:rsidRPr="00045BB7" w:rsidRDefault="00045BB7" w:rsidP="00D90449">
      <w:pPr>
        <w:ind w:right="51"/>
        <w:jc w:val="both"/>
        <w:rPr>
          <w:rFonts w:ascii="Times New Roman" w:hAnsi="Times New Roman" w:cs="Times New Roman"/>
          <w:sz w:val="28"/>
          <w:szCs w:val="28"/>
        </w:rPr>
      </w:pPr>
    </w:p>
    <w:p w:rsidR="00E05113" w:rsidRPr="00045BB7" w:rsidRDefault="00045BB7" w:rsidP="00D90449">
      <w:pPr>
        <w:ind w:right="51"/>
        <w:jc w:val="both"/>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JOSE FERNANDO REYES CUARTAS</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Presidente</w:t>
      </w: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NATALIA ÁNGEL CABO</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Magistrada</w:t>
      </w: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JUAN CARLOS CORTÉS GONZÁLEZ</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Magistrado</w:t>
      </w: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 xml:space="preserve">DIANA </w:t>
      </w:r>
      <w:r w:rsidRPr="00045BB7">
        <w:rPr>
          <w:rFonts w:ascii="Times New Roman" w:hAnsi="Times New Roman" w:cs="Times New Roman"/>
          <w:sz w:val="28"/>
          <w:szCs w:val="28"/>
        </w:rPr>
        <w:t>FAJARDO RIVERA</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Magistrada</w:t>
      </w: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VLADIMIR FERNÁNDEZ ANDRADE</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Magistrado</w:t>
      </w: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 xml:space="preserve">JORGE ENRIQUE IBÁÑEZ NAJAR </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Magistrado</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Ausente con excusa</w:t>
      </w: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ANTONIO JOSÉ LIZARAZO OCAMPO</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Magistrado</w:t>
      </w: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PAOLA ANDREA MENESES MOSQUERA</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Magistrada</w:t>
      </w: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CRISTINA PARDO SCHLESINGER</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Magistrada</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Con impedimento aceptado</w:t>
      </w: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ANDREA LILIANA ROMERO LOPEZ</w:t>
      </w:r>
    </w:p>
    <w:p w:rsidR="00E05113" w:rsidRPr="00045BB7" w:rsidRDefault="00045BB7" w:rsidP="00E05113">
      <w:pPr>
        <w:ind w:right="51"/>
        <w:jc w:val="center"/>
        <w:rPr>
          <w:rFonts w:ascii="Times New Roman" w:hAnsi="Times New Roman" w:cs="Times New Roman"/>
          <w:sz w:val="28"/>
          <w:szCs w:val="28"/>
        </w:rPr>
      </w:pPr>
      <w:r w:rsidRPr="00045BB7">
        <w:rPr>
          <w:rFonts w:ascii="Times New Roman" w:hAnsi="Times New Roman" w:cs="Times New Roman"/>
          <w:sz w:val="28"/>
          <w:szCs w:val="28"/>
        </w:rPr>
        <w:t>Secretaria General</w:t>
      </w:r>
    </w:p>
    <w:sectPr w:rsidR="00E05113" w:rsidRPr="00045BB7">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45BB7">
      <w:pPr>
        <w:spacing w:after="0" w:line="240" w:lineRule="auto"/>
      </w:pPr>
      <w:r>
        <w:separator/>
      </w:r>
    </w:p>
  </w:endnote>
  <w:endnote w:type="continuationSeparator" w:id="0">
    <w:p w:rsidR="00000000" w:rsidRDefault="00045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ttawa">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45BB7">
      <w:pPr>
        <w:spacing w:after="0" w:line="240" w:lineRule="auto"/>
      </w:pPr>
      <w:r>
        <w:separator/>
      </w:r>
    </w:p>
  </w:footnote>
  <w:footnote w:type="continuationSeparator" w:id="0">
    <w:p w:rsidR="00000000" w:rsidRDefault="00045BB7">
      <w:pPr>
        <w:spacing w:after="0" w:line="240" w:lineRule="auto"/>
      </w:pPr>
      <w:r>
        <w:continuationSeparator/>
      </w:r>
    </w:p>
  </w:footnote>
  <w:footnote w:id="1">
    <w:p w:rsidR="00AC1888" w:rsidRPr="004C792A" w:rsidRDefault="00045BB7" w:rsidP="003638B9">
      <w:pPr>
        <w:pStyle w:val="Textonotapie"/>
        <w:jc w:val="both"/>
        <w:rPr>
          <w:lang w:val="es-ES"/>
        </w:rPr>
      </w:pPr>
      <w:r w:rsidRPr="004C792A">
        <w:rPr>
          <w:rStyle w:val="Refdenotaalpie"/>
        </w:rPr>
        <w:footnoteRef/>
      </w:r>
      <w:r w:rsidRPr="004C792A">
        <w:t xml:space="preserve"> </w:t>
      </w:r>
      <w:r w:rsidRPr="004C792A">
        <w:rPr>
          <w:bCs/>
        </w:rPr>
        <w:t>“</w:t>
      </w:r>
      <w:r w:rsidRPr="004C792A">
        <w:rPr>
          <w:bCs/>
          <w:i/>
          <w:iCs/>
        </w:rPr>
        <w:t>Por la cual se promueve el acceso al crédito y se dictan normas sobre garantías mobiliarias”.</w:t>
      </w:r>
    </w:p>
  </w:footnote>
  <w:footnote w:id="2">
    <w:p w:rsidR="00E43BE8"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Expediente digital. D0015813-Auto Inadmisorio-(2024-05-08 05-12-36).pdf., pp. 14-1</w:t>
      </w:r>
      <w:r w:rsidRPr="004C792A">
        <w:rPr>
          <w:lang w:val="es-ES"/>
        </w:rPr>
        <w:t xml:space="preserve">5. </w:t>
      </w:r>
    </w:p>
  </w:footnote>
  <w:footnote w:id="3">
    <w:p w:rsidR="00084EE3" w:rsidRPr="004C792A" w:rsidRDefault="00045BB7" w:rsidP="003638B9">
      <w:pPr>
        <w:pStyle w:val="Textonotapie"/>
        <w:jc w:val="both"/>
        <w:rPr>
          <w:lang w:val="es-ES"/>
        </w:rPr>
      </w:pPr>
      <w:r w:rsidRPr="004C792A">
        <w:rPr>
          <w:rStyle w:val="Refdenotaalpie"/>
        </w:rPr>
        <w:footnoteRef/>
      </w:r>
      <w:r w:rsidRPr="004C792A">
        <w:t xml:space="preserve"> </w:t>
      </w:r>
      <w:r w:rsidRPr="004C792A">
        <w:rPr>
          <w:bCs/>
        </w:rPr>
        <w:t>Si bien el accionante no mencionó el referido artículo 93, s</w:t>
      </w:r>
      <w:r w:rsidRPr="004C792A">
        <w:rPr>
          <w:bCs/>
        </w:rPr>
        <w:t>í</w:t>
      </w:r>
      <w:r w:rsidRPr="004C792A">
        <w:rPr>
          <w:bCs/>
        </w:rPr>
        <w:t xml:space="preserve"> precisó que el artículo 11 del PIDESC forma parte del bloque de constitucionalidad. Cfr. </w:t>
      </w:r>
      <w:r w:rsidRPr="004C792A">
        <w:rPr>
          <w:lang w:val="es-ES"/>
        </w:rPr>
        <w:t>Expediente digital. Escrito de demanda, pp. 6, 6, 11, entre otras.</w:t>
      </w:r>
    </w:p>
  </w:footnote>
  <w:footnote w:id="4">
    <w:p w:rsidR="00876023" w:rsidRPr="004C792A" w:rsidRDefault="00045BB7" w:rsidP="003638B9">
      <w:pPr>
        <w:pStyle w:val="Textonotapie"/>
        <w:jc w:val="both"/>
      </w:pPr>
      <w:r w:rsidRPr="004C792A">
        <w:rPr>
          <w:rStyle w:val="Refdenotaalpie"/>
        </w:rPr>
        <w:footnoteRef/>
      </w:r>
      <w:r w:rsidRPr="004C792A">
        <w:t xml:space="preserve"> E</w:t>
      </w:r>
      <w:r w:rsidRPr="004C792A">
        <w:t>x</w:t>
      </w:r>
      <w:r w:rsidRPr="004C792A">
        <w:t xml:space="preserve">pediente digital. </w:t>
      </w:r>
      <w:r w:rsidRPr="004C792A">
        <w:t>D0015813-Corrección a la Demanda-(2024-05-14 23-45-47).pdf., p.11.</w:t>
      </w:r>
    </w:p>
  </w:footnote>
  <w:footnote w:id="5">
    <w:p w:rsidR="0026082B"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Ib., p, 15.</w:t>
      </w:r>
    </w:p>
  </w:footnote>
  <w:footnote w:id="6">
    <w:p w:rsidR="00FE0254"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Ib., p. 27. </w:t>
      </w:r>
    </w:p>
  </w:footnote>
  <w:footnote w:id="7">
    <w:p w:rsidR="006E6AE8"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Ib., pp. 27 y 28. </w:t>
      </w:r>
    </w:p>
  </w:footnote>
  <w:footnote w:id="8">
    <w:p w:rsidR="00063451"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Ib., p. 21. </w:t>
      </w:r>
    </w:p>
  </w:footnote>
  <w:footnote w:id="9">
    <w:p w:rsidR="00063451"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Ib., p. 29</w:t>
      </w:r>
    </w:p>
  </w:footnote>
  <w:footnote w:id="10">
    <w:p w:rsidR="00063451"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Ib.</w:t>
      </w:r>
    </w:p>
  </w:footnote>
  <w:footnote w:id="11">
    <w:p w:rsidR="002E5F05"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Ib., p. 29.</w:t>
      </w:r>
    </w:p>
  </w:footnote>
  <w:footnote w:id="12">
    <w:p w:rsidR="00747752"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Ib., p. 36. </w:t>
      </w:r>
    </w:p>
  </w:footnote>
  <w:footnote w:id="13">
    <w:p w:rsidR="000D2C1B" w:rsidRPr="004C792A" w:rsidRDefault="00045BB7" w:rsidP="003638B9">
      <w:pPr>
        <w:pStyle w:val="Textonotapie"/>
        <w:jc w:val="both"/>
      </w:pPr>
      <w:r w:rsidRPr="004C792A">
        <w:rPr>
          <w:rStyle w:val="Refdenotaalpie"/>
        </w:rPr>
        <w:footnoteRef/>
      </w:r>
      <w:r w:rsidRPr="004C792A">
        <w:t xml:space="preserve"> </w:t>
      </w:r>
      <w:r w:rsidRPr="004C792A">
        <w:t xml:space="preserve">Dos intervinientes solicitan a la Corte estarse a lo resuelto en la </w:t>
      </w:r>
      <w:r w:rsidRPr="004C792A">
        <w:t>S</w:t>
      </w:r>
      <w:r w:rsidRPr="004C792A">
        <w:t>entencia C-145 de 2018, cinco consideran que la demanda no es apta y por lo tanto, la Sala Plena debe declararse inhibida, dos estiman que las disposiciones demandadas son exequibles, un interviniente pide a la Corte declarar la exequibilidad condicionada,</w:t>
      </w:r>
      <w:r w:rsidRPr="004C792A">
        <w:t xml:space="preserve"> seis solicitan que se declare la inexequibilidad y, por último, se allegó una intervención que da cuenta del alcance y sentido de la norma, pero que no indica postura alguna sobre la constitucionalidad o no de los artículos acusados.</w:t>
      </w:r>
    </w:p>
  </w:footnote>
  <w:footnote w:id="14">
    <w:p w:rsidR="007106B2" w:rsidRPr="004C792A" w:rsidRDefault="00045BB7" w:rsidP="003638B9">
      <w:pPr>
        <w:pStyle w:val="Textonotapie"/>
        <w:jc w:val="both"/>
        <w:rPr>
          <w:lang w:val="es-ES"/>
        </w:rPr>
      </w:pPr>
      <w:r w:rsidRPr="004C792A">
        <w:rPr>
          <w:rStyle w:val="Refdenotaalpie"/>
        </w:rPr>
        <w:footnoteRef/>
      </w:r>
      <w:r w:rsidRPr="004C792A">
        <w:t xml:space="preserve"> La ciudadana Diana </w:t>
      </w:r>
      <w:r w:rsidRPr="004C792A">
        <w:t xml:space="preserve">Rivera se limita a referir al alcance y sentido de las normas demandadas sin que se pueda derivar de su intervención si considera que los artículos acusados son o no contrarios al artículo 51 constitucional. En particular, refiere que </w:t>
      </w:r>
      <w:r w:rsidRPr="004C792A">
        <w:rPr>
          <w:bCs/>
          <w:iCs/>
        </w:rPr>
        <w:t xml:space="preserve">“en el evento en que </w:t>
      </w:r>
      <w:r w:rsidRPr="004C792A">
        <w:rPr>
          <w:bCs/>
          <w:iCs/>
        </w:rPr>
        <w:t>el juez del concurso no consider[e] adecuadamente los derechos de los compradores comprometidos en procesos de reorganización y liquidación judicial, la aplicación de los artículos [demandados] sería regresiva respecto del derecho a la vivienda digna y los</w:t>
      </w:r>
      <w:r w:rsidRPr="004C792A">
        <w:rPr>
          <w:bCs/>
          <w:iCs/>
        </w:rPr>
        <w:t xml:space="preserve"> avances alcanzados en las normas concursales anteriores”, esto es, las Leyes 550 de 1999 y 1116 de 2006. Con todo, afirma que para que se dé esa regresividad, es necesario que exista financiación bancaria o de terceros al constructor o al patrimonio desti</w:t>
      </w:r>
      <w:r w:rsidRPr="004C792A">
        <w:rPr>
          <w:bCs/>
          <w:iCs/>
        </w:rPr>
        <w:t>nado al desarrollo del proyecto inmobiliario y que dicha financiación haya sido garantizada con hipoteca o similares, sujetas a la Ley 1676 de 2013. También resalta que la Ley 1676 de 2013 se refiere únicamente en tres artículos a temas de insolvencia, por</w:t>
      </w:r>
      <w:r w:rsidRPr="004C792A">
        <w:rPr>
          <w:bCs/>
          <w:iCs/>
        </w:rPr>
        <w:t xml:space="preserve"> lo tanto, su interpretación debe hacerse de conformidad con la Ley 1116 de 2006, la cual regula específicamente los procesos de insolvencia y, proporciona protección a los promitentes compradores, específicamente su artículo 51 permite que los compradores</w:t>
      </w:r>
      <w:r w:rsidRPr="004C792A">
        <w:rPr>
          <w:bCs/>
          <w:iCs/>
        </w:rPr>
        <w:t xml:space="preserve"> puedan firmar la escritura de compraventa con el liquidador. </w:t>
      </w:r>
      <w:r w:rsidRPr="004C792A">
        <w:rPr>
          <w:bCs/>
          <w:i/>
        </w:rPr>
        <w:t xml:space="preserve">Cfr. </w:t>
      </w:r>
      <w:r w:rsidRPr="004C792A">
        <w:rPr>
          <w:lang w:val="es-ES"/>
        </w:rPr>
        <w:t>Expediente digital. D0015813-Conceptos e Intervenciones-(2024-06-20 21-48-37).pdf, 2.</w:t>
      </w:r>
    </w:p>
  </w:footnote>
  <w:footnote w:id="15">
    <w:p w:rsidR="00F918B3" w:rsidRPr="004C792A" w:rsidRDefault="00045BB7" w:rsidP="00D61B4A">
      <w:pPr>
        <w:pStyle w:val="Textonotapie"/>
        <w:jc w:val="both"/>
        <w:rPr>
          <w:lang w:val="es-ES"/>
        </w:rPr>
      </w:pPr>
      <w:r w:rsidRPr="004C792A">
        <w:rPr>
          <w:rStyle w:val="Refdenotaalpie"/>
        </w:rPr>
        <w:footnoteRef/>
      </w:r>
      <w:r w:rsidRPr="004C792A">
        <w:t xml:space="preserve"> </w:t>
      </w:r>
      <w:r w:rsidRPr="004C792A">
        <w:rPr>
          <w:lang w:val="es-ES"/>
        </w:rPr>
        <w:t xml:space="preserve">El Ministerio de Comercio, Industria y Turismo y el ciudadano Juan David Gómez Pérez solicitan la </w:t>
      </w:r>
      <w:r w:rsidRPr="004C792A">
        <w:rPr>
          <w:lang w:val="es-ES"/>
        </w:rPr>
        <w:t>declaratoria de cosa juzgada como solicitud principal.</w:t>
      </w:r>
    </w:p>
  </w:footnote>
  <w:footnote w:id="16">
    <w:p w:rsidR="00625164"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Expediente digital. D0015813-Conceptos e Intervenciones-(2024-06-18 07-04-30).pdf, p. 7.</w:t>
      </w:r>
    </w:p>
  </w:footnote>
  <w:footnote w:id="17">
    <w:p w:rsidR="00ED54AC"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D0015813-Conceptos e Intervenciones-(2024-06-22 00-46-56).pdf, p. 9. </w:t>
      </w:r>
    </w:p>
  </w:footnote>
  <w:footnote w:id="18">
    <w:p w:rsidR="00F918B3" w:rsidRPr="004C792A" w:rsidRDefault="00045BB7" w:rsidP="00D61B4A">
      <w:pPr>
        <w:pStyle w:val="Textonotapie"/>
        <w:jc w:val="both"/>
      </w:pPr>
      <w:r w:rsidRPr="004C792A">
        <w:rPr>
          <w:rStyle w:val="Refdenotaalpie"/>
        </w:rPr>
        <w:footnoteRef/>
      </w:r>
      <w:r w:rsidRPr="004C792A">
        <w:t xml:space="preserve"> El Ministerio de</w:t>
      </w:r>
      <w:r w:rsidRPr="004C792A">
        <w:t xml:space="preserve"> Comercio, Industria y Turismo y el ciudadano Juan David Gómez Pérez solicitan la inhibición como pretensión principal frente al artículo 52 y subsidiaria en relación con los artículos 50 y 51.</w:t>
      </w:r>
      <w:r w:rsidRPr="004C792A">
        <w:t xml:space="preserve"> Por su parte, la SuperSociedades, la Universidad pontificia Bo</w:t>
      </w:r>
      <w:r w:rsidRPr="004C792A">
        <w:t xml:space="preserve">livariana, </w:t>
      </w:r>
      <w:r w:rsidRPr="004C792A">
        <w:t>e</w:t>
      </w:r>
      <w:r w:rsidRPr="004C792A">
        <w:t xml:space="preserve">l Ministerio de Vivienda, Ciudad y Territorio, el Instituto Colombiano de Derecho Procesal y El DAPRE piden la inhibición como solicitud principal. </w:t>
      </w:r>
    </w:p>
  </w:footnote>
  <w:footnote w:id="19">
    <w:p w:rsidR="0085209D"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D0015813-Conceptos e Intervenciones-(2024-06-22 00-25-54).pdf, p. 2. </w:t>
      </w:r>
    </w:p>
  </w:footnote>
  <w:footnote w:id="20">
    <w:p w:rsidR="00B13C5D" w:rsidRPr="004C792A" w:rsidRDefault="00045BB7" w:rsidP="003638B9">
      <w:pPr>
        <w:pStyle w:val="Textonotapie"/>
        <w:jc w:val="both"/>
        <w:rPr>
          <w:lang w:val="es-ES"/>
        </w:rPr>
      </w:pPr>
      <w:r w:rsidRPr="004C792A">
        <w:rPr>
          <w:rStyle w:val="Refdenotaalpie"/>
        </w:rPr>
        <w:footnoteRef/>
      </w:r>
      <w:r w:rsidRPr="004C792A">
        <w:rPr>
          <w:lang w:val="es-ES"/>
        </w:rPr>
        <w:t xml:space="preserve"> Expediente digital. D0015813-Conceptos e Intervenciones-(2024-06-20 10-58-25).pdf, p. 3. </w:t>
      </w:r>
    </w:p>
  </w:footnote>
  <w:footnote w:id="21">
    <w:p w:rsidR="00B13C5D"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D0015813-Conceptos e Intervenciones-(2024-06-20 10-58-25).pdf, p. 4. </w:t>
      </w:r>
    </w:p>
  </w:footnote>
  <w:footnote w:id="22">
    <w:p w:rsidR="00B13C5D"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Expediente digital. D0015813-Conceptos e Intervenciones-(2024-06-22 00-</w:t>
      </w:r>
      <w:r w:rsidRPr="004C792A">
        <w:rPr>
          <w:lang w:val="es-ES"/>
        </w:rPr>
        <w:t xml:space="preserve">28-01).pdf, p. 5. </w:t>
      </w:r>
    </w:p>
  </w:footnote>
  <w:footnote w:id="23">
    <w:p w:rsidR="00B13C5D"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Expediente digital. D0015813-Conceptos e Intervenciones-(2024-06-20 10-58-25).pdf, p. 5.</w:t>
      </w:r>
    </w:p>
  </w:footnote>
  <w:footnote w:id="24">
    <w:p w:rsidR="00535DE9" w:rsidRPr="004C792A" w:rsidRDefault="00045BB7" w:rsidP="003638B9">
      <w:pPr>
        <w:pStyle w:val="Textonotapie"/>
        <w:jc w:val="both"/>
      </w:pPr>
      <w:r w:rsidRPr="004C792A">
        <w:rPr>
          <w:rStyle w:val="Refdenotaalpie"/>
        </w:rPr>
        <w:footnoteRef/>
      </w:r>
      <w:r w:rsidRPr="004C792A">
        <w:t xml:space="preserve"> Expediente digital. D0015813-Conceptos e Intervenciones-(2024-06-17 17-01-08).pdf, p. 4</w:t>
      </w:r>
      <w:r w:rsidRPr="004C792A">
        <w:t xml:space="preserve"> y </w:t>
      </w:r>
      <w:r w:rsidRPr="004C792A">
        <w:rPr>
          <w:lang w:val="es-ES"/>
        </w:rPr>
        <w:t>Expediente digital. D0015813-Conceptos e Intervencione</w:t>
      </w:r>
      <w:r w:rsidRPr="004C792A">
        <w:rPr>
          <w:lang w:val="es-ES"/>
        </w:rPr>
        <w:t>s-(2024-06-18 07-04-30).pdf, p. 8.</w:t>
      </w:r>
    </w:p>
  </w:footnote>
  <w:footnote w:id="25">
    <w:p w:rsidR="00ED54AC" w:rsidRPr="004C792A" w:rsidRDefault="00045BB7" w:rsidP="003638B9">
      <w:pPr>
        <w:tabs>
          <w:tab w:val="left" w:pos="0"/>
          <w:tab w:val="left" w:pos="567"/>
        </w:tabs>
        <w:ind w:right="51"/>
        <w:contextualSpacing/>
        <w:jc w:val="both"/>
        <w:rPr>
          <w:bCs/>
          <w:i/>
          <w:sz w:val="20"/>
          <w:szCs w:val="20"/>
        </w:rPr>
      </w:pPr>
      <w:r w:rsidRPr="004C792A">
        <w:rPr>
          <w:rStyle w:val="Refdenotaalpie"/>
          <w:sz w:val="20"/>
          <w:szCs w:val="20"/>
        </w:rPr>
        <w:footnoteRef/>
      </w:r>
      <w:r w:rsidRPr="004C792A">
        <w:rPr>
          <w:sz w:val="20"/>
          <w:szCs w:val="20"/>
        </w:rPr>
        <w:t xml:space="preserve"> Expediente digital. D0015813-Conceptos e Intervenciones-(2024-06-17 17-01-08).pdf, p. 4.</w:t>
      </w:r>
      <w:r w:rsidRPr="004C792A">
        <w:rPr>
          <w:sz w:val="20"/>
          <w:szCs w:val="20"/>
        </w:rPr>
        <w:t xml:space="preserve"> </w:t>
      </w:r>
    </w:p>
  </w:footnote>
  <w:footnote w:id="26">
    <w:p w:rsidR="003B0AED"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Expediente digital. D0015813-Conceptos e Intervenciones-(2024-06-20 21-52-26).pdf, p. 3.</w:t>
      </w:r>
    </w:p>
  </w:footnote>
  <w:footnote w:id="27">
    <w:p w:rsidR="00B31B8D"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w:t>
      </w:r>
      <w:r w:rsidRPr="004C792A">
        <w:rPr>
          <w:lang w:val="es-ES"/>
        </w:rPr>
        <w:t>D0015813-Conceptos e Intervenciones-(2024-06-22 00-46-56).pdf, p. 14.</w:t>
      </w:r>
    </w:p>
  </w:footnote>
  <w:footnote w:id="28">
    <w:p w:rsidR="00B31B8D"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Ib. </w:t>
      </w:r>
    </w:p>
  </w:footnote>
  <w:footnote w:id="29">
    <w:p w:rsidR="008730E3"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D0015813-Conceptos e Intervenciones-(2024-06-20 10-58-25).pdf, p. 4. </w:t>
      </w:r>
      <w:r w:rsidRPr="004C792A">
        <w:rPr>
          <w:lang w:val="es-ES"/>
        </w:rPr>
        <w:t xml:space="preserve"> </w:t>
      </w:r>
    </w:p>
  </w:footnote>
  <w:footnote w:id="30">
    <w:p w:rsidR="008730E3"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D0015813-Conceptos e Intervenciones-(2024-06-20 10-58-25).pdf, </w:t>
      </w:r>
      <w:r w:rsidRPr="004C792A">
        <w:rPr>
          <w:lang w:val="es-ES"/>
        </w:rPr>
        <w:t>p</w:t>
      </w:r>
      <w:r w:rsidRPr="004C792A">
        <w:rPr>
          <w:lang w:val="es-ES"/>
        </w:rPr>
        <w:t xml:space="preserve">p. 4-5. </w:t>
      </w:r>
    </w:p>
  </w:footnote>
  <w:footnote w:id="31">
    <w:p w:rsidR="000D6AE4" w:rsidRPr="004C792A" w:rsidRDefault="00045BB7" w:rsidP="00D61B4A">
      <w:pPr>
        <w:pStyle w:val="Textonotapie"/>
        <w:jc w:val="both"/>
        <w:rPr>
          <w:i/>
        </w:rPr>
      </w:pPr>
      <w:r w:rsidRPr="004C792A">
        <w:rPr>
          <w:rStyle w:val="Refdenotaalpie"/>
        </w:rPr>
        <w:footnoteRef/>
      </w:r>
      <w:r w:rsidRPr="004C792A">
        <w:t xml:space="preserve"> </w:t>
      </w:r>
      <w:r w:rsidRPr="004C792A">
        <w:rPr>
          <w:lang w:val="es-ES"/>
        </w:rPr>
        <w:t xml:space="preserve">El Ministerio de Comercio, Industria y Turismo, el ciudadano Juan David Gómez, la SuperSociedades, el Instituto Colombiano de Derecho Procesal y el DAPRE piden la exequibilidad como pretensión subsidiaria a la inhibición. </w:t>
      </w:r>
      <w:r w:rsidRPr="004C792A">
        <w:rPr>
          <w:lang w:val="es-ES"/>
        </w:rPr>
        <w:t>L</w:t>
      </w:r>
      <w:r w:rsidRPr="004C792A">
        <w:rPr>
          <w:lang w:val="es-ES"/>
        </w:rPr>
        <w:t xml:space="preserve">a Academia Colombiana </w:t>
      </w:r>
      <w:r w:rsidRPr="004C792A">
        <w:rPr>
          <w:lang w:val="es-ES"/>
        </w:rPr>
        <w:t>de Jurisprudencia</w:t>
      </w:r>
      <w:r w:rsidRPr="004C792A">
        <w:rPr>
          <w:lang w:val="es-ES"/>
        </w:rPr>
        <w:t xml:space="preserve"> y</w:t>
      </w:r>
      <w:r w:rsidRPr="004C792A">
        <w:rPr>
          <w:lang w:val="es-ES"/>
        </w:rPr>
        <w:t xml:space="preserve"> la Universidad Externado abogan por la exequibilidad como solicitud principal. </w:t>
      </w:r>
      <w:r w:rsidRPr="004C792A">
        <w:t xml:space="preserve">En particular, la Academia Colombiana de Jurisprudencia afirma que </w:t>
      </w:r>
      <w:r w:rsidRPr="004C792A">
        <w:rPr>
          <w:bCs/>
          <w:iCs/>
        </w:rPr>
        <w:t xml:space="preserve">la presencia de las normas demandadas en el ordenamiento legal no desafía el espíritu del </w:t>
      </w:r>
      <w:r w:rsidRPr="004C792A">
        <w:rPr>
          <w:bCs/>
          <w:iCs/>
        </w:rPr>
        <w:t>artículo 51 de la Carta y tampoco causa “ambigüedad, confusión o conflicto en su interpretación y aplicación, lo que permite concluir que, no sería procedente -por injustificado y por demás inexplicable-, que la […] Corte Constitucional declarara la incons</w:t>
      </w:r>
      <w:r w:rsidRPr="004C792A">
        <w:rPr>
          <w:bCs/>
          <w:iCs/>
        </w:rPr>
        <w:t xml:space="preserve">titucionalidad”. </w:t>
      </w:r>
      <w:r w:rsidRPr="004C792A">
        <w:rPr>
          <w:bCs/>
          <w:i/>
        </w:rPr>
        <w:t xml:space="preserve">Cfr. </w:t>
      </w:r>
      <w:r w:rsidRPr="004C792A">
        <w:t xml:space="preserve">Expediente digital. D0015813-Conceptos e Intervenciones-(2024-06-22 00-23-11).pdf, p. 16. </w:t>
      </w:r>
      <w:r w:rsidRPr="004C792A">
        <w:rPr>
          <w:lang w:val="es-ES"/>
        </w:rPr>
        <w:t xml:space="preserve">Por su lado, la Universidad del Rosario defiende únicamente la constitucionalidad del artículo 51. A su juicio, se trata de </w:t>
      </w:r>
      <w:r w:rsidRPr="004C792A">
        <w:rPr>
          <w:bCs/>
          <w:iCs/>
        </w:rPr>
        <w:t>una “simple norma de</w:t>
      </w:r>
      <w:r w:rsidRPr="004C792A">
        <w:rPr>
          <w:bCs/>
          <w:iCs/>
        </w:rPr>
        <w:t xml:space="preserve"> remisión” y, en consecuencia, no cabe reparo alguno sobre su constitucionalidad. </w:t>
      </w:r>
    </w:p>
  </w:footnote>
  <w:footnote w:id="32">
    <w:p w:rsidR="00693499" w:rsidRPr="004C792A" w:rsidRDefault="00045BB7" w:rsidP="003638B9">
      <w:pPr>
        <w:pStyle w:val="Textonotapie"/>
        <w:jc w:val="both"/>
      </w:pPr>
      <w:r w:rsidRPr="004C792A">
        <w:rPr>
          <w:rStyle w:val="Refdenotaalpie"/>
        </w:rPr>
        <w:footnoteRef/>
      </w:r>
      <w:r w:rsidRPr="004C792A">
        <w:t xml:space="preserve"> </w:t>
      </w:r>
      <w:r w:rsidRPr="004C792A">
        <w:t>En general, el Ministerio de Comercio</w:t>
      </w:r>
      <w:r w:rsidRPr="004C792A">
        <w:t>,</w:t>
      </w:r>
      <w:r w:rsidRPr="004C792A">
        <w:t xml:space="preserve"> Industria y Turismo, la SuperSociedades, el DAPRE y el Instituto Colombiano de Derecho Procesal concuerdan en los argumentos uno, tres y cuatro, que se resumen en este acápite. Además, la SuperSociedades y el Instituto Colombiano de Derecho Procesal refie</w:t>
      </w:r>
      <w:r w:rsidRPr="004C792A">
        <w:t>ren a los argumentos número dos y cinco</w:t>
      </w:r>
      <w:r w:rsidRPr="004C792A">
        <w:t xml:space="preserve">. Por su lado, la Universidad Externado de Colombia concuerda con el argumento número 3 y añade el número 6. Finalmente, el </w:t>
      </w:r>
      <w:r w:rsidRPr="004C792A">
        <w:t xml:space="preserve">ciudadano Juan David Gómez Pérez refiere al número </w:t>
      </w:r>
      <w:r w:rsidRPr="004C792A">
        <w:t>siete</w:t>
      </w:r>
      <w:r w:rsidRPr="004C792A">
        <w:t xml:space="preserve">. </w:t>
      </w:r>
    </w:p>
  </w:footnote>
  <w:footnote w:id="33">
    <w:p w:rsidR="006824FE" w:rsidRPr="004C792A" w:rsidRDefault="00045BB7" w:rsidP="003638B9">
      <w:pPr>
        <w:pStyle w:val="Textonotapie"/>
        <w:jc w:val="both"/>
      </w:pPr>
      <w:r w:rsidRPr="004C792A">
        <w:rPr>
          <w:rStyle w:val="Refdenotaalpie"/>
        </w:rPr>
        <w:footnoteRef/>
      </w:r>
      <w:r w:rsidRPr="004C792A">
        <w:t xml:space="preserve"> “[</w:t>
      </w:r>
      <w:r w:rsidRPr="004C792A">
        <w:rPr>
          <w:bCs/>
          <w:iCs/>
        </w:rPr>
        <w:t>M]ediante la ampliación de bie</w:t>
      </w:r>
      <w:r w:rsidRPr="004C792A">
        <w:rPr>
          <w:bCs/>
          <w:iCs/>
        </w:rPr>
        <w:t xml:space="preserve">nes, derechos o acciones que puedan ser objeto de garantía mobiliaria, simplificando la constitución, oponibilidad, prelación y ejecución, sobre obligaciones presentes y futura[s]”. </w:t>
      </w:r>
      <w:r w:rsidRPr="004C792A">
        <w:rPr>
          <w:bCs/>
          <w:i/>
        </w:rPr>
        <w:t xml:space="preserve">Cfr. </w:t>
      </w:r>
      <w:r w:rsidRPr="004C792A">
        <w:rPr>
          <w:bCs/>
          <w:iCs/>
        </w:rPr>
        <w:t>Expediente digital. D0015813-Conceptos e Intervenciones-(2024-06-18 0</w:t>
      </w:r>
      <w:r w:rsidRPr="004C792A">
        <w:rPr>
          <w:bCs/>
          <w:iCs/>
        </w:rPr>
        <w:t>7-04-30).pdf, p. 9.</w:t>
      </w:r>
    </w:p>
  </w:footnote>
  <w:footnote w:id="34">
    <w:p w:rsidR="000900FD" w:rsidRPr="004C792A" w:rsidRDefault="00045BB7" w:rsidP="003638B9">
      <w:pPr>
        <w:pStyle w:val="Textonotapie"/>
        <w:jc w:val="both"/>
      </w:pPr>
      <w:r w:rsidRPr="004C792A">
        <w:rPr>
          <w:rStyle w:val="Refdenotaalpie"/>
        </w:rPr>
        <w:footnoteRef/>
      </w:r>
      <w:r w:rsidRPr="004C792A">
        <w:t xml:space="preserve"> </w:t>
      </w:r>
      <w:r w:rsidRPr="004C792A">
        <w:rPr>
          <w:lang w:val="es-ES"/>
        </w:rPr>
        <w:t>Expediente digital. D0015813-Conceptos e Intervenciones-(2024-06-22 00-25-54).pdf, p</w:t>
      </w:r>
      <w:r w:rsidRPr="004C792A">
        <w:rPr>
          <w:lang w:val="es-ES"/>
        </w:rPr>
        <w:t>p</w:t>
      </w:r>
      <w:r w:rsidRPr="004C792A">
        <w:rPr>
          <w:lang w:val="es-ES"/>
        </w:rPr>
        <w:t xml:space="preserve">. </w:t>
      </w:r>
      <w:r w:rsidRPr="004C792A">
        <w:rPr>
          <w:lang w:val="es-ES"/>
        </w:rPr>
        <w:t xml:space="preserve">3 y </w:t>
      </w:r>
      <w:r w:rsidRPr="004C792A">
        <w:rPr>
          <w:lang w:val="es-ES"/>
        </w:rPr>
        <w:t>8.</w:t>
      </w:r>
    </w:p>
  </w:footnote>
  <w:footnote w:id="35">
    <w:p w:rsidR="005B5532" w:rsidRPr="004C792A" w:rsidRDefault="00045BB7" w:rsidP="003638B9">
      <w:pPr>
        <w:pStyle w:val="Textonotapie"/>
        <w:jc w:val="both"/>
        <w:rPr>
          <w:i/>
          <w:iCs/>
        </w:rPr>
      </w:pPr>
      <w:r w:rsidRPr="004C792A">
        <w:rPr>
          <w:rStyle w:val="Refdenotaalpie"/>
        </w:rPr>
        <w:footnoteRef/>
      </w:r>
      <w:r w:rsidRPr="004C792A">
        <w:t xml:space="preserve"> En relación con este argumento, la Universidad Externado refiere que la Ley 1116 de 2006 prima sobre la Ley 1676 de 2013 debido a su espec</w:t>
      </w:r>
      <w:r w:rsidRPr="004C792A">
        <w:t xml:space="preserve">ialidad. </w:t>
      </w:r>
      <w:r w:rsidRPr="004C792A">
        <w:rPr>
          <w:i/>
          <w:iCs/>
        </w:rPr>
        <w:t xml:space="preserve">Cfr. </w:t>
      </w:r>
      <w:r w:rsidRPr="004C792A">
        <w:rPr>
          <w:lang w:val="es-ES"/>
        </w:rPr>
        <w:t>Expediente digital. D0015813-Conceptos e Intervenciones-(2024-06-22 00-30-56).pdf.</w:t>
      </w:r>
    </w:p>
  </w:footnote>
  <w:footnote w:id="36">
    <w:p w:rsidR="00E55AB9"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Artículo 4 de la Ley 1116 de 2006.</w:t>
      </w:r>
    </w:p>
  </w:footnote>
  <w:footnote w:id="37">
    <w:p w:rsidR="00E55AB9"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D0015813-Conceptos e Intervenciones-(2024-06-22 00-25-54).pdf, p. </w:t>
      </w:r>
      <w:r w:rsidRPr="004C792A">
        <w:rPr>
          <w:lang w:val="es-ES"/>
        </w:rPr>
        <w:t>5</w:t>
      </w:r>
      <w:r w:rsidRPr="004C792A">
        <w:rPr>
          <w:lang w:val="es-ES"/>
        </w:rPr>
        <w:t>.</w:t>
      </w:r>
    </w:p>
  </w:footnote>
  <w:footnote w:id="38">
    <w:p w:rsidR="00BA6997"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Esta etapa permite establecer la existencia de la obligación garantizada, el valor del bien dado en garantía, si es necesario o no para el mantenimiento de la operación económica del deudor y, el valor de la obligación garantizada. </w:t>
      </w:r>
    </w:p>
  </w:footnote>
  <w:footnote w:id="39">
    <w:p w:rsidR="00BA6997"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En momento procesal</w:t>
      </w:r>
      <w:r w:rsidRPr="004C792A">
        <w:rPr>
          <w:lang w:val="es-ES"/>
        </w:rPr>
        <w:t xml:space="preserve"> </w:t>
      </w:r>
      <w:r w:rsidRPr="004C792A">
        <w:rPr>
          <w:lang w:val="es-ES"/>
        </w:rPr>
        <w:t>s</w:t>
      </w:r>
      <w:r w:rsidRPr="004C792A">
        <w:rPr>
          <w:lang w:val="es-ES"/>
        </w:rPr>
        <w:t>e determina</w:t>
      </w:r>
      <w:r w:rsidRPr="004C792A">
        <w:rPr>
          <w:lang w:val="es-ES"/>
        </w:rPr>
        <w:t xml:space="preserve"> si procede la reorganización o por el contrario está fracasó por la no celebración del acuerdo y, lo que procede, es iniciar el proceso liquidatorio. </w:t>
      </w:r>
    </w:p>
  </w:footnote>
  <w:footnote w:id="40">
    <w:p w:rsidR="001B3DF5"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Expediente digital. D0015813-Conceptos e Intervenciones-(2024-06-18 07-04-30).pdf, p. 12.</w:t>
      </w:r>
    </w:p>
  </w:footnote>
  <w:footnote w:id="41">
    <w:p w:rsidR="003A2873" w:rsidRPr="004C792A" w:rsidRDefault="00045BB7" w:rsidP="003638B9">
      <w:pPr>
        <w:pStyle w:val="Textonotapie"/>
        <w:jc w:val="both"/>
        <w:rPr>
          <w:lang w:val="es-ES"/>
        </w:rPr>
      </w:pPr>
      <w:r w:rsidRPr="004C792A">
        <w:rPr>
          <w:rStyle w:val="Refdenotaalpie"/>
        </w:rPr>
        <w:footnoteRef/>
      </w:r>
      <w:r w:rsidRPr="004C792A">
        <w:t xml:space="preserve"> </w:t>
      </w:r>
      <w:r w:rsidRPr="004C792A">
        <w:rPr>
          <w:bCs/>
          <w:iCs/>
        </w:rPr>
        <w:t xml:space="preserve">Estas normas establecen que los compradores pueden solicitarle al juez del proceso de liquidación, la ejecución de la venta prometida, de tal forma que, la autoridad judicial levante las medidas cautelares, disponga la cancelación de la hipoteca de mayor </w:t>
      </w:r>
      <w:r w:rsidRPr="004C792A">
        <w:rPr>
          <w:bCs/>
          <w:iCs/>
        </w:rPr>
        <w:t>extensión y ordene la entrega material, si no se hubiese perfeccionado.</w:t>
      </w:r>
    </w:p>
  </w:footnote>
  <w:footnote w:id="42">
    <w:p w:rsidR="001B3DF5" w:rsidRPr="004C792A" w:rsidRDefault="00045BB7" w:rsidP="003638B9">
      <w:pPr>
        <w:pStyle w:val="Textonotapie"/>
        <w:jc w:val="both"/>
      </w:pPr>
      <w:r w:rsidRPr="004C792A">
        <w:rPr>
          <w:rStyle w:val="Refdenotaalpie"/>
        </w:rPr>
        <w:footnoteRef/>
      </w:r>
      <w:r w:rsidRPr="004C792A">
        <w:t xml:space="preserve"> Expediente digital. D0015813-Conceptos e Intervenciones-(2024-06-17 17-01-08).pdf, p. 8.</w:t>
      </w:r>
    </w:p>
  </w:footnote>
  <w:footnote w:id="43">
    <w:p w:rsidR="0058700E"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Al respecto, el Instituto Colombiano de Derecho Procesal resalta que </w:t>
      </w:r>
      <w:r w:rsidRPr="004C792A">
        <w:rPr>
          <w:bCs/>
          <w:iCs/>
        </w:rPr>
        <w:t xml:space="preserve">en el escenario de liquidación, los pagos están sometidos al ejercicio de las competencias del juez concursal y que, los artículos 51, 52 y 55 de la Ley 1116 de 2006, protegen los derechos de los compradores de vivienda al </w:t>
      </w:r>
      <w:r w:rsidRPr="004C792A">
        <w:rPr>
          <w:bCs/>
          <w:i/>
        </w:rPr>
        <w:t xml:space="preserve">(i) </w:t>
      </w:r>
      <w:r w:rsidRPr="004C792A">
        <w:rPr>
          <w:bCs/>
          <w:iCs/>
        </w:rPr>
        <w:t>permitir que comparezcan al p</w:t>
      </w:r>
      <w:r w:rsidRPr="004C792A">
        <w:rPr>
          <w:bCs/>
          <w:iCs/>
        </w:rPr>
        <w:t xml:space="preserve">roceso y soliciten la ejecución de la venta prometida, esto es, el cumplimiento de la obligación de hacer y, </w:t>
      </w:r>
      <w:r w:rsidRPr="004C792A">
        <w:rPr>
          <w:bCs/>
          <w:i/>
        </w:rPr>
        <w:t xml:space="preserve">(ii) </w:t>
      </w:r>
      <w:r w:rsidRPr="004C792A">
        <w:rPr>
          <w:bCs/>
          <w:iCs/>
        </w:rPr>
        <w:t>regular la cancelación de la hipoteca de mayor extensión cuando ha ocurrido la transferencia efectiva del inmueble y, cuando ya se ha pagado e</w:t>
      </w:r>
      <w:r w:rsidRPr="004C792A">
        <w:rPr>
          <w:bCs/>
          <w:iCs/>
        </w:rPr>
        <w:t>l precio, se ha otorgado escritura pública y solo está pendiente el registro en instrumentos públicos.</w:t>
      </w:r>
      <w:r w:rsidRPr="004C792A">
        <w:rPr>
          <w:bCs/>
          <w:iCs/>
        </w:rPr>
        <w:t xml:space="preserve"> </w:t>
      </w:r>
      <w:r w:rsidRPr="004C792A">
        <w:rPr>
          <w:bCs/>
          <w:i/>
        </w:rPr>
        <w:t xml:space="preserve">Cfr. </w:t>
      </w:r>
      <w:r w:rsidRPr="004C792A">
        <w:rPr>
          <w:lang w:val="es-ES"/>
        </w:rPr>
        <w:t>Expediente digital. D0015813-Conceptos e Intervenciones-(2024-06-22 00-25-54).pdf.</w:t>
      </w:r>
    </w:p>
  </w:footnote>
  <w:footnote w:id="44">
    <w:p w:rsidR="00471456"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El Instituto Colombiano de Derecho procesal </w:t>
      </w:r>
      <w:r w:rsidRPr="004C792A">
        <w:rPr>
          <w:lang w:val="es-ES"/>
        </w:rPr>
        <w:t>argumenta</w:t>
      </w:r>
      <w:r w:rsidRPr="004C792A">
        <w:rPr>
          <w:lang w:val="es-ES"/>
        </w:rPr>
        <w:t xml:space="preserve"> que, en l</w:t>
      </w:r>
      <w:r w:rsidRPr="004C792A">
        <w:rPr>
          <w:lang w:val="es-ES"/>
        </w:rPr>
        <w:t xml:space="preserve">os procesos </w:t>
      </w:r>
      <w:r w:rsidRPr="004C792A">
        <w:rPr>
          <w:bCs/>
          <w:iCs/>
        </w:rPr>
        <w:t xml:space="preserve">de naturaleza recuperatoria, se busca proteger la actividad económica del deudor. Específicamente, en relación con personas naturales o jurídicas dedicadas a la construcción y enajenación de inmuebles destinados a vivienda, esto corresponde a </w:t>
      </w:r>
      <w:r w:rsidRPr="004C792A">
        <w:rPr>
          <w:bCs/>
          <w:i/>
        </w:rPr>
        <w:t>(</w:t>
      </w:r>
      <w:r w:rsidRPr="004C792A">
        <w:rPr>
          <w:bCs/>
          <w:i/>
        </w:rPr>
        <w:t xml:space="preserve">i) </w:t>
      </w:r>
      <w:r w:rsidRPr="004C792A">
        <w:rPr>
          <w:bCs/>
          <w:iCs/>
        </w:rPr>
        <w:t xml:space="preserve">finalizar los proyectos y cumplir con las obligaciones de hacer (transferir la unidad inmobiliaria al adquiriente) y, </w:t>
      </w:r>
      <w:r w:rsidRPr="004C792A">
        <w:rPr>
          <w:bCs/>
          <w:i/>
        </w:rPr>
        <w:t>(ii)</w:t>
      </w:r>
      <w:r w:rsidRPr="004C792A">
        <w:rPr>
          <w:bCs/>
          <w:iCs/>
        </w:rPr>
        <w:t xml:space="preserve"> generar ingresos necesarios para atender el pago del pasivo a su cargo. </w:t>
      </w:r>
      <w:r w:rsidRPr="004C792A">
        <w:rPr>
          <w:bCs/>
          <w:i/>
        </w:rPr>
        <w:t xml:space="preserve">Cfr. </w:t>
      </w:r>
      <w:r w:rsidRPr="004C792A">
        <w:rPr>
          <w:lang w:val="es-ES"/>
        </w:rPr>
        <w:t>Expediente digital. D0015813-Conceptos e Intervencion</w:t>
      </w:r>
      <w:r w:rsidRPr="004C792A">
        <w:rPr>
          <w:lang w:val="es-ES"/>
        </w:rPr>
        <w:t>es-(2024-06-22 00-25-54).pdf, p. 8.</w:t>
      </w:r>
    </w:p>
  </w:footnote>
  <w:footnote w:id="45">
    <w:p w:rsidR="0089147F"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Expediente digital. D0015813-Conceptos e Intervenciones-(2024-06-22 00-25-54).pdf, p. 7.</w:t>
      </w:r>
    </w:p>
  </w:footnote>
  <w:footnote w:id="46">
    <w:p w:rsidR="00EB2922" w:rsidRPr="004C792A" w:rsidRDefault="00045BB7" w:rsidP="003638B9">
      <w:pPr>
        <w:tabs>
          <w:tab w:val="left" w:pos="0"/>
          <w:tab w:val="left" w:pos="567"/>
        </w:tabs>
        <w:ind w:right="51"/>
        <w:contextualSpacing/>
        <w:jc w:val="both"/>
        <w:rPr>
          <w:bCs/>
          <w:i/>
          <w:sz w:val="20"/>
          <w:szCs w:val="20"/>
        </w:rPr>
      </w:pPr>
      <w:r w:rsidRPr="004C792A">
        <w:rPr>
          <w:rStyle w:val="Refdenotaalpie"/>
          <w:sz w:val="20"/>
          <w:szCs w:val="20"/>
        </w:rPr>
        <w:footnoteRef/>
      </w:r>
      <w:r w:rsidRPr="004C792A">
        <w:rPr>
          <w:sz w:val="20"/>
          <w:szCs w:val="20"/>
        </w:rPr>
        <w:t xml:space="preserve"> El Instituto Colombiano de Derecho Procesal refiere que</w:t>
      </w:r>
      <w:r w:rsidRPr="004C792A">
        <w:rPr>
          <w:bCs/>
          <w:iCs/>
          <w:sz w:val="20"/>
          <w:szCs w:val="20"/>
        </w:rPr>
        <w:t xml:space="preserve"> “el derecho al pago preferente del acreedor garantizado previsto en el inciso demandado, habilita que el recaudo de los flujos derivados del pago de los adquirientes se destine al pago del crédito constructor, quien tiene una garantía hipotecaria que se e</w:t>
      </w:r>
      <w:r w:rsidRPr="004C792A">
        <w:rPr>
          <w:bCs/>
          <w:iCs/>
          <w:sz w:val="20"/>
          <w:szCs w:val="20"/>
        </w:rPr>
        <w:t xml:space="preserve">xtiende sobre las unidades inmobiliarias resultantes pero que tiene […] su fuente de pago en los flujos derivados de los pagos recibidos por las enajenaciones”. Esta garantía redunda en un beneficio para los afectos por el proceso de insolvencia, dado que </w:t>
      </w:r>
      <w:r w:rsidRPr="004C792A">
        <w:rPr>
          <w:bCs/>
          <w:iCs/>
          <w:sz w:val="20"/>
          <w:szCs w:val="20"/>
        </w:rPr>
        <w:t>permite que las obras finalicen y, en consecuencia, se liberen las unidades inmobiliarias, lo cual permite que se cumpla con las obligaciones de hacer (escriturar y transferir propiedad a los adquirientes) y, con el pago monetario de esos inmuebles, al acr</w:t>
      </w:r>
      <w:r w:rsidRPr="004C792A">
        <w:rPr>
          <w:bCs/>
          <w:iCs/>
          <w:sz w:val="20"/>
          <w:szCs w:val="20"/>
        </w:rPr>
        <w:t xml:space="preserve">eedor hipotecario. </w:t>
      </w:r>
    </w:p>
  </w:footnote>
  <w:footnote w:id="47">
    <w:p w:rsidR="00BA35E3"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D0015813-Conceptos e Intervenciones-(2024-06-22 00-30-56).pdf, p. 11. </w:t>
      </w:r>
    </w:p>
  </w:footnote>
  <w:footnote w:id="48">
    <w:p w:rsidR="00BA35E3"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D0015813-Conceptos e Intervenciones-(2024-06-22 00-30-56).pdf, p. 11. </w:t>
      </w:r>
    </w:p>
  </w:footnote>
  <w:footnote w:id="49">
    <w:p w:rsidR="00A42B89" w:rsidRPr="004C792A" w:rsidRDefault="00045BB7" w:rsidP="003638B9">
      <w:pPr>
        <w:pStyle w:val="Textonotapie"/>
        <w:jc w:val="both"/>
      </w:pPr>
      <w:r w:rsidRPr="004C792A">
        <w:rPr>
          <w:rStyle w:val="Refdenotaalpie"/>
        </w:rPr>
        <w:footnoteRef/>
      </w:r>
      <w:r w:rsidRPr="004C792A">
        <w:t xml:space="preserve"> Sobre los valores pagados. </w:t>
      </w:r>
    </w:p>
  </w:footnote>
  <w:footnote w:id="50">
    <w:p w:rsidR="007173D3" w:rsidRPr="004C792A" w:rsidRDefault="00045BB7" w:rsidP="003638B9">
      <w:pPr>
        <w:pStyle w:val="Textonotapie"/>
        <w:jc w:val="both"/>
        <w:rPr>
          <w:i/>
          <w:iCs/>
          <w:lang w:val="es-ES"/>
        </w:rPr>
      </w:pPr>
      <w:r w:rsidRPr="004C792A">
        <w:rPr>
          <w:rStyle w:val="Refdenotaalpie"/>
        </w:rPr>
        <w:footnoteRef/>
      </w:r>
      <w:r w:rsidRPr="004C792A">
        <w:t xml:space="preserve"> </w:t>
      </w:r>
      <w:r w:rsidRPr="004C792A">
        <w:rPr>
          <w:lang w:val="es-ES"/>
        </w:rPr>
        <w:t>Esta línea de argu</w:t>
      </w:r>
      <w:r w:rsidRPr="004C792A">
        <w:rPr>
          <w:lang w:val="es-ES"/>
        </w:rPr>
        <w:t xml:space="preserve">mentación es sostenida por la Universidad Externado de Colombia. </w:t>
      </w:r>
      <w:r w:rsidRPr="004C792A">
        <w:rPr>
          <w:i/>
          <w:iCs/>
          <w:lang w:val="es-ES"/>
        </w:rPr>
        <w:t xml:space="preserve">Cfr. </w:t>
      </w:r>
      <w:r w:rsidRPr="004C792A">
        <w:rPr>
          <w:lang w:val="es-ES"/>
        </w:rPr>
        <w:t>Expediente digital. D0015813-Conceptos e Intervenciones-(2024-06-22 00-30-56).pdf.</w:t>
      </w:r>
    </w:p>
  </w:footnote>
  <w:footnote w:id="51">
    <w:p w:rsidR="007E689E" w:rsidRPr="004C792A" w:rsidRDefault="00045BB7" w:rsidP="00363115">
      <w:pPr>
        <w:pStyle w:val="Textonotapie"/>
        <w:jc w:val="both"/>
        <w:rPr>
          <w:lang w:val="es-ES"/>
        </w:rPr>
      </w:pPr>
      <w:r w:rsidRPr="004C792A">
        <w:rPr>
          <w:rStyle w:val="Refdenotaalpie"/>
        </w:rPr>
        <w:footnoteRef/>
      </w:r>
      <w:r w:rsidRPr="004C792A">
        <w:t xml:space="preserve"> </w:t>
      </w:r>
      <w:r w:rsidRPr="004C792A">
        <w:rPr>
          <w:lang w:val="es-ES"/>
        </w:rPr>
        <w:t xml:space="preserve">El Ministerio de Comercio, Industria y Turismo, la SuperSociedades, la Academia Colombiana de Jurisprudencia y la Universidad del Rosario como petición subsidiaria y, la Universidad de la Sabana como pretensión principal. </w:t>
      </w:r>
    </w:p>
  </w:footnote>
  <w:footnote w:id="52">
    <w:p w:rsidR="00693499" w:rsidRPr="004C792A" w:rsidRDefault="00045BB7" w:rsidP="003638B9">
      <w:pPr>
        <w:pStyle w:val="Textonotapie"/>
        <w:jc w:val="both"/>
      </w:pPr>
      <w:r w:rsidRPr="004C792A">
        <w:rPr>
          <w:rStyle w:val="Refdenotaalpie"/>
        </w:rPr>
        <w:footnoteRef/>
      </w:r>
      <w:r w:rsidRPr="004C792A">
        <w:t xml:space="preserve"> Expediente digital. D0015813-Co</w:t>
      </w:r>
      <w:r w:rsidRPr="004C792A">
        <w:t>nceptos e Intervenciones-(2024-06-20 10-55-17).pdf, pp. 12-13.</w:t>
      </w:r>
    </w:p>
  </w:footnote>
  <w:footnote w:id="53">
    <w:p w:rsidR="00770C3C" w:rsidRPr="004C792A" w:rsidRDefault="00045BB7">
      <w:pPr>
        <w:pStyle w:val="Textonotapie"/>
        <w:rPr>
          <w:lang w:val="es-ES"/>
        </w:rPr>
      </w:pPr>
      <w:r w:rsidRPr="004C792A">
        <w:rPr>
          <w:rStyle w:val="Refdenotaalpie"/>
        </w:rPr>
        <w:footnoteRef/>
      </w:r>
      <w:r w:rsidRPr="004C792A">
        <w:t xml:space="preserve"> Como argumento subsidiario a la inhibición.</w:t>
      </w:r>
    </w:p>
  </w:footnote>
  <w:footnote w:id="54">
    <w:p w:rsidR="00693499" w:rsidRPr="004C792A" w:rsidRDefault="00045BB7" w:rsidP="003638B9">
      <w:pPr>
        <w:pStyle w:val="Textonotapie"/>
        <w:jc w:val="both"/>
      </w:pPr>
      <w:r w:rsidRPr="004C792A">
        <w:rPr>
          <w:rStyle w:val="Refdenotaalpie"/>
        </w:rPr>
        <w:footnoteRef/>
      </w:r>
      <w:r w:rsidRPr="004C792A">
        <w:t xml:space="preserve"> </w:t>
      </w:r>
      <w:r w:rsidRPr="004C792A">
        <w:t>Expediente digital. D0015813-Conceptos e Intervenciones-(2024-06-17 17-01-08).pdf, p. 15.</w:t>
      </w:r>
    </w:p>
  </w:footnote>
  <w:footnote w:id="55">
    <w:p w:rsidR="00770C3C" w:rsidRPr="004C792A" w:rsidRDefault="00045BB7">
      <w:pPr>
        <w:pStyle w:val="Textonotapie"/>
        <w:rPr>
          <w:lang w:val="es-ES"/>
        </w:rPr>
      </w:pPr>
      <w:r w:rsidRPr="004C792A">
        <w:rPr>
          <w:rStyle w:val="Refdenotaalpie"/>
        </w:rPr>
        <w:footnoteRef/>
      </w:r>
      <w:r w:rsidRPr="004C792A">
        <w:t xml:space="preserve"> De forma subsidiaria la su pretensión principal de ex</w:t>
      </w:r>
      <w:r w:rsidRPr="004C792A">
        <w:t xml:space="preserve">equibilidad simple. </w:t>
      </w:r>
    </w:p>
  </w:footnote>
  <w:footnote w:id="56">
    <w:p w:rsidR="00770C3C" w:rsidRPr="004C792A" w:rsidRDefault="00045BB7" w:rsidP="00363115">
      <w:pPr>
        <w:pStyle w:val="Textonotapie"/>
        <w:jc w:val="both"/>
        <w:rPr>
          <w:lang w:val="es-ES"/>
        </w:rPr>
      </w:pPr>
      <w:r w:rsidRPr="004C792A">
        <w:rPr>
          <w:rStyle w:val="Refdenotaalpie"/>
        </w:rPr>
        <w:footnoteRef/>
      </w:r>
      <w:r w:rsidRPr="004C792A">
        <w:t xml:space="preserve"> De forma subsidiaria </w:t>
      </w:r>
      <w:r w:rsidRPr="004C792A">
        <w:rPr>
          <w:lang w:val="es-ES"/>
        </w:rPr>
        <w:t xml:space="preserve">a la solicitud de declaratoria de inexequibilidad de los incisos segundo y sexto del artículo 50 y el inciso 1º del artículo 52 de la Ley 1676 de 2013. </w:t>
      </w:r>
    </w:p>
  </w:footnote>
  <w:footnote w:id="57">
    <w:p w:rsidR="00035C04" w:rsidRPr="004C792A" w:rsidRDefault="00045BB7" w:rsidP="003638B9">
      <w:pPr>
        <w:pStyle w:val="Textonotapie"/>
        <w:jc w:val="both"/>
      </w:pPr>
      <w:r w:rsidRPr="004C792A">
        <w:rPr>
          <w:rStyle w:val="Refdenotaalpie"/>
        </w:rPr>
        <w:footnoteRef/>
      </w:r>
      <w:r w:rsidRPr="004C792A">
        <w:t xml:space="preserve"> Expediente digital. D0015813-Conceptos e Intervenciones-(2024-06-22 00-21-03).pdf, p.15.</w:t>
      </w:r>
    </w:p>
  </w:footnote>
  <w:footnote w:id="58">
    <w:p w:rsidR="005F5E1D" w:rsidRPr="004C792A" w:rsidRDefault="00045BB7" w:rsidP="00363115">
      <w:pPr>
        <w:pStyle w:val="Textonotapie"/>
        <w:jc w:val="both"/>
        <w:rPr>
          <w:lang w:val="es-ES"/>
        </w:rPr>
      </w:pPr>
      <w:r w:rsidRPr="004C792A">
        <w:rPr>
          <w:rStyle w:val="Refdenotaalpie"/>
        </w:rPr>
        <w:footnoteRef/>
      </w:r>
      <w:r w:rsidRPr="004C792A">
        <w:t xml:space="preserve"> </w:t>
      </w:r>
      <w:r w:rsidRPr="004C792A">
        <w:rPr>
          <w:lang w:val="es-ES"/>
        </w:rPr>
        <w:t>Carlos Andrés Delvasto Perdomo, Mónica Moreno Fernández, Linda Ruiz Sánchez, Sofía Daza Vargas</w:t>
      </w:r>
      <w:r w:rsidRPr="004C792A">
        <w:rPr>
          <w:lang w:val="es-ES"/>
        </w:rPr>
        <w:t>,</w:t>
      </w:r>
      <w:r w:rsidRPr="004C792A">
        <w:rPr>
          <w:lang w:val="es-ES"/>
        </w:rPr>
        <w:t xml:space="preserve"> Daniela Álvarez Cohen </w:t>
      </w:r>
      <w:r w:rsidRPr="004C792A">
        <w:rPr>
          <w:lang w:val="es-ES"/>
        </w:rPr>
        <w:t xml:space="preserve">y la Universidad del Rosario </w:t>
      </w:r>
      <w:r w:rsidRPr="004C792A">
        <w:rPr>
          <w:lang w:val="es-ES"/>
        </w:rPr>
        <w:t>piden la declarat</w:t>
      </w:r>
      <w:r w:rsidRPr="004C792A">
        <w:rPr>
          <w:lang w:val="es-ES"/>
        </w:rPr>
        <w:t xml:space="preserve">oria de inexequibilidad como solicitud principal. </w:t>
      </w:r>
    </w:p>
  </w:footnote>
  <w:footnote w:id="59">
    <w:p w:rsidR="00DD5AFA" w:rsidRPr="004C792A" w:rsidRDefault="00045BB7" w:rsidP="00DD5AFA">
      <w:pPr>
        <w:pStyle w:val="Textonotapie"/>
        <w:jc w:val="both"/>
        <w:rPr>
          <w:lang w:val="es-ES"/>
        </w:rPr>
      </w:pPr>
      <w:r w:rsidRPr="004C792A">
        <w:rPr>
          <w:rStyle w:val="Refdenotaalpie"/>
        </w:rPr>
        <w:footnoteRef/>
      </w:r>
      <w:r w:rsidRPr="004C792A">
        <w:t xml:space="preserve"> Además de presentar argumentos sobre la inconstitucionalidad de las normas, refiere que el condicionamiento establecido por esta Corte en la Sentencia C-145 de 2018, debió extenderse en el sentido de ent</w:t>
      </w:r>
      <w:r w:rsidRPr="004C792A">
        <w:t>ender que también es necesario que se asegure el pago de las obligaciones derivadas del precio de la compra de inmuebles destinados a vivienda y que se comercializan sobre planos.</w:t>
      </w:r>
    </w:p>
  </w:footnote>
  <w:footnote w:id="60">
    <w:p w:rsidR="00DD5AFA" w:rsidRPr="004C792A" w:rsidRDefault="00045BB7" w:rsidP="00DD5AFA">
      <w:pPr>
        <w:pStyle w:val="Textonotapie"/>
        <w:jc w:val="both"/>
        <w:rPr>
          <w:lang w:val="es-ES"/>
        </w:rPr>
      </w:pPr>
      <w:r w:rsidRPr="004C792A">
        <w:rPr>
          <w:rStyle w:val="Refdenotaalpie"/>
        </w:rPr>
        <w:footnoteRef/>
      </w:r>
      <w:r w:rsidRPr="004C792A">
        <w:t xml:space="preserve"> Adicional a</w:t>
      </w:r>
      <w:r w:rsidRPr="004C792A">
        <w:rPr>
          <w:lang w:val="es-ES"/>
        </w:rPr>
        <w:t xml:space="preserve"> los argumentos tendientes a señalar que la norma es inconstitucional en tanto vulnera el derecho a la vivienda, afirma que </w:t>
      </w:r>
      <w:r w:rsidRPr="004C792A">
        <w:rPr>
          <w:bCs/>
          <w:iCs/>
        </w:rPr>
        <w:t>las normas demandadas “incumplieron el principio de consecutividad e identidad flexible en el trámite legislativo por haber sido agr</w:t>
      </w:r>
      <w:r w:rsidRPr="004C792A">
        <w:rPr>
          <w:bCs/>
          <w:iCs/>
        </w:rPr>
        <w:t>egadas en el tercer debate”</w:t>
      </w:r>
      <w:r w:rsidRPr="004C792A">
        <w:rPr>
          <w:lang w:val="es-ES"/>
        </w:rPr>
        <w:t xml:space="preserve"> </w:t>
      </w:r>
      <w:r w:rsidRPr="004C792A">
        <w:rPr>
          <w:i/>
          <w:iCs/>
          <w:lang w:val="es-ES"/>
        </w:rPr>
        <w:t xml:space="preserve">Cfr. </w:t>
      </w:r>
      <w:r w:rsidRPr="004C792A">
        <w:rPr>
          <w:lang w:val="es-ES"/>
        </w:rPr>
        <w:t>Expediente digital. D0015813-Conceptos e Intervenciones-(2024-06-20 21-46-19).pdf, p. 2.</w:t>
      </w:r>
    </w:p>
  </w:footnote>
  <w:footnote w:id="61">
    <w:p w:rsidR="00CC40BA" w:rsidRPr="004C792A" w:rsidRDefault="00045BB7" w:rsidP="003638B9">
      <w:pPr>
        <w:pStyle w:val="Textonotapie"/>
        <w:jc w:val="both"/>
      </w:pPr>
      <w:r w:rsidRPr="004C792A">
        <w:rPr>
          <w:rStyle w:val="Refdenotaalpie"/>
        </w:rPr>
        <w:footnoteRef/>
      </w:r>
      <w:r w:rsidRPr="004C792A">
        <w:t xml:space="preserve"> </w:t>
      </w:r>
      <w:r w:rsidRPr="004C792A">
        <w:t>Expediente digital. D0015813-Conceptos e Intervenciones-(2024-06-22 00-21-03).pdf, p. 6.</w:t>
      </w:r>
    </w:p>
  </w:footnote>
  <w:footnote w:id="62">
    <w:p w:rsidR="00FF7BF5" w:rsidRPr="004C792A" w:rsidRDefault="00045BB7" w:rsidP="003638B9">
      <w:pPr>
        <w:pStyle w:val="Textonotapie"/>
        <w:jc w:val="both"/>
      </w:pPr>
      <w:r w:rsidRPr="004C792A">
        <w:rPr>
          <w:rStyle w:val="Refdenotaalpie"/>
        </w:rPr>
        <w:footnoteRef/>
      </w:r>
      <w:r w:rsidRPr="004C792A">
        <w:t xml:space="preserve"> Expediente digital. D0015813-Conceptos e </w:t>
      </w:r>
      <w:r w:rsidRPr="004C792A">
        <w:t>Intervenciones-(2024-06-06 17-03-55).pdf, p. 3.</w:t>
      </w:r>
    </w:p>
  </w:footnote>
  <w:footnote w:id="63">
    <w:p w:rsidR="0046593B" w:rsidRPr="004C792A" w:rsidRDefault="00045BB7" w:rsidP="003638B9">
      <w:pPr>
        <w:pStyle w:val="Textonotapie"/>
        <w:jc w:val="both"/>
      </w:pPr>
      <w:r w:rsidRPr="004C792A">
        <w:rPr>
          <w:rStyle w:val="Refdenotaalpie"/>
        </w:rPr>
        <w:footnoteRef/>
      </w:r>
      <w:r w:rsidRPr="004C792A">
        <w:t xml:space="preserve"> </w:t>
      </w:r>
      <w:r w:rsidRPr="004C792A">
        <w:t xml:space="preserve">Expediente digital. D0015813-Conceptos e Intervenciones-(2024-06-06 17-03-55).pdf, </w:t>
      </w:r>
      <w:r w:rsidRPr="004C792A">
        <w:t xml:space="preserve">pp. 5-6. </w:t>
      </w:r>
    </w:p>
  </w:footnote>
  <w:footnote w:id="64">
    <w:p w:rsidR="0046593B" w:rsidRPr="004C792A" w:rsidRDefault="00045BB7" w:rsidP="003638B9">
      <w:pPr>
        <w:pStyle w:val="Textonotapie"/>
        <w:jc w:val="both"/>
      </w:pPr>
      <w:r w:rsidRPr="004C792A">
        <w:rPr>
          <w:rStyle w:val="Refdenotaalpie"/>
        </w:rPr>
        <w:footnoteRef/>
      </w:r>
      <w:r w:rsidRPr="004C792A">
        <w:t xml:space="preserve"> </w:t>
      </w:r>
      <w:r w:rsidRPr="004C792A">
        <w:t>Expediente digital. D0015813-Conceptos e Intervenciones-(2024-06-06 17-03-55).pdf, p. 7.</w:t>
      </w:r>
    </w:p>
  </w:footnote>
  <w:footnote w:id="65">
    <w:p w:rsidR="0046593B" w:rsidRPr="004C792A" w:rsidRDefault="00045BB7" w:rsidP="003638B9">
      <w:pPr>
        <w:pStyle w:val="Textonotapie"/>
        <w:jc w:val="both"/>
      </w:pPr>
      <w:r w:rsidRPr="004C792A">
        <w:rPr>
          <w:rStyle w:val="Refdenotaalpie"/>
        </w:rPr>
        <w:footnoteRef/>
      </w:r>
      <w:r w:rsidRPr="004C792A">
        <w:t xml:space="preserve"> </w:t>
      </w:r>
      <w:r w:rsidRPr="004C792A">
        <w:t xml:space="preserve">Expediente digital. </w:t>
      </w:r>
      <w:r w:rsidRPr="004C792A">
        <w:t>D0015813-Conceptos e Intervenciones-(2024-06-20 21-42-22).pdf, p. 8.</w:t>
      </w:r>
    </w:p>
  </w:footnote>
  <w:footnote w:id="66">
    <w:p w:rsidR="00BB17F2" w:rsidRPr="004C792A" w:rsidRDefault="00045BB7" w:rsidP="003638B9">
      <w:pPr>
        <w:pStyle w:val="Textonotapie"/>
        <w:jc w:val="both"/>
        <w:rPr>
          <w:i/>
        </w:rPr>
      </w:pPr>
      <w:r w:rsidRPr="004C792A">
        <w:rPr>
          <w:rStyle w:val="Refdenotaalpie"/>
        </w:rPr>
        <w:footnoteRef/>
      </w:r>
      <w:r w:rsidRPr="004C792A">
        <w:t xml:space="preserve"> Al respecto, la ciudadana Linda Ruiz Sánchez agrega que </w:t>
      </w:r>
      <w:r w:rsidRPr="004C792A">
        <w:rPr>
          <w:bCs/>
          <w:iCs/>
        </w:rPr>
        <w:t>al ejecutarse la garantía por parte del banco, “se priva […] a los compradores de las viviendas de optar por la ejecución de la v</w:t>
      </w:r>
      <w:r w:rsidRPr="004C792A">
        <w:rPr>
          <w:bCs/>
          <w:iCs/>
        </w:rPr>
        <w:t xml:space="preserve">enta prometida como lo dispone el artículo 51 de la Ley 1116 de 2006”. </w:t>
      </w:r>
      <w:r w:rsidRPr="004C792A">
        <w:rPr>
          <w:bCs/>
          <w:i/>
        </w:rPr>
        <w:t xml:space="preserve">Cfr. </w:t>
      </w:r>
      <w:r w:rsidRPr="004C792A">
        <w:t>Expediente digital. D0015813-Conceptos e Intervenciones-(2024-06-20 21-42-22).pdf, p. 9.</w:t>
      </w:r>
    </w:p>
  </w:footnote>
  <w:footnote w:id="67">
    <w:p w:rsidR="00BF3A82" w:rsidRPr="004C792A" w:rsidRDefault="00045BB7" w:rsidP="00BF3A82">
      <w:pPr>
        <w:pStyle w:val="Textonotapie"/>
        <w:jc w:val="both"/>
        <w:rPr>
          <w:lang w:val="es-ES"/>
        </w:rPr>
      </w:pPr>
      <w:r w:rsidRPr="004C792A">
        <w:rPr>
          <w:rStyle w:val="Refdenotaalpie"/>
        </w:rPr>
        <w:footnoteRef/>
      </w:r>
      <w:r w:rsidRPr="004C792A">
        <w:t xml:space="preserve"> </w:t>
      </w:r>
      <w:r w:rsidRPr="004C792A">
        <w:rPr>
          <w:bCs/>
          <w:iCs/>
        </w:rPr>
        <w:t xml:space="preserve">Resalta que, de declararse la inexequibilidad, es necesario que la Corte reconozca “el decaimiento de los </w:t>
      </w:r>
      <w:r w:rsidRPr="004C792A">
        <w:rPr>
          <w:bCs/>
          <w:iCs/>
          <w:lang w:val="es-MX"/>
        </w:rPr>
        <w:t>artículos 2.2.2.4.2.36, 2.2.2.4.2.37 (parcial) y 2.2.2.4.2.47 del Decreto Único Reglamentario</w:t>
      </w:r>
      <w:r w:rsidRPr="004C792A">
        <w:rPr>
          <w:bCs/>
          <w:iCs/>
        </w:rPr>
        <w:t xml:space="preserve"> </w:t>
      </w:r>
      <w:r w:rsidRPr="004C792A">
        <w:rPr>
          <w:bCs/>
          <w:iCs/>
          <w:lang w:val="es-MX"/>
        </w:rPr>
        <w:t>del sector Comercio, Industria y Turismo (Decreto 1074 d</w:t>
      </w:r>
      <w:r w:rsidRPr="004C792A">
        <w:rPr>
          <w:bCs/>
          <w:iCs/>
          <w:lang w:val="es-MX"/>
        </w:rPr>
        <w:t>e 2015)”.</w:t>
      </w:r>
    </w:p>
  </w:footnote>
  <w:footnote w:id="68">
    <w:p w:rsidR="003271EF" w:rsidRPr="004C792A" w:rsidRDefault="00045BB7" w:rsidP="003638B9">
      <w:pPr>
        <w:pStyle w:val="Textonotapie"/>
        <w:jc w:val="both"/>
      </w:pPr>
      <w:r w:rsidRPr="004C792A">
        <w:rPr>
          <w:rStyle w:val="Refdenotaalpie"/>
        </w:rPr>
        <w:footnoteRef/>
      </w:r>
      <w:r w:rsidRPr="004C792A">
        <w:t xml:space="preserve"> Expediente digital. D0015813-Conceptos e Intervenciones-(2024-06-22 00-21-03).pdf, p. 6</w:t>
      </w:r>
    </w:p>
  </w:footnote>
  <w:footnote w:id="69">
    <w:p w:rsidR="003271EF" w:rsidRPr="004C792A" w:rsidRDefault="00045BB7" w:rsidP="003638B9">
      <w:pPr>
        <w:pStyle w:val="Textonotapie"/>
        <w:jc w:val="both"/>
      </w:pPr>
      <w:r w:rsidRPr="004C792A">
        <w:rPr>
          <w:rStyle w:val="Refdenotaalpie"/>
        </w:rPr>
        <w:footnoteRef/>
      </w:r>
      <w:r w:rsidRPr="004C792A">
        <w:t xml:space="preserve"> Debido a que, en los acuerdos de reorganización, es normal que se concedan periodos de gracia o extensiones de plazo para la satisfacción de las acreencia</w:t>
      </w:r>
      <w:r w:rsidRPr="004C792A">
        <w:t xml:space="preserve">s. En el caso de los acreedores de vivienda, esta situación conlleva el riesgo de que los adquirientes no van a tener el bien inmueble a su disposición, “sino hasta mucho tiempo después”. En este tipo de casos, se posterga el disfrute efectivo del derecho </w:t>
      </w:r>
      <w:r w:rsidRPr="004C792A">
        <w:t xml:space="preserve">a la vivienda digna y se obliga a que las personas incurran en gastos adicionales por cánones de arrendamiento. </w:t>
      </w:r>
    </w:p>
  </w:footnote>
  <w:footnote w:id="70">
    <w:p w:rsidR="003271EF" w:rsidRPr="004C792A" w:rsidRDefault="00045BB7" w:rsidP="003638B9">
      <w:pPr>
        <w:pStyle w:val="Textonotapie"/>
        <w:jc w:val="both"/>
      </w:pPr>
      <w:r w:rsidRPr="004C792A">
        <w:rPr>
          <w:rStyle w:val="Refdenotaalpie"/>
        </w:rPr>
        <w:footnoteRef/>
      </w:r>
      <w:r w:rsidRPr="004C792A">
        <w:t xml:space="preserve"> Ello, debido a que las prerrogativas de los acreedores con garantía real puede interferir en la posibilidad de ejecutar las obras, lo cual ge</w:t>
      </w:r>
      <w:r w:rsidRPr="004C792A">
        <w:t xml:space="preserve">neraría que, los créditos a favor de los acreedores de vivienda subsistan como una obligación dineraria por el valor equivalente, la cual será pagada en los plazos y demás circunstancias que se prevean en el acuerdo de reorganización. </w:t>
      </w:r>
    </w:p>
  </w:footnote>
  <w:footnote w:id="71">
    <w:p w:rsidR="003271EF" w:rsidRPr="004C792A" w:rsidRDefault="00045BB7" w:rsidP="003638B9">
      <w:pPr>
        <w:pStyle w:val="Textonotapie"/>
        <w:jc w:val="both"/>
      </w:pPr>
      <w:r w:rsidRPr="004C792A">
        <w:rPr>
          <w:rStyle w:val="Refdenotaalpie"/>
        </w:rPr>
        <w:footnoteRef/>
      </w:r>
      <w:r w:rsidRPr="004C792A">
        <w:t xml:space="preserve"> Es posible que com</w:t>
      </w:r>
      <w:r w:rsidRPr="004C792A">
        <w:t>o consecuencia del proceso de reorganización se concluya que se debe pagar al acreedor de vivienda con un bien distinto al que originalmente se le adeudaba. Se conformidad con el Régimen de Insolvencia Empresarial, para que esto pase, es necesario contar c</w:t>
      </w:r>
      <w:r w:rsidRPr="004C792A">
        <w:t xml:space="preserve">on el consentimiento del acreedor. </w:t>
      </w:r>
    </w:p>
  </w:footnote>
  <w:footnote w:id="72">
    <w:p w:rsidR="003271EF" w:rsidRPr="004C792A" w:rsidRDefault="00045BB7" w:rsidP="003638B9">
      <w:pPr>
        <w:pStyle w:val="Textonotapie"/>
        <w:jc w:val="both"/>
      </w:pPr>
      <w:r w:rsidRPr="004C792A">
        <w:rPr>
          <w:rStyle w:val="Refdenotaalpie"/>
        </w:rPr>
        <w:footnoteRef/>
      </w:r>
      <w:r w:rsidRPr="004C792A">
        <w:t xml:space="preserve"> Todo proceso de reorganización conlleva el riesgo de fracaso o incumplimiento del acuerdo. </w:t>
      </w:r>
    </w:p>
  </w:footnote>
  <w:footnote w:id="73">
    <w:p w:rsidR="003271EF" w:rsidRPr="004C792A" w:rsidRDefault="00045BB7" w:rsidP="003638B9">
      <w:pPr>
        <w:pStyle w:val="Textonotapie"/>
        <w:jc w:val="both"/>
      </w:pPr>
      <w:r w:rsidRPr="004C792A">
        <w:rPr>
          <w:rStyle w:val="Refdenotaalpie"/>
        </w:rPr>
        <w:footnoteRef/>
      </w:r>
      <w:r w:rsidRPr="004C792A">
        <w:t xml:space="preserve"> Expediente digital. D0015813-Conceptos e Intervenciones-(2024-06-22 00-21-03).pdf, p.12.</w:t>
      </w:r>
    </w:p>
  </w:footnote>
  <w:footnote w:id="74">
    <w:p w:rsidR="003271EF" w:rsidRPr="004C792A" w:rsidRDefault="00045BB7" w:rsidP="003638B9">
      <w:pPr>
        <w:pStyle w:val="Textonotapie"/>
        <w:jc w:val="both"/>
      </w:pPr>
      <w:r w:rsidRPr="004C792A">
        <w:rPr>
          <w:rStyle w:val="Refdenotaalpie"/>
        </w:rPr>
        <w:footnoteRef/>
      </w:r>
      <w:r w:rsidRPr="004C792A">
        <w:t xml:space="preserve"> Con el fin de soportar su postura</w:t>
      </w:r>
      <w:r w:rsidRPr="004C792A">
        <w:t xml:space="preserve">, la Universidad del Rosario presenta el caso de los procesos de insolvencia empresarial de las sociedades del Grupo C.D.O. (edificio Space, en la ciudad de Medellín). </w:t>
      </w:r>
    </w:p>
  </w:footnote>
  <w:footnote w:id="75">
    <w:p w:rsidR="00246688" w:rsidRPr="004C792A" w:rsidRDefault="00045BB7" w:rsidP="003638B9">
      <w:pPr>
        <w:pStyle w:val="Textonotapie"/>
        <w:jc w:val="both"/>
      </w:pPr>
      <w:r w:rsidRPr="004C792A">
        <w:rPr>
          <w:rStyle w:val="Refdenotaalpie"/>
        </w:rPr>
        <w:footnoteRef/>
      </w:r>
      <w:r w:rsidRPr="004C792A">
        <w:t xml:space="preserve"> Expediente digital. D0015813-Conceptos e Intervenciones-(2024-06-22 00-21-03).pdf, p.</w:t>
      </w:r>
      <w:r w:rsidRPr="004C792A">
        <w:t xml:space="preserve">20. </w:t>
      </w:r>
    </w:p>
  </w:footnote>
  <w:footnote w:id="76">
    <w:p w:rsidR="005F33CF" w:rsidRPr="004C792A" w:rsidRDefault="00045BB7" w:rsidP="003638B9">
      <w:pPr>
        <w:pStyle w:val="Textonotapie"/>
        <w:jc w:val="both"/>
        <w:rPr>
          <w:i/>
          <w:iCs/>
          <w:lang w:val="es-ES"/>
        </w:rPr>
      </w:pPr>
      <w:r w:rsidRPr="004C792A">
        <w:rPr>
          <w:rStyle w:val="Refdenotaalpie"/>
        </w:rPr>
        <w:footnoteRef/>
      </w:r>
      <w:r w:rsidRPr="004C792A">
        <w:t xml:space="preserve"> </w:t>
      </w:r>
      <w:r w:rsidRPr="004C792A">
        <w:rPr>
          <w:i/>
          <w:iCs/>
          <w:lang w:val="es-ES"/>
        </w:rPr>
        <w:t>“Por la cual se establece el Régimen de Insolvencia Empresarial en la República de Colombia y se dictan otras disposiciones”.</w:t>
      </w:r>
    </w:p>
  </w:footnote>
  <w:footnote w:id="77">
    <w:p w:rsidR="005F33CF"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Expediente digital. D0015813-Concepto del Procurador General de la Nación-(2024-07-22 15-46-53).pdf, p. 5. </w:t>
      </w:r>
    </w:p>
  </w:footnote>
  <w:footnote w:id="78">
    <w:p w:rsidR="008C708D"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Ib., p. 7.</w:t>
      </w:r>
      <w:r w:rsidRPr="004C792A">
        <w:rPr>
          <w:lang w:val="es-ES"/>
        </w:rPr>
        <w:t xml:space="preserve"> </w:t>
      </w:r>
    </w:p>
  </w:footnote>
  <w:footnote w:id="79">
    <w:p w:rsidR="008D380C" w:rsidRPr="004C792A" w:rsidRDefault="00045BB7" w:rsidP="008D380C">
      <w:pPr>
        <w:pStyle w:val="Textonotapie"/>
      </w:pPr>
      <w:r w:rsidRPr="004C792A">
        <w:rPr>
          <w:rStyle w:val="Refdenotaalpie"/>
        </w:rPr>
        <w:footnoteRef/>
      </w:r>
      <w:r w:rsidRPr="004C792A">
        <w:t xml:space="preserve"> </w:t>
      </w:r>
      <w:r w:rsidRPr="004C792A">
        <w:rPr>
          <w:i/>
          <w:iCs/>
        </w:rPr>
        <w:t xml:space="preserve">Cfr. </w:t>
      </w:r>
      <w:r w:rsidRPr="004C792A">
        <w:t xml:space="preserve">Sentencias </w:t>
      </w:r>
      <w:r w:rsidRPr="004C792A">
        <w:t>C-473 de 2020, C-043, C-076 y C-233 de 2021</w:t>
      </w:r>
      <w:r w:rsidRPr="004C792A">
        <w:t>.</w:t>
      </w:r>
    </w:p>
  </w:footnote>
  <w:footnote w:id="80">
    <w:p w:rsidR="008D380C" w:rsidRPr="004C792A" w:rsidRDefault="00045BB7" w:rsidP="008D380C">
      <w:pPr>
        <w:pStyle w:val="Textonotapie"/>
        <w:jc w:val="both"/>
      </w:pPr>
      <w:r w:rsidRPr="004C792A">
        <w:rPr>
          <w:rStyle w:val="Refdenotaalpie"/>
        </w:rPr>
        <w:footnoteRef/>
      </w:r>
      <w:r w:rsidRPr="004C792A">
        <w:t xml:space="preserve"> </w:t>
      </w:r>
      <w:r w:rsidRPr="004C792A">
        <w:rPr>
          <w:i/>
          <w:iCs/>
        </w:rPr>
        <w:t xml:space="preserve">Cfr. </w:t>
      </w:r>
      <w:r w:rsidRPr="004C792A">
        <w:t>Sentencias C-035 de 2019, C-049, C-089, C-118, C-426, C-431 de 2020 y C-257 de 2022.</w:t>
      </w:r>
    </w:p>
  </w:footnote>
  <w:footnote w:id="81">
    <w:p w:rsidR="008D380C" w:rsidRPr="004C792A" w:rsidRDefault="00045BB7" w:rsidP="008D380C">
      <w:pPr>
        <w:pStyle w:val="Textonotapie"/>
        <w:jc w:val="both"/>
      </w:pPr>
      <w:r w:rsidRPr="004C792A">
        <w:rPr>
          <w:rStyle w:val="Refdenotaalpie"/>
        </w:rPr>
        <w:footnoteRef/>
      </w:r>
      <w:r w:rsidRPr="004C792A">
        <w:t xml:space="preserve"> En el presente acápite se estudiará el fenómeno de la cosa juzgada únicamente respecto de los artículos 50 y 51 de la Ley 1676 de 2013, por cuanto el artículo 52 no fue demandado en la acción pública de inconstitucionalidad que dio lugar a la Sentencia C-</w:t>
      </w:r>
      <w:r w:rsidRPr="004C792A">
        <w:t>145 de 2018.</w:t>
      </w:r>
    </w:p>
  </w:footnote>
  <w:footnote w:id="82">
    <w:p w:rsidR="00EC7BD0" w:rsidRPr="004C792A" w:rsidRDefault="00045BB7" w:rsidP="003638B9">
      <w:pPr>
        <w:pStyle w:val="Textonotapie"/>
        <w:jc w:val="both"/>
        <w:rPr>
          <w:lang w:val="es-ES"/>
        </w:rPr>
      </w:pPr>
      <w:r w:rsidRPr="004C792A">
        <w:rPr>
          <w:rStyle w:val="Refdenotaalpie"/>
        </w:rPr>
        <w:footnoteRef/>
      </w:r>
      <w:r w:rsidRPr="004C792A">
        <w:t xml:space="preserve"> Corte Constitucional, </w:t>
      </w:r>
      <w:r w:rsidRPr="004C792A">
        <w:t>s</w:t>
      </w:r>
      <w:r w:rsidRPr="004C792A">
        <w:t>entencias C-774 de 2001, T-249 de 2016 y SU-027 de 2021.</w:t>
      </w:r>
    </w:p>
  </w:footnote>
  <w:footnote w:id="83">
    <w:p w:rsidR="00915F60" w:rsidRPr="004C792A" w:rsidRDefault="00045BB7" w:rsidP="003638B9">
      <w:pPr>
        <w:pStyle w:val="Textonotapie"/>
        <w:jc w:val="both"/>
        <w:rPr>
          <w:lang w:val="es-ES"/>
        </w:rPr>
      </w:pPr>
      <w:r w:rsidRPr="004C792A">
        <w:rPr>
          <w:rStyle w:val="Refdenotaalpie"/>
        </w:rPr>
        <w:footnoteRef/>
      </w:r>
      <w:r w:rsidRPr="004C792A">
        <w:t xml:space="preserve"> Corte Constitucional, </w:t>
      </w:r>
      <w:r w:rsidRPr="004C792A">
        <w:t>s</w:t>
      </w:r>
      <w:r w:rsidRPr="004C792A">
        <w:t>entencias C-021 de 2023 y C-164 de 2023.</w:t>
      </w:r>
    </w:p>
  </w:footnote>
  <w:footnote w:id="84">
    <w:p w:rsidR="006C1016" w:rsidRPr="004C792A" w:rsidRDefault="00045BB7" w:rsidP="003638B9">
      <w:pPr>
        <w:pStyle w:val="Textonotapie"/>
        <w:jc w:val="both"/>
        <w:rPr>
          <w:lang w:val="es-ES"/>
        </w:rPr>
      </w:pPr>
      <w:r w:rsidRPr="004C792A">
        <w:rPr>
          <w:rStyle w:val="Refdenotaalpie"/>
        </w:rPr>
        <w:footnoteRef/>
      </w:r>
      <w:r w:rsidRPr="004C792A">
        <w:t xml:space="preserve"> Corte Constitucional, </w:t>
      </w:r>
      <w:r w:rsidRPr="004C792A">
        <w:t>s</w:t>
      </w:r>
      <w:r w:rsidRPr="004C792A">
        <w:t>entencias C-063 de 2018, C-187 de 2019 y C-106 de 2021.</w:t>
      </w:r>
    </w:p>
  </w:footnote>
  <w:footnote w:id="85">
    <w:p w:rsidR="0052457A"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Ib. </w:t>
      </w:r>
    </w:p>
  </w:footnote>
  <w:footnote w:id="86">
    <w:p w:rsidR="0052457A" w:rsidRPr="004C792A" w:rsidRDefault="00045BB7" w:rsidP="003638B9">
      <w:pPr>
        <w:pStyle w:val="Textonotapie"/>
        <w:jc w:val="both"/>
        <w:rPr>
          <w:lang w:val="es-ES"/>
        </w:rPr>
      </w:pPr>
      <w:r w:rsidRPr="004C792A">
        <w:rPr>
          <w:rStyle w:val="Refdenotaalpie"/>
        </w:rPr>
        <w:footnoteRef/>
      </w:r>
      <w:r w:rsidRPr="004C792A">
        <w:t xml:space="preserve"> Corte Constitucional, </w:t>
      </w:r>
      <w:r w:rsidRPr="004C792A">
        <w:t>s</w:t>
      </w:r>
      <w:r w:rsidRPr="004C792A">
        <w:t>entencias C-191 de 2017 y C-071 de 2020.</w:t>
      </w:r>
    </w:p>
  </w:footnote>
  <w:footnote w:id="87">
    <w:p w:rsidR="0052457A" w:rsidRPr="004C792A" w:rsidRDefault="00045BB7" w:rsidP="003638B9">
      <w:pPr>
        <w:pStyle w:val="Textonotapie"/>
        <w:jc w:val="both"/>
        <w:rPr>
          <w:lang w:val="es-ES"/>
        </w:rPr>
      </w:pPr>
      <w:r w:rsidRPr="004C792A">
        <w:rPr>
          <w:rStyle w:val="Refdenotaalpie"/>
        </w:rPr>
        <w:footnoteRef/>
      </w:r>
      <w:r w:rsidRPr="004C792A">
        <w:t xml:space="preserve"> Estas son: </w:t>
      </w:r>
      <w:r w:rsidRPr="004C792A">
        <w:rPr>
          <w:i/>
          <w:iCs/>
        </w:rPr>
        <w:t>(i)</w:t>
      </w:r>
      <w:r w:rsidRPr="004C792A">
        <w:t> la modificación del parámetro de control, lo cual sucede cuando se aprueban reformas constitucionales, </w:t>
      </w:r>
      <w:r w:rsidRPr="004C792A">
        <w:rPr>
          <w:i/>
          <w:iCs/>
        </w:rPr>
        <w:t>(ii)</w:t>
      </w:r>
      <w:r w:rsidRPr="004C792A">
        <w:t> el cambio en el significado material de la Constitución, que se re</w:t>
      </w:r>
      <w:r w:rsidRPr="004C792A">
        <w:t>laciona con modificaciones en “el carácter dinámico de la Carta” y </w:t>
      </w:r>
      <w:r w:rsidRPr="004C792A">
        <w:rPr>
          <w:i/>
          <w:iCs/>
        </w:rPr>
        <w:t>(iii)</w:t>
      </w:r>
      <w:r w:rsidRPr="004C792A">
        <w:t> la variación del contexto normativo de la disposición o norma objeto de control.</w:t>
      </w:r>
    </w:p>
  </w:footnote>
  <w:footnote w:id="88">
    <w:p w:rsidR="00FC0102" w:rsidRPr="004C792A" w:rsidRDefault="00045BB7" w:rsidP="003638B9">
      <w:pPr>
        <w:pStyle w:val="Textonotapie"/>
        <w:jc w:val="both"/>
        <w:rPr>
          <w:lang w:val="es-ES"/>
        </w:rPr>
      </w:pPr>
      <w:r w:rsidRPr="004C792A">
        <w:rPr>
          <w:rStyle w:val="Refdenotaalpie"/>
        </w:rPr>
        <w:footnoteRef/>
      </w:r>
      <w:r w:rsidRPr="004C792A">
        <w:t xml:space="preserve"> Corte Constitucional, </w:t>
      </w:r>
      <w:r w:rsidRPr="004C792A">
        <w:t>S</w:t>
      </w:r>
      <w:r w:rsidRPr="004C792A">
        <w:t>entencia C-063 de 1998.</w:t>
      </w:r>
      <w:r w:rsidRPr="004C792A">
        <w:t xml:space="preserve"> Lo mencionado, siempre y cuando “subsistan en la Cart</w:t>
      </w:r>
      <w:r w:rsidRPr="004C792A">
        <w:t xml:space="preserve">a las disposiciones que sirvieron para hacer la confrontación entre la norma ordinaria y la Constitución”. </w:t>
      </w:r>
      <w:r w:rsidRPr="004C792A">
        <w:rPr>
          <w:i/>
          <w:iCs/>
        </w:rPr>
        <w:t xml:space="preserve">Cfr. </w:t>
      </w:r>
      <w:r w:rsidRPr="004C792A">
        <w:t xml:space="preserve">Constitución Política, artículo 243, inciso 2. </w:t>
      </w:r>
    </w:p>
  </w:footnote>
  <w:footnote w:id="89">
    <w:p w:rsidR="00520FD5" w:rsidRPr="004C792A" w:rsidRDefault="00045BB7" w:rsidP="003638B9">
      <w:pPr>
        <w:pStyle w:val="Textonotapie"/>
        <w:jc w:val="both"/>
        <w:rPr>
          <w:lang w:val="es-ES"/>
        </w:rPr>
      </w:pPr>
      <w:r w:rsidRPr="004C792A">
        <w:rPr>
          <w:rStyle w:val="Refdenotaalpie"/>
        </w:rPr>
        <w:footnoteRef/>
      </w:r>
      <w:r w:rsidRPr="004C792A">
        <w:t xml:space="preserve"> Corte Constitucional, </w:t>
      </w:r>
      <w:r w:rsidRPr="004C792A">
        <w:t>s</w:t>
      </w:r>
      <w:r w:rsidRPr="004C792A">
        <w:t>entencias C-258 de 2008, C-713 de 2013 y C-265 de 2019.</w:t>
      </w:r>
    </w:p>
  </w:footnote>
  <w:footnote w:id="90">
    <w:p w:rsidR="007A08AE" w:rsidRPr="004C792A" w:rsidRDefault="00045BB7" w:rsidP="003638B9">
      <w:pPr>
        <w:pStyle w:val="Textonotapie"/>
        <w:jc w:val="both"/>
      </w:pPr>
      <w:r w:rsidRPr="004C792A">
        <w:rPr>
          <w:rStyle w:val="Refdenotaalpie"/>
        </w:rPr>
        <w:footnoteRef/>
      </w:r>
      <w:r w:rsidRPr="004C792A">
        <w:t xml:space="preserve"> En esa oportu</w:t>
      </w:r>
      <w:r w:rsidRPr="004C792A">
        <w:t>nidad el demandante argumentó que los artículos 50 y 51 de la Ley 1676 de 2013 violaban los derechos de los trabajadores y los menores de edad, el principio de igualdad, el interés general, la función social de la empresa y el principio de unidad de materi</w:t>
      </w:r>
      <w:r w:rsidRPr="004C792A">
        <w:t>a. La Sala Plena encontró que la demanda era apta únicamente frente al cargo relacionado con la violación de los derechos de los trabajadores y los menores de edad. En cuanto a los demás, se declaró inhibida.</w:t>
      </w:r>
    </w:p>
  </w:footnote>
  <w:footnote w:id="91">
    <w:p w:rsidR="007A08AE" w:rsidRPr="004C792A" w:rsidRDefault="00045BB7" w:rsidP="003638B9">
      <w:pPr>
        <w:pStyle w:val="Textonotapie"/>
        <w:jc w:val="both"/>
      </w:pPr>
      <w:r w:rsidRPr="004C792A">
        <w:rPr>
          <w:rStyle w:val="Refdenotaalpie"/>
        </w:rPr>
        <w:footnoteRef/>
      </w:r>
      <w:r w:rsidRPr="004C792A">
        <w:t xml:space="preserve"> Corte Constitucional, </w:t>
      </w:r>
      <w:r w:rsidRPr="004C792A">
        <w:t>S</w:t>
      </w:r>
      <w:r w:rsidRPr="004C792A">
        <w:t>entencia C-145 de 2018</w:t>
      </w:r>
      <w:r w:rsidRPr="004C792A">
        <w:t>.</w:t>
      </w:r>
    </w:p>
  </w:footnote>
  <w:footnote w:id="92">
    <w:p w:rsidR="00395269"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Corte Constitucional, </w:t>
      </w:r>
      <w:r w:rsidRPr="004C792A">
        <w:rPr>
          <w:lang w:val="es-ES"/>
        </w:rPr>
        <w:t>S</w:t>
      </w:r>
      <w:r w:rsidRPr="004C792A">
        <w:rPr>
          <w:lang w:val="es-ES"/>
        </w:rPr>
        <w:t xml:space="preserve">entencia C-145 de 2018. </w:t>
      </w:r>
    </w:p>
  </w:footnote>
  <w:footnote w:id="93">
    <w:p w:rsidR="005F55AE" w:rsidRPr="004C792A" w:rsidRDefault="00045BB7" w:rsidP="003638B9">
      <w:pPr>
        <w:pStyle w:val="Textonotapie"/>
        <w:jc w:val="both"/>
        <w:rPr>
          <w:lang w:val="es-ES"/>
        </w:rPr>
      </w:pPr>
      <w:r w:rsidRPr="004C792A">
        <w:rPr>
          <w:rStyle w:val="Refdenotaalpie"/>
        </w:rPr>
        <w:footnoteRef/>
      </w:r>
      <w:r w:rsidRPr="004C792A">
        <w:t xml:space="preserve"> </w:t>
      </w:r>
      <w:r w:rsidRPr="004C792A">
        <w:rPr>
          <w:i/>
          <w:iCs/>
        </w:rPr>
        <w:t>Cfr</w:t>
      </w:r>
      <w:r w:rsidRPr="004C792A">
        <w:t xml:space="preserve">., Corte Constitucional, </w:t>
      </w:r>
      <w:r w:rsidRPr="004C792A">
        <w:t>A</w:t>
      </w:r>
      <w:r w:rsidRPr="004C792A">
        <w:t xml:space="preserve">uto 300 de 2008 y </w:t>
      </w:r>
      <w:r w:rsidRPr="004C792A">
        <w:t>S</w:t>
      </w:r>
      <w:r w:rsidRPr="004C792A">
        <w:t>entencia C-089 de 2020.</w:t>
      </w:r>
    </w:p>
  </w:footnote>
  <w:footnote w:id="94">
    <w:p w:rsidR="005F55AE" w:rsidRPr="004C792A" w:rsidRDefault="00045BB7" w:rsidP="003638B9">
      <w:pPr>
        <w:pStyle w:val="Textonotapie"/>
        <w:jc w:val="both"/>
        <w:rPr>
          <w:lang w:val="es-ES"/>
        </w:rPr>
      </w:pPr>
      <w:r w:rsidRPr="004C792A">
        <w:rPr>
          <w:rStyle w:val="Refdenotaalpie"/>
        </w:rPr>
        <w:footnoteRef/>
      </w:r>
      <w:r w:rsidRPr="004C792A">
        <w:t xml:space="preserve"> Corte Constitucional, </w:t>
      </w:r>
      <w:r w:rsidRPr="004C792A">
        <w:t>S</w:t>
      </w:r>
      <w:r w:rsidRPr="004C792A">
        <w:t xml:space="preserve">entencia C-1052 de 2001, reiterada en las </w:t>
      </w:r>
      <w:r w:rsidRPr="004C792A">
        <w:t>s</w:t>
      </w:r>
      <w:r w:rsidRPr="004C792A">
        <w:t xml:space="preserve">entencias C-247 de 2017, C-002 de 2018, C-087 de 2018 y C-221 </w:t>
      </w:r>
      <w:r w:rsidRPr="004C792A">
        <w:t>de 2019.</w:t>
      </w:r>
    </w:p>
  </w:footnote>
  <w:footnote w:id="95">
    <w:p w:rsidR="004B631B" w:rsidRPr="004C792A" w:rsidRDefault="00045BB7" w:rsidP="00AE0F11">
      <w:pPr>
        <w:pStyle w:val="Textonotapie"/>
        <w:jc w:val="both"/>
      </w:pPr>
      <w:r w:rsidRPr="004C792A">
        <w:rPr>
          <w:rStyle w:val="Refdenotaalpie"/>
        </w:rPr>
        <w:footnoteRef/>
      </w:r>
      <w:r w:rsidRPr="004C792A">
        <w:t xml:space="preserve"> </w:t>
      </w:r>
      <w:r w:rsidRPr="004C792A">
        <w:rPr>
          <w:lang w:val="es-ES"/>
        </w:rPr>
        <w:t>Por ejemplo, este requisito se incumple cuando</w:t>
      </w:r>
      <w:r w:rsidRPr="004C792A">
        <w:rPr>
          <w:lang w:val="es-ES"/>
        </w:rPr>
        <w:t xml:space="preserve"> </w:t>
      </w:r>
      <w:r w:rsidRPr="004C792A">
        <w:rPr>
          <w:lang w:val="es-ES"/>
        </w:rPr>
        <w:t>“</w:t>
      </w:r>
      <w:r w:rsidRPr="004C792A">
        <w:t xml:space="preserve">se indica que un enunciado limita un derecho a pesar de que la disposición únicamente regula un aspecto adjetivo del mismo (C-088 de 2014); </w:t>
      </w:r>
      <w:r w:rsidRPr="004C792A">
        <w:t>[…]</w:t>
      </w:r>
      <w:r w:rsidRPr="004C792A">
        <w:t xml:space="preserve"> la acusación se apoya en una inferencia del demandant</w:t>
      </w:r>
      <w:r w:rsidRPr="004C792A">
        <w:t xml:space="preserve">e acerca de los efectos que a lo largo del tiempo ha tenido una disposición (C-087 de 2018); se plantea una interpretación aislada de la expresión acusada que no tiene en cuenta el contexto normativo en el que se inserta (C-231 de 2016); </w:t>
      </w:r>
      <w:r w:rsidRPr="004C792A">
        <w:t>[…]</w:t>
      </w:r>
      <w:r w:rsidRPr="004C792A">
        <w:t xml:space="preserve"> se asigna a un</w:t>
      </w:r>
      <w:r w:rsidRPr="004C792A">
        <w:t xml:space="preserve">a expresión indeterminada consecuencias jurídicas que no se siguen de ella, sino que tienen origen en otras disposiciones (C-710 de 2012); </w:t>
      </w:r>
      <w:r w:rsidRPr="004C792A">
        <w:t>[…]</w:t>
      </w:r>
      <w:r w:rsidRPr="004C792A">
        <w:t xml:space="preserve">”. </w:t>
      </w:r>
      <w:r w:rsidRPr="004C792A">
        <w:rPr>
          <w:i/>
          <w:iCs/>
        </w:rPr>
        <w:t xml:space="preserve">Cfr. </w:t>
      </w:r>
      <w:r w:rsidRPr="004C792A">
        <w:t>Corte Constitucional, Sentencia C-292 de 2019.</w:t>
      </w:r>
    </w:p>
  </w:footnote>
  <w:footnote w:id="96">
    <w:p w:rsidR="005F55AE" w:rsidRPr="004C792A" w:rsidRDefault="00045BB7" w:rsidP="003638B9">
      <w:pPr>
        <w:pStyle w:val="Textonotapie"/>
        <w:jc w:val="both"/>
      </w:pPr>
      <w:r w:rsidRPr="004C792A">
        <w:rPr>
          <w:vertAlign w:val="superscript"/>
        </w:rPr>
        <w:footnoteRef/>
      </w:r>
      <w:r w:rsidRPr="004C792A">
        <w:t xml:space="preserve"> </w:t>
      </w:r>
      <w:r w:rsidRPr="004C792A">
        <w:t>Corte Constitucional, Sentencia C-1052 de 2001, reiterada</w:t>
      </w:r>
      <w:r w:rsidRPr="004C792A">
        <w:t xml:space="preserve"> en las sentencias C-247 de 2017, C-002 de 2018, C-087 de 2018 y C-221 de 2019.</w:t>
      </w:r>
    </w:p>
  </w:footnote>
  <w:footnote w:id="97">
    <w:p w:rsidR="005F55AE" w:rsidRPr="004C792A" w:rsidRDefault="00045BB7" w:rsidP="003638B9">
      <w:pPr>
        <w:pStyle w:val="Textonotapie"/>
        <w:jc w:val="both"/>
      </w:pPr>
      <w:r w:rsidRPr="004C792A">
        <w:rPr>
          <w:vertAlign w:val="superscript"/>
        </w:rPr>
        <w:footnoteRef/>
      </w:r>
      <w:r w:rsidRPr="004C792A">
        <w:t xml:space="preserve"> Ib.</w:t>
      </w:r>
    </w:p>
  </w:footnote>
  <w:footnote w:id="98">
    <w:p w:rsidR="00DB7CF9" w:rsidRPr="004C792A" w:rsidRDefault="00045BB7" w:rsidP="00E34066">
      <w:pPr>
        <w:pStyle w:val="Textonotapie"/>
        <w:jc w:val="both"/>
      </w:pPr>
      <w:r w:rsidRPr="004C792A">
        <w:rPr>
          <w:rStyle w:val="Refdenotaalpie"/>
        </w:rPr>
        <w:footnoteRef/>
      </w:r>
      <w:r w:rsidRPr="004C792A">
        <w:t xml:space="preserve"> En Sentencia C-292 de 2019, la Corte Constitucional señaló que, por ejemplo, este requisito se incumple cuando “(a) el lenguaje de la demanda es incomprensible por razo</w:t>
      </w:r>
      <w:r w:rsidRPr="004C792A">
        <w:t>nes semánticas o sintácticas; (b) los argumentos presentados son circulares</w:t>
      </w:r>
      <w:r w:rsidRPr="004C792A">
        <w:t xml:space="preserve"> o contradictorios; o (c) no es posible identificar exactamente el alcance o el sentido de lo pretendido”.</w:t>
      </w:r>
    </w:p>
  </w:footnote>
  <w:footnote w:id="99">
    <w:p w:rsidR="005F55AE" w:rsidRPr="004C792A" w:rsidRDefault="00045BB7" w:rsidP="003638B9">
      <w:pPr>
        <w:pStyle w:val="Textonotapie"/>
        <w:jc w:val="both"/>
      </w:pPr>
      <w:r w:rsidRPr="004C792A">
        <w:rPr>
          <w:vertAlign w:val="superscript"/>
        </w:rPr>
        <w:footnoteRef/>
      </w:r>
      <w:r w:rsidRPr="004C792A">
        <w:t xml:space="preserve"> Corte Constitucional, </w:t>
      </w:r>
      <w:r w:rsidRPr="004C792A">
        <w:t>S</w:t>
      </w:r>
      <w:r w:rsidRPr="004C792A">
        <w:t xml:space="preserve">entencia C-551 de 2019. </w:t>
      </w:r>
    </w:p>
  </w:footnote>
  <w:footnote w:id="100">
    <w:p w:rsidR="005F55AE" w:rsidRPr="004C792A" w:rsidRDefault="00045BB7" w:rsidP="003638B9">
      <w:pPr>
        <w:pStyle w:val="Textonotapie"/>
        <w:jc w:val="both"/>
      </w:pPr>
      <w:r w:rsidRPr="004C792A">
        <w:rPr>
          <w:vertAlign w:val="superscript"/>
        </w:rPr>
        <w:footnoteRef/>
      </w:r>
      <w:r w:rsidRPr="004C792A">
        <w:t xml:space="preserve"> Corte Constitucional, </w:t>
      </w:r>
      <w:r w:rsidRPr="004C792A">
        <w:t>S</w:t>
      </w:r>
      <w:r w:rsidRPr="004C792A">
        <w:t>entencia C-1052 de 2001.</w:t>
      </w:r>
    </w:p>
  </w:footnote>
  <w:footnote w:id="101">
    <w:p w:rsidR="005F55AE" w:rsidRPr="004C792A" w:rsidRDefault="00045BB7" w:rsidP="003638B9">
      <w:pPr>
        <w:pStyle w:val="Textonotapie"/>
        <w:jc w:val="both"/>
      </w:pPr>
      <w:r w:rsidRPr="004C792A">
        <w:rPr>
          <w:vertAlign w:val="superscript"/>
        </w:rPr>
        <w:footnoteRef/>
      </w:r>
      <w:r w:rsidRPr="004C792A">
        <w:t xml:space="preserve"> Corte Constitucional, </w:t>
      </w:r>
      <w:r w:rsidRPr="004C792A">
        <w:t>S</w:t>
      </w:r>
      <w:r w:rsidRPr="004C792A">
        <w:t xml:space="preserve">entencia C-1052 de 2001, reiterada en las </w:t>
      </w:r>
      <w:r w:rsidRPr="004C792A">
        <w:t>s</w:t>
      </w:r>
      <w:r w:rsidRPr="004C792A">
        <w:t>entencias C-247 de 2017, C-002 de 2018, C-087 de 2018 y C-221 de 2019.</w:t>
      </w:r>
    </w:p>
  </w:footnote>
  <w:footnote w:id="102">
    <w:p w:rsidR="00DE3627" w:rsidRPr="004C792A" w:rsidRDefault="00045BB7" w:rsidP="00AE0F11">
      <w:pPr>
        <w:pStyle w:val="Textonotapie"/>
        <w:jc w:val="both"/>
        <w:rPr>
          <w:lang w:val="es-ES"/>
        </w:rPr>
      </w:pPr>
      <w:r w:rsidRPr="004C792A">
        <w:rPr>
          <w:rStyle w:val="Refdenotaalpie"/>
        </w:rPr>
        <w:footnoteRef/>
      </w:r>
      <w:r w:rsidRPr="004C792A">
        <w:t xml:space="preserve"> </w:t>
      </w:r>
      <w:r w:rsidRPr="004C792A">
        <w:rPr>
          <w:lang w:val="es-ES"/>
        </w:rPr>
        <w:t>N</w:t>
      </w:r>
      <w:r w:rsidRPr="004C792A">
        <w:rPr>
          <w:lang w:val="es-ES"/>
        </w:rPr>
        <w:t>o cumple</w:t>
      </w:r>
      <w:r w:rsidRPr="004C792A">
        <w:rPr>
          <w:lang w:val="es-ES"/>
        </w:rPr>
        <w:t>n</w:t>
      </w:r>
      <w:r w:rsidRPr="004C792A">
        <w:rPr>
          <w:lang w:val="es-ES"/>
        </w:rPr>
        <w:t xml:space="preserve"> el requisito de especificidad los argumentos </w:t>
      </w:r>
      <w:r w:rsidRPr="004C792A">
        <w:t>“vagos, indeterminados, indirecto</w:t>
      </w:r>
      <w:r w:rsidRPr="004C792A">
        <w:t xml:space="preserve">s, abstractos y globales […] que no se relacionan concreta y directamente con las disposiciones que se acusan”. </w:t>
      </w:r>
      <w:r w:rsidRPr="004C792A">
        <w:rPr>
          <w:i/>
          <w:iCs/>
        </w:rPr>
        <w:t xml:space="preserve">Cfr. </w:t>
      </w:r>
      <w:r w:rsidRPr="004C792A">
        <w:t>Corte Constitucional, Sentencia C-1052 de 2001.</w:t>
      </w:r>
    </w:p>
  </w:footnote>
  <w:footnote w:id="103">
    <w:p w:rsidR="005F55AE" w:rsidRPr="004C792A" w:rsidRDefault="00045BB7" w:rsidP="003638B9">
      <w:pPr>
        <w:pStyle w:val="Textonotapie"/>
        <w:jc w:val="both"/>
      </w:pPr>
      <w:r w:rsidRPr="004C792A">
        <w:rPr>
          <w:vertAlign w:val="superscript"/>
        </w:rPr>
        <w:footnoteRef/>
      </w:r>
      <w:r w:rsidRPr="004C792A">
        <w:t xml:space="preserve"> </w:t>
      </w:r>
      <w:r w:rsidRPr="004C792A">
        <w:t>Corte Constitucional, Sentencia C-1052 de 2001, reiterada en las sentencias C-247 de 2017</w:t>
      </w:r>
      <w:r w:rsidRPr="004C792A">
        <w:t>, C-002 de 2018, C-087 de 2018 y C-221 de 2019.</w:t>
      </w:r>
    </w:p>
  </w:footnote>
  <w:footnote w:id="104">
    <w:p w:rsidR="007F68A8" w:rsidRPr="004C792A" w:rsidRDefault="00045BB7" w:rsidP="00AD4C24">
      <w:pPr>
        <w:pStyle w:val="Textonotapie"/>
        <w:jc w:val="both"/>
        <w:rPr>
          <w:lang w:val="es-ES"/>
        </w:rPr>
      </w:pPr>
      <w:r w:rsidRPr="004C792A">
        <w:rPr>
          <w:rStyle w:val="Refdenotaalpie"/>
        </w:rPr>
        <w:footnoteRef/>
      </w:r>
      <w:r w:rsidRPr="004C792A">
        <w:t xml:space="preserve"> De acuerdo con la jurisprudencia constitucional, carecen de pertinencia </w:t>
      </w:r>
      <w:r w:rsidRPr="004C792A">
        <w:t xml:space="preserve">las </w:t>
      </w:r>
      <w:r w:rsidRPr="004C792A">
        <w:t xml:space="preserve">“acusaciones que se fundamenten (i) en el provecho o utilidad que una norma puede traer (C-1059 de 2008); (ii) en la oposición de la norma con disposiciones que no puedan ser parámetro de control (C-1059 de 2008); (iii) en las consecuencias que una medida </w:t>
      </w:r>
      <w:r w:rsidRPr="004C792A">
        <w:t xml:space="preserve">puede tener en el desfinanciamiento de otras inversiones del Estado (C-1059 de 2008); o (iv) en la aplicación de una norma por parte de una autoridad administrativa a situaciones específicas (C-987 de 2005)”. </w:t>
      </w:r>
      <w:r w:rsidRPr="004C792A">
        <w:rPr>
          <w:i/>
          <w:iCs/>
        </w:rPr>
        <w:t xml:space="preserve">Cfr. </w:t>
      </w:r>
      <w:r w:rsidRPr="004C792A">
        <w:t>Corte Constitucional, Sentencia C-292 de 2</w:t>
      </w:r>
      <w:r w:rsidRPr="004C792A">
        <w:t>019.</w:t>
      </w:r>
    </w:p>
  </w:footnote>
  <w:footnote w:id="105">
    <w:p w:rsidR="005F55AE" w:rsidRPr="004C792A" w:rsidRDefault="00045BB7" w:rsidP="003638B9">
      <w:pPr>
        <w:pStyle w:val="Textonotapie"/>
        <w:jc w:val="both"/>
      </w:pPr>
      <w:r w:rsidRPr="004C792A">
        <w:rPr>
          <w:vertAlign w:val="superscript"/>
        </w:rPr>
        <w:footnoteRef/>
      </w:r>
      <w:r w:rsidRPr="004C792A">
        <w:t xml:space="preserve"> </w:t>
      </w:r>
      <w:r w:rsidRPr="004C792A">
        <w:t>Corte Constitucional, Sentencia C-1052 de 2001, reiterada en las sentencias C-247 de 2017, C-002 de 2018, C-087 de 2018 y C-221 de 2019.</w:t>
      </w:r>
    </w:p>
  </w:footnote>
  <w:footnote w:id="106">
    <w:p w:rsidR="005F55AE" w:rsidRPr="004C792A" w:rsidRDefault="00045BB7" w:rsidP="003638B9">
      <w:pPr>
        <w:pStyle w:val="Textonotapie"/>
        <w:jc w:val="both"/>
      </w:pPr>
      <w:r w:rsidRPr="004C792A">
        <w:rPr>
          <w:vertAlign w:val="superscript"/>
        </w:rPr>
        <w:footnoteRef/>
      </w:r>
      <w:r w:rsidRPr="004C792A">
        <w:t xml:space="preserve"> Corte Constitucional, </w:t>
      </w:r>
      <w:r w:rsidRPr="004C792A">
        <w:t>S</w:t>
      </w:r>
      <w:r w:rsidRPr="004C792A">
        <w:t xml:space="preserve">entencia C-049 de 2020. </w:t>
      </w:r>
    </w:p>
  </w:footnote>
  <w:footnote w:id="107">
    <w:p w:rsidR="005F55AE" w:rsidRPr="004C792A" w:rsidRDefault="00045BB7" w:rsidP="003638B9">
      <w:pPr>
        <w:pStyle w:val="Textonotapie"/>
        <w:jc w:val="both"/>
      </w:pPr>
      <w:r w:rsidRPr="004C792A">
        <w:rPr>
          <w:vertAlign w:val="superscript"/>
        </w:rPr>
        <w:footnoteRef/>
      </w:r>
      <w:r w:rsidRPr="004C792A">
        <w:t xml:space="preserve"> Corte Constitucional, </w:t>
      </w:r>
      <w:r w:rsidRPr="004C792A">
        <w:t>S</w:t>
      </w:r>
      <w:r w:rsidRPr="004C792A">
        <w:t xml:space="preserve">entencia C-1052 de 2001, reiterada en las </w:t>
      </w:r>
      <w:r w:rsidRPr="004C792A">
        <w:t>s</w:t>
      </w:r>
      <w:r w:rsidRPr="004C792A">
        <w:t>entencias C-247 de 2017, C-002 de 2018, C-087 de 2018 y C-221 de 2019.</w:t>
      </w:r>
    </w:p>
  </w:footnote>
  <w:footnote w:id="108">
    <w:p w:rsidR="005F55AE" w:rsidRPr="004C792A" w:rsidRDefault="00045BB7" w:rsidP="003638B9">
      <w:pPr>
        <w:pStyle w:val="Textonotapie"/>
        <w:jc w:val="both"/>
      </w:pPr>
      <w:r w:rsidRPr="004C792A">
        <w:rPr>
          <w:vertAlign w:val="superscript"/>
        </w:rPr>
        <w:footnoteRef/>
      </w:r>
      <w:r w:rsidRPr="004C792A">
        <w:t xml:space="preserve"> Ib.</w:t>
      </w:r>
    </w:p>
  </w:footnote>
  <w:footnote w:id="109">
    <w:p w:rsidR="005F55AE" w:rsidRPr="004C792A" w:rsidRDefault="00045BB7" w:rsidP="003638B9">
      <w:pPr>
        <w:pStyle w:val="Textonotapie"/>
        <w:jc w:val="both"/>
      </w:pPr>
      <w:r w:rsidRPr="004C792A">
        <w:rPr>
          <w:vertAlign w:val="superscript"/>
        </w:rPr>
        <w:footnoteRef/>
      </w:r>
      <w:r w:rsidRPr="004C792A">
        <w:t xml:space="preserve"> Corte Constitucional, </w:t>
      </w:r>
      <w:r w:rsidRPr="004C792A">
        <w:t>S</w:t>
      </w:r>
      <w:r w:rsidRPr="004C792A">
        <w:t xml:space="preserve">entencia C-551 de 2019. </w:t>
      </w:r>
    </w:p>
  </w:footnote>
  <w:footnote w:id="110">
    <w:p w:rsidR="006D4C28" w:rsidRPr="004C792A" w:rsidRDefault="00045BB7" w:rsidP="006D4C28">
      <w:pPr>
        <w:pStyle w:val="Textonotapie"/>
      </w:pPr>
      <w:r w:rsidRPr="004C792A">
        <w:rPr>
          <w:rStyle w:val="Refdenotaalpie"/>
        </w:rPr>
        <w:footnoteRef/>
      </w:r>
      <w:r w:rsidRPr="004C792A">
        <w:t xml:space="preserve"> Corte Constitucional, </w:t>
      </w:r>
      <w:r w:rsidRPr="004C792A">
        <w:t>S</w:t>
      </w:r>
      <w:r w:rsidRPr="004C792A">
        <w:t>entencia C-366 de 2022, rei</w:t>
      </w:r>
      <w:r w:rsidRPr="004C792A">
        <w:t>t</w:t>
      </w:r>
      <w:r w:rsidRPr="004C792A">
        <w:t xml:space="preserve">erado en las </w:t>
      </w:r>
      <w:r w:rsidRPr="004C792A">
        <w:t>s</w:t>
      </w:r>
      <w:r w:rsidRPr="004C792A">
        <w:t xml:space="preserve">entencias C-189 de </w:t>
      </w:r>
      <w:r w:rsidRPr="004C792A">
        <w:t>2021, C-056 de 2022 y C-262 de 2023.</w:t>
      </w:r>
    </w:p>
  </w:footnote>
  <w:footnote w:id="111">
    <w:p w:rsidR="00423286" w:rsidRPr="004C792A" w:rsidRDefault="00045BB7" w:rsidP="003638B9">
      <w:pPr>
        <w:pStyle w:val="Textonotapie"/>
        <w:jc w:val="both"/>
        <w:rPr>
          <w:lang w:val="es-ES"/>
        </w:rPr>
      </w:pPr>
      <w:r w:rsidRPr="004C792A">
        <w:rPr>
          <w:rStyle w:val="Refdenotaalpie"/>
        </w:rPr>
        <w:footnoteRef/>
      </w:r>
      <w:r w:rsidRPr="004C792A">
        <w:t xml:space="preserve"> Corte Constitucional, </w:t>
      </w:r>
      <w:r w:rsidRPr="004C792A">
        <w:t>S</w:t>
      </w:r>
      <w:r w:rsidRPr="004C792A">
        <w:t>entencia C-048 de 2004.</w:t>
      </w:r>
    </w:p>
  </w:footnote>
  <w:footnote w:id="112">
    <w:p w:rsidR="00423286" w:rsidRPr="004C792A" w:rsidRDefault="00045BB7" w:rsidP="003638B9">
      <w:pPr>
        <w:pStyle w:val="Textonotapie"/>
        <w:jc w:val="both"/>
        <w:rPr>
          <w:lang w:val="es-ES"/>
        </w:rPr>
      </w:pPr>
      <w:r w:rsidRPr="004C792A">
        <w:rPr>
          <w:rStyle w:val="Refdenotaalpie"/>
        </w:rPr>
        <w:footnoteRef/>
      </w:r>
      <w:r w:rsidRPr="004C792A">
        <w:t xml:space="preserve"> Corte Constitucional, </w:t>
      </w:r>
      <w:r w:rsidRPr="004C792A">
        <w:t>s</w:t>
      </w:r>
      <w:r w:rsidRPr="004C792A">
        <w:t>entencias C-085 de 2018 y C-112 de 2019, entre otras.</w:t>
      </w:r>
    </w:p>
  </w:footnote>
  <w:footnote w:id="113">
    <w:p w:rsidR="00866A2E" w:rsidRPr="004C792A" w:rsidRDefault="00045BB7" w:rsidP="003638B9">
      <w:pPr>
        <w:pStyle w:val="Textonotapie"/>
        <w:jc w:val="both"/>
        <w:rPr>
          <w:lang w:val="es-ES"/>
        </w:rPr>
      </w:pPr>
      <w:r w:rsidRPr="004C792A">
        <w:rPr>
          <w:rStyle w:val="Refdenotaalpie"/>
        </w:rPr>
        <w:footnoteRef/>
      </w:r>
      <w:r w:rsidRPr="004C792A">
        <w:t xml:space="preserve"> </w:t>
      </w:r>
      <w:r w:rsidRPr="004C792A">
        <w:rPr>
          <w:lang w:val="es-ES"/>
        </w:rPr>
        <w:t xml:space="preserve">Corte Constitucional, </w:t>
      </w:r>
      <w:r w:rsidRPr="004C792A">
        <w:rPr>
          <w:lang w:val="es-ES"/>
        </w:rPr>
        <w:t>S</w:t>
      </w:r>
      <w:r w:rsidRPr="004C792A">
        <w:rPr>
          <w:lang w:val="es-ES"/>
        </w:rPr>
        <w:t>entencia C-145 de 2018.</w:t>
      </w:r>
    </w:p>
  </w:footnote>
  <w:footnote w:id="114">
    <w:p w:rsidR="001E3530" w:rsidRPr="004C792A" w:rsidRDefault="00045BB7" w:rsidP="001E3530">
      <w:pPr>
        <w:pStyle w:val="Textonotapie"/>
        <w:jc w:val="both"/>
      </w:pPr>
      <w:r w:rsidRPr="004C792A">
        <w:rPr>
          <w:rStyle w:val="Refdenotaalpie"/>
        </w:rPr>
        <w:footnoteRef/>
      </w:r>
      <w:r w:rsidRPr="004C792A">
        <w:t xml:space="preserve"> Consejo de Estado, Sala de lo Contencioso Administrativo, Sección Primera. Sentencia del 27 de julio de 2017, (Radicado: 25000-23-41-000-2016-00904-01). Reiterado por la Corte Constitucional en </w:t>
      </w:r>
      <w:r w:rsidRPr="004C792A">
        <w:t>S</w:t>
      </w:r>
      <w:r w:rsidRPr="004C792A">
        <w:t>entencia T-686 de 2017. En un principio, la facultad de insp</w:t>
      </w:r>
      <w:r w:rsidRPr="004C792A">
        <w:t>ección y vigilancia de las actividades relacionadas con la enajenación de inmuebles destinados a vivienda, correspondía a la Superintendencia Bancaria (Ley 66 de 1968). Sin embargo, en la actualidad, el Consejo de Estado ha precisado que, de acuerdo con la</w:t>
      </w:r>
      <w:r w:rsidRPr="004C792A">
        <w:t xml:space="preserve"> Constitución Política de 1991 y las leyes 136 de 1994 y 388 de 1996, la función de inspección, vigilancia y control sobre las actividades de construcción y enajenación de inmuebles para vivienda fue asignada a los municipios.</w:t>
      </w:r>
    </w:p>
  </w:footnote>
  <w:footnote w:id="115">
    <w:p w:rsidR="001E3530" w:rsidRPr="004C792A" w:rsidRDefault="00045BB7" w:rsidP="004E5F8B">
      <w:pPr>
        <w:pStyle w:val="Textonotapie"/>
        <w:jc w:val="both"/>
      </w:pPr>
      <w:r w:rsidRPr="004C792A">
        <w:rPr>
          <w:rStyle w:val="Refdenotaalpie"/>
        </w:rPr>
        <w:footnoteRef/>
      </w:r>
      <w:r w:rsidRPr="004C792A">
        <w:t xml:space="preserve"> En este sentido se ha pronu</w:t>
      </w:r>
      <w:r w:rsidRPr="004C792A">
        <w:t>nciado el Consejo de Estado, Sala de Consulta y Servicio Civil. Decisiones del 18 de mayo de 2004, radicado 1564, 29 de octubre de 2019, radicado 11001-03-06-000-2019-00128-00(C) y 17 de febrero de 2020, radicado 11001-03-06-000-2019-00188-00(C).</w:t>
      </w:r>
      <w:r w:rsidRPr="004C792A">
        <w:t xml:space="preserve"> Adicional</w:t>
      </w:r>
      <w:r w:rsidRPr="004C792A">
        <w:t xml:space="preserve">mente, la Corte Constitucional en Sentencia C-378 de 2020, resaltó que </w:t>
      </w:r>
      <w:r w:rsidRPr="004C792A">
        <w:t xml:space="preserve">a pesar de que </w:t>
      </w:r>
      <w:r w:rsidRPr="004C792A">
        <w:t xml:space="preserve">el Legislador ordinario ha dispuesto un régimen especial de intervención </w:t>
      </w:r>
      <w:r w:rsidRPr="004C792A">
        <w:t>en el sector de</w:t>
      </w:r>
      <w:r w:rsidRPr="004C792A">
        <w:t xml:space="preserve"> construcción y venta de inmuebles destinados a vivienda</w:t>
      </w:r>
      <w:r w:rsidRPr="004C792A">
        <w:t xml:space="preserve">, ello </w:t>
      </w:r>
      <w:r w:rsidRPr="004C792A">
        <w:t>no significa que la</w:t>
      </w:r>
      <w:r w:rsidRPr="004C792A">
        <w:t xml:space="preserve"> Superintendencia de Sociedades no pueda conocer de los procesos de reorganización o liquidación de dichas sociedades</w:t>
      </w:r>
      <w:r w:rsidRPr="004C792A">
        <w:t>, dado que</w:t>
      </w:r>
      <w:r w:rsidRPr="004C792A">
        <w:t xml:space="preserve"> </w:t>
      </w:r>
      <w:r w:rsidRPr="004C792A">
        <w:t>e</w:t>
      </w:r>
      <w:r w:rsidRPr="004C792A">
        <w:t>stas pueden acceder al mismo, pero bajo unas condiciones especiales, que son las taxativamente previstas en el inciso primero d</w:t>
      </w:r>
      <w:r w:rsidRPr="004C792A">
        <w:t xml:space="preserve">el Artículo 125 de la Ley 388 de 1997. </w:t>
      </w:r>
    </w:p>
  </w:footnote>
  <w:footnote w:id="116">
    <w:p w:rsidR="004E5F8B" w:rsidRPr="004C792A" w:rsidRDefault="00045BB7" w:rsidP="004E5F8B">
      <w:pPr>
        <w:pStyle w:val="Textonotapie"/>
        <w:jc w:val="both"/>
        <w:rPr>
          <w:lang w:val="es-ES"/>
        </w:rPr>
      </w:pPr>
      <w:r w:rsidRPr="004C792A">
        <w:rPr>
          <w:rStyle w:val="Refdenotaalpie"/>
        </w:rPr>
        <w:footnoteRef/>
      </w:r>
      <w:r w:rsidRPr="004C792A">
        <w:t xml:space="preserve"> </w:t>
      </w:r>
      <w:r w:rsidRPr="004C792A">
        <w:rPr>
          <w:lang w:val="es-ES"/>
        </w:rPr>
        <w:t xml:space="preserve">La Ley 1116 de 2006 modificó el régimen concursal establecido originalmente en la Ley 222 de 1995. Esto se desprende de su artículo 126 que establece la derogatoria del título II de la referida ley. </w:t>
      </w:r>
    </w:p>
  </w:footnote>
  <w:footnote w:id="117">
    <w:p w:rsidR="00B12F97" w:rsidRPr="004C792A" w:rsidRDefault="00045BB7" w:rsidP="00B12F97">
      <w:pPr>
        <w:pStyle w:val="Textonotapie"/>
        <w:jc w:val="both"/>
      </w:pPr>
      <w:r w:rsidRPr="004C792A">
        <w:rPr>
          <w:rStyle w:val="Refdenotaalpie"/>
        </w:rPr>
        <w:footnoteRef/>
      </w:r>
      <w:r w:rsidRPr="004C792A">
        <w:t xml:space="preserve"> Ley 1116 de </w:t>
      </w:r>
      <w:r w:rsidRPr="004C792A">
        <w:t xml:space="preserve">2006, artículo 1. </w:t>
      </w:r>
    </w:p>
  </w:footnote>
  <w:footnote w:id="118">
    <w:p w:rsidR="00B12F97" w:rsidRPr="004C792A" w:rsidRDefault="00045BB7" w:rsidP="00B12F97">
      <w:pPr>
        <w:pStyle w:val="Textonotapie"/>
        <w:jc w:val="both"/>
      </w:pPr>
      <w:r w:rsidRPr="004C792A">
        <w:rPr>
          <w:rStyle w:val="Refdenotaalpie"/>
        </w:rPr>
        <w:footnoteRef/>
      </w:r>
      <w:r w:rsidRPr="004C792A">
        <w:t xml:space="preserve"> </w:t>
      </w:r>
      <w:r w:rsidRPr="004C792A">
        <w:rPr>
          <w:color w:val="000000" w:themeColor="text1"/>
          <w:lang w:eastAsia="es-CO"/>
        </w:rPr>
        <w:t xml:space="preserve">Según los artículos 2 y 3 de la Ley 1116 de 2006, sus destinatarios son </w:t>
      </w:r>
      <w:r w:rsidRPr="004C792A">
        <w:rPr>
          <w:i/>
          <w:iCs/>
          <w:color w:val="000000" w:themeColor="text1"/>
          <w:lang w:eastAsia="es-CO"/>
        </w:rPr>
        <w:t xml:space="preserve">(i) </w:t>
      </w:r>
      <w:r w:rsidRPr="004C792A">
        <w:rPr>
          <w:color w:val="000000" w:themeColor="text1"/>
          <w:lang w:eastAsia="es-CO"/>
        </w:rPr>
        <w:t xml:space="preserve">las personas naturales comerciantes, </w:t>
      </w:r>
      <w:r w:rsidRPr="004C792A">
        <w:rPr>
          <w:i/>
          <w:iCs/>
          <w:color w:val="000000" w:themeColor="text1"/>
          <w:lang w:eastAsia="es-CO"/>
        </w:rPr>
        <w:t xml:space="preserve">(ii) </w:t>
      </w:r>
      <w:r w:rsidRPr="004C792A">
        <w:rPr>
          <w:color w:val="000000" w:themeColor="text1"/>
          <w:lang w:eastAsia="es-CO"/>
        </w:rPr>
        <w:t xml:space="preserve">las sucursales de sociedades extranjeras, </w:t>
      </w:r>
      <w:r w:rsidRPr="004C792A">
        <w:rPr>
          <w:i/>
          <w:iCs/>
          <w:color w:val="000000" w:themeColor="text1"/>
          <w:lang w:eastAsia="es-CO"/>
        </w:rPr>
        <w:t xml:space="preserve">(iii) </w:t>
      </w:r>
      <w:r w:rsidRPr="004C792A">
        <w:rPr>
          <w:color w:val="000000" w:themeColor="text1"/>
          <w:lang w:eastAsia="es-CO"/>
        </w:rPr>
        <w:t xml:space="preserve">los patrimonios autónomos que realicen actividades empresariales y, </w:t>
      </w:r>
      <w:r w:rsidRPr="004C792A">
        <w:rPr>
          <w:i/>
          <w:iCs/>
          <w:color w:val="000000" w:themeColor="text1"/>
          <w:lang w:eastAsia="es-CO"/>
        </w:rPr>
        <w:t>(</w:t>
      </w:r>
      <w:r w:rsidRPr="004C792A">
        <w:rPr>
          <w:i/>
          <w:iCs/>
          <w:color w:val="000000" w:themeColor="text1"/>
          <w:lang w:eastAsia="es-CO"/>
        </w:rPr>
        <w:t xml:space="preserve">iv) </w:t>
      </w:r>
      <w:r w:rsidRPr="004C792A">
        <w:rPr>
          <w:color w:val="000000" w:themeColor="text1"/>
          <w:lang w:eastAsia="es-CO"/>
        </w:rPr>
        <w:t>las personas jurídicas que realicen negocios permanentes en el territorio nacional, de carácter mixto o privado.</w:t>
      </w:r>
    </w:p>
  </w:footnote>
  <w:footnote w:id="119">
    <w:p w:rsidR="00883568" w:rsidRPr="004C792A" w:rsidRDefault="00045BB7" w:rsidP="00883568">
      <w:pPr>
        <w:pStyle w:val="Textonotapie"/>
        <w:jc w:val="both"/>
      </w:pPr>
      <w:r w:rsidRPr="004C792A">
        <w:rPr>
          <w:rStyle w:val="Refdenotaalpie"/>
        </w:rPr>
        <w:footnoteRef/>
      </w:r>
      <w:r w:rsidRPr="004C792A">
        <w:t xml:space="preserve"> Ley 1116 de 2006, artículo</w:t>
      </w:r>
      <w:r w:rsidRPr="004C792A">
        <w:t>s 34 (reglamentado por el Decreto Nacional 1038 de 2009) y</w:t>
      </w:r>
      <w:r w:rsidRPr="004C792A">
        <w:t xml:space="preserve"> 35. </w:t>
      </w:r>
    </w:p>
  </w:footnote>
  <w:footnote w:id="120">
    <w:p w:rsidR="00B12F97" w:rsidRPr="004C792A" w:rsidRDefault="00045BB7" w:rsidP="00B12F97">
      <w:pPr>
        <w:pStyle w:val="Textonotapie"/>
        <w:jc w:val="both"/>
      </w:pPr>
      <w:r w:rsidRPr="004C792A">
        <w:rPr>
          <w:rStyle w:val="Refdenotaalpie"/>
        </w:rPr>
        <w:footnoteRef/>
      </w:r>
      <w:r w:rsidRPr="004C792A">
        <w:t xml:space="preserve"> Ib., artículo 50.</w:t>
      </w:r>
    </w:p>
  </w:footnote>
  <w:footnote w:id="121">
    <w:p w:rsidR="00B12F97" w:rsidRPr="004C792A" w:rsidRDefault="00045BB7" w:rsidP="00B12F97">
      <w:pPr>
        <w:pStyle w:val="Textonotapie"/>
        <w:jc w:val="both"/>
        <w:rPr>
          <w:lang w:val="es-ES"/>
        </w:rPr>
      </w:pPr>
      <w:r w:rsidRPr="004C792A">
        <w:rPr>
          <w:rStyle w:val="Refdenotaalpie"/>
        </w:rPr>
        <w:footnoteRef/>
      </w:r>
      <w:r w:rsidRPr="004C792A">
        <w:t xml:space="preserve"> </w:t>
      </w:r>
      <w:r w:rsidRPr="004C792A">
        <w:rPr>
          <w:lang w:val="es-ES"/>
        </w:rPr>
        <w:t xml:space="preserve">Proyecto de Ley 200 de 2012. Gaceta No. 69 del 15 de marzo de 2012. </w:t>
      </w:r>
    </w:p>
  </w:footnote>
  <w:footnote w:id="122">
    <w:p w:rsidR="00B12F97" w:rsidRPr="004C792A" w:rsidRDefault="00045BB7" w:rsidP="00B12F97">
      <w:pPr>
        <w:pStyle w:val="Textonotapie"/>
        <w:jc w:val="both"/>
      </w:pPr>
      <w:r w:rsidRPr="004C792A">
        <w:rPr>
          <w:rStyle w:val="Refdenotaalpie"/>
        </w:rPr>
        <w:footnoteRef/>
      </w:r>
      <w:r w:rsidRPr="004C792A">
        <w:t xml:space="preserve"> Ley 1676 de 2013, artículo 1.</w:t>
      </w:r>
    </w:p>
  </w:footnote>
  <w:footnote w:id="123">
    <w:p w:rsidR="00B12F97" w:rsidRPr="004C792A" w:rsidRDefault="00045BB7" w:rsidP="00B12F97">
      <w:pPr>
        <w:pStyle w:val="Textonotapie"/>
        <w:jc w:val="both"/>
      </w:pPr>
      <w:r w:rsidRPr="004C792A">
        <w:rPr>
          <w:rStyle w:val="Refdenotaalpie"/>
        </w:rPr>
        <w:footnoteRef/>
      </w:r>
      <w:r w:rsidRPr="004C792A">
        <w:t xml:space="preserve"> Corte Constitucional, </w:t>
      </w:r>
      <w:r w:rsidRPr="004C792A">
        <w:t>S</w:t>
      </w:r>
      <w:r w:rsidRPr="004C792A">
        <w:t>entencia C-527 de 2013.</w:t>
      </w:r>
    </w:p>
  </w:footnote>
  <w:footnote w:id="124">
    <w:p w:rsidR="00147A72" w:rsidRPr="004C792A" w:rsidRDefault="00045BB7" w:rsidP="003638B9">
      <w:pPr>
        <w:pStyle w:val="Textonotapie"/>
        <w:jc w:val="both"/>
        <w:rPr>
          <w:lang w:val="es-ES"/>
        </w:rPr>
      </w:pPr>
      <w:r w:rsidRPr="004C792A">
        <w:rPr>
          <w:rStyle w:val="Refdenotaalpie"/>
        </w:rPr>
        <w:footnoteRef/>
      </w:r>
      <w:r w:rsidRPr="004C792A">
        <w:t xml:space="preserve"> Expediente digital. D0015813-Corrección a la Demanda-(2024-05-14 23-45-47).pdf., p. 11.</w:t>
      </w:r>
    </w:p>
  </w:footnote>
  <w:footnote w:id="125">
    <w:p w:rsidR="008F40FC" w:rsidRPr="004C792A" w:rsidRDefault="00045BB7" w:rsidP="008F40FC">
      <w:pPr>
        <w:pStyle w:val="Textonotapie"/>
        <w:jc w:val="both"/>
      </w:pPr>
      <w:r w:rsidRPr="004C792A">
        <w:rPr>
          <w:rStyle w:val="Refdenotaalpie"/>
        </w:rPr>
        <w:footnoteRef/>
      </w:r>
      <w:r w:rsidRPr="004C792A">
        <w:t xml:space="preserve"> Expediente di</w:t>
      </w:r>
      <w:r w:rsidRPr="004C792A">
        <w:t>gital. D0015813-Corrección a la Demanda-(2024-05-14 23-45-47).pdf., p.7.</w:t>
      </w:r>
    </w:p>
  </w:footnote>
  <w:footnote w:id="126">
    <w:p w:rsidR="008F40FC" w:rsidRPr="004C792A" w:rsidRDefault="00045BB7" w:rsidP="008F40FC">
      <w:pPr>
        <w:pStyle w:val="Textonotapie"/>
        <w:jc w:val="both"/>
        <w:rPr>
          <w:lang w:val="es-ES"/>
        </w:rPr>
      </w:pPr>
      <w:r w:rsidRPr="004C792A">
        <w:rPr>
          <w:rStyle w:val="Refdenotaalpie"/>
        </w:rPr>
        <w:footnoteRef/>
      </w:r>
      <w:r w:rsidRPr="004C792A">
        <w:t xml:space="preserve"> </w:t>
      </w:r>
      <w:r w:rsidRPr="004C792A">
        <w:rPr>
          <w:lang w:val="es-ES"/>
        </w:rPr>
        <w:t>Ib., p. 8.</w:t>
      </w:r>
    </w:p>
  </w:footnote>
  <w:footnote w:id="127">
    <w:p w:rsidR="0007643D" w:rsidRPr="004C792A" w:rsidRDefault="00045BB7" w:rsidP="0007643D">
      <w:pPr>
        <w:pStyle w:val="Textonotapie"/>
        <w:jc w:val="both"/>
      </w:pPr>
      <w:r w:rsidRPr="004C792A">
        <w:rPr>
          <w:rStyle w:val="Refdenotaalpie"/>
        </w:rPr>
        <w:footnoteRef/>
      </w:r>
      <w:r w:rsidRPr="004C792A">
        <w:t xml:space="preserve"> Sobre el particular, la Corte Constitucional en </w:t>
      </w:r>
      <w:r w:rsidRPr="004C792A">
        <w:t>S</w:t>
      </w:r>
      <w:r w:rsidRPr="004C792A">
        <w:t>entencia C-620 de 2012 señaló que la interpretación que hacía el actor de la norma demandada partía del “error de cons</w:t>
      </w:r>
      <w:r w:rsidRPr="004C792A">
        <w:t xml:space="preserve">iderar que una empresa que se encuentra en un proceso de reorganización es una empresa en quiebra […], lo cual es incorrecto, pues estas empresas son completamente viables por cuanto de lo contrario se procedería a utilizar el otro procedimiento concursal </w:t>
      </w:r>
      <w:r w:rsidRPr="004C792A">
        <w:t>aplicable que es la liquidación. […] Por lo anterior, el sólo hecho de que una empresa se encuentre en un proceso de reorganización no implica que genere un riesgo económico […]”.</w:t>
      </w:r>
    </w:p>
  </w:footnote>
  <w:footnote w:id="128">
    <w:p w:rsidR="0007643D" w:rsidRPr="004C792A" w:rsidRDefault="00045BB7" w:rsidP="0007643D">
      <w:pPr>
        <w:pStyle w:val="Textonotapie"/>
        <w:jc w:val="both"/>
      </w:pPr>
      <w:r w:rsidRPr="004C792A">
        <w:rPr>
          <w:rStyle w:val="Refdenotaalpie"/>
        </w:rPr>
        <w:footnoteRef/>
      </w:r>
      <w:r w:rsidRPr="004C792A">
        <w:t xml:space="preserve"> Corte Constitucional, </w:t>
      </w:r>
      <w:r w:rsidRPr="004C792A">
        <w:t>S</w:t>
      </w:r>
      <w:r w:rsidRPr="004C792A">
        <w:t>entencia C-378 de 2020.</w:t>
      </w:r>
    </w:p>
  </w:footnote>
  <w:footnote w:id="129">
    <w:p w:rsidR="0007643D" w:rsidRPr="004C792A" w:rsidRDefault="00045BB7" w:rsidP="0007643D">
      <w:pPr>
        <w:pStyle w:val="Textonotapie"/>
        <w:jc w:val="both"/>
      </w:pPr>
      <w:r w:rsidRPr="004C792A">
        <w:rPr>
          <w:rStyle w:val="Refdenotaalpie"/>
        </w:rPr>
        <w:footnoteRef/>
      </w:r>
      <w:r w:rsidRPr="004C792A">
        <w:t xml:space="preserve"> Corte Suprema de Justicia, Sala de Casación Civil, </w:t>
      </w:r>
      <w:r w:rsidRPr="004C792A">
        <w:t>S</w:t>
      </w:r>
      <w:r w:rsidRPr="004C792A">
        <w:t>entencia SC11287-2016.</w:t>
      </w:r>
    </w:p>
  </w:footnote>
  <w:footnote w:id="130">
    <w:p w:rsidR="00EC56F0" w:rsidRPr="004C792A" w:rsidRDefault="00045BB7" w:rsidP="00EC56F0">
      <w:pPr>
        <w:pStyle w:val="Textonotapie"/>
        <w:jc w:val="both"/>
      </w:pPr>
      <w:r w:rsidRPr="004C792A">
        <w:rPr>
          <w:rStyle w:val="Refdenotaalpie"/>
        </w:rPr>
        <w:footnoteRef/>
      </w:r>
      <w:r w:rsidRPr="004C792A">
        <w:t xml:space="preserve"> </w:t>
      </w:r>
      <w:r w:rsidRPr="004C792A">
        <w:rPr>
          <w:lang w:eastAsia="es-CO"/>
        </w:rPr>
        <w:t xml:space="preserve">El artículo 2493 del Código Civil señala que las causas de preferencia son el privilegio y la hipoteca. A su vez, los privilegios pueden ser </w:t>
      </w:r>
      <w:r w:rsidRPr="004C792A">
        <w:rPr>
          <w:i/>
          <w:iCs/>
          <w:lang w:eastAsia="es-CO"/>
        </w:rPr>
        <w:t>generales</w:t>
      </w:r>
      <w:r w:rsidRPr="004C792A">
        <w:rPr>
          <w:lang w:eastAsia="es-CO"/>
        </w:rPr>
        <w:t xml:space="preserve">, dado que se predican de la masa patrimonial del deudor y por lo tanto, le permiten al acreedor perseguir todos los bienes, sea cual sea su naturaleza, con el fin de alcanzar la satisfacción de su crédito y </w:t>
      </w:r>
      <w:r w:rsidRPr="004C792A">
        <w:rPr>
          <w:i/>
          <w:iCs/>
          <w:lang w:eastAsia="es-CO"/>
        </w:rPr>
        <w:t>especiales</w:t>
      </w:r>
      <w:r w:rsidRPr="004C792A">
        <w:rPr>
          <w:lang w:eastAsia="es-CO"/>
        </w:rPr>
        <w:t>, pues la ventaja que tienen es únicam</w:t>
      </w:r>
      <w:r w:rsidRPr="004C792A">
        <w:rPr>
          <w:lang w:eastAsia="es-CO"/>
        </w:rPr>
        <w:t xml:space="preserve">ente frente a un bien determinado, situación que tiene fundamento en que se trata de derechos reales, como pasa con la prenda y la hipoteca. Bajo ese entendido, se recuerda que los privilegios especiales se predican única y exclusivamente del bien gravado </w:t>
      </w:r>
      <w:r w:rsidRPr="004C792A">
        <w:rPr>
          <w:lang w:eastAsia="es-CO"/>
        </w:rPr>
        <w:t>y, por lo tanto, no se extienden a los demás bienes del deudor, además, son oponibles a los acreedores de mejor derecho cuando los demás bienes del deudor sean suficientes para atender las obligaciones de primera clase, evento en el cual no es necesario es</w:t>
      </w:r>
      <w:r w:rsidRPr="004C792A">
        <w:rPr>
          <w:lang w:eastAsia="es-CO"/>
        </w:rPr>
        <w:t xml:space="preserve">perar que se paguen. </w:t>
      </w:r>
      <w:r w:rsidRPr="004C792A">
        <w:rPr>
          <w:i/>
          <w:iCs/>
          <w:lang w:eastAsia="es-CO"/>
        </w:rPr>
        <w:t xml:space="preserve">Cfr. </w:t>
      </w:r>
      <w:r w:rsidRPr="004C792A">
        <w:rPr>
          <w:lang w:eastAsia="es-CO"/>
        </w:rPr>
        <w:t xml:space="preserve">Corte Constitucional, </w:t>
      </w:r>
      <w:r w:rsidRPr="004C792A">
        <w:rPr>
          <w:lang w:eastAsia="es-CO"/>
        </w:rPr>
        <w:t>S</w:t>
      </w:r>
      <w:r w:rsidRPr="004C792A">
        <w:rPr>
          <w:lang w:eastAsia="es-CO"/>
        </w:rPr>
        <w:t>entencia C-664 de 2006.</w:t>
      </w:r>
    </w:p>
  </w:footnote>
  <w:footnote w:id="131">
    <w:p w:rsidR="004B11CB" w:rsidRPr="004C792A" w:rsidRDefault="00045BB7" w:rsidP="004B11CB">
      <w:pPr>
        <w:pStyle w:val="Textonotapie"/>
        <w:jc w:val="both"/>
      </w:pPr>
      <w:r w:rsidRPr="004C792A">
        <w:rPr>
          <w:rStyle w:val="Refdenotaalpie"/>
        </w:rPr>
        <w:footnoteRef/>
      </w:r>
      <w:r w:rsidRPr="004C792A">
        <w:t xml:space="preserve"> Esto ha sido reiterado por la Superintendencia de Sociedades en concepto 220-253297 del 29 de diciembre de 2016.</w:t>
      </w:r>
    </w:p>
  </w:footnote>
  <w:footnote w:id="132">
    <w:p w:rsidR="00FB2C58" w:rsidRPr="004C792A" w:rsidRDefault="00045BB7">
      <w:pPr>
        <w:pStyle w:val="Textonotapie"/>
        <w:rPr>
          <w:lang w:val="es-ES"/>
        </w:rPr>
      </w:pPr>
      <w:r w:rsidRPr="004C792A">
        <w:rPr>
          <w:rStyle w:val="Refdenotaalpie"/>
        </w:rPr>
        <w:footnoteRef/>
      </w:r>
      <w:r w:rsidRPr="004C792A">
        <w:t xml:space="preserve"> </w:t>
      </w:r>
      <w:r w:rsidRPr="004C792A">
        <w:rPr>
          <w:lang w:val="es-ES"/>
        </w:rPr>
        <w:t xml:space="preserve">Ley 1116 de 2006, artículo 52. </w:t>
      </w:r>
    </w:p>
  </w:footnote>
  <w:footnote w:id="133">
    <w:p w:rsidR="00AC03CC" w:rsidRPr="004C792A" w:rsidRDefault="00045BB7">
      <w:pPr>
        <w:pStyle w:val="Textonotapie"/>
        <w:rPr>
          <w:lang w:val="es-ES"/>
        </w:rPr>
      </w:pPr>
      <w:r w:rsidRPr="004C792A">
        <w:rPr>
          <w:rStyle w:val="Refdenotaalpie"/>
        </w:rPr>
        <w:footnoteRef/>
      </w:r>
      <w:r w:rsidRPr="004C792A">
        <w:t xml:space="preserve"> Ib., artículo 51.</w:t>
      </w:r>
    </w:p>
  </w:footnote>
  <w:footnote w:id="134">
    <w:p w:rsidR="004B11CB" w:rsidRPr="004C792A" w:rsidRDefault="00045BB7" w:rsidP="004B11CB">
      <w:pPr>
        <w:pStyle w:val="Textonotapie"/>
        <w:jc w:val="both"/>
      </w:pPr>
      <w:r w:rsidRPr="004C792A">
        <w:rPr>
          <w:rStyle w:val="Refdenotaalpie"/>
        </w:rPr>
        <w:footnoteRef/>
      </w:r>
      <w:r w:rsidRPr="004C792A">
        <w:t xml:space="preserve"> </w:t>
      </w:r>
      <w:r w:rsidRPr="004C792A">
        <w:rPr>
          <w:b/>
          <w:bCs/>
        </w:rPr>
        <w:t>ARTÍCULO 10º</w:t>
      </w:r>
      <w:r w:rsidRPr="004C792A">
        <w:t>. El Artículo 21 de la Ley 66 de 1968 quedara así:</w:t>
      </w:r>
    </w:p>
    <w:p w:rsidR="004B11CB" w:rsidRPr="004C792A" w:rsidRDefault="00045BB7" w:rsidP="004B11CB">
      <w:pPr>
        <w:pStyle w:val="Textonotapie"/>
        <w:jc w:val="both"/>
      </w:pPr>
      <w:r w:rsidRPr="004C792A">
        <w:t>En los casos de liquidación, las cuotas que hayan pagado los prometientes compradores o afiliados tendrán el carácter de créditos privilegiados de segunda clase en los términos del numeral 3o. del Artículo</w:t>
      </w:r>
      <w:r w:rsidRPr="004C792A">
        <w:t xml:space="preserve"> 2497 del Código Civil (2) siempre que la promesa de contrato haya sido válidamente celebrada y el Superintendente o su Agente Liquidador tenga certeza de la fecha de su otorgamiento.</w:t>
      </w:r>
    </w:p>
  </w:footnote>
  <w:footnote w:id="135">
    <w:p w:rsidR="00B32E63" w:rsidRPr="004C792A" w:rsidRDefault="00045BB7" w:rsidP="00B32E63">
      <w:pPr>
        <w:pStyle w:val="Textonotapie"/>
        <w:jc w:val="both"/>
      </w:pPr>
      <w:r w:rsidRPr="004C792A">
        <w:rPr>
          <w:rStyle w:val="Refdenotaalpie"/>
        </w:rPr>
        <w:footnoteRef/>
      </w:r>
      <w:r w:rsidRPr="004C792A">
        <w:t xml:space="preserve"> Ley 1676 de 2013, artículo 52.</w:t>
      </w:r>
    </w:p>
  </w:footnote>
  <w:footnote w:id="136">
    <w:p w:rsidR="004B11CB" w:rsidRPr="004C792A" w:rsidRDefault="00045BB7" w:rsidP="004B11CB">
      <w:pPr>
        <w:pStyle w:val="Textonotapie"/>
        <w:jc w:val="both"/>
      </w:pPr>
      <w:r w:rsidRPr="004C792A">
        <w:rPr>
          <w:rStyle w:val="Refdenotaalpie"/>
        </w:rPr>
        <w:footnoteRef/>
      </w:r>
      <w:r w:rsidRPr="004C792A">
        <w:t xml:space="preserve"> “Protección especial para los adquiri</w:t>
      </w:r>
      <w:r w:rsidRPr="004C792A">
        <w:t>entes de vivienda individual. El Gobierno Nacional, mediante normas de carácter general, determinará los mecanismos que aseguren que los dineros recibidos por las personas dedicadas a la actividad de la construcción, por concepto de ventas de contado y pag</w:t>
      </w:r>
      <w:r w:rsidRPr="004C792A">
        <w:t>o de cuotas iniciales, se canalicen a través de instrumentos que tiendan a asegurar la adecuada inversión y destinación de los recursos del proyecto de construcción al inmueble vendido o prometido en venta.</w:t>
      </w:r>
    </w:p>
    <w:p w:rsidR="004B11CB" w:rsidRPr="004C792A" w:rsidRDefault="00045BB7" w:rsidP="004B11CB">
      <w:pPr>
        <w:pStyle w:val="Textonotapie"/>
        <w:jc w:val="both"/>
      </w:pPr>
      <w:r w:rsidRPr="004C792A">
        <w:t>Para los fines aquí previstos, el Gobierno establ</w:t>
      </w:r>
      <w:r w:rsidRPr="004C792A">
        <w:t>ecerá para los constructores la obligación de informar a los prometientes compradores sobre la existencia de gravámenes en mayor extensión y exigirá que en las escrituras públicas que perfeccionen dichas promesas de compraventa se protocolice una carta del</w:t>
      </w:r>
      <w:r w:rsidRPr="004C792A">
        <w:t xml:space="preserve"> establecimiento de crédito titular de la garantía en mayor extensión mediante la cual el otorgamiento de la escritura de compraventa por haber recibido el pago de la prorrata correspondiente”.</w:t>
      </w:r>
    </w:p>
  </w:footnote>
  <w:footnote w:id="137">
    <w:p w:rsidR="00764252" w:rsidRPr="004C792A" w:rsidRDefault="00045BB7" w:rsidP="00764252">
      <w:pPr>
        <w:pStyle w:val="Textonotapie"/>
        <w:jc w:val="both"/>
      </w:pPr>
      <w:r w:rsidRPr="004C792A">
        <w:rPr>
          <w:rStyle w:val="Refdenotaalpie"/>
        </w:rPr>
        <w:footnoteRef/>
      </w:r>
      <w:r w:rsidRPr="004C792A">
        <w:t xml:space="preserve"> </w:t>
      </w:r>
      <w:r w:rsidRPr="004C792A">
        <w:rPr>
          <w:lang w:val="es-ES"/>
        </w:rPr>
        <w:t xml:space="preserve">Corte Suprema de Justicia, Sala de Casación Civil, </w:t>
      </w:r>
      <w:r w:rsidRPr="004C792A">
        <w:t>SC276-2023 (radicación 11001-31-99-003-2018-01217-02), p. 34.</w:t>
      </w:r>
    </w:p>
  </w:footnote>
  <w:footnote w:id="138">
    <w:p w:rsidR="003A4C97" w:rsidRPr="004C792A" w:rsidRDefault="00045BB7" w:rsidP="00A338AC">
      <w:pPr>
        <w:pStyle w:val="Textonotapie"/>
        <w:jc w:val="both"/>
        <w:rPr>
          <w:bCs/>
          <w:lang w:val="es-ES_tradnl"/>
        </w:rPr>
      </w:pPr>
      <w:r w:rsidRPr="004C792A">
        <w:rPr>
          <w:rStyle w:val="Refdenotaalpie"/>
        </w:rPr>
        <w:footnoteRef/>
      </w:r>
      <w:r w:rsidRPr="004C792A">
        <w:t xml:space="preserve"> </w:t>
      </w:r>
      <w:r w:rsidRPr="004C792A">
        <w:rPr>
          <w:lang w:val="es-ES"/>
        </w:rPr>
        <w:t xml:space="preserve">La Circular Básica Jurídica 029 de 2014, expedida por la Superintendencia Financiera de Colombia establece que </w:t>
      </w:r>
      <w:r w:rsidRPr="004C792A">
        <w:rPr>
          <w:lang w:val="es-ES"/>
        </w:rPr>
        <w:t>la fiducia mercantil puede darse a través de contratos de fiducia de inversión, i</w:t>
      </w:r>
      <w:r w:rsidRPr="004C792A">
        <w:rPr>
          <w:lang w:val="es-ES"/>
        </w:rPr>
        <w:t xml:space="preserve">nmobiliaria, en garantía, entre otros. En particular, </w:t>
      </w:r>
      <w:r w:rsidRPr="004C792A">
        <w:rPr>
          <w:lang w:val="es-ES"/>
        </w:rPr>
        <w:t xml:space="preserve">refiere que </w:t>
      </w:r>
      <w:r w:rsidRPr="004C792A">
        <w:rPr>
          <w:bCs/>
          <w:lang w:val="es-ES_tradnl"/>
        </w:rPr>
        <w:t xml:space="preserve">la fiducia </w:t>
      </w:r>
      <w:r w:rsidRPr="004C792A">
        <w:rPr>
          <w:bCs/>
          <w:lang w:val="es-ES_tradnl"/>
        </w:rPr>
        <w:t>inmobiliaria “</w:t>
      </w:r>
      <w:r w:rsidRPr="004C792A">
        <w:rPr>
          <w:bCs/>
        </w:rPr>
        <w:t>tiene como finalidad la administración de recursos y bienes afectos a un proyecto inmobiliario o a la administración de los recursos asociados al desarrollo y ejecuc</w:t>
      </w:r>
      <w:r w:rsidRPr="004C792A">
        <w:rPr>
          <w:bCs/>
        </w:rPr>
        <w:t>ión de un proyecto, de acuerdo con las instrucciones señaladas en el contrato”.</w:t>
      </w:r>
      <w:r w:rsidRPr="004C792A">
        <w:rPr>
          <w:bCs/>
        </w:rPr>
        <w:t xml:space="preserve"> Por su lado, </w:t>
      </w:r>
      <w:r w:rsidRPr="004C792A">
        <w:rPr>
          <w:lang w:val="es-ES"/>
        </w:rPr>
        <w:t>la fiducia en garantía se presenta cuando “</w:t>
      </w:r>
      <w:r w:rsidRPr="004C792A">
        <w:rPr>
          <w:bCs/>
          <w:lang w:val="es-ES_tradnl"/>
        </w:rPr>
        <w:t>una persona entrega o transfiere a la sociedad fiduciaria bienes o recursos, con la finalidad de garantizar el cumplimie</w:t>
      </w:r>
      <w:r w:rsidRPr="004C792A">
        <w:rPr>
          <w:bCs/>
          <w:lang w:val="es-ES_tradnl"/>
        </w:rPr>
        <w:t xml:space="preserve">nto de obligaciones propias o de terceros”. </w:t>
      </w:r>
    </w:p>
  </w:footnote>
  <w:footnote w:id="139">
    <w:p w:rsidR="004B11CB" w:rsidRPr="004C792A" w:rsidRDefault="00045BB7" w:rsidP="004B11CB">
      <w:pPr>
        <w:pStyle w:val="Textonotapie"/>
        <w:jc w:val="both"/>
        <w:rPr>
          <w:lang w:val="es-ES"/>
        </w:rPr>
      </w:pPr>
      <w:r w:rsidRPr="004C792A">
        <w:rPr>
          <w:rStyle w:val="Refdenotaalpie"/>
        </w:rPr>
        <w:footnoteRef/>
      </w:r>
      <w:r w:rsidRPr="004C792A">
        <w:t xml:space="preserve"> </w:t>
      </w:r>
      <w:r w:rsidRPr="004C792A">
        <w:rPr>
          <w:lang w:val="es-ES"/>
        </w:rPr>
        <w:t xml:space="preserve">La Circular Básica Jurídica 029 de 2014, expedida por la Superintendencia Financiera de Colombia, establece diversos tipos de fiducia inmobiliaria, según su finalidad: </w:t>
      </w:r>
      <w:r w:rsidRPr="004C792A">
        <w:rPr>
          <w:i/>
          <w:iCs/>
          <w:lang w:val="es-ES"/>
        </w:rPr>
        <w:t>(i)</w:t>
      </w:r>
      <w:r w:rsidRPr="004C792A">
        <w:rPr>
          <w:lang w:val="es-ES"/>
        </w:rPr>
        <w:t xml:space="preserve"> la de administración y pagos, </w:t>
      </w:r>
      <w:r w:rsidRPr="004C792A">
        <w:rPr>
          <w:i/>
          <w:iCs/>
          <w:lang w:val="es-ES"/>
        </w:rPr>
        <w:t>(ii)</w:t>
      </w:r>
      <w:r w:rsidRPr="004C792A">
        <w:rPr>
          <w:lang w:val="es-ES"/>
        </w:rPr>
        <w:t xml:space="preserve"> la</w:t>
      </w:r>
      <w:r w:rsidRPr="004C792A">
        <w:rPr>
          <w:lang w:val="es-ES"/>
        </w:rPr>
        <w:t xml:space="preserve"> de tesorería y, </w:t>
      </w:r>
      <w:r w:rsidRPr="004C792A">
        <w:rPr>
          <w:i/>
          <w:iCs/>
          <w:lang w:val="es-ES"/>
        </w:rPr>
        <w:t>(iii)</w:t>
      </w:r>
      <w:r w:rsidRPr="004C792A">
        <w:rPr>
          <w:lang w:val="es-ES"/>
        </w:rPr>
        <w:t xml:space="preserve"> la de preventas. </w:t>
      </w:r>
    </w:p>
    <w:p w:rsidR="004B11CB" w:rsidRPr="004C792A" w:rsidRDefault="00045BB7" w:rsidP="004B11CB">
      <w:pPr>
        <w:pStyle w:val="Textonotapie"/>
        <w:jc w:val="both"/>
        <w:rPr>
          <w:lang w:val="es-ES"/>
        </w:rPr>
      </w:pPr>
      <w:r w:rsidRPr="004C792A">
        <w:rPr>
          <w:lang w:val="es-ES"/>
        </w:rPr>
        <w:t>(Parte II, mercado intermediado, Título II, instrucciones generales relativas a las operaciones de las sociedades de servicios financieros, Capítulo I, disposiciones especiales aplicables a los negocios fiduciarias,</w:t>
      </w:r>
      <w:r w:rsidRPr="004C792A">
        <w:rPr>
          <w:lang w:val="es-ES"/>
        </w:rPr>
        <w:t xml:space="preserve"> 8, clasificación por tipos de negocios fiduciarios)</w:t>
      </w:r>
    </w:p>
  </w:footnote>
  <w:footnote w:id="140">
    <w:p w:rsidR="004B11CB" w:rsidRPr="004C792A" w:rsidRDefault="00045BB7" w:rsidP="004B11CB">
      <w:pPr>
        <w:pStyle w:val="Textonotapie"/>
        <w:jc w:val="both"/>
        <w:rPr>
          <w:lang w:val="es-ES"/>
        </w:rPr>
      </w:pPr>
      <w:r w:rsidRPr="004C792A">
        <w:rPr>
          <w:rStyle w:val="Refdenotaalpie"/>
        </w:rPr>
        <w:footnoteRef/>
      </w:r>
      <w:r w:rsidRPr="004C792A">
        <w:t xml:space="preserve"> </w:t>
      </w:r>
      <w:r w:rsidRPr="004C792A">
        <w:rPr>
          <w:lang w:val="es-ES"/>
        </w:rPr>
        <w:t xml:space="preserve">Corte Suprema de Justicia, Sala de Casación Civil, </w:t>
      </w:r>
      <w:r w:rsidRPr="004C792A">
        <w:t>SC276-2023 (radicación 11001-31-99-003-2018-01217-02), p. 35.</w:t>
      </w:r>
    </w:p>
  </w:footnote>
  <w:footnote w:id="141">
    <w:p w:rsidR="004B11CB" w:rsidRPr="004C792A" w:rsidRDefault="00045BB7" w:rsidP="004B11CB">
      <w:pPr>
        <w:pStyle w:val="Textonotapie"/>
        <w:jc w:val="both"/>
        <w:rPr>
          <w:lang w:val="es-ES"/>
        </w:rPr>
      </w:pPr>
      <w:r w:rsidRPr="004C792A">
        <w:rPr>
          <w:rStyle w:val="Refdenotaalpie"/>
        </w:rPr>
        <w:footnoteRef/>
      </w:r>
      <w:r w:rsidRPr="004C792A">
        <w:t xml:space="preserve"> </w:t>
      </w:r>
      <w:r w:rsidRPr="004C792A">
        <w:rPr>
          <w:lang w:val="es-ES"/>
        </w:rPr>
        <w:t>Superintendencia Financiera, Circular Básica Jurídica 029 de 2014, Parte II, Título II</w:t>
      </w:r>
      <w:r w:rsidRPr="004C792A">
        <w:rPr>
          <w:lang w:val="es-ES"/>
        </w:rPr>
        <w:t>, Capítulo I, artículo 5.2.</w:t>
      </w:r>
    </w:p>
  </w:footnote>
  <w:footnote w:id="142">
    <w:p w:rsidR="004B11CB" w:rsidRPr="004C792A" w:rsidRDefault="00045BB7" w:rsidP="004B11CB">
      <w:pPr>
        <w:pStyle w:val="Textonotapie"/>
        <w:jc w:val="both"/>
        <w:rPr>
          <w:lang w:val="es-ES"/>
        </w:rPr>
      </w:pPr>
      <w:r w:rsidRPr="004C792A">
        <w:rPr>
          <w:rStyle w:val="Refdenotaalpie"/>
        </w:rPr>
        <w:footnoteRef/>
      </w:r>
      <w:r w:rsidRPr="004C792A">
        <w:t xml:space="preserve"> </w:t>
      </w:r>
      <w:r w:rsidRPr="004C792A">
        <w:rPr>
          <w:lang w:val="es-ES"/>
        </w:rPr>
        <w:t xml:space="preserve">Es este sentido, la Corte Suprema de Justicia, Sala de Casación Civil, en </w:t>
      </w:r>
      <w:r w:rsidRPr="004C792A">
        <w:rPr>
          <w:lang w:val="es-ES"/>
        </w:rPr>
        <w:t>S</w:t>
      </w:r>
      <w:r w:rsidRPr="004C792A">
        <w:rPr>
          <w:lang w:val="es-ES"/>
        </w:rPr>
        <w:t>entencia SC5430-2021, señaló que “el grado de diligencia exigible a la fiduciaria no es el que un hombre común emplearía ordinariamente en sus negocios</w:t>
      </w:r>
      <w:r w:rsidRPr="004C792A">
        <w:rPr>
          <w:lang w:val="es-ES"/>
        </w:rPr>
        <w:t xml:space="preserve"> propios (art. 63 C.C.), sino el de un “buen hombre de negocios”, comoquiera que si la fiducia mercantil siempre involucra la obligación de administrar, ello le impone actuar como un profesional en el ramo bien calificado para el desempeño de su oficio, so</w:t>
      </w:r>
      <w:r w:rsidRPr="004C792A">
        <w:rPr>
          <w:lang w:val="es-ES"/>
        </w:rPr>
        <w:t xml:space="preserve"> pena de incurrir en responsabilidad si actúa de manera negligente y con su acción y omisión genera perjuicios al otro contratante”. </w:t>
      </w:r>
    </w:p>
  </w:footnote>
  <w:footnote w:id="143">
    <w:p w:rsidR="004B11CB" w:rsidRPr="004C792A" w:rsidRDefault="00045BB7" w:rsidP="004B11CB">
      <w:pPr>
        <w:pStyle w:val="Textonotapie"/>
        <w:jc w:val="both"/>
        <w:rPr>
          <w:lang w:val="es-ES"/>
        </w:rPr>
      </w:pPr>
      <w:r w:rsidRPr="004C792A">
        <w:rPr>
          <w:rStyle w:val="Refdenotaalpie"/>
        </w:rPr>
        <w:footnoteRef/>
      </w:r>
      <w:r w:rsidRPr="004C792A">
        <w:t xml:space="preserve"> </w:t>
      </w:r>
      <w:r w:rsidRPr="004C792A">
        <w:rPr>
          <w:lang w:val="es-ES"/>
        </w:rPr>
        <w:t xml:space="preserve">Sobre este tema se ha pronunciado la Corte Suprema de Justicia, Sala de Casación Civil en </w:t>
      </w:r>
      <w:r w:rsidRPr="004C792A">
        <w:rPr>
          <w:lang w:val="es-ES"/>
        </w:rPr>
        <w:t>s</w:t>
      </w:r>
      <w:r w:rsidRPr="004C792A">
        <w:rPr>
          <w:lang w:val="es-ES"/>
        </w:rPr>
        <w:t>entencias SC5175-2020, SC2879</w:t>
      </w:r>
      <w:r w:rsidRPr="004C792A">
        <w:rPr>
          <w:lang w:val="es-ES"/>
        </w:rPr>
        <w:t xml:space="preserve">-2022, SC107-2023 y </w:t>
      </w:r>
      <w:r w:rsidRPr="004C792A">
        <w:t xml:space="preserve">SC276-2023 y la Superintendencia Financiera, en </w:t>
      </w:r>
      <w:r w:rsidRPr="004C792A">
        <w:t>S</w:t>
      </w:r>
      <w:r w:rsidRPr="004C792A">
        <w:t xml:space="preserve">entencia 2021211325-110-000. </w:t>
      </w:r>
    </w:p>
  </w:footnote>
  <w:footnote w:id="144">
    <w:p w:rsidR="004B11CB" w:rsidRPr="004C792A" w:rsidRDefault="00045BB7" w:rsidP="004B11CB">
      <w:pPr>
        <w:pStyle w:val="Textonotapie"/>
        <w:jc w:val="both"/>
        <w:rPr>
          <w:lang w:val="es-ES"/>
        </w:rPr>
      </w:pPr>
      <w:r w:rsidRPr="004C792A">
        <w:rPr>
          <w:rStyle w:val="Refdenotaalpie"/>
        </w:rPr>
        <w:footnoteRef/>
      </w:r>
      <w:r w:rsidRPr="004C792A">
        <w:t xml:space="preserve"> </w:t>
      </w:r>
      <w:r w:rsidRPr="004C792A">
        <w:rPr>
          <w:lang w:val="es-ES"/>
        </w:rPr>
        <w:t>“Por la cual se dictan normas tendientes a facilitar y promover el desarrollo urbano y el acceso a la vivienda y se dictan otras disposiciones”.</w:t>
      </w:r>
    </w:p>
  </w:footnote>
  <w:footnote w:id="145">
    <w:p w:rsidR="0035428E" w:rsidRPr="004C792A" w:rsidRDefault="00045BB7" w:rsidP="0035428E">
      <w:pPr>
        <w:pStyle w:val="Textonotapie"/>
        <w:jc w:val="both"/>
        <w:rPr>
          <w:lang w:val="es-ES"/>
        </w:rPr>
      </w:pPr>
      <w:r w:rsidRPr="004C792A">
        <w:rPr>
          <w:rStyle w:val="Refdenotaalpie"/>
        </w:rPr>
        <w:footnoteRef/>
      </w:r>
      <w:r w:rsidRPr="004C792A">
        <w:t xml:space="preserve"> </w:t>
      </w:r>
      <w:r w:rsidRPr="004C792A">
        <w:rPr>
          <w:lang w:val="es-ES"/>
        </w:rPr>
        <w:t>Corte Co</w:t>
      </w:r>
      <w:r w:rsidRPr="004C792A">
        <w:rPr>
          <w:lang w:val="es-ES"/>
        </w:rPr>
        <w:t xml:space="preserve">nstitucional, </w:t>
      </w:r>
      <w:r w:rsidRPr="004C792A">
        <w:rPr>
          <w:lang w:val="es-ES"/>
        </w:rPr>
        <w:t>S</w:t>
      </w:r>
      <w:r w:rsidRPr="004C792A">
        <w:rPr>
          <w:lang w:val="es-ES"/>
        </w:rPr>
        <w:t>entencia C-145 de 2018.</w:t>
      </w:r>
    </w:p>
  </w:footnote>
  <w:footnote w:id="146">
    <w:p w:rsidR="00BA0EC3" w:rsidRPr="004C792A" w:rsidRDefault="00045BB7">
      <w:pPr>
        <w:pStyle w:val="Textonotapie"/>
      </w:pPr>
      <w:r w:rsidRPr="004C792A">
        <w:rPr>
          <w:rStyle w:val="Refdenotaalpie"/>
        </w:rPr>
        <w:footnoteRef/>
      </w:r>
      <w:r w:rsidRPr="004C792A">
        <w:t xml:space="preserve"> Corte Constitucional, Sentencia C-237 de 2020.</w:t>
      </w:r>
    </w:p>
  </w:footnote>
  <w:footnote w:id="147">
    <w:p w:rsidR="00133C46" w:rsidRPr="004C792A" w:rsidRDefault="00045BB7">
      <w:pPr>
        <w:pStyle w:val="Textonotapie"/>
      </w:pPr>
      <w:r w:rsidRPr="004C792A">
        <w:rPr>
          <w:rStyle w:val="Refdenotaalpie"/>
        </w:rPr>
        <w:footnoteRef/>
      </w:r>
      <w:r w:rsidRPr="004C792A">
        <w:t xml:space="preserve"> Expediente digital, D0015813-Corrección a la Demanda-(2024-05-14 23-45-47).pdf., p.18. </w:t>
      </w:r>
    </w:p>
  </w:footnote>
  <w:footnote w:id="148">
    <w:p w:rsidR="00B345C0" w:rsidRPr="004C792A" w:rsidRDefault="00045BB7">
      <w:pPr>
        <w:pStyle w:val="Textonotapie"/>
      </w:pPr>
      <w:r w:rsidRPr="004C792A">
        <w:rPr>
          <w:rStyle w:val="Refdenotaalpie"/>
        </w:rPr>
        <w:footnoteRef/>
      </w:r>
      <w:r w:rsidRPr="004C792A">
        <w:t xml:space="preserve"> Al respecto destacan las sentencias C-383 y C-747 de 1999, en las cuales la Corte Constitucional analizó la obligación de fijar condiciones necesarias para hacer efectivo el derecho a la vivienda digna y concluyó que la adquisición y conservación de la vi</w:t>
      </w:r>
      <w:r w:rsidRPr="004C792A">
        <w:t xml:space="preserve">vienda no es un asunto ajeno a las preocupaciones del Estado. </w:t>
      </w:r>
    </w:p>
  </w:footnote>
  <w:footnote w:id="149">
    <w:p w:rsidR="0070252E" w:rsidRPr="004C792A" w:rsidRDefault="00045BB7" w:rsidP="0070252E">
      <w:pPr>
        <w:pStyle w:val="Textonotapie"/>
        <w:jc w:val="both"/>
        <w:rPr>
          <w:lang w:val="es-ES"/>
        </w:rPr>
      </w:pPr>
      <w:r w:rsidRPr="004C792A">
        <w:rPr>
          <w:rStyle w:val="Refdenotaalpie"/>
        </w:rPr>
        <w:footnoteRef/>
      </w:r>
      <w:r w:rsidRPr="004C792A">
        <w:t xml:space="preserve"> </w:t>
      </w:r>
      <w:r w:rsidRPr="004C792A">
        <w:rPr>
          <w:lang w:val="es-ES"/>
        </w:rPr>
        <w:t xml:space="preserve">Corte Constitucional, </w:t>
      </w:r>
      <w:r w:rsidRPr="004C792A">
        <w:rPr>
          <w:lang w:val="es-ES"/>
        </w:rPr>
        <w:t>S</w:t>
      </w:r>
      <w:r w:rsidRPr="004C792A">
        <w:rPr>
          <w:lang w:val="es-ES"/>
        </w:rPr>
        <w:t>entencia C-936 de 2003.</w:t>
      </w:r>
    </w:p>
  </w:footnote>
  <w:footnote w:id="150">
    <w:p w:rsidR="0070252E" w:rsidRPr="004C792A" w:rsidRDefault="00045BB7" w:rsidP="0070252E">
      <w:pPr>
        <w:pStyle w:val="Textonotapie"/>
        <w:jc w:val="both"/>
      </w:pPr>
      <w:r w:rsidRPr="004C792A">
        <w:rPr>
          <w:rStyle w:val="Refdenotaalpie"/>
        </w:rPr>
        <w:footnoteRef/>
      </w:r>
      <w:r w:rsidRPr="004C792A">
        <w:t xml:space="preserve"> Código Civil, artículo 756: tradición de bienes inmuebles: Se efectuará la tradición del dominio de los bienes raíces por la inscripción del t</w:t>
      </w:r>
      <w:r w:rsidRPr="004C792A">
        <w:t>ítulo en la oficina de registro de instrumentos públicos.</w:t>
      </w:r>
    </w:p>
    <w:p w:rsidR="0070252E" w:rsidRPr="006867F1" w:rsidRDefault="00045BB7" w:rsidP="0070252E">
      <w:pPr>
        <w:pStyle w:val="Textonotapie"/>
        <w:jc w:val="both"/>
      </w:pPr>
      <w:r w:rsidRPr="004C792A">
        <w:t>De la misma manera se efectuará la tradición de los derechos de usufructo o de uso, constituidos en bienes raíces, y de los de habitación o hipoteca.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4CADDE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8F086B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13A01187"/>
    <w:multiLevelType w:val="hybridMultilevel"/>
    <w:tmpl w:val="6DFCE694"/>
    <w:lvl w:ilvl="0" w:tplc="9ADEDF5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9F040B6"/>
    <w:multiLevelType w:val="hybridMultilevel"/>
    <w:tmpl w:val="4BA09936"/>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50F4C58"/>
    <w:multiLevelType w:val="multilevel"/>
    <w:tmpl w:val="F4063AA6"/>
    <w:styleLink w:val="Listaactual1"/>
    <w:lvl w:ilvl="0">
      <w:start w:val="1"/>
      <w:numFmt w:val="decimal"/>
      <w:lvlText w:val="%1."/>
      <w:lvlJc w:val="left"/>
      <w:pPr>
        <w:ind w:left="720" w:hanging="360"/>
      </w:pPr>
      <w:rPr>
        <w:rFonts w:cs="Times New Roman" w:hint="default"/>
        <w:b/>
        <w:bCs/>
        <w:i w:val="0"/>
      </w:rPr>
    </w:lvl>
    <w:lvl w:ilvl="1">
      <w:start w:val="1"/>
      <w:numFmt w:val="decimal"/>
      <w:isLgl/>
      <w:lvlText w:val="%1.%2."/>
      <w:lvlJc w:val="left"/>
      <w:pPr>
        <w:ind w:left="1080" w:hanging="720"/>
      </w:pPr>
      <w:rPr>
        <w:rFonts w:eastAsia="Times New Roman" w:cs="Times New Roman" w:hint="default"/>
        <w:b/>
        <w:bCs/>
      </w:rPr>
    </w:lvl>
    <w:lvl w:ilvl="2">
      <w:start w:val="1"/>
      <w:numFmt w:val="decimal"/>
      <w:isLgl/>
      <w:lvlText w:val="%1.%2.%3."/>
      <w:lvlJc w:val="left"/>
      <w:pPr>
        <w:ind w:left="1080" w:hanging="720"/>
      </w:pPr>
      <w:rPr>
        <w:rFonts w:eastAsia="Times New Roman" w:cs="Times New Roman" w:hint="default"/>
      </w:rPr>
    </w:lvl>
    <w:lvl w:ilvl="3">
      <w:start w:val="1"/>
      <w:numFmt w:val="decimal"/>
      <w:isLgl/>
      <w:lvlText w:val="%1.%2.%3.%4."/>
      <w:lvlJc w:val="left"/>
      <w:pPr>
        <w:ind w:left="1440" w:hanging="1080"/>
      </w:pPr>
      <w:rPr>
        <w:rFonts w:eastAsia="Times New Roman" w:cs="Times New Roman" w:hint="default"/>
      </w:rPr>
    </w:lvl>
    <w:lvl w:ilvl="4">
      <w:start w:val="1"/>
      <w:numFmt w:val="decimal"/>
      <w:isLgl/>
      <w:lvlText w:val="%1.%2.%3.%4.%5."/>
      <w:lvlJc w:val="left"/>
      <w:pPr>
        <w:ind w:left="1440" w:hanging="1080"/>
      </w:pPr>
      <w:rPr>
        <w:rFonts w:eastAsia="Times New Roman" w:cs="Times New Roman" w:hint="default"/>
      </w:rPr>
    </w:lvl>
    <w:lvl w:ilvl="5">
      <w:start w:val="1"/>
      <w:numFmt w:val="decimal"/>
      <w:isLgl/>
      <w:lvlText w:val="%1.%2.%3.%4.%5.%6."/>
      <w:lvlJc w:val="left"/>
      <w:pPr>
        <w:ind w:left="1800" w:hanging="1440"/>
      </w:pPr>
      <w:rPr>
        <w:rFonts w:eastAsia="Times New Roman" w:cs="Times New Roman" w:hint="default"/>
      </w:rPr>
    </w:lvl>
    <w:lvl w:ilvl="6">
      <w:start w:val="1"/>
      <w:numFmt w:val="decimal"/>
      <w:isLgl/>
      <w:lvlText w:val="%1.%2.%3.%4.%5.%6.%7."/>
      <w:lvlJc w:val="left"/>
      <w:pPr>
        <w:ind w:left="2160" w:hanging="1800"/>
      </w:pPr>
      <w:rPr>
        <w:rFonts w:eastAsia="Times New Roman" w:cs="Times New Roman" w:hint="default"/>
      </w:rPr>
    </w:lvl>
    <w:lvl w:ilvl="7">
      <w:start w:val="1"/>
      <w:numFmt w:val="decimal"/>
      <w:isLgl/>
      <w:lvlText w:val="%1.%2.%3.%4.%5.%6.%7.%8."/>
      <w:lvlJc w:val="left"/>
      <w:pPr>
        <w:ind w:left="2160" w:hanging="1800"/>
      </w:pPr>
      <w:rPr>
        <w:rFonts w:eastAsia="Times New Roman" w:cs="Times New Roman" w:hint="default"/>
      </w:rPr>
    </w:lvl>
    <w:lvl w:ilvl="8">
      <w:start w:val="1"/>
      <w:numFmt w:val="decimal"/>
      <w:isLgl/>
      <w:lvlText w:val="%1.%2.%3.%4.%5.%6.%7.%8.%9."/>
      <w:lvlJc w:val="left"/>
      <w:pPr>
        <w:ind w:left="2520" w:hanging="2160"/>
      </w:pPr>
      <w:rPr>
        <w:rFonts w:eastAsia="Times New Roman" w:cs="Times New Roman" w:hint="default"/>
      </w:rPr>
    </w:lvl>
  </w:abstractNum>
  <w:abstractNum w:abstractNumId="5" w15:restartNumberingAfterBreak="0">
    <w:nsid w:val="379C2064"/>
    <w:multiLevelType w:val="hybridMultilevel"/>
    <w:tmpl w:val="C28AA36C"/>
    <w:lvl w:ilvl="0" w:tplc="E1004B9A">
      <w:start w:val="1"/>
      <w:numFmt w:val="decimal"/>
      <w:lvlText w:val="%1."/>
      <w:lvlJc w:val="left"/>
      <w:pPr>
        <w:ind w:left="360" w:hanging="360"/>
      </w:pPr>
      <w:rPr>
        <w:rFonts w:cs="Times New Roman" w:hint="default"/>
        <w:b w:val="0"/>
        <w:bCs/>
        <w:i w:val="0"/>
        <w:iCs/>
        <w:color w:val="000000" w:themeColor="text1"/>
      </w:rPr>
    </w:lvl>
    <w:lvl w:ilvl="1" w:tplc="040A0019">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6" w15:restartNumberingAfterBreak="0">
    <w:nsid w:val="3CA41550"/>
    <w:multiLevelType w:val="multilevel"/>
    <w:tmpl w:val="514E9ECC"/>
    <w:styleLink w:val="Listaactual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AF2209"/>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997D52"/>
    <w:multiLevelType w:val="multilevel"/>
    <w:tmpl w:val="566AB8E8"/>
    <w:lvl w:ilvl="0">
      <w:start w:val="1"/>
      <w:numFmt w:val="decimal"/>
      <w:lvlText w:val="%1."/>
      <w:lvlJc w:val="left"/>
      <w:pPr>
        <w:ind w:left="360" w:hanging="360"/>
      </w:pPr>
      <w:rPr>
        <w:rFonts w:cs="Times New Roman" w:hint="default"/>
        <w:b/>
        <w:sz w:val="28"/>
        <w:szCs w:val="28"/>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b/>
        <w:bCs/>
        <w:i w:val="0"/>
        <w:iCs/>
      </w:rPr>
    </w:lvl>
    <w:lvl w:ilvl="3">
      <w:start w:val="1"/>
      <w:numFmt w:val="decimal"/>
      <w:lvlText w:val="%1.%2.%3.%4."/>
      <w:lvlJc w:val="left"/>
      <w:pPr>
        <w:ind w:left="1728" w:hanging="648"/>
      </w:pPr>
      <w:rPr>
        <w:rFonts w:cs="Times New Roman"/>
        <w:b/>
        <w:sz w:val="28"/>
        <w:szCs w:val="28"/>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61D318A6"/>
    <w:multiLevelType w:val="multilevel"/>
    <w:tmpl w:val="FFFFFFFF"/>
    <w:lvl w:ilvl="0">
      <w:start w:val="1"/>
      <w:numFmt w:val="decimal"/>
      <w:lvlText w:val="%1."/>
      <w:lvlJc w:val="left"/>
      <w:pPr>
        <w:ind w:left="360"/>
      </w:pPr>
      <w:rPr>
        <w:rFonts w:ascii="Times New Roman" w:eastAsia="Times New Roman" w:hAnsi="Times New Roman" w:cs="Times New Roman"/>
        <w:b/>
        <w:bCs w:val="0"/>
        <w:i w:val="0"/>
        <w:iCs/>
      </w:rPr>
    </w:lvl>
    <w:lvl w:ilvl="1">
      <w:start w:val="1"/>
      <w:numFmt w:val="decimal"/>
      <w:pStyle w:val="Prrafonumerado"/>
      <w:lvlText w:val="%1.%2."/>
      <w:lvlJc w:val="left"/>
      <w:pPr>
        <w:ind w:left="28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360"/>
      </w:pPr>
      <w:rPr>
        <w:rFonts w:cs="Times New Roman" w:hint="default"/>
      </w:rPr>
    </w:lvl>
    <w:lvl w:ilvl="3">
      <w:start w:val="1"/>
      <w:numFmt w:val="decimal"/>
      <w:lvlText w:val="%4."/>
      <w:lvlJc w:val="left"/>
      <w:pPr>
        <w:ind w:left="360"/>
      </w:pPr>
      <w:rPr>
        <w:rFonts w:cs="Times New Roman" w:hint="default"/>
      </w:rPr>
    </w:lvl>
    <w:lvl w:ilvl="4">
      <w:start w:val="1"/>
      <w:numFmt w:val="lowerLetter"/>
      <w:lvlText w:val="%5."/>
      <w:lvlJc w:val="left"/>
      <w:pPr>
        <w:ind w:left="360"/>
      </w:pPr>
      <w:rPr>
        <w:rFonts w:cs="Times New Roman" w:hint="default"/>
      </w:rPr>
    </w:lvl>
    <w:lvl w:ilvl="5">
      <w:start w:val="1"/>
      <w:numFmt w:val="lowerRoman"/>
      <w:lvlText w:val="%6."/>
      <w:lvlJc w:val="right"/>
      <w:pPr>
        <w:ind w:left="360"/>
      </w:pPr>
      <w:rPr>
        <w:rFonts w:cs="Times New Roman" w:hint="default"/>
      </w:rPr>
    </w:lvl>
    <w:lvl w:ilvl="6">
      <w:start w:val="1"/>
      <w:numFmt w:val="decimal"/>
      <w:lvlText w:val="%7."/>
      <w:lvlJc w:val="left"/>
      <w:pPr>
        <w:ind w:left="360"/>
      </w:pPr>
      <w:rPr>
        <w:rFonts w:cs="Times New Roman" w:hint="default"/>
      </w:rPr>
    </w:lvl>
    <w:lvl w:ilvl="7">
      <w:start w:val="1"/>
      <w:numFmt w:val="lowerLetter"/>
      <w:lvlText w:val="%8."/>
      <w:lvlJc w:val="left"/>
      <w:pPr>
        <w:ind w:left="360"/>
      </w:pPr>
      <w:rPr>
        <w:rFonts w:cs="Times New Roman" w:hint="default"/>
      </w:rPr>
    </w:lvl>
    <w:lvl w:ilvl="8">
      <w:start w:val="1"/>
      <w:numFmt w:val="lowerRoman"/>
      <w:lvlText w:val="%9."/>
      <w:lvlJc w:val="right"/>
      <w:pPr>
        <w:ind w:left="360"/>
      </w:pPr>
      <w:rPr>
        <w:rFonts w:cs="Times New Roman" w:hint="default"/>
      </w:rPr>
    </w:lvl>
  </w:abstractNum>
  <w:abstractNum w:abstractNumId="10" w15:restartNumberingAfterBreak="0">
    <w:nsid w:val="7D5F669B"/>
    <w:multiLevelType w:val="hybridMultilevel"/>
    <w:tmpl w:val="74C06022"/>
    <w:lvl w:ilvl="0" w:tplc="EE7EF96E">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F8D286E"/>
    <w:multiLevelType w:val="hybridMultilevel"/>
    <w:tmpl w:val="D4FEA64A"/>
    <w:lvl w:ilvl="0" w:tplc="C84C8870">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9"/>
  </w:num>
  <w:num w:numId="2">
    <w:abstractNumId w:val="4"/>
  </w:num>
  <w:num w:numId="3">
    <w:abstractNumId w:val="1"/>
  </w:num>
  <w:num w:numId="4">
    <w:abstractNumId w:val="0"/>
  </w:num>
  <w:num w:numId="5">
    <w:abstractNumId w:val="6"/>
  </w:num>
  <w:num w:numId="6">
    <w:abstractNumId w:val="10"/>
  </w:num>
  <w:num w:numId="7">
    <w:abstractNumId w:val="7"/>
  </w:num>
  <w:num w:numId="8">
    <w:abstractNumId w:val="5"/>
  </w:num>
  <w:num w:numId="9">
    <w:abstractNumId w:val="8"/>
  </w:num>
  <w:num w:numId="10">
    <w:abstractNumId w:val="2"/>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9F0"/>
    <w:rsid w:val="00045BB7"/>
    <w:rsid w:val="005829F0"/>
    <w:rsid w:val="00C577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B475B94B-A79D-4396-AC3E-0765561B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435A6"/>
    <w:pPr>
      <w:autoSpaceDE w:val="0"/>
      <w:autoSpaceDN w:val="0"/>
      <w:adjustRightInd w:val="0"/>
      <w:ind w:left="40"/>
      <w:outlineLvl w:val="0"/>
    </w:pPr>
    <w:rPr>
      <w:b/>
      <w:bCs/>
      <w:sz w:val="28"/>
      <w:szCs w:val="28"/>
      <w:lang w:val="es-ES_tradnl" w:eastAsia="en-US"/>
    </w:rPr>
  </w:style>
  <w:style w:type="paragraph" w:styleId="Ttulo2">
    <w:name w:val="heading 2"/>
    <w:basedOn w:val="Normal"/>
    <w:next w:val="Normal"/>
    <w:link w:val="Ttulo2Car"/>
    <w:uiPriority w:val="9"/>
    <w:semiHidden/>
    <w:unhideWhenUsed/>
    <w:qFormat/>
    <w:rsid w:val="00060537"/>
    <w:pPr>
      <w:keepNext/>
      <w:keepLines/>
      <w:spacing w:before="40"/>
      <w:outlineLvl w:val="1"/>
    </w:pPr>
    <w:rPr>
      <w:rFonts w:asciiTheme="majorHAnsi" w:eastAsiaTheme="majorEastAsia" w:hAnsiTheme="majorHAnsi"/>
      <w:color w:val="2E74B5" w:themeColor="accent1" w:themeShade="BF"/>
      <w:sz w:val="26"/>
      <w:szCs w:val="26"/>
      <w:lang w:eastAsia="es-ES_tradnl"/>
    </w:rPr>
  </w:style>
  <w:style w:type="paragraph" w:styleId="Ttulo3">
    <w:name w:val="heading 3"/>
    <w:basedOn w:val="Normal"/>
    <w:next w:val="Normal"/>
    <w:link w:val="Ttulo3Car"/>
    <w:uiPriority w:val="9"/>
    <w:semiHidden/>
    <w:unhideWhenUsed/>
    <w:qFormat/>
    <w:rsid w:val="00060537"/>
    <w:pPr>
      <w:keepNext/>
      <w:keepLines/>
      <w:spacing w:before="40"/>
      <w:outlineLvl w:val="2"/>
    </w:pPr>
    <w:rPr>
      <w:rFonts w:asciiTheme="majorHAnsi" w:eastAsiaTheme="majorEastAsia" w:hAnsiTheme="majorHAnsi"/>
      <w:color w:val="1F4D78" w:themeColor="accent1" w:themeShade="7F"/>
      <w:lang w:eastAsia="es-ES_tradnl"/>
    </w:rPr>
  </w:style>
  <w:style w:type="paragraph" w:styleId="Ttulo4">
    <w:name w:val="heading 4"/>
    <w:basedOn w:val="Normal"/>
    <w:next w:val="Normal"/>
    <w:link w:val="Ttulo4Car"/>
    <w:uiPriority w:val="9"/>
    <w:semiHidden/>
    <w:unhideWhenUsed/>
    <w:qFormat/>
    <w:rsid w:val="00060537"/>
    <w:pPr>
      <w:keepNext/>
      <w:tabs>
        <w:tab w:val="num" w:pos="720"/>
      </w:tabs>
      <w:spacing w:before="240" w:after="60"/>
      <w:outlineLvl w:val="3"/>
    </w:pPr>
    <w:rPr>
      <w:b/>
      <w:bCs/>
      <w:sz w:val="28"/>
      <w:szCs w:val="28"/>
      <w:lang w:eastAsia="es-ES_tradnl"/>
    </w:rPr>
  </w:style>
  <w:style w:type="paragraph" w:styleId="Ttulo5">
    <w:name w:val="heading 5"/>
    <w:basedOn w:val="Normal"/>
    <w:next w:val="Normal"/>
    <w:link w:val="Ttulo5Car"/>
    <w:unhideWhenUsed/>
    <w:qFormat/>
    <w:rsid w:val="00060537"/>
    <w:pPr>
      <w:keepNext/>
      <w:keepLines/>
      <w:spacing w:before="220" w:after="40"/>
      <w:ind w:left="3686" w:right="51"/>
      <w:jc w:val="both"/>
      <w:outlineLvl w:val="4"/>
    </w:pPr>
    <w:rPr>
      <w:rFonts w:ascii="Calibri" w:hAnsi="Calibri" w:cs="Calibri"/>
      <w:b/>
      <w:color w:val="000000"/>
      <w:sz w:val="28"/>
      <w:szCs w:val="28"/>
      <w:lang w:eastAsia="en-US"/>
    </w:rPr>
  </w:style>
  <w:style w:type="paragraph" w:styleId="Ttulo6">
    <w:name w:val="heading 6"/>
    <w:basedOn w:val="Normal"/>
    <w:next w:val="Normal"/>
    <w:link w:val="Ttulo6Car"/>
    <w:uiPriority w:val="9"/>
    <w:semiHidden/>
    <w:unhideWhenUsed/>
    <w:qFormat/>
    <w:rsid w:val="00060537"/>
    <w:pPr>
      <w:spacing w:before="240" w:after="60"/>
      <w:outlineLvl w:val="5"/>
    </w:pPr>
    <w:rPr>
      <w:b/>
      <w:bCs/>
      <w:lang w:eastAsia="es-ES_tradnl"/>
    </w:rPr>
  </w:style>
  <w:style w:type="paragraph" w:styleId="Ttulo7">
    <w:name w:val="heading 7"/>
    <w:basedOn w:val="Normal"/>
    <w:next w:val="Normal"/>
    <w:link w:val="Ttulo7Car"/>
    <w:uiPriority w:val="9"/>
    <w:qFormat/>
    <w:rsid w:val="00060537"/>
    <w:pPr>
      <w:spacing w:before="240" w:after="60"/>
      <w:outlineLvl w:val="6"/>
    </w:pPr>
    <w:rPr>
      <w:lang w:eastAsia="es-ES_tradnl"/>
    </w:rPr>
  </w:style>
  <w:style w:type="paragraph" w:styleId="Ttulo8">
    <w:name w:val="heading 8"/>
    <w:basedOn w:val="Normal"/>
    <w:next w:val="Normal"/>
    <w:link w:val="Ttulo8Car"/>
    <w:uiPriority w:val="9"/>
    <w:semiHidden/>
    <w:unhideWhenUsed/>
    <w:qFormat/>
    <w:rsid w:val="00F55240"/>
    <w:pPr>
      <w:keepNext/>
      <w:keepLines/>
      <w:spacing w:before="200"/>
      <w:outlineLvl w:val="7"/>
    </w:pPr>
    <w:rPr>
      <w:rFonts w:asciiTheme="majorHAnsi" w:eastAsiaTheme="majorEastAsia" w:hAnsiTheme="majorHAnsi" w:cstheme="majorBidi"/>
      <w:color w:val="404040" w:themeColor="text1" w:themeTint="BF"/>
      <w:sz w:val="20"/>
      <w:szCs w:val="20"/>
      <w:lang w:eastAsia="es-ES_tradnl"/>
    </w:rPr>
  </w:style>
  <w:style w:type="paragraph" w:styleId="Ttulo9">
    <w:name w:val="heading 9"/>
    <w:basedOn w:val="Normal"/>
    <w:next w:val="Normal"/>
    <w:link w:val="Ttulo9Car"/>
    <w:uiPriority w:val="9"/>
    <w:semiHidden/>
    <w:unhideWhenUsed/>
    <w:qFormat/>
    <w:rsid w:val="00F55240"/>
    <w:pPr>
      <w:keepNext/>
      <w:keepLines/>
      <w:spacing w:before="200"/>
      <w:outlineLvl w:val="8"/>
    </w:pPr>
    <w:rPr>
      <w:rFonts w:asciiTheme="majorHAnsi" w:eastAsiaTheme="majorEastAsia" w:hAnsiTheme="majorHAnsi" w:cstheme="majorBidi"/>
      <w:i/>
      <w:iCs/>
      <w:color w:val="404040" w:themeColor="text1" w:themeTint="BF"/>
      <w:sz w:val="20"/>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2B21"/>
    <w:pPr>
      <w:tabs>
        <w:tab w:val="center" w:pos="4252"/>
        <w:tab w:val="right" w:pos="8504"/>
      </w:tabs>
    </w:pPr>
    <w:rPr>
      <w:sz w:val="28"/>
      <w:lang w:eastAsia="en-US"/>
    </w:rPr>
  </w:style>
  <w:style w:type="character" w:customStyle="1" w:styleId="EncabezadoCar">
    <w:name w:val="Encabezado Car"/>
    <w:basedOn w:val="Fuentedeprrafopredeter"/>
    <w:link w:val="Encabezado"/>
    <w:uiPriority w:val="99"/>
    <w:rsid w:val="00482B21"/>
  </w:style>
  <w:style w:type="paragraph" w:styleId="Piedepgina">
    <w:name w:val="footer"/>
    <w:basedOn w:val="Normal"/>
    <w:link w:val="PiedepginaCar"/>
    <w:uiPriority w:val="99"/>
    <w:unhideWhenUsed/>
    <w:rsid w:val="00482B21"/>
    <w:pPr>
      <w:tabs>
        <w:tab w:val="center" w:pos="4252"/>
        <w:tab w:val="right" w:pos="8504"/>
      </w:tabs>
    </w:pPr>
    <w:rPr>
      <w:sz w:val="28"/>
      <w:lang w:eastAsia="en-US"/>
    </w:rPr>
  </w:style>
  <w:style w:type="character" w:customStyle="1" w:styleId="PiedepginaCar">
    <w:name w:val="Pie de página Car"/>
    <w:basedOn w:val="Fuentedeprrafopredeter"/>
    <w:link w:val="Piedepgina"/>
    <w:uiPriority w:val="99"/>
    <w:rsid w:val="00482B21"/>
  </w:style>
  <w:style w:type="paragraph" w:styleId="Sinespaciado">
    <w:name w:val="No Spacing"/>
    <w:aliases w:val="CAPITULO I"/>
    <w:link w:val="SinespaciadoCar"/>
    <w:uiPriority w:val="1"/>
    <w:qFormat/>
    <w:rsid w:val="00DF78E3"/>
  </w:style>
  <w:style w:type="character" w:customStyle="1" w:styleId="Ttulo1Car">
    <w:name w:val="Título 1 Car"/>
    <w:basedOn w:val="Fuentedeprrafopredeter"/>
    <w:link w:val="Ttulo1"/>
    <w:uiPriority w:val="9"/>
    <w:rsid w:val="00D435A6"/>
    <w:rPr>
      <w:rFonts w:ascii="Times New Roman" w:hAnsi="Times New Roman" w:cs="Times New Roman"/>
      <w:b/>
      <w:bCs/>
      <w:sz w:val="28"/>
      <w:szCs w:val="28"/>
      <w:lang w:val="es-ES_tradnl"/>
    </w:rPr>
  </w:style>
  <w:style w:type="paragraph" w:styleId="Textoindependiente">
    <w:name w:val="Body Text"/>
    <w:basedOn w:val="Normal"/>
    <w:link w:val="TextoindependienteCar"/>
    <w:uiPriority w:val="99"/>
    <w:qFormat/>
    <w:rsid w:val="00D435A6"/>
    <w:pPr>
      <w:autoSpaceDE w:val="0"/>
      <w:autoSpaceDN w:val="0"/>
      <w:adjustRightInd w:val="0"/>
    </w:pPr>
    <w:rPr>
      <w:sz w:val="28"/>
      <w:szCs w:val="28"/>
      <w:lang w:val="es-ES_tradnl" w:eastAsia="en-US"/>
    </w:rPr>
  </w:style>
  <w:style w:type="character" w:customStyle="1" w:styleId="TextoindependienteCar">
    <w:name w:val="Texto independiente Car"/>
    <w:basedOn w:val="Fuentedeprrafopredeter"/>
    <w:link w:val="Textoindependiente"/>
    <w:uiPriority w:val="99"/>
    <w:rsid w:val="00D435A6"/>
    <w:rPr>
      <w:rFonts w:ascii="Times New Roman" w:hAnsi="Times New Roman" w:cs="Times New Roman"/>
      <w:sz w:val="28"/>
      <w:szCs w:val="28"/>
      <w:lang w:val="es-ES_tradnl"/>
    </w:rPr>
  </w:style>
  <w:style w:type="paragraph" w:styleId="Prrafodelista">
    <w:name w:val="List Paragraph"/>
    <w:aliases w:val="Colorful List - Accent 11,Ha,List Paragraph1,lp1,Footnote,List Paragraph2,Párrafo,Numbered Paragraph,Bullets,titulo 3,BOLADEF,BOLA,Párrafo de lista21,Guión,Titulo 8,HOJA,Chulito,Párrafo de lista3,MIBEX B"/>
    <w:basedOn w:val="Normal"/>
    <w:link w:val="PrrafodelistaCar"/>
    <w:uiPriority w:val="34"/>
    <w:qFormat/>
    <w:rsid w:val="00D435A6"/>
    <w:pPr>
      <w:autoSpaceDE w:val="0"/>
      <w:autoSpaceDN w:val="0"/>
      <w:adjustRightInd w:val="0"/>
      <w:spacing w:before="1"/>
      <w:ind w:left="39" w:right="103"/>
      <w:jc w:val="both"/>
    </w:pPr>
    <w:rPr>
      <w:sz w:val="28"/>
      <w:lang w:val="es-ES_tradnl"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notentext,ft"/>
    <w:basedOn w:val="Normal"/>
    <w:link w:val="TextonotapieCar"/>
    <w:uiPriority w:val="99"/>
    <w:unhideWhenUsed/>
    <w:qFormat/>
    <w:rsid w:val="009D1053"/>
    <w:rPr>
      <w:sz w:val="20"/>
      <w:szCs w:val="20"/>
      <w:lang w:eastAsia="pt-BR"/>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9D1053"/>
    <w:rPr>
      <w:rFonts w:ascii="Times New Roman" w:eastAsia="Times New Roman" w:hAnsi="Times New Roman" w:cs="Times New Roman"/>
      <w:sz w:val="20"/>
      <w:szCs w:val="20"/>
      <w:lang w:eastAsia="pt-BR"/>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link w:val="4GChar"/>
    <w:uiPriority w:val="99"/>
    <w:unhideWhenUsed/>
    <w:qFormat/>
    <w:rsid w:val="009D1053"/>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9D1053"/>
    <w:pPr>
      <w:jc w:val="both"/>
    </w:pPr>
    <w:rPr>
      <w:rFonts w:eastAsiaTheme="minorHAnsi"/>
      <w:sz w:val="28"/>
      <w:vertAlign w:val="superscript"/>
      <w:lang w:eastAsia="en-US"/>
    </w:rPr>
  </w:style>
  <w:style w:type="character" w:customStyle="1" w:styleId="PrrafodelistaCar">
    <w:name w:val="Párrafo de lista Car"/>
    <w:aliases w:val="Colorful List - Accent 11 Car,Ha Car,List Paragraph1 Car,lp1 Car,Footnote Car,List Paragraph2 Car,Párrafo Car,Numbered Paragraph Car,Bullets Car,titulo 3 Car,BOLADEF Car,BOLA Car,Párrafo de lista21 Car,Guión Car,Titulo 8 Car"/>
    <w:link w:val="Prrafodelista"/>
    <w:uiPriority w:val="34"/>
    <w:qFormat/>
    <w:locked/>
    <w:rsid w:val="009D1053"/>
    <w:rPr>
      <w:rFonts w:ascii="Times New Roman" w:eastAsiaTheme="minorEastAsia" w:hAnsi="Times New Roman" w:cs="Times New Roman"/>
      <w:lang w:val="es-ES_tradnl"/>
    </w:rPr>
  </w:style>
  <w:style w:type="character" w:customStyle="1" w:styleId="apple-converted-space">
    <w:name w:val="apple-converted-space"/>
    <w:rsid w:val="009D1053"/>
  </w:style>
  <w:style w:type="table" w:styleId="Tablaconcuadrcula">
    <w:name w:val="Table Grid"/>
    <w:basedOn w:val="Tablanormal"/>
    <w:uiPriority w:val="39"/>
    <w:rsid w:val="009D1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D105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1053"/>
    <w:rPr>
      <w:rFonts w:ascii="Segoe UI" w:eastAsia="Times New Roman" w:hAnsi="Segoe UI" w:cs="Segoe UI"/>
      <w:sz w:val="18"/>
      <w:szCs w:val="18"/>
      <w:lang w:eastAsia="es-MX"/>
    </w:rPr>
  </w:style>
  <w:style w:type="character" w:styleId="Textodelmarcadordeposicin">
    <w:name w:val="Placeholder Text"/>
    <w:basedOn w:val="Fuentedeprrafopredeter"/>
    <w:uiPriority w:val="99"/>
    <w:semiHidden/>
    <w:rsid w:val="009D1053"/>
    <w:rPr>
      <w:color w:val="808080"/>
    </w:rPr>
  </w:style>
  <w:style w:type="paragraph" w:styleId="NormalWeb">
    <w:name w:val="Normal (Web)"/>
    <w:basedOn w:val="Normal"/>
    <w:uiPriority w:val="99"/>
    <w:unhideWhenUsed/>
    <w:rsid w:val="009D1053"/>
    <w:rPr>
      <w:sz w:val="28"/>
    </w:rPr>
  </w:style>
  <w:style w:type="paragraph" w:styleId="Textonotaalfinal">
    <w:name w:val="endnote text"/>
    <w:basedOn w:val="Normal"/>
    <w:link w:val="TextonotaalfinalCar"/>
    <w:uiPriority w:val="99"/>
    <w:unhideWhenUsed/>
    <w:rsid w:val="009D1053"/>
    <w:rPr>
      <w:sz w:val="20"/>
      <w:szCs w:val="20"/>
    </w:rPr>
  </w:style>
  <w:style w:type="character" w:customStyle="1" w:styleId="TextonotaalfinalCar">
    <w:name w:val="Texto nota al final Car"/>
    <w:basedOn w:val="Fuentedeprrafopredeter"/>
    <w:link w:val="Textonotaalfinal"/>
    <w:uiPriority w:val="99"/>
    <w:rsid w:val="009D1053"/>
    <w:rPr>
      <w:rFonts w:ascii="Times New Roman" w:eastAsia="Times New Roman" w:hAnsi="Times New Roman" w:cs="Times New Roman"/>
      <w:sz w:val="20"/>
      <w:szCs w:val="20"/>
      <w:lang w:eastAsia="es-MX"/>
    </w:rPr>
  </w:style>
  <w:style w:type="character" w:styleId="Refdenotaalfinal">
    <w:name w:val="endnote reference"/>
    <w:basedOn w:val="Fuentedeprrafopredeter"/>
    <w:uiPriority w:val="99"/>
    <w:unhideWhenUsed/>
    <w:rsid w:val="009D1053"/>
    <w:rPr>
      <w:vertAlign w:val="superscript"/>
    </w:rPr>
  </w:style>
  <w:style w:type="character" w:styleId="Refdecomentario">
    <w:name w:val="annotation reference"/>
    <w:basedOn w:val="Fuentedeprrafopredeter"/>
    <w:uiPriority w:val="99"/>
    <w:semiHidden/>
    <w:unhideWhenUsed/>
    <w:rsid w:val="009D1053"/>
    <w:rPr>
      <w:sz w:val="16"/>
      <w:szCs w:val="16"/>
    </w:rPr>
  </w:style>
  <w:style w:type="paragraph" w:styleId="Textocomentario">
    <w:name w:val="annotation text"/>
    <w:basedOn w:val="Normal"/>
    <w:link w:val="TextocomentarioCar"/>
    <w:uiPriority w:val="99"/>
    <w:unhideWhenUsed/>
    <w:rsid w:val="009D1053"/>
    <w:rPr>
      <w:sz w:val="20"/>
      <w:szCs w:val="20"/>
    </w:rPr>
  </w:style>
  <w:style w:type="character" w:customStyle="1" w:styleId="TextocomentarioCar">
    <w:name w:val="Texto comentario Car"/>
    <w:basedOn w:val="Fuentedeprrafopredeter"/>
    <w:link w:val="Textocomentario"/>
    <w:uiPriority w:val="99"/>
    <w:rsid w:val="009D1053"/>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9D1053"/>
    <w:rPr>
      <w:b/>
      <w:bCs/>
    </w:rPr>
  </w:style>
  <w:style w:type="character" w:customStyle="1" w:styleId="AsuntodelcomentarioCar">
    <w:name w:val="Asunto del comentario Car"/>
    <w:basedOn w:val="TextocomentarioCar"/>
    <w:link w:val="Asuntodelcomentario"/>
    <w:uiPriority w:val="99"/>
    <w:semiHidden/>
    <w:rsid w:val="009D1053"/>
    <w:rPr>
      <w:rFonts w:ascii="Times New Roman" w:eastAsia="Times New Roman" w:hAnsi="Times New Roman" w:cs="Times New Roman"/>
      <w:b/>
      <w:bCs/>
      <w:sz w:val="20"/>
      <w:szCs w:val="20"/>
      <w:lang w:eastAsia="es-MX"/>
    </w:rPr>
  </w:style>
  <w:style w:type="character" w:styleId="Hipervnculo">
    <w:name w:val="Hyperlink"/>
    <w:basedOn w:val="Fuentedeprrafopredeter"/>
    <w:uiPriority w:val="99"/>
    <w:unhideWhenUsed/>
    <w:rsid w:val="009D1053"/>
    <w:rPr>
      <w:color w:val="0563C1" w:themeColor="hyperlink"/>
      <w:u w:val="single"/>
    </w:rPr>
  </w:style>
  <w:style w:type="character" w:customStyle="1" w:styleId="Mencinsinresolver1">
    <w:name w:val="Mención sin resolver1"/>
    <w:basedOn w:val="Fuentedeprrafopredeter"/>
    <w:uiPriority w:val="99"/>
    <w:semiHidden/>
    <w:unhideWhenUsed/>
    <w:rsid w:val="009D1053"/>
    <w:rPr>
      <w:color w:val="605E5C"/>
      <w:shd w:val="clear" w:color="auto" w:fill="E1DFDD"/>
    </w:rPr>
  </w:style>
  <w:style w:type="character" w:styleId="nfasis">
    <w:name w:val="Emphasis"/>
    <w:basedOn w:val="Fuentedeprrafopredeter"/>
    <w:uiPriority w:val="20"/>
    <w:qFormat/>
    <w:rsid w:val="009D1053"/>
    <w:rPr>
      <w:i/>
      <w:iCs/>
    </w:rPr>
  </w:style>
  <w:style w:type="paragraph" w:styleId="Revisin">
    <w:name w:val="Revision"/>
    <w:hidden/>
    <w:uiPriority w:val="99"/>
    <w:semiHidden/>
    <w:rsid w:val="009D1053"/>
    <w:rPr>
      <w:rFonts w:ascii="Times New Roman" w:eastAsia="Times New Roman" w:hAnsi="Times New Roman" w:cs="Times New Roman"/>
      <w:lang w:eastAsia="es-MX"/>
    </w:rPr>
  </w:style>
  <w:style w:type="paragraph" w:customStyle="1" w:styleId="bodytext21">
    <w:name w:val="bodytext21"/>
    <w:basedOn w:val="Normal"/>
    <w:rsid w:val="009D1053"/>
    <w:pPr>
      <w:spacing w:before="100" w:beforeAutospacing="1" w:after="100" w:afterAutospacing="1"/>
    </w:pPr>
    <w:rPr>
      <w:sz w:val="28"/>
    </w:rPr>
  </w:style>
  <w:style w:type="character" w:customStyle="1" w:styleId="Mencinsinresolver2">
    <w:name w:val="Mención sin resolver2"/>
    <w:basedOn w:val="Fuentedeprrafopredeter"/>
    <w:uiPriority w:val="99"/>
    <w:semiHidden/>
    <w:unhideWhenUsed/>
    <w:rsid w:val="009D1053"/>
    <w:rPr>
      <w:color w:val="605E5C"/>
      <w:shd w:val="clear" w:color="auto" w:fill="E1DFDD"/>
    </w:rPr>
  </w:style>
  <w:style w:type="paragraph" w:customStyle="1" w:styleId="Piedepagina">
    <w:name w:val="Pie de pagina"/>
    <w:aliases w:val="Ref. de nota al pie2,Nota de pie"/>
    <w:basedOn w:val="Normal"/>
    <w:uiPriority w:val="99"/>
    <w:rsid w:val="008C12DA"/>
    <w:pPr>
      <w:spacing w:line="240" w:lineRule="exact"/>
    </w:pPr>
    <w:rPr>
      <w:rFonts w:eastAsiaTheme="minorHAnsi"/>
      <w:sz w:val="28"/>
      <w:vertAlign w:val="superscript"/>
      <w:lang w:eastAsia="en-US"/>
    </w:rPr>
  </w:style>
  <w:style w:type="paragraph" w:styleId="Lista">
    <w:name w:val="List"/>
    <w:basedOn w:val="Normal"/>
    <w:unhideWhenUsed/>
    <w:rsid w:val="006159F1"/>
    <w:pPr>
      <w:spacing w:after="200" w:line="276" w:lineRule="auto"/>
      <w:ind w:left="283" w:hanging="283"/>
      <w:contextualSpacing/>
    </w:pPr>
    <w:rPr>
      <w:sz w:val="28"/>
      <w:lang w:eastAsia="en-US"/>
    </w:rPr>
  </w:style>
  <w:style w:type="paragraph" w:customStyle="1" w:styleId="Prrafonumerado">
    <w:name w:val="Párrafo numerado"/>
    <w:qFormat/>
    <w:rsid w:val="00026ABD"/>
    <w:pPr>
      <w:numPr>
        <w:ilvl w:val="1"/>
        <w:numId w:val="1"/>
      </w:numPr>
      <w:tabs>
        <w:tab w:val="left" w:pos="567"/>
      </w:tabs>
      <w:jc w:val="both"/>
    </w:pPr>
    <w:rPr>
      <w:rFonts w:ascii="Times New Roman" w:eastAsia="Times New Roman" w:hAnsi="Times New Roman" w:cs="Times New Roman"/>
      <w:sz w:val="28"/>
      <w:lang w:val="es-ES_tradnl" w:eastAsia="es-ES"/>
    </w:rPr>
  </w:style>
  <w:style w:type="character" w:customStyle="1" w:styleId="cf01">
    <w:name w:val="cf01"/>
    <w:basedOn w:val="Fuentedeprrafopredeter"/>
    <w:rsid w:val="00B76695"/>
    <w:rPr>
      <w:rFonts w:ascii="Segoe UI" w:hAnsi="Segoe UI" w:cs="Segoe UI" w:hint="default"/>
      <w:sz w:val="18"/>
      <w:szCs w:val="18"/>
    </w:rPr>
  </w:style>
  <w:style w:type="character" w:customStyle="1" w:styleId="cf11">
    <w:name w:val="cf11"/>
    <w:basedOn w:val="Fuentedeprrafopredeter"/>
    <w:rsid w:val="00B76695"/>
    <w:rPr>
      <w:rFonts w:ascii="Segoe UI" w:hAnsi="Segoe UI" w:cs="Segoe UI" w:hint="default"/>
      <w:sz w:val="18"/>
      <w:szCs w:val="18"/>
      <w:shd w:val="clear" w:color="auto" w:fill="FFFF00"/>
    </w:rPr>
  </w:style>
  <w:style w:type="character" w:styleId="Textoennegrita">
    <w:name w:val="Strong"/>
    <w:basedOn w:val="Fuentedeprrafopredeter"/>
    <w:uiPriority w:val="22"/>
    <w:qFormat/>
    <w:rsid w:val="002E1488"/>
    <w:rPr>
      <w:b/>
      <w:bCs/>
    </w:rPr>
  </w:style>
  <w:style w:type="character" w:customStyle="1" w:styleId="Ttulo2Car">
    <w:name w:val="Título 2 Car"/>
    <w:basedOn w:val="Fuentedeprrafopredeter"/>
    <w:link w:val="Ttulo2"/>
    <w:uiPriority w:val="9"/>
    <w:semiHidden/>
    <w:rsid w:val="00060537"/>
    <w:rPr>
      <w:rFonts w:asciiTheme="majorHAnsi" w:eastAsiaTheme="majorEastAsia" w:hAnsiTheme="majorHAnsi" w:cs="Times New Roman"/>
      <w:color w:val="2E74B5" w:themeColor="accent1" w:themeShade="BF"/>
      <w:sz w:val="26"/>
      <w:szCs w:val="26"/>
      <w:lang w:eastAsia="es-ES_tradnl"/>
    </w:rPr>
  </w:style>
  <w:style w:type="character" w:customStyle="1" w:styleId="Ttulo3Car">
    <w:name w:val="Título 3 Car"/>
    <w:basedOn w:val="Fuentedeprrafopredeter"/>
    <w:link w:val="Ttulo3"/>
    <w:uiPriority w:val="9"/>
    <w:semiHidden/>
    <w:rsid w:val="00060537"/>
    <w:rPr>
      <w:rFonts w:asciiTheme="majorHAnsi" w:eastAsiaTheme="majorEastAsia" w:hAnsiTheme="majorHAnsi" w:cs="Times New Roman"/>
      <w:color w:val="1F4D78" w:themeColor="accent1" w:themeShade="7F"/>
      <w:lang w:eastAsia="es-ES_tradnl"/>
    </w:rPr>
  </w:style>
  <w:style w:type="character" w:customStyle="1" w:styleId="Ttulo4Car">
    <w:name w:val="Título 4 Car"/>
    <w:basedOn w:val="Fuentedeprrafopredeter"/>
    <w:link w:val="Ttulo4"/>
    <w:uiPriority w:val="9"/>
    <w:semiHidden/>
    <w:rsid w:val="00060537"/>
    <w:rPr>
      <w:rFonts w:ascii="Times New Roman" w:eastAsia="Times New Roman" w:hAnsi="Times New Roman" w:cs="Times New Roman"/>
      <w:b/>
      <w:bCs/>
      <w:sz w:val="28"/>
      <w:szCs w:val="28"/>
      <w:lang w:eastAsia="es-ES_tradnl"/>
    </w:rPr>
  </w:style>
  <w:style w:type="character" w:customStyle="1" w:styleId="Ttulo5Car">
    <w:name w:val="Título 5 Car"/>
    <w:basedOn w:val="Fuentedeprrafopredeter"/>
    <w:link w:val="Ttulo5"/>
    <w:uiPriority w:val="9"/>
    <w:semiHidden/>
    <w:rsid w:val="00060537"/>
    <w:rPr>
      <w:rFonts w:ascii="Calibri" w:eastAsia="Times New Roman" w:hAnsi="Calibri" w:cs="Calibri"/>
      <w:b/>
      <w:color w:val="000000"/>
      <w:sz w:val="28"/>
      <w:szCs w:val="28"/>
    </w:rPr>
  </w:style>
  <w:style w:type="character" w:customStyle="1" w:styleId="Ttulo6Car">
    <w:name w:val="Título 6 Car"/>
    <w:basedOn w:val="Fuentedeprrafopredeter"/>
    <w:link w:val="Ttulo6"/>
    <w:uiPriority w:val="9"/>
    <w:semiHidden/>
    <w:rsid w:val="00060537"/>
    <w:rPr>
      <w:rFonts w:ascii="Times New Roman" w:eastAsia="Times New Roman" w:hAnsi="Times New Roman" w:cs="Times New Roman"/>
      <w:b/>
      <w:bCs/>
      <w:sz w:val="22"/>
      <w:szCs w:val="22"/>
      <w:lang w:eastAsia="es-ES_tradnl"/>
    </w:rPr>
  </w:style>
  <w:style w:type="character" w:customStyle="1" w:styleId="Ttulo7Car">
    <w:name w:val="Título 7 Car"/>
    <w:basedOn w:val="Fuentedeprrafopredeter"/>
    <w:link w:val="Ttulo7"/>
    <w:uiPriority w:val="9"/>
    <w:rsid w:val="00060537"/>
    <w:rPr>
      <w:rFonts w:ascii="Times New Roman" w:eastAsia="Times New Roman" w:hAnsi="Times New Roman" w:cs="Times New Roman"/>
      <w:lang w:eastAsia="es-ES_tradnl"/>
    </w:rPr>
  </w:style>
  <w:style w:type="character" w:customStyle="1" w:styleId="SinespaciadoCar">
    <w:name w:val="Sin espaciado Car"/>
    <w:aliases w:val="CAPITULO I Car"/>
    <w:link w:val="Sinespaciado"/>
    <w:uiPriority w:val="1"/>
    <w:locked/>
    <w:rsid w:val="00060537"/>
  </w:style>
  <w:style w:type="character" w:styleId="Nmerodepgina">
    <w:name w:val="page number"/>
    <w:basedOn w:val="Fuentedeprrafopredeter"/>
    <w:uiPriority w:val="99"/>
    <w:unhideWhenUsed/>
    <w:rsid w:val="00060537"/>
    <w:rPr>
      <w:rFonts w:cs="Times New Roman"/>
    </w:rPr>
  </w:style>
  <w:style w:type="paragraph" w:styleId="Textoindependiente2">
    <w:name w:val="Body Text 2"/>
    <w:basedOn w:val="Normal"/>
    <w:link w:val="Textoindependiente2Car"/>
    <w:uiPriority w:val="99"/>
    <w:unhideWhenUsed/>
    <w:rsid w:val="00060537"/>
    <w:pPr>
      <w:spacing w:after="120" w:line="480" w:lineRule="auto"/>
    </w:pPr>
    <w:rPr>
      <w:lang w:eastAsia="es-ES_tradnl"/>
    </w:rPr>
  </w:style>
  <w:style w:type="character" w:customStyle="1" w:styleId="Textoindependiente2Car">
    <w:name w:val="Texto independiente 2 Car"/>
    <w:basedOn w:val="Fuentedeprrafopredeter"/>
    <w:link w:val="Textoindependiente2"/>
    <w:uiPriority w:val="99"/>
    <w:rsid w:val="00060537"/>
    <w:rPr>
      <w:rFonts w:ascii="Times New Roman" w:eastAsia="Times New Roman" w:hAnsi="Times New Roman" w:cs="Times New Roman"/>
      <w:lang w:eastAsia="es-ES_tradnl"/>
    </w:rPr>
  </w:style>
  <w:style w:type="paragraph" w:customStyle="1" w:styleId="Body">
    <w:name w:val="Body"/>
    <w:rsid w:val="00060537"/>
    <w:pPr>
      <w:pBdr>
        <w:top w:val="none" w:sz="96" w:space="31" w:color="FFFFFF" w:frame="1"/>
        <w:left w:val="none" w:sz="96" w:space="31" w:color="FFFFFF" w:frame="1"/>
        <w:bottom w:val="none" w:sz="96" w:space="31" w:color="FFFFFF" w:frame="1"/>
        <w:right w:val="none" w:sz="96" w:space="31" w:color="FFFFFF" w:frame="1"/>
      </w:pBdr>
    </w:pPr>
    <w:rPr>
      <w:rFonts w:ascii="Times New Roman" w:eastAsia="Times New Roman" w:hAnsi="Times New Roman" w:cs="Times New Roman"/>
      <w:color w:val="000000"/>
      <w:sz w:val="28"/>
      <w:szCs w:val="28"/>
      <w:u w:color="000000"/>
      <w:lang w:val="es-ES" w:eastAsia="es-ES"/>
    </w:rPr>
  </w:style>
  <w:style w:type="paragraph" w:customStyle="1" w:styleId="Estilo">
    <w:name w:val="Estilo"/>
    <w:basedOn w:val="Normal"/>
    <w:rsid w:val="00060537"/>
    <w:pPr>
      <w:spacing w:line="240" w:lineRule="exact"/>
    </w:pPr>
    <w:rPr>
      <w:noProof/>
      <w:color w:val="000000"/>
      <w:sz w:val="20"/>
      <w:szCs w:val="20"/>
      <w:lang w:eastAsia="es-ES_tradnl"/>
    </w:rPr>
  </w:style>
  <w:style w:type="character" w:customStyle="1" w:styleId="iaj">
    <w:name w:val="i_aj"/>
    <w:basedOn w:val="Fuentedeprrafopredeter"/>
    <w:rsid w:val="00060537"/>
    <w:rPr>
      <w:rFonts w:cs="Times New Roman"/>
    </w:rPr>
  </w:style>
  <w:style w:type="numbering" w:customStyle="1" w:styleId="Listaactual1">
    <w:name w:val="Lista actual1"/>
    <w:rsid w:val="00060537"/>
    <w:pPr>
      <w:numPr>
        <w:numId w:val="2"/>
      </w:numPr>
    </w:pPr>
  </w:style>
  <w:style w:type="paragraph" w:customStyle="1" w:styleId="Pa4">
    <w:name w:val="Pa4"/>
    <w:basedOn w:val="Normal"/>
    <w:next w:val="Normal"/>
    <w:rsid w:val="00060537"/>
    <w:pPr>
      <w:autoSpaceDE w:val="0"/>
      <w:autoSpaceDN w:val="0"/>
      <w:adjustRightInd w:val="0"/>
      <w:spacing w:before="100" w:after="40" w:line="191" w:lineRule="atLeast"/>
    </w:pPr>
    <w:rPr>
      <w:rFonts w:ascii="Ottawa" w:hAnsi="Ottawa"/>
      <w:lang w:val="es-MX"/>
    </w:rPr>
  </w:style>
  <w:style w:type="paragraph" w:customStyle="1" w:styleId="Sangradetindependiente">
    <w:name w:val="Sangría de t. independiente"/>
    <w:basedOn w:val="Normal"/>
    <w:rsid w:val="00060537"/>
    <w:pPr>
      <w:overflowPunct w:val="0"/>
      <w:autoSpaceDE w:val="0"/>
      <w:autoSpaceDN w:val="0"/>
      <w:adjustRightInd w:val="0"/>
      <w:jc w:val="center"/>
      <w:textAlignment w:val="baseline"/>
    </w:pPr>
    <w:rPr>
      <w:sz w:val="28"/>
      <w:szCs w:val="28"/>
      <w:lang w:eastAsia="es-ES_tradnl"/>
    </w:rPr>
  </w:style>
  <w:style w:type="character" w:customStyle="1" w:styleId="apple-style-span">
    <w:name w:val="apple-style-span"/>
    <w:basedOn w:val="Fuentedeprrafopredeter"/>
    <w:rsid w:val="00060537"/>
    <w:rPr>
      <w:rFonts w:cs="Times New Roman"/>
    </w:rPr>
  </w:style>
  <w:style w:type="paragraph" w:styleId="Lista2">
    <w:name w:val="List 2"/>
    <w:basedOn w:val="Normal"/>
    <w:uiPriority w:val="99"/>
    <w:rsid w:val="00060537"/>
    <w:pPr>
      <w:ind w:left="566" w:hanging="283"/>
    </w:pPr>
    <w:rPr>
      <w:lang w:eastAsia="es-ES_tradnl"/>
    </w:rPr>
  </w:style>
  <w:style w:type="paragraph" w:styleId="Saludo">
    <w:name w:val="Salutation"/>
    <w:basedOn w:val="Normal"/>
    <w:next w:val="Normal"/>
    <w:link w:val="SaludoCar"/>
    <w:uiPriority w:val="99"/>
    <w:rsid w:val="00060537"/>
    <w:rPr>
      <w:lang w:eastAsia="es-ES_tradnl"/>
    </w:rPr>
  </w:style>
  <w:style w:type="character" w:customStyle="1" w:styleId="SaludoCar">
    <w:name w:val="Saludo Car"/>
    <w:basedOn w:val="Fuentedeprrafopredeter"/>
    <w:link w:val="Saludo"/>
    <w:uiPriority w:val="99"/>
    <w:rsid w:val="00060537"/>
    <w:rPr>
      <w:rFonts w:ascii="Times New Roman" w:eastAsia="Times New Roman" w:hAnsi="Times New Roman" w:cs="Times New Roman"/>
      <w:lang w:eastAsia="es-ES_tradnl"/>
    </w:rPr>
  </w:style>
  <w:style w:type="paragraph" w:styleId="Listaconvietas2">
    <w:name w:val="List Bullet 2"/>
    <w:basedOn w:val="Normal"/>
    <w:uiPriority w:val="99"/>
    <w:rsid w:val="00060537"/>
    <w:pPr>
      <w:numPr>
        <w:numId w:val="3"/>
      </w:numPr>
    </w:pPr>
    <w:rPr>
      <w:lang w:eastAsia="es-ES_tradnl"/>
    </w:rPr>
  </w:style>
  <w:style w:type="paragraph" w:styleId="Listaconvietas3">
    <w:name w:val="List Bullet 3"/>
    <w:basedOn w:val="Normal"/>
    <w:uiPriority w:val="99"/>
    <w:rsid w:val="00060537"/>
    <w:pPr>
      <w:numPr>
        <w:numId w:val="4"/>
      </w:numPr>
    </w:pPr>
    <w:rPr>
      <w:lang w:eastAsia="es-ES_tradnl"/>
    </w:rPr>
  </w:style>
  <w:style w:type="paragraph" w:styleId="Continuarlista">
    <w:name w:val="List Continue"/>
    <w:basedOn w:val="Normal"/>
    <w:uiPriority w:val="99"/>
    <w:rsid w:val="00060537"/>
    <w:pPr>
      <w:spacing w:after="120"/>
      <w:ind w:left="283"/>
    </w:pPr>
    <w:rPr>
      <w:lang w:eastAsia="es-ES_tradnl"/>
    </w:rPr>
  </w:style>
  <w:style w:type="paragraph" w:styleId="Continuarlista2">
    <w:name w:val="List Continue 2"/>
    <w:basedOn w:val="Normal"/>
    <w:uiPriority w:val="99"/>
    <w:rsid w:val="00060537"/>
    <w:pPr>
      <w:spacing w:after="120"/>
      <w:ind w:left="566"/>
    </w:pPr>
    <w:rPr>
      <w:lang w:eastAsia="es-ES_tradnl"/>
    </w:rPr>
  </w:style>
  <w:style w:type="paragraph" w:styleId="Sangradetextonormal">
    <w:name w:val="Body Text Indent"/>
    <w:basedOn w:val="Normal"/>
    <w:link w:val="SangradetextonormalCar"/>
    <w:uiPriority w:val="99"/>
    <w:rsid w:val="00060537"/>
    <w:pPr>
      <w:spacing w:after="120"/>
      <w:ind w:left="283"/>
    </w:pPr>
    <w:rPr>
      <w:lang w:eastAsia="es-ES_tradnl"/>
    </w:rPr>
  </w:style>
  <w:style w:type="character" w:customStyle="1" w:styleId="SangradetextonormalCar">
    <w:name w:val="Sangría de texto normal Car"/>
    <w:basedOn w:val="Fuentedeprrafopredeter"/>
    <w:link w:val="Sangradetextonormal"/>
    <w:uiPriority w:val="99"/>
    <w:rsid w:val="00060537"/>
    <w:rPr>
      <w:rFonts w:ascii="Times New Roman" w:eastAsia="Times New Roman" w:hAnsi="Times New Roman" w:cs="Times New Roman"/>
      <w:lang w:eastAsia="es-ES_tradnl"/>
    </w:rPr>
  </w:style>
  <w:style w:type="paragraph" w:styleId="Textoindependienteprimerasangra2">
    <w:name w:val="Body Text First Indent 2"/>
    <w:basedOn w:val="Sangradetextonormal"/>
    <w:link w:val="Textoindependienteprimerasangra2Car"/>
    <w:uiPriority w:val="99"/>
    <w:rsid w:val="0006053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60537"/>
    <w:rPr>
      <w:rFonts w:ascii="Times New Roman" w:eastAsia="Times New Roman" w:hAnsi="Times New Roman" w:cs="Times New Roman"/>
      <w:lang w:eastAsia="es-ES_tradnl"/>
    </w:rPr>
  </w:style>
  <w:style w:type="character" w:customStyle="1" w:styleId="textonavy1">
    <w:name w:val="texto_navy1"/>
    <w:rsid w:val="00060537"/>
    <w:rPr>
      <w:color w:val="000080"/>
    </w:rPr>
  </w:style>
  <w:style w:type="paragraph" w:customStyle="1" w:styleId="Car">
    <w:name w:val="Car"/>
    <w:basedOn w:val="Normal"/>
    <w:rsid w:val="00060537"/>
    <w:pPr>
      <w:spacing w:line="240" w:lineRule="atLeast"/>
    </w:pPr>
    <w:rPr>
      <w:color w:val="000000"/>
      <w:sz w:val="20"/>
      <w:szCs w:val="20"/>
      <w:lang w:eastAsia="es-ES_tradnl"/>
    </w:rPr>
  </w:style>
  <w:style w:type="paragraph" w:styleId="Textoindependiente3">
    <w:name w:val="Body Text 3"/>
    <w:basedOn w:val="Normal"/>
    <w:link w:val="Textoindependiente3Car"/>
    <w:uiPriority w:val="99"/>
    <w:rsid w:val="00060537"/>
    <w:pPr>
      <w:spacing w:after="120"/>
    </w:pPr>
    <w:rPr>
      <w:sz w:val="16"/>
      <w:szCs w:val="16"/>
      <w:lang w:eastAsia="es-ES_tradnl"/>
    </w:rPr>
  </w:style>
  <w:style w:type="character" w:customStyle="1" w:styleId="Textoindependiente3Car">
    <w:name w:val="Texto independiente 3 Car"/>
    <w:basedOn w:val="Fuentedeprrafopredeter"/>
    <w:link w:val="Textoindependiente3"/>
    <w:uiPriority w:val="99"/>
    <w:rsid w:val="00060537"/>
    <w:rPr>
      <w:rFonts w:ascii="Times New Roman" w:eastAsia="Times New Roman" w:hAnsi="Times New Roman" w:cs="Times New Roman"/>
      <w:sz w:val="16"/>
      <w:szCs w:val="16"/>
      <w:lang w:eastAsia="es-ES_tradnl"/>
    </w:rPr>
  </w:style>
  <w:style w:type="paragraph" w:styleId="Textodebloque">
    <w:name w:val="Block Text"/>
    <w:basedOn w:val="Normal"/>
    <w:uiPriority w:val="99"/>
    <w:rsid w:val="00060537"/>
    <w:pPr>
      <w:overflowPunct w:val="0"/>
      <w:autoSpaceDE w:val="0"/>
      <w:autoSpaceDN w:val="0"/>
      <w:adjustRightInd w:val="0"/>
      <w:ind w:left="3686" w:right="51"/>
      <w:jc w:val="both"/>
      <w:textAlignment w:val="baseline"/>
    </w:pPr>
    <w:rPr>
      <w:sz w:val="28"/>
      <w:szCs w:val="28"/>
      <w:lang w:eastAsia="en-US"/>
    </w:rPr>
  </w:style>
  <w:style w:type="character" w:customStyle="1" w:styleId="PiedepginaCar1">
    <w:name w:val="Pie de página Car1"/>
    <w:locked/>
    <w:rsid w:val="00060537"/>
    <w:rPr>
      <w:sz w:val="24"/>
      <w:lang w:val="x-none" w:eastAsia="es-ES"/>
    </w:rPr>
  </w:style>
  <w:style w:type="paragraph" w:customStyle="1" w:styleId="Sinespaciado1">
    <w:name w:val="Sin espaciado1"/>
    <w:rsid w:val="00060537"/>
    <w:rPr>
      <w:rFonts w:eastAsia="Times New Roman" w:cstheme="minorHAnsi"/>
    </w:rPr>
  </w:style>
  <w:style w:type="paragraph" w:styleId="TDC8">
    <w:name w:val="toc 8"/>
    <w:basedOn w:val="Normal"/>
    <w:next w:val="Normal"/>
    <w:uiPriority w:val="39"/>
    <w:rsid w:val="00060537"/>
    <w:pPr>
      <w:tabs>
        <w:tab w:val="left" w:leader="dot" w:pos="8646"/>
        <w:tab w:val="right" w:pos="9072"/>
      </w:tabs>
      <w:autoSpaceDE w:val="0"/>
      <w:autoSpaceDN w:val="0"/>
      <w:ind w:left="4961" w:right="850"/>
    </w:pPr>
    <w:rPr>
      <w:sz w:val="20"/>
      <w:szCs w:val="20"/>
      <w:lang w:val="es-ES_tradnl" w:eastAsia="es-ES_tradnl"/>
    </w:rPr>
  </w:style>
  <w:style w:type="paragraph" w:customStyle="1" w:styleId="Textoindependiente31">
    <w:name w:val="Texto independiente 31"/>
    <w:basedOn w:val="Normal"/>
    <w:rsid w:val="00060537"/>
    <w:pPr>
      <w:overflowPunct w:val="0"/>
      <w:autoSpaceDE w:val="0"/>
      <w:autoSpaceDN w:val="0"/>
      <w:adjustRightInd w:val="0"/>
      <w:ind w:right="-232"/>
      <w:jc w:val="both"/>
      <w:textAlignment w:val="baseline"/>
    </w:pPr>
    <w:rPr>
      <w:sz w:val="28"/>
      <w:szCs w:val="20"/>
      <w:lang w:eastAsia="es-ES_tradnl"/>
    </w:rPr>
  </w:style>
  <w:style w:type="character" w:customStyle="1" w:styleId="textonavy">
    <w:name w:val="texto_navy"/>
    <w:rsid w:val="00060537"/>
  </w:style>
  <w:style w:type="paragraph" w:customStyle="1" w:styleId="BodyText210">
    <w:name w:val="Body Text 21"/>
    <w:basedOn w:val="Normal"/>
    <w:rsid w:val="00060537"/>
    <w:pPr>
      <w:widowControl w:val="0"/>
      <w:spacing w:line="360" w:lineRule="auto"/>
      <w:jc w:val="both"/>
    </w:pPr>
    <w:rPr>
      <w:sz w:val="28"/>
      <w:szCs w:val="28"/>
      <w:lang w:eastAsia="es-ES_tradnl"/>
    </w:rPr>
  </w:style>
  <w:style w:type="paragraph" w:customStyle="1" w:styleId="quotation">
    <w:name w:val="quotation"/>
    <w:basedOn w:val="Normal"/>
    <w:rsid w:val="00060537"/>
    <w:pPr>
      <w:spacing w:before="100" w:beforeAutospacing="1" w:after="100" w:afterAutospacing="1"/>
    </w:pPr>
    <w:rPr>
      <w:lang w:eastAsia="es-ES_tradnl"/>
    </w:rPr>
  </w:style>
  <w:style w:type="paragraph" w:customStyle="1" w:styleId="Default">
    <w:name w:val="Default"/>
    <w:rsid w:val="00060537"/>
    <w:pPr>
      <w:autoSpaceDE w:val="0"/>
      <w:autoSpaceDN w:val="0"/>
      <w:adjustRightInd w:val="0"/>
    </w:pPr>
    <w:rPr>
      <w:rFonts w:ascii="Arial" w:eastAsia="Times New Roman" w:hAnsi="Arial" w:cs="Arial"/>
      <w:color w:val="000000"/>
    </w:rPr>
  </w:style>
  <w:style w:type="paragraph" w:customStyle="1" w:styleId="NoSpacing1">
    <w:name w:val="No Spacing1"/>
    <w:rsid w:val="00060537"/>
    <w:rPr>
      <w:rFonts w:eastAsia="Times New Roman" w:cstheme="minorHAnsi"/>
      <w:sz w:val="28"/>
    </w:rPr>
  </w:style>
  <w:style w:type="paragraph" w:customStyle="1" w:styleId="Ttulo10">
    <w:name w:val="Título1"/>
    <w:basedOn w:val="Normal"/>
    <w:link w:val="TtuloCar"/>
    <w:qFormat/>
    <w:rsid w:val="00060537"/>
    <w:pPr>
      <w:spacing w:line="360" w:lineRule="auto"/>
      <w:jc w:val="center"/>
    </w:pPr>
    <w:rPr>
      <w:rFonts w:ascii="Lucida Bright" w:hAnsi="Lucida Bright"/>
      <w:b/>
      <w:iCs/>
      <w:sz w:val="28"/>
      <w:lang w:eastAsia="es-ES_tradnl"/>
    </w:rPr>
  </w:style>
  <w:style w:type="character" w:customStyle="1" w:styleId="TtuloCar">
    <w:name w:val="Título Car"/>
    <w:link w:val="Ttulo10"/>
    <w:uiPriority w:val="10"/>
    <w:locked/>
    <w:rsid w:val="00060537"/>
    <w:rPr>
      <w:rFonts w:ascii="Lucida Bright" w:eastAsia="Times New Roman" w:hAnsi="Lucida Bright" w:cs="Times New Roman"/>
      <w:b/>
      <w:iCs/>
      <w:sz w:val="28"/>
      <w:lang w:eastAsia="es-ES_tradnl"/>
    </w:rPr>
  </w:style>
  <w:style w:type="character" w:customStyle="1" w:styleId="A3">
    <w:name w:val="A3"/>
    <w:uiPriority w:val="99"/>
    <w:rsid w:val="00060537"/>
    <w:rPr>
      <w:color w:val="000000"/>
      <w:sz w:val="16"/>
    </w:rPr>
  </w:style>
  <w:style w:type="paragraph" w:customStyle="1" w:styleId="BodyTextIndent1">
    <w:name w:val="Body Text Indent1"/>
    <w:basedOn w:val="Normal"/>
    <w:rsid w:val="00060537"/>
    <w:pPr>
      <w:spacing w:line="240" w:lineRule="atLeast"/>
      <w:ind w:right="-180"/>
      <w:jc w:val="center"/>
    </w:pPr>
    <w:rPr>
      <w:b/>
      <w:sz w:val="28"/>
      <w:szCs w:val="20"/>
      <w:lang w:eastAsia="es-ES_tradnl"/>
    </w:rPr>
  </w:style>
  <w:style w:type="paragraph" w:customStyle="1" w:styleId="cita">
    <w:name w:val="cita"/>
    <w:basedOn w:val="Normal"/>
    <w:link w:val="citaCar"/>
    <w:qFormat/>
    <w:rsid w:val="00060537"/>
    <w:pPr>
      <w:widowControl w:val="0"/>
      <w:autoSpaceDE w:val="0"/>
      <w:autoSpaceDN w:val="0"/>
      <w:ind w:left="851" w:right="618"/>
      <w:jc w:val="both"/>
    </w:pPr>
    <w:rPr>
      <w:rFonts w:eastAsia="SimSun"/>
      <w:sz w:val="26"/>
      <w:szCs w:val="28"/>
      <w:lang w:eastAsia="es-ES_tradnl"/>
    </w:rPr>
  </w:style>
  <w:style w:type="character" w:customStyle="1" w:styleId="citaCar">
    <w:name w:val="cita Car"/>
    <w:link w:val="cita"/>
    <w:locked/>
    <w:rsid w:val="00060537"/>
    <w:rPr>
      <w:rFonts w:ascii="Times New Roman" w:eastAsia="SimSun" w:hAnsi="Times New Roman" w:cs="Times New Roman"/>
      <w:sz w:val="26"/>
      <w:szCs w:val="28"/>
      <w:lang w:eastAsia="es-ES_tradnl"/>
    </w:rPr>
  </w:style>
  <w:style w:type="character" w:styleId="Hipervnculovisitado">
    <w:name w:val="FollowedHyperlink"/>
    <w:basedOn w:val="Fuentedeprrafopredeter"/>
    <w:uiPriority w:val="99"/>
    <w:unhideWhenUsed/>
    <w:rsid w:val="00060537"/>
    <w:rPr>
      <w:color w:val="800080"/>
      <w:u w:val="single"/>
    </w:rPr>
  </w:style>
  <w:style w:type="paragraph" w:customStyle="1" w:styleId="western">
    <w:name w:val="western"/>
    <w:basedOn w:val="Normal"/>
    <w:rsid w:val="00060537"/>
    <w:pPr>
      <w:spacing w:before="100" w:beforeAutospacing="1" w:after="100" w:afterAutospacing="1"/>
    </w:pPr>
  </w:style>
  <w:style w:type="paragraph" w:customStyle="1" w:styleId="Listamedia1-nfasis61">
    <w:name w:val="Lista media 1 - Énfasis 61"/>
    <w:basedOn w:val="Normal"/>
    <w:uiPriority w:val="34"/>
    <w:qFormat/>
    <w:rsid w:val="00060537"/>
    <w:pPr>
      <w:overflowPunct w:val="0"/>
      <w:autoSpaceDE w:val="0"/>
      <w:autoSpaceDN w:val="0"/>
      <w:adjustRightInd w:val="0"/>
      <w:ind w:left="720"/>
      <w:contextualSpacing/>
      <w:textAlignment w:val="baseline"/>
    </w:pPr>
    <w:rPr>
      <w:sz w:val="20"/>
      <w:szCs w:val="20"/>
    </w:rPr>
  </w:style>
  <w:style w:type="paragraph" w:customStyle="1" w:styleId="Citalarga">
    <w:name w:val="Cita larga"/>
    <w:basedOn w:val="Normal"/>
    <w:next w:val="Normal"/>
    <w:qFormat/>
    <w:rsid w:val="00060537"/>
    <w:pPr>
      <w:ind w:left="284" w:right="335"/>
      <w:jc w:val="both"/>
    </w:pPr>
    <w:rPr>
      <w:i/>
      <w:sz w:val="28"/>
      <w:szCs w:val="28"/>
      <w:lang w:eastAsia="es-ES_tradnl"/>
    </w:rPr>
  </w:style>
  <w:style w:type="paragraph" w:styleId="Ttulo">
    <w:name w:val="Title"/>
    <w:basedOn w:val="Normal"/>
    <w:link w:val="TtuloCar1"/>
    <w:uiPriority w:val="10"/>
    <w:qFormat/>
    <w:rsid w:val="00060537"/>
    <w:pPr>
      <w:ind w:right="51"/>
      <w:jc w:val="center"/>
    </w:pPr>
    <w:rPr>
      <w:b/>
      <w:sz w:val="28"/>
      <w:lang w:eastAsia="es-ES_tradnl"/>
    </w:rPr>
  </w:style>
  <w:style w:type="character" w:customStyle="1" w:styleId="TtuloCar1">
    <w:name w:val="Título Car1"/>
    <w:basedOn w:val="Fuentedeprrafopredeter"/>
    <w:link w:val="Ttulo"/>
    <w:uiPriority w:val="10"/>
    <w:rsid w:val="00060537"/>
    <w:rPr>
      <w:rFonts w:ascii="Times New Roman" w:eastAsia="Times New Roman" w:hAnsi="Times New Roman" w:cs="Times New Roman"/>
      <w:b/>
      <w:sz w:val="28"/>
      <w:lang w:eastAsia="es-ES_tradnl"/>
    </w:rPr>
  </w:style>
  <w:style w:type="paragraph" w:customStyle="1" w:styleId="Citaextensa">
    <w:name w:val="Cita extensa"/>
    <w:basedOn w:val="cita"/>
    <w:link w:val="CitaextensaCar"/>
    <w:qFormat/>
    <w:rsid w:val="00060537"/>
    <w:pPr>
      <w:ind w:left="709" w:right="51"/>
    </w:pPr>
    <w:rPr>
      <w:sz w:val="28"/>
    </w:rPr>
  </w:style>
  <w:style w:type="character" w:customStyle="1" w:styleId="CitaextensaCar">
    <w:name w:val="Cita extensa Car"/>
    <w:basedOn w:val="citaCar"/>
    <w:link w:val="Citaextensa"/>
    <w:locked/>
    <w:rsid w:val="00060537"/>
    <w:rPr>
      <w:rFonts w:ascii="Times New Roman" w:eastAsia="SimSun" w:hAnsi="Times New Roman" w:cs="Times New Roman"/>
      <w:sz w:val="28"/>
      <w:szCs w:val="28"/>
      <w:lang w:eastAsia="es-ES_tradnl"/>
    </w:rPr>
  </w:style>
  <w:style w:type="character" w:customStyle="1" w:styleId="TextonotapieCar1">
    <w:name w:val="Texto nota pie Car1"/>
    <w:aliases w:val="Ref. de nota al pie1 Car1,Texto de nota al pie Car1,Footnotes refss Car,Appel note de bas de page Car1,referencia nota al pie Car1,Footnote number Car,BVI fnr Car1,f Car1,Texto nota pie Car Car1 Car,texto de nota al pie Car Car Car"/>
    <w:uiPriority w:val="99"/>
    <w:qFormat/>
    <w:locked/>
    <w:rsid w:val="00060537"/>
    <w:rPr>
      <w:rFonts w:ascii="Times New Roman" w:hAnsi="Times New Roman"/>
      <w:sz w:val="20"/>
      <w:lang w:val="es-ES" w:eastAsia="es-ES"/>
    </w:rPr>
  </w:style>
  <w:style w:type="paragraph" w:customStyle="1" w:styleId="pf0">
    <w:name w:val="pf0"/>
    <w:basedOn w:val="Normal"/>
    <w:rsid w:val="00060537"/>
    <w:pPr>
      <w:spacing w:before="100" w:beforeAutospacing="1" w:after="100" w:afterAutospacing="1"/>
    </w:pPr>
  </w:style>
  <w:style w:type="character" w:customStyle="1" w:styleId="cf21">
    <w:name w:val="cf21"/>
    <w:basedOn w:val="Fuentedeprrafopredeter"/>
    <w:rsid w:val="00060537"/>
    <w:rPr>
      <w:rFonts w:ascii="Segoe UI" w:hAnsi="Segoe UI" w:cs="Segoe UI" w:hint="default"/>
      <w:i/>
      <w:iCs/>
      <w:color w:val="2D2D2D"/>
      <w:sz w:val="18"/>
      <w:szCs w:val="18"/>
      <w:shd w:val="clear" w:color="auto" w:fill="FFFFFF"/>
    </w:rPr>
  </w:style>
  <w:style w:type="character" w:customStyle="1" w:styleId="cf31">
    <w:name w:val="cf31"/>
    <w:basedOn w:val="Fuentedeprrafopredeter"/>
    <w:rsid w:val="00060537"/>
    <w:rPr>
      <w:rFonts w:ascii="Segoe UI" w:hAnsi="Segoe UI" w:cs="Segoe UI" w:hint="default"/>
      <w:color w:val="2D2D2D"/>
      <w:sz w:val="18"/>
      <w:szCs w:val="18"/>
      <w:shd w:val="clear" w:color="auto" w:fill="FFFF00"/>
    </w:rPr>
  </w:style>
  <w:style w:type="character" w:customStyle="1" w:styleId="ui-provider">
    <w:name w:val="ui-provider"/>
    <w:basedOn w:val="Fuentedeprrafopredeter"/>
    <w:rsid w:val="000F0553"/>
    <w:rPr>
      <w:rFonts w:cs="Times New Roman"/>
    </w:rPr>
  </w:style>
  <w:style w:type="character" w:customStyle="1" w:styleId="Ttulo8Car">
    <w:name w:val="Título 8 Car"/>
    <w:basedOn w:val="Fuentedeprrafopredeter"/>
    <w:link w:val="Ttulo8"/>
    <w:uiPriority w:val="9"/>
    <w:semiHidden/>
    <w:rsid w:val="00F55240"/>
    <w:rPr>
      <w:rFonts w:asciiTheme="majorHAnsi" w:eastAsiaTheme="majorEastAsia" w:hAnsiTheme="majorHAnsi" w:cstheme="majorBidi"/>
      <w:color w:val="404040" w:themeColor="text1" w:themeTint="BF"/>
      <w:sz w:val="20"/>
      <w:szCs w:val="20"/>
      <w:lang w:eastAsia="es-ES_tradnl"/>
    </w:rPr>
  </w:style>
  <w:style w:type="character" w:customStyle="1" w:styleId="Ttulo9Car">
    <w:name w:val="Título 9 Car"/>
    <w:basedOn w:val="Fuentedeprrafopredeter"/>
    <w:link w:val="Ttulo9"/>
    <w:uiPriority w:val="9"/>
    <w:semiHidden/>
    <w:rsid w:val="00F55240"/>
    <w:rPr>
      <w:rFonts w:asciiTheme="majorHAnsi" w:eastAsiaTheme="majorEastAsia" w:hAnsiTheme="majorHAnsi" w:cstheme="majorBidi"/>
      <w:i/>
      <w:iCs/>
      <w:color w:val="404040" w:themeColor="text1" w:themeTint="BF"/>
      <w:sz w:val="20"/>
      <w:szCs w:val="20"/>
      <w:lang w:eastAsia="es-ES_tradnl"/>
    </w:rPr>
  </w:style>
  <w:style w:type="numbering" w:customStyle="1" w:styleId="Listaactual2">
    <w:name w:val="Lista actual2"/>
    <w:uiPriority w:val="99"/>
    <w:rsid w:val="001E3530"/>
    <w:pPr>
      <w:numPr>
        <w:numId w:val="5"/>
      </w:numPr>
    </w:pPr>
  </w:style>
  <w:style w:type="paragraph" w:customStyle="1" w:styleId="Ttulo11">
    <w:name w:val="Título 11"/>
    <w:basedOn w:val="Normal"/>
    <w:uiPriority w:val="99"/>
    <w:rsid w:val="00A41D2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11864</Words>
  <Characters>65258</Characters>
  <Application>Microsoft Office Word</Application>
  <DocSecurity>0</DocSecurity>
  <Lines>543</Lines>
  <Paragraphs>153</Paragraphs>
  <ScaleCrop>false</ScaleCrop>
  <Company/>
  <LinksUpToDate>false</LinksUpToDate>
  <CharactersWithSpaces>76969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2025-01-16T16:54:00Z</dcterms:created>
  <dcterms:modified xsi:type="dcterms:W3CDTF">2025-01-16T16:54:00Z</dcterms:modified>
</cp:coreProperties>
</file>