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D4D" w:rsidRPr="006D0761" w:rsidRDefault="00252594">
      <w:pPr>
        <w:widowControl w:val="0"/>
        <w:autoSpaceDE w:val="0"/>
        <w:autoSpaceDN w:val="0"/>
        <w:adjustRightInd w:val="0"/>
        <w:spacing w:after="0" w:line="240" w:lineRule="auto"/>
        <w:rPr>
          <w:rFonts w:ascii="Times New Roman" w:hAnsi="Times New Roman"/>
          <w:sz w:val="28"/>
          <w:szCs w:val="28"/>
        </w:rPr>
      </w:pPr>
      <w:bookmarkStart w:id="0" w:name="_GoBack"/>
      <w:bookmarkEnd w:id="0"/>
      <w:r w:rsidRPr="006D0761">
        <w:rPr>
          <w:rFonts w:ascii="Times New Roman" w:hAnsi="Times New Roman"/>
          <w:sz w:val="28"/>
          <w:szCs w:val="24"/>
        </w:rPr>
        <w:t xml:space="preserve"> </w:t>
      </w:r>
    </w:p>
    <w:p w:rsidR="00F70D4D" w:rsidRPr="006D0761" w:rsidRDefault="00F70D4D">
      <w:pPr>
        <w:widowControl w:val="0"/>
        <w:autoSpaceDE w:val="0"/>
        <w:autoSpaceDN w:val="0"/>
        <w:adjustRightInd w:val="0"/>
        <w:spacing w:after="0" w:line="240" w:lineRule="auto"/>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center"/>
        <w:rPr>
          <w:rFonts w:ascii="Times New Roman" w:hAnsi="Times New Roman"/>
          <w:b/>
          <w:bCs/>
          <w:sz w:val="28"/>
          <w:szCs w:val="28"/>
        </w:rPr>
      </w:pPr>
      <w:r w:rsidRPr="006D0761">
        <w:rPr>
          <w:rFonts w:ascii="Times New Roman" w:hAnsi="Times New Roman"/>
          <w:b/>
          <w:bCs/>
          <w:sz w:val="28"/>
          <w:szCs w:val="28"/>
        </w:rPr>
        <w:t xml:space="preserve">TEMAS-SUBTEMAS </w:t>
      </w:r>
    </w:p>
    <w:p w:rsidR="00F70D4D" w:rsidRPr="006D0761" w:rsidRDefault="00F70D4D">
      <w:pPr>
        <w:widowControl w:val="0"/>
        <w:autoSpaceDE w:val="0"/>
        <w:autoSpaceDN w:val="0"/>
        <w:adjustRightInd w:val="0"/>
        <w:spacing w:after="0" w:line="240" w:lineRule="auto"/>
        <w:jc w:val="center"/>
        <w:rPr>
          <w:rFonts w:ascii="Times New Roman" w:hAnsi="Times New Roman"/>
          <w:b/>
          <w:bCs/>
          <w:sz w:val="28"/>
          <w:szCs w:val="28"/>
        </w:rPr>
      </w:pPr>
    </w:p>
    <w:p w:rsidR="00F70D4D" w:rsidRPr="006D0761" w:rsidRDefault="00252594">
      <w:pPr>
        <w:widowControl w:val="0"/>
        <w:autoSpaceDE w:val="0"/>
        <w:autoSpaceDN w:val="0"/>
        <w:adjustRightInd w:val="0"/>
        <w:spacing w:after="0" w:line="240" w:lineRule="auto"/>
        <w:jc w:val="center"/>
        <w:rPr>
          <w:rFonts w:ascii="Times New Roman" w:hAnsi="Times New Roman"/>
          <w:sz w:val="28"/>
          <w:szCs w:val="28"/>
        </w:rPr>
      </w:pPr>
      <w:r w:rsidRPr="006D0761">
        <w:rPr>
          <w:rFonts w:ascii="Times New Roman" w:hAnsi="Times New Roman"/>
          <w:b/>
          <w:bCs/>
          <w:sz w:val="28"/>
          <w:szCs w:val="28"/>
        </w:rPr>
        <w:t xml:space="preserve">Sentencia C-493/25 </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DEMANDA DE INCONSTITUCIONALIDAD POR VULNERACION DEL PRINCIPIO DE IGUALDAD</w:t>
      </w:r>
      <w:r w:rsidRPr="006D0761">
        <w:rPr>
          <w:rFonts w:ascii="Times New Roman" w:hAnsi="Times New Roman"/>
          <w:sz w:val="28"/>
          <w:szCs w:val="28"/>
        </w:rPr>
        <w:t>-Requisitos en la carga argumentativa</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i/>
          <w:iCs/>
          <w:sz w:val="28"/>
          <w:szCs w:val="28"/>
        </w:rPr>
        <w:t>(...) cuatro son las exigencias imprescindibles de cualquier acusación por violación de la igualdad. Primero, el demandante debe dirigirla en contra de una disposición que establezca, en realidad, un tratamiento diferente o igual a determinadas personas o grupos. Segundo, deberá identificar los sujetos, grupos o supuestos que deben ser comparados de manera que sea posible establecer con precisión los extremos de la contrastación. Dada la libertad de configuración del Congreso, no basta con identificar uno de los extremos de manera precisa y referir de forma general “€œtodos los demás”€ o el universo restante. Tercero, la impugnación debe señalar el criterio con fundamento en el cual debe hacerse la comparación o, de otra forma dicho, el rasgo o cualidad que permite afirmar que los sujetos comparados son iguales o diferentes, según se invoque la violación de los mandatos de trato igual o de trato diferente. Cuarto, existe la obligación de indicar las razones que hacen que el trato diferente o igual -que cuestiona- carece de fundamento en la Carta y resulta irrazonable o desproporcionado.</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DEMANDA DE INCONSTITUCIONALIDAD POR VULNERACION DEL PRINCIPIO DE IGUALDAD</w:t>
      </w:r>
      <w:r w:rsidRPr="006D0761">
        <w:rPr>
          <w:rFonts w:ascii="Times New Roman" w:hAnsi="Times New Roman"/>
          <w:sz w:val="28"/>
          <w:szCs w:val="28"/>
        </w:rPr>
        <w:t xml:space="preserve">-Necesidad de identificar los criterios de comparación y la determinación de los grupos o situaciones comparables </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IGUALDAD</w:t>
      </w:r>
      <w:r w:rsidRPr="006D0761">
        <w:rPr>
          <w:rFonts w:ascii="Times New Roman" w:hAnsi="Times New Roman"/>
          <w:sz w:val="28"/>
          <w:szCs w:val="28"/>
        </w:rPr>
        <w:t xml:space="preserve">-Concepto relacional </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DEMANDA DE INCONSTITUCIONALIDAD POR VULNERACION DEL PRINCIPIO DE IGUALDAD</w:t>
      </w:r>
      <w:r w:rsidRPr="006D0761">
        <w:rPr>
          <w:rFonts w:ascii="Times New Roman" w:hAnsi="Times New Roman"/>
          <w:sz w:val="28"/>
          <w:szCs w:val="28"/>
        </w:rPr>
        <w:t xml:space="preserve">-Incumplimiento de carga argumentativa </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INHIBICION DE LA CORTE CONSTITUCIONAL</w:t>
      </w:r>
      <w:r w:rsidRPr="006D0761">
        <w:rPr>
          <w:rFonts w:ascii="Times New Roman" w:hAnsi="Times New Roman"/>
          <w:sz w:val="28"/>
          <w:szCs w:val="28"/>
        </w:rPr>
        <w:t>-No señalamiento de contradicción de una norma legal con la constitucional</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i/>
          <w:iCs/>
          <w:sz w:val="28"/>
          <w:szCs w:val="28"/>
        </w:rPr>
        <w:t>(...) el actor no presenta argumentos de rango constitucional que evidencien la contradicción objetiva entre el texto de la norma y el artículo 13 de la Carta Política. La acusación no toma en consideración el desarrollo normativo internacional ni la jurisprudencia constitucional respecto de la obligación de debida diligencia contra la impunidad frente a la violencia de género, ni señala por qué, el generar un sistema de asistencia legal para que las mujeres puedan acceder a la justicia cuando han sido víctimas de violencia feminicida se convierte en una desigualdad injustificada, que afecta desproporcionalmente a los hombres.</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DEMANDA DE INCONSTITUCIONALIDAD</w:t>
      </w:r>
      <w:r w:rsidRPr="006D0761">
        <w:rPr>
          <w:rFonts w:ascii="Times New Roman" w:hAnsi="Times New Roman"/>
          <w:sz w:val="28"/>
          <w:szCs w:val="28"/>
        </w:rPr>
        <w:t xml:space="preserve">-No tuvo en cuenta el alcance del contenido normativo demandado </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DERECHO FUNDAMENTAL PARA LAS MUJERES A ESTAR LIBRES DE VIOLENCIA</w:t>
      </w:r>
      <w:r w:rsidRPr="006D0761">
        <w:rPr>
          <w:rFonts w:ascii="Times New Roman" w:hAnsi="Times New Roman"/>
          <w:sz w:val="28"/>
          <w:szCs w:val="28"/>
        </w:rPr>
        <w:t xml:space="preserve">-Deberes del Estado </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OBLIGACION DE GARANTIZAR EL DERECHO DE LAS MUJERES A ESTAR LIBRES DE VIOLENCIA</w:t>
      </w:r>
      <w:r w:rsidRPr="006D0761">
        <w:rPr>
          <w:rFonts w:ascii="Times New Roman" w:hAnsi="Times New Roman"/>
          <w:sz w:val="28"/>
          <w:szCs w:val="28"/>
        </w:rPr>
        <w:t xml:space="preserve">-Fuentes en el derecho internacional de los derechos humanos </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252594">
      <w:pPr>
        <w:widowControl w:val="0"/>
        <w:autoSpaceDE w:val="0"/>
        <w:autoSpaceDN w:val="0"/>
        <w:adjustRightInd w:val="0"/>
        <w:spacing w:after="0" w:line="240" w:lineRule="auto"/>
        <w:jc w:val="both"/>
        <w:rPr>
          <w:rFonts w:ascii="Times New Roman" w:hAnsi="Times New Roman"/>
          <w:sz w:val="28"/>
          <w:szCs w:val="28"/>
        </w:rPr>
      </w:pPr>
      <w:r w:rsidRPr="006D0761">
        <w:rPr>
          <w:rFonts w:ascii="Times New Roman" w:hAnsi="Times New Roman"/>
          <w:b/>
          <w:bCs/>
          <w:sz w:val="28"/>
          <w:szCs w:val="28"/>
        </w:rPr>
        <w:t>MEDIDAS DE DISCRIMINACION INVERSA O POSITIVA</w:t>
      </w:r>
      <w:r w:rsidRPr="006D0761">
        <w:rPr>
          <w:rFonts w:ascii="Times New Roman" w:hAnsi="Times New Roman"/>
          <w:sz w:val="28"/>
          <w:szCs w:val="28"/>
        </w:rPr>
        <w:t xml:space="preserve">-Requisitos para la validez y constitucionalidad </w:t>
      </w:r>
    </w:p>
    <w:p w:rsidR="00F70D4D" w:rsidRPr="006D0761" w:rsidRDefault="00F70D4D">
      <w:pPr>
        <w:widowControl w:val="0"/>
        <w:autoSpaceDE w:val="0"/>
        <w:autoSpaceDN w:val="0"/>
        <w:adjustRightInd w:val="0"/>
        <w:spacing w:after="0" w:line="240" w:lineRule="auto"/>
        <w:jc w:val="both"/>
        <w:rPr>
          <w:rFonts w:ascii="Times New Roman" w:hAnsi="Times New Roman"/>
          <w:sz w:val="28"/>
          <w:szCs w:val="28"/>
        </w:rPr>
      </w:pPr>
    </w:p>
    <w:p w:rsidR="00F70D4D" w:rsidRPr="006D0761" w:rsidRDefault="006D0761">
      <w:pPr>
        <w:widowControl w:val="0"/>
        <w:autoSpaceDE w:val="0"/>
        <w:autoSpaceDN w:val="0"/>
        <w:adjustRightInd w:val="0"/>
        <w:spacing w:after="0" w:line="240" w:lineRule="auto"/>
        <w:jc w:val="both"/>
        <w:rPr>
          <w:rFonts w:ascii="Times New Roman" w:hAnsi="Times New Roman"/>
          <w:sz w:val="28"/>
        </w:rPr>
      </w:pPr>
      <w:r w:rsidRPr="006D0761">
        <w:rPr>
          <w:rFonts w:ascii="Times New Roman" w:hAnsi="Times New Roman"/>
          <w:sz w:val="28"/>
          <w:szCs w:val="28"/>
        </w:rPr>
        <w:pict>
          <v:rect id="_x0000_i1025" style="width:0;height:1.5pt" o:hralign="center" o:hrstd="t" o:hr="t" fillcolor="#a0a0a0" stroked="f"/>
        </w:pict>
      </w:r>
    </w:p>
    <w:p w:rsidR="004603B2" w:rsidRPr="006D0761" w:rsidRDefault="006D0761" w:rsidP="6D224379">
      <w:pPr>
        <w:spacing w:beforeAutospacing="1" w:afterAutospacing="1"/>
        <w:jc w:val="center"/>
        <w:rPr>
          <w:rFonts w:ascii="Times New Roman" w:hAnsi="Times New Roman"/>
          <w:b/>
          <w:bCs/>
          <w:color w:val="000000"/>
          <w:sz w:val="28"/>
          <w:szCs w:val="28"/>
          <w:lang w:val="es-ES"/>
        </w:rPr>
      </w:pPr>
      <w:r w:rsidRPr="006D0761">
        <w:rPr>
          <w:rFonts w:ascii="Times New Roman" w:hAnsi="Times New Roman"/>
          <w:b/>
          <w:bCs/>
          <w:color w:val="000000"/>
          <w:sz w:val="28"/>
          <w:szCs w:val="28"/>
          <w:lang w:val="es-ES"/>
        </w:rPr>
        <w:t>REPÚBLICA DE COLOMBIA</w:t>
      </w:r>
    </w:p>
    <w:p w:rsidR="004603B2" w:rsidRPr="006D0761" w:rsidRDefault="006D0761" w:rsidP="6D224379">
      <w:pPr>
        <w:spacing w:beforeAutospacing="1" w:afterAutospacing="1"/>
        <w:jc w:val="center"/>
        <w:rPr>
          <w:rFonts w:ascii="Times New Roman" w:hAnsi="Times New Roman"/>
          <w:color w:val="000000"/>
          <w:sz w:val="28"/>
          <w:szCs w:val="28"/>
          <w:lang w:val="es-ES"/>
        </w:rPr>
      </w:pPr>
      <w:r w:rsidRPr="006D0761">
        <w:rPr>
          <w:rFonts w:ascii="Times New Roman" w:hAnsi="Times New Roman"/>
          <w:noProof/>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rawing" o:spid="_x0000_i1028" type="#_x0000_t75" style="width:63pt;height:63pt;visibility:visible;mso-wrap-style:square">
            <v:imagedata r:id="rId7" o:title=""/>
          </v:shape>
        </w:pict>
      </w:r>
    </w:p>
    <w:p w:rsidR="004603B2" w:rsidRPr="006D0761" w:rsidRDefault="006D0761" w:rsidP="00EB501B">
      <w:pPr>
        <w:spacing w:beforeAutospacing="1" w:afterAutospacing="1"/>
        <w:jc w:val="center"/>
        <w:rPr>
          <w:rFonts w:ascii="Times New Roman" w:hAnsi="Times New Roman"/>
          <w:b/>
          <w:bCs/>
          <w:color w:val="000000"/>
          <w:sz w:val="28"/>
          <w:szCs w:val="28"/>
          <w:lang w:val="es-ES"/>
        </w:rPr>
      </w:pPr>
      <w:r w:rsidRPr="006D0761">
        <w:rPr>
          <w:rFonts w:ascii="Times New Roman" w:hAnsi="Times New Roman"/>
          <w:b/>
          <w:bCs/>
          <w:color w:val="000000"/>
          <w:sz w:val="28"/>
          <w:szCs w:val="28"/>
          <w:lang w:val="es-ES"/>
        </w:rPr>
        <w:t>CORTE CONSTITUCIONAL</w:t>
      </w:r>
    </w:p>
    <w:p w:rsidR="00B8320A" w:rsidRPr="006D0761" w:rsidRDefault="006D0761" w:rsidP="00EB501B">
      <w:pPr>
        <w:spacing w:beforeAutospacing="1" w:afterAutospacing="1"/>
        <w:jc w:val="center"/>
        <w:rPr>
          <w:rFonts w:ascii="Times New Roman" w:hAnsi="Times New Roman"/>
          <w:color w:val="000000"/>
          <w:sz w:val="28"/>
          <w:szCs w:val="28"/>
          <w:lang w:val="es-ES"/>
        </w:rPr>
      </w:pPr>
      <w:r w:rsidRPr="006D0761">
        <w:rPr>
          <w:rFonts w:ascii="Times New Roman" w:hAnsi="Times New Roman"/>
          <w:b/>
          <w:bCs/>
          <w:color w:val="000000"/>
          <w:sz w:val="28"/>
          <w:szCs w:val="28"/>
          <w:lang w:val="es-ES"/>
        </w:rPr>
        <w:t>SENTENCIA C-493 DE 2025</w:t>
      </w:r>
    </w:p>
    <w:p w:rsidR="6AC2AC29" w:rsidRPr="006D0761" w:rsidRDefault="006D0761" w:rsidP="00F573C1">
      <w:pPr>
        <w:spacing w:beforeAutospacing="1" w:afterAutospacing="1"/>
        <w:ind w:left="4248"/>
        <w:jc w:val="both"/>
        <w:rPr>
          <w:rFonts w:ascii="Times New Roman" w:hAnsi="Times New Roman"/>
          <w:b/>
          <w:bCs/>
          <w:color w:val="000000"/>
          <w:sz w:val="28"/>
          <w:szCs w:val="28"/>
          <w:lang w:val="es-ES"/>
        </w:rPr>
      </w:pPr>
      <w:r w:rsidRPr="006D0761">
        <w:rPr>
          <w:rFonts w:ascii="Times New Roman" w:hAnsi="Times New Roman"/>
          <w:b/>
          <w:bCs/>
          <w:color w:val="000000"/>
          <w:sz w:val="28"/>
          <w:szCs w:val="28"/>
          <w:lang w:val="es-ES"/>
        </w:rPr>
        <w:t>Referencia:</w:t>
      </w:r>
      <w:r w:rsidRPr="006D0761">
        <w:rPr>
          <w:rFonts w:ascii="Times New Roman" w:hAnsi="Times New Roman"/>
          <w:color w:val="000000"/>
          <w:sz w:val="28"/>
          <w:szCs w:val="28"/>
          <w:lang w:val="es-ES"/>
        </w:rPr>
        <w:t xml:space="preserve"> Expediente D-</w:t>
      </w:r>
      <w:r w:rsidRPr="006D0761">
        <w:rPr>
          <w:rFonts w:ascii="Times New Roman" w:hAnsi="Times New Roman"/>
          <w:color w:val="000000"/>
          <w:sz w:val="28"/>
          <w:szCs w:val="28"/>
          <w:lang w:val="es-ES"/>
        </w:rPr>
        <w:t>16596</w:t>
      </w:r>
    </w:p>
    <w:p w:rsidR="004603B2" w:rsidRPr="006D0761" w:rsidRDefault="006D0761" w:rsidP="6D224379">
      <w:pPr>
        <w:spacing w:beforeAutospacing="1" w:afterAutospacing="1"/>
        <w:ind w:left="4248"/>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Accionante:</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Pedro Pablo Menéndez Pla</w:t>
      </w:r>
    </w:p>
    <w:p w:rsidR="73B79BC6" w:rsidRPr="006D0761" w:rsidRDefault="006D0761" w:rsidP="00F573C1">
      <w:pPr>
        <w:spacing w:beforeAutospacing="1" w:afterAutospacing="1"/>
        <w:ind w:left="4248"/>
        <w:jc w:val="both"/>
        <w:rPr>
          <w:rFonts w:ascii="Times New Roman" w:hAnsi="Times New Roman"/>
          <w:b/>
          <w:bCs/>
          <w:color w:val="000000"/>
          <w:sz w:val="28"/>
          <w:szCs w:val="28"/>
        </w:rPr>
      </w:pPr>
      <w:r w:rsidRPr="006D0761">
        <w:rPr>
          <w:rFonts w:ascii="Times New Roman" w:hAnsi="Times New Roman"/>
          <w:b/>
          <w:bCs/>
          <w:color w:val="000000"/>
          <w:sz w:val="28"/>
          <w:szCs w:val="28"/>
          <w:lang w:val="es-ES"/>
        </w:rPr>
        <w:t>Asunto:</w:t>
      </w:r>
      <w:r w:rsidRPr="006D0761">
        <w:rPr>
          <w:rFonts w:ascii="Times New Roman" w:hAnsi="Times New Roman"/>
          <w:color w:val="000000"/>
          <w:sz w:val="28"/>
          <w:szCs w:val="28"/>
          <w:lang w:val="es-ES"/>
        </w:rPr>
        <w:t xml:space="preserve"> demanda de inconstitucionalidad en contra de</w:t>
      </w:r>
      <w:r w:rsidRPr="006D0761">
        <w:rPr>
          <w:rFonts w:ascii="Times New Roman" w:hAnsi="Times New Roman"/>
          <w:color w:val="000000"/>
          <w:sz w:val="28"/>
          <w:szCs w:val="28"/>
          <w:lang w:val="es-ES"/>
        </w:rPr>
        <w:t xml:space="preserve"> la Ley 1761 de 2015, “</w:t>
      </w:r>
      <w:r w:rsidRPr="006D0761">
        <w:rPr>
          <w:rFonts w:ascii="Times New Roman" w:hAnsi="Times New Roman"/>
          <w:i/>
          <w:iCs/>
          <w:color w:val="000000"/>
          <w:sz w:val="28"/>
          <w:szCs w:val="28"/>
          <w:lang w:val="es-ES"/>
        </w:rPr>
        <w:t xml:space="preserve">Por la cual se crea el tipo penal de feminicidio como delito autónomo y se dictan otras </w:t>
      </w:r>
      <w:r w:rsidRPr="006D0761">
        <w:rPr>
          <w:rFonts w:ascii="Times New Roman" w:hAnsi="Times New Roman"/>
          <w:i/>
          <w:iCs/>
          <w:color w:val="000000"/>
          <w:sz w:val="28"/>
          <w:szCs w:val="28"/>
          <w:lang w:val="es-ES"/>
        </w:rPr>
        <w:t>disposiciones</w:t>
      </w:r>
      <w:r w:rsidRPr="006D0761">
        <w:rPr>
          <w:rFonts w:ascii="Times New Roman" w:hAnsi="Times New Roman"/>
          <w:color w:val="000000"/>
          <w:sz w:val="28"/>
          <w:szCs w:val="28"/>
          <w:lang w:val="es-ES"/>
        </w:rPr>
        <w:t xml:space="preserve">”. </w:t>
      </w:r>
    </w:p>
    <w:p w:rsidR="73B79BC6" w:rsidRPr="006D0761" w:rsidRDefault="006D0761" w:rsidP="00EB501B">
      <w:pPr>
        <w:spacing w:before="100" w:beforeAutospacing="1" w:after="100" w:afterAutospacing="1"/>
        <w:ind w:left="4248"/>
        <w:jc w:val="both"/>
        <w:rPr>
          <w:rFonts w:ascii="Times New Roman" w:hAnsi="Times New Roman"/>
          <w:b/>
          <w:bCs/>
          <w:color w:val="000000"/>
          <w:sz w:val="28"/>
          <w:szCs w:val="28"/>
          <w:lang w:val="es-ES"/>
        </w:rPr>
      </w:pPr>
      <w:r w:rsidRPr="006D0761">
        <w:rPr>
          <w:rFonts w:ascii="Times New Roman" w:hAnsi="Times New Roman"/>
          <w:b/>
          <w:bCs/>
          <w:color w:val="000000"/>
          <w:sz w:val="28"/>
          <w:szCs w:val="28"/>
        </w:rPr>
        <w:t xml:space="preserve">Jurisprudencia relevante: </w:t>
      </w:r>
      <w:r w:rsidRPr="006D0761">
        <w:rPr>
          <w:rFonts w:ascii="Times New Roman" w:hAnsi="Times New Roman"/>
          <w:b/>
          <w:bCs/>
          <w:color w:val="000000"/>
          <w:sz w:val="28"/>
          <w:szCs w:val="28"/>
        </w:rPr>
        <w:t xml:space="preserve">i) </w:t>
      </w:r>
      <w:r w:rsidRPr="006D0761">
        <w:rPr>
          <w:rFonts w:ascii="Times New Roman" w:hAnsi="Times New Roman"/>
          <w:color w:val="000000"/>
          <w:sz w:val="28"/>
          <w:szCs w:val="28"/>
        </w:rPr>
        <w:t xml:space="preserve"> </w:t>
      </w:r>
      <w:r w:rsidRPr="006D0761">
        <w:rPr>
          <w:rFonts w:ascii="Times New Roman" w:hAnsi="Times New Roman"/>
          <w:color w:val="000000"/>
          <w:sz w:val="28"/>
          <w:szCs w:val="28"/>
        </w:rPr>
        <w:t>R</w:t>
      </w:r>
      <w:r w:rsidRPr="006D0761">
        <w:rPr>
          <w:rFonts w:ascii="Times New Roman" w:hAnsi="Times New Roman"/>
          <w:color w:val="000000"/>
          <w:sz w:val="28"/>
          <w:szCs w:val="28"/>
        </w:rPr>
        <w:t>equisitos formales y sustantivos de las demandas de inconstitucionalidad</w:t>
      </w:r>
      <w:r w:rsidRPr="006D0761">
        <w:rPr>
          <w:rFonts w:ascii="Times New Roman" w:hAnsi="Times New Roman"/>
          <w:color w:val="000000"/>
          <w:sz w:val="28"/>
          <w:szCs w:val="28"/>
        </w:rPr>
        <w:t>: s</w:t>
      </w:r>
      <w:r w:rsidRPr="006D0761">
        <w:rPr>
          <w:rFonts w:ascii="Times New Roman" w:hAnsi="Times New Roman"/>
          <w:color w:val="000000"/>
          <w:sz w:val="28"/>
          <w:szCs w:val="28"/>
        </w:rPr>
        <w:t xml:space="preserve">entencias </w:t>
      </w:r>
      <w:r w:rsidRPr="006D0761">
        <w:rPr>
          <w:rFonts w:ascii="Times New Roman" w:hAnsi="Times New Roman"/>
          <w:color w:val="000000"/>
          <w:sz w:val="28"/>
          <w:szCs w:val="28"/>
        </w:rPr>
        <w:t xml:space="preserve">C-1052 de 2001, </w:t>
      </w:r>
      <w:r w:rsidRPr="006D0761">
        <w:rPr>
          <w:rFonts w:ascii="Times New Roman" w:hAnsi="Times New Roman"/>
          <w:color w:val="000000"/>
          <w:sz w:val="28"/>
          <w:szCs w:val="28"/>
        </w:rPr>
        <w:t>C-469 de 2024,</w:t>
      </w:r>
      <w:r w:rsidRPr="006D0761">
        <w:rPr>
          <w:rFonts w:ascii="Times New Roman" w:hAnsi="Times New Roman"/>
          <w:sz w:val="28"/>
          <w:lang w:eastAsia="en-US"/>
        </w:rPr>
        <w:t xml:space="preserve"> </w:t>
      </w:r>
      <w:r w:rsidRPr="006D0761">
        <w:rPr>
          <w:rFonts w:ascii="Times New Roman" w:hAnsi="Times New Roman"/>
          <w:color w:val="000000"/>
          <w:sz w:val="28"/>
          <w:szCs w:val="28"/>
        </w:rPr>
        <w:t>C-387 de 2023,</w:t>
      </w:r>
      <w:r w:rsidRPr="006D0761">
        <w:rPr>
          <w:rFonts w:ascii="Times New Roman" w:hAnsi="Times New Roman"/>
          <w:sz w:val="28"/>
          <w:lang w:eastAsia="en-US"/>
        </w:rPr>
        <w:t xml:space="preserve"> </w:t>
      </w:r>
      <w:r w:rsidRPr="006D0761">
        <w:rPr>
          <w:rFonts w:ascii="Times New Roman" w:hAnsi="Times New Roman"/>
          <w:color w:val="000000"/>
          <w:sz w:val="28"/>
          <w:szCs w:val="28"/>
        </w:rPr>
        <w:t>C-330 de 2019, C-281 de 2013 y C-894 de 2009.</w:t>
      </w:r>
      <w:r w:rsidRPr="006D0761">
        <w:rPr>
          <w:rFonts w:ascii="Times New Roman" w:hAnsi="Times New Roman"/>
          <w:b/>
          <w:bCs/>
          <w:color w:val="000000"/>
          <w:sz w:val="28"/>
          <w:szCs w:val="28"/>
          <w:lang w:val="es-ES"/>
        </w:rPr>
        <w:t xml:space="preserve"> </w:t>
      </w:r>
      <w:r w:rsidRPr="006D0761">
        <w:rPr>
          <w:rFonts w:ascii="Times New Roman" w:hAnsi="Times New Roman"/>
          <w:b/>
          <w:bCs/>
          <w:color w:val="000000"/>
          <w:sz w:val="28"/>
          <w:szCs w:val="28"/>
          <w:lang w:val="es-ES"/>
        </w:rPr>
        <w:t xml:space="preserve"> </w:t>
      </w:r>
    </w:p>
    <w:p w:rsidR="004603B2" w:rsidRPr="006D0761" w:rsidRDefault="006D0761" w:rsidP="6D224379">
      <w:pPr>
        <w:ind w:left="3540" w:firstLine="708"/>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Magistrado ponente:</w:t>
      </w:r>
    </w:p>
    <w:p w:rsidR="004603B2" w:rsidRPr="006D0761" w:rsidRDefault="006D0761" w:rsidP="6D224379">
      <w:pPr>
        <w:ind w:left="424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H</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CTOR </w:t>
      </w:r>
      <w:r w:rsidRPr="006D0761">
        <w:rPr>
          <w:rFonts w:ascii="Times New Roman" w:hAnsi="Times New Roman"/>
          <w:color w:val="000000"/>
          <w:sz w:val="28"/>
          <w:szCs w:val="28"/>
          <w:lang w:val="es-ES"/>
        </w:rPr>
        <w:t>ALFONSO CARVAJAL LONDOÑO</w:t>
      </w:r>
    </w:p>
    <w:p w:rsidR="004603B2" w:rsidRPr="006D0761" w:rsidRDefault="006D0761" w:rsidP="6D224379">
      <w:pPr>
        <w:jc w:val="both"/>
        <w:rPr>
          <w:rFonts w:ascii="Times New Roman" w:hAnsi="Times New Roman"/>
          <w:color w:val="000000"/>
          <w:sz w:val="28"/>
          <w:szCs w:val="28"/>
          <w:lang w:val="es-ES"/>
        </w:rPr>
      </w:pPr>
    </w:p>
    <w:p w:rsidR="004603B2" w:rsidRPr="006D0761" w:rsidRDefault="006D0761" w:rsidP="6D224379">
      <w:pPr>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Bogotá D. C., </w:t>
      </w:r>
      <w:r w:rsidRPr="006D0761">
        <w:rPr>
          <w:rFonts w:ascii="Times New Roman" w:hAnsi="Times New Roman"/>
          <w:color w:val="000000"/>
          <w:sz w:val="28"/>
          <w:szCs w:val="28"/>
          <w:lang w:val="es-ES"/>
        </w:rPr>
        <w:t>10 de diciembre</w:t>
      </w:r>
      <w:r w:rsidRPr="006D0761">
        <w:rPr>
          <w:rFonts w:ascii="Times New Roman" w:hAnsi="Times New Roman"/>
          <w:color w:val="000000"/>
          <w:sz w:val="28"/>
          <w:szCs w:val="28"/>
          <w:lang w:val="es-ES"/>
        </w:rPr>
        <w:t xml:space="preserve"> d</w:t>
      </w: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 xml:space="preserve"> dos mil veinticinco (2025)</w:t>
      </w:r>
    </w:p>
    <w:p w:rsidR="004603B2" w:rsidRPr="006D0761" w:rsidRDefault="006D0761" w:rsidP="6D224379">
      <w:pPr>
        <w:jc w:val="both"/>
        <w:rPr>
          <w:rFonts w:ascii="Times New Roman" w:hAnsi="Times New Roman"/>
          <w:color w:val="000000"/>
          <w:sz w:val="28"/>
          <w:szCs w:val="28"/>
          <w:lang w:val="es-ES"/>
        </w:rPr>
      </w:pPr>
    </w:p>
    <w:p w:rsidR="004603B2" w:rsidRPr="006D0761" w:rsidRDefault="006D0761" w:rsidP="6D224379">
      <w:pPr>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La Sala Plena de la Corte Constitucional, en ejercicio de sus atribuciones constitucionales, previo cumplimiento de los requisitos y trámites establecidos en el Decreto </w:t>
      </w:r>
      <w:r w:rsidRPr="006D0761">
        <w:rPr>
          <w:rFonts w:ascii="Times New Roman" w:hAnsi="Times New Roman"/>
          <w:color w:val="000000"/>
          <w:sz w:val="28"/>
          <w:szCs w:val="28"/>
          <w:lang w:val="es-ES"/>
        </w:rPr>
        <w:t>2067 de 1991, profiere la siguiente:</w:t>
      </w:r>
    </w:p>
    <w:p w:rsidR="004603B2" w:rsidRPr="006D0761" w:rsidRDefault="006D0761" w:rsidP="6D224379">
      <w:pPr>
        <w:jc w:val="both"/>
        <w:rPr>
          <w:rFonts w:ascii="Times New Roman" w:hAnsi="Times New Roman"/>
          <w:color w:val="000000"/>
          <w:sz w:val="28"/>
          <w:szCs w:val="28"/>
          <w:lang w:val="es-ES"/>
        </w:rPr>
      </w:pPr>
    </w:p>
    <w:p w:rsidR="004603B2" w:rsidRPr="006D0761" w:rsidRDefault="006D0761" w:rsidP="6D224379">
      <w:pPr>
        <w:jc w:val="center"/>
        <w:rPr>
          <w:rFonts w:ascii="Times New Roman" w:hAnsi="Times New Roman"/>
          <w:color w:val="000000"/>
          <w:sz w:val="28"/>
          <w:szCs w:val="28"/>
          <w:lang w:val="es-ES"/>
        </w:rPr>
      </w:pPr>
      <w:r w:rsidRPr="006D0761">
        <w:rPr>
          <w:rFonts w:ascii="Times New Roman" w:hAnsi="Times New Roman"/>
          <w:b/>
          <w:bCs/>
          <w:color w:val="000000"/>
          <w:sz w:val="28"/>
          <w:szCs w:val="28"/>
          <w:lang w:val="es-ES"/>
        </w:rPr>
        <w:t>SENTENCIA</w:t>
      </w:r>
    </w:p>
    <w:p w:rsidR="004603B2" w:rsidRPr="006D0761" w:rsidRDefault="006D0761" w:rsidP="6D224379">
      <w:pPr>
        <w:jc w:val="both"/>
        <w:rPr>
          <w:rFonts w:ascii="Times New Roman" w:hAnsi="Times New Roman"/>
          <w:color w:val="000000"/>
          <w:sz w:val="28"/>
          <w:szCs w:val="28"/>
          <w:lang w:val="es-ES"/>
        </w:rPr>
      </w:pPr>
    </w:p>
    <w:p w:rsidR="004603B2" w:rsidRPr="006D0761" w:rsidRDefault="006D0761" w:rsidP="00330CB9">
      <w:pPr>
        <w:tabs>
          <w:tab w:val="left" w:pos="567"/>
        </w:tabs>
        <w:ind w:right="49"/>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SÍNTESIS DE LA DECISIÓN</w:t>
      </w:r>
    </w:p>
    <w:p w:rsidR="005D7136" w:rsidRPr="006D0761" w:rsidRDefault="006D0761" w:rsidP="00330CB9">
      <w:pPr>
        <w:tabs>
          <w:tab w:val="left" w:pos="567"/>
        </w:tabs>
        <w:ind w:right="49"/>
        <w:jc w:val="both"/>
        <w:rPr>
          <w:rFonts w:ascii="Times New Roman" w:hAnsi="Times New Roman"/>
          <w:color w:val="000000"/>
          <w:sz w:val="28"/>
          <w:szCs w:val="28"/>
          <w:lang w:val="es-ES"/>
        </w:rPr>
      </w:pPr>
    </w:p>
    <w:p w:rsidR="00684CB6" w:rsidRPr="006D0761" w:rsidRDefault="006D0761" w:rsidP="00684CB6">
      <w:pPr>
        <w:tabs>
          <w:tab w:val="left" w:pos="567"/>
        </w:tabs>
        <w:ind w:right="49"/>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La Corte Constitucional estudió la demanda presentada por el ciudadano Pedro Pablo Méndez Pla, contra </w:t>
      </w:r>
      <w:r w:rsidRPr="006D0761">
        <w:rPr>
          <w:rFonts w:ascii="Times New Roman" w:hAnsi="Times New Roman"/>
          <w:sz w:val="28"/>
          <w:szCs w:val="28"/>
          <w:lang w:val="es-ES"/>
        </w:rPr>
        <w:t xml:space="preserve">la </w:t>
      </w:r>
      <w:r w:rsidRPr="006D0761">
        <w:rPr>
          <w:rFonts w:ascii="Times New Roman" w:hAnsi="Times New Roman"/>
          <w:color w:val="000000"/>
          <w:sz w:val="28"/>
          <w:szCs w:val="28"/>
          <w:lang w:val="es-ES"/>
        </w:rPr>
        <w:t>Ley 1761 de 2015, “</w:t>
      </w:r>
      <w:r w:rsidRPr="006D0761">
        <w:rPr>
          <w:rFonts w:ascii="Times New Roman" w:hAnsi="Times New Roman"/>
          <w:i/>
          <w:iCs/>
          <w:color w:val="000000"/>
          <w:sz w:val="28"/>
          <w:szCs w:val="28"/>
          <w:lang w:val="es-ES"/>
        </w:rPr>
        <w:t xml:space="preserve">Por la cual se crea el tipo penal de feminicidio como </w:t>
      </w:r>
      <w:r w:rsidRPr="006D0761">
        <w:rPr>
          <w:rFonts w:ascii="Times New Roman" w:hAnsi="Times New Roman"/>
          <w:i/>
          <w:iCs/>
          <w:color w:val="000000"/>
          <w:sz w:val="28"/>
          <w:szCs w:val="28"/>
          <w:lang w:val="es-ES"/>
        </w:rPr>
        <w:t>delito autónomo y se dictan otras disposiciones</w:t>
      </w:r>
      <w:r w:rsidRPr="006D0761">
        <w:rPr>
          <w:rFonts w:ascii="Times New Roman" w:hAnsi="Times New Roman"/>
          <w:color w:val="000000"/>
          <w:sz w:val="28"/>
          <w:szCs w:val="28"/>
          <w:lang w:val="es-ES"/>
        </w:rPr>
        <w:t xml:space="preserve">” en la cual presenta dos cargos relacionados con el derecho a la igualdad consagrado en el artículo 13 superior. </w:t>
      </w:r>
    </w:p>
    <w:p w:rsidR="00684CB6" w:rsidRPr="006D0761" w:rsidRDefault="006D0761" w:rsidP="00684CB6">
      <w:pPr>
        <w:tabs>
          <w:tab w:val="left" w:pos="567"/>
        </w:tabs>
        <w:ind w:right="49"/>
        <w:jc w:val="both"/>
        <w:rPr>
          <w:rFonts w:ascii="Times New Roman" w:hAnsi="Times New Roman"/>
          <w:color w:val="000000"/>
          <w:sz w:val="28"/>
          <w:szCs w:val="28"/>
          <w:lang w:val="es-ES"/>
        </w:rPr>
      </w:pPr>
    </w:p>
    <w:p w:rsidR="00684CB6" w:rsidRPr="006D0761" w:rsidRDefault="006D0761" w:rsidP="00684CB6">
      <w:pPr>
        <w:tabs>
          <w:tab w:val="left" w:pos="567"/>
        </w:tabs>
        <w:ind w:right="49"/>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 primer cargo se presentó contra la totalidad de la Ley 1761 de 2015</w:t>
      </w:r>
      <w:r w:rsidRPr="006D0761">
        <w:rPr>
          <w:rStyle w:val="Refdenotaalpie"/>
          <w:rFonts w:ascii="Times New Roman" w:hAnsi="Times New Roman"/>
          <w:color w:val="000000"/>
          <w:sz w:val="28"/>
          <w:szCs w:val="28"/>
          <w:lang w:val="es-ES"/>
        </w:rPr>
        <w:footnoteReference w:id="1"/>
      </w:r>
      <w:r w:rsidRPr="006D0761">
        <w:rPr>
          <w:rFonts w:ascii="Times New Roman" w:hAnsi="Times New Roman"/>
          <w:color w:val="000000"/>
          <w:sz w:val="28"/>
          <w:szCs w:val="28"/>
          <w:lang w:val="es-ES"/>
        </w:rPr>
        <w:t>, “</w:t>
      </w:r>
      <w:r w:rsidRPr="006D0761">
        <w:rPr>
          <w:rFonts w:ascii="Times New Roman" w:hAnsi="Times New Roman"/>
          <w:i/>
          <w:iCs/>
          <w:color w:val="000000"/>
          <w:sz w:val="28"/>
          <w:szCs w:val="28"/>
          <w:lang w:val="es-ES"/>
        </w:rPr>
        <w:t>Por la cual se crea</w:t>
      </w:r>
      <w:r w:rsidRPr="006D0761">
        <w:rPr>
          <w:rFonts w:ascii="Times New Roman" w:hAnsi="Times New Roman"/>
          <w:i/>
          <w:iCs/>
          <w:color w:val="000000"/>
          <w:sz w:val="28"/>
          <w:szCs w:val="28"/>
          <w:lang w:val="es-ES"/>
        </w:rPr>
        <w:t xml:space="preserve"> el tipo penal de feminicidio como delito autónomo y se dictan otras disposiciones</w:t>
      </w:r>
      <w:r w:rsidRPr="006D0761">
        <w:rPr>
          <w:rFonts w:ascii="Times New Roman" w:hAnsi="Times New Roman"/>
          <w:color w:val="000000"/>
          <w:sz w:val="28"/>
          <w:szCs w:val="28"/>
          <w:lang w:val="es-ES"/>
        </w:rPr>
        <w:t xml:space="preserve">” y contra sus artículos 8 al 12, en general por excluir a los “varones” de la protección que la norma brinda exclusivamente a las mujeres contra la violencia de género y en </w:t>
      </w:r>
      <w:r w:rsidRPr="006D0761">
        <w:rPr>
          <w:rFonts w:ascii="Times New Roman" w:hAnsi="Times New Roman"/>
          <w:color w:val="000000"/>
          <w:sz w:val="28"/>
          <w:szCs w:val="28"/>
          <w:lang w:val="es-ES"/>
        </w:rPr>
        <w:t>particular, por excluir a los hombres de las medidas concretas dispuestas en la norma sobre la debida diligencia en la investigación y juzgamiento de las conductas de violencia de género contra las mujeres, así como la asistencia legal para las víctimas de</w:t>
      </w:r>
      <w:r w:rsidRPr="006D0761">
        <w:rPr>
          <w:rFonts w:ascii="Times New Roman" w:hAnsi="Times New Roman"/>
          <w:color w:val="000000"/>
          <w:sz w:val="28"/>
          <w:szCs w:val="28"/>
          <w:lang w:val="es-ES"/>
        </w:rPr>
        <w:t xml:space="preserve"> feminicidio, formación especializada para los funcionarios en violencia de género y educación con perspectiva de género.</w:t>
      </w:r>
    </w:p>
    <w:p w:rsidR="00684CB6" w:rsidRPr="006D0761" w:rsidRDefault="006D0761" w:rsidP="00684CB6">
      <w:pPr>
        <w:tabs>
          <w:tab w:val="left" w:pos="567"/>
        </w:tabs>
        <w:ind w:right="49"/>
        <w:jc w:val="both"/>
        <w:rPr>
          <w:rFonts w:ascii="Times New Roman" w:hAnsi="Times New Roman"/>
          <w:color w:val="000000"/>
          <w:sz w:val="28"/>
          <w:szCs w:val="28"/>
          <w:lang w:val="es-ES"/>
        </w:rPr>
      </w:pPr>
    </w:p>
    <w:p w:rsidR="00684CB6" w:rsidRPr="006D0761" w:rsidRDefault="006D0761" w:rsidP="00684CB6">
      <w:pPr>
        <w:tabs>
          <w:tab w:val="left" w:pos="567"/>
        </w:tabs>
        <w:ind w:right="49"/>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El segundo cargo, se dirigía contra la norma en general y el artículo 13 de la Ley 1761 de 2015 que dispone su entrada en vigor, por </w:t>
      </w:r>
      <w:r w:rsidRPr="006D0761">
        <w:rPr>
          <w:rFonts w:ascii="Times New Roman" w:hAnsi="Times New Roman"/>
          <w:color w:val="000000"/>
          <w:sz w:val="28"/>
          <w:szCs w:val="28"/>
          <w:lang w:val="es-ES"/>
        </w:rPr>
        <w:t>la supuesta vulneración del artículo 4 de la Convención para la Eliminación de la Discriminación contra la Mujer (CEDAW)</w:t>
      </w:r>
      <w:r w:rsidRPr="006D0761">
        <w:rPr>
          <w:rStyle w:val="Refdenotaalpie"/>
          <w:rFonts w:ascii="Times New Roman" w:hAnsi="Times New Roman"/>
          <w:color w:val="000000"/>
          <w:sz w:val="28"/>
          <w:szCs w:val="28"/>
          <w:lang w:val="es-ES"/>
        </w:rPr>
        <w:footnoteReference w:id="2"/>
      </w:r>
      <w:r w:rsidRPr="006D0761">
        <w:rPr>
          <w:rFonts w:ascii="Times New Roman" w:hAnsi="Times New Roman"/>
          <w:color w:val="000000"/>
          <w:sz w:val="28"/>
          <w:szCs w:val="28"/>
          <w:lang w:val="es-ES"/>
        </w:rPr>
        <w:t xml:space="preserve"> por cuanto la ley, según el demandante, pese a ser una medida especial o medida afirmativa, no establece su carácter transitorio en el</w:t>
      </w:r>
      <w:r w:rsidRPr="006D0761">
        <w:rPr>
          <w:rFonts w:ascii="Times New Roman" w:hAnsi="Times New Roman"/>
          <w:color w:val="000000"/>
          <w:sz w:val="28"/>
          <w:szCs w:val="28"/>
          <w:lang w:val="es-ES"/>
        </w:rPr>
        <w:t xml:space="preserve"> artículo que determina su entrada en vigor ni en ninguna otra disposición.</w:t>
      </w:r>
    </w:p>
    <w:p w:rsidR="00684CB6" w:rsidRPr="006D0761" w:rsidRDefault="006D0761" w:rsidP="00684CB6">
      <w:pPr>
        <w:tabs>
          <w:tab w:val="left" w:pos="567"/>
        </w:tabs>
        <w:ind w:right="49"/>
        <w:jc w:val="both"/>
        <w:rPr>
          <w:rFonts w:ascii="Times New Roman" w:hAnsi="Times New Roman"/>
          <w:color w:val="000000"/>
          <w:sz w:val="28"/>
          <w:szCs w:val="28"/>
          <w:lang w:val="es-ES"/>
        </w:rPr>
      </w:pPr>
    </w:p>
    <w:p w:rsidR="00684CB6" w:rsidRPr="006D0761" w:rsidRDefault="006D0761" w:rsidP="00684CB6">
      <w:pPr>
        <w:tabs>
          <w:tab w:val="left" w:pos="567"/>
        </w:tabs>
        <w:ind w:right="49"/>
        <w:jc w:val="both"/>
        <w:rPr>
          <w:rFonts w:ascii="Times New Roman" w:hAnsi="Times New Roman"/>
          <w:color w:val="000000"/>
          <w:sz w:val="28"/>
          <w:szCs w:val="28"/>
          <w:lang w:val="es-ES"/>
        </w:rPr>
      </w:pPr>
      <w:r w:rsidRPr="006D0761">
        <w:rPr>
          <w:rFonts w:ascii="Times New Roman" w:hAnsi="Times New Roman"/>
          <w:color w:val="000000"/>
          <w:sz w:val="28"/>
          <w:szCs w:val="28"/>
          <w:lang w:val="es-ES"/>
        </w:rPr>
        <w:t>La mayor parte de las intervenciones, incluido el concepto del Procurador General de la Nación defendieron la exequibilidad de la norma, resaltando la importancia constitucional d</w:t>
      </w:r>
      <w:r w:rsidRPr="006D0761">
        <w:rPr>
          <w:rFonts w:ascii="Times New Roman" w:hAnsi="Times New Roman"/>
          <w:color w:val="000000"/>
          <w:sz w:val="28"/>
          <w:szCs w:val="28"/>
          <w:lang w:val="es-ES"/>
        </w:rPr>
        <w:t>e la prevención y sanción de la violencia contra la mujer, las altas tasas de violencia contra la mujer que aún se mantienen, las diferencias sustanciales en número e intensidad de la violencia de género contra las mujeres frente a aquella contra los hombr</w:t>
      </w:r>
      <w:r w:rsidRPr="006D0761">
        <w:rPr>
          <w:rFonts w:ascii="Times New Roman" w:hAnsi="Times New Roman"/>
          <w:color w:val="000000"/>
          <w:sz w:val="28"/>
          <w:szCs w:val="28"/>
          <w:lang w:val="es-ES"/>
        </w:rPr>
        <w:t>es, y el impacto positivo y transformador de la norma. Por su parte el ICBF y la Universidad de Caldas se pronunciaron sobre la ineptitud de los cargos. En particular porque el accionante no tuvo en consideración las sentencias C-297 de 2016 y C-539 de 201</w:t>
      </w:r>
      <w:r w:rsidRPr="006D0761">
        <w:rPr>
          <w:rFonts w:ascii="Times New Roman" w:hAnsi="Times New Roman"/>
          <w:color w:val="000000"/>
          <w:sz w:val="28"/>
          <w:szCs w:val="28"/>
          <w:lang w:val="es-ES"/>
        </w:rPr>
        <w:t>6 en donde la Corte Constitucional examinó la medida e hizo pronunciamientos sobre su validez constitucional.</w:t>
      </w:r>
    </w:p>
    <w:p w:rsidR="00684CB6" w:rsidRPr="006D0761" w:rsidRDefault="006D0761" w:rsidP="00684CB6">
      <w:pPr>
        <w:tabs>
          <w:tab w:val="left" w:pos="567"/>
        </w:tabs>
        <w:ind w:right="49"/>
        <w:jc w:val="both"/>
        <w:rPr>
          <w:rFonts w:ascii="Times New Roman" w:hAnsi="Times New Roman"/>
          <w:color w:val="000000"/>
          <w:sz w:val="28"/>
          <w:szCs w:val="28"/>
          <w:lang w:val="es-ES"/>
        </w:rPr>
      </w:pPr>
    </w:p>
    <w:p w:rsidR="00684CB6" w:rsidRPr="006D0761" w:rsidRDefault="006D0761" w:rsidP="00684CB6">
      <w:pPr>
        <w:pStyle w:val="Prrafodelista"/>
        <w:ind w:left="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La Corte examinó la aptitud de los cargos de la demanda. Para ello, recapituló los requisitos de la Sentencia C-1052 de 2001 respecto de la carga</w:t>
      </w:r>
      <w:r w:rsidRPr="006D0761">
        <w:rPr>
          <w:rFonts w:ascii="Times New Roman" w:hAnsi="Times New Roman"/>
          <w:color w:val="000000"/>
          <w:sz w:val="28"/>
          <w:szCs w:val="28"/>
          <w:lang w:val="es-ES"/>
        </w:rPr>
        <w:t xml:space="preserve"> exigida a la aptitud de una demanda de inconstitucionalidad y sumó a ello las exigencias en cuanto a los presupuestos de especificidad y pertinencia requeridos cuando se presentan cargos por supuesta vulneración al derecho a la igualdad. Concluyó que en e</w:t>
      </w:r>
      <w:r w:rsidRPr="006D0761">
        <w:rPr>
          <w:rFonts w:ascii="Times New Roman" w:hAnsi="Times New Roman"/>
          <w:color w:val="000000"/>
          <w:sz w:val="28"/>
          <w:szCs w:val="28"/>
          <w:lang w:val="es-ES"/>
        </w:rPr>
        <w:t>ste caso correspondía al demandante establecer con claridad, pertinencia y suficiencia cuales son los sujetos comparables, determinar el término de comparación y el supuesto trato diferenciado, frente al cual, le correspondía sustentar porque dicho trato c</w:t>
      </w:r>
      <w:r w:rsidRPr="006D0761">
        <w:rPr>
          <w:rFonts w:ascii="Times New Roman" w:hAnsi="Times New Roman"/>
          <w:color w:val="000000"/>
          <w:sz w:val="28"/>
          <w:szCs w:val="28"/>
          <w:lang w:val="es-ES"/>
        </w:rPr>
        <w:t>arecía de justificación constitucional suficiente.</w:t>
      </w:r>
    </w:p>
    <w:p w:rsidR="00684CB6" w:rsidRPr="006D0761" w:rsidRDefault="006D0761" w:rsidP="00684CB6">
      <w:pPr>
        <w:pStyle w:val="Prrafodelista"/>
        <w:ind w:left="0"/>
        <w:jc w:val="both"/>
        <w:rPr>
          <w:rFonts w:ascii="Times New Roman" w:hAnsi="Times New Roman"/>
          <w:color w:val="000000"/>
          <w:sz w:val="28"/>
          <w:szCs w:val="28"/>
          <w:lang w:val="es-ES"/>
        </w:rPr>
      </w:pPr>
    </w:p>
    <w:p w:rsidR="00684CB6" w:rsidRPr="006D0761" w:rsidRDefault="006D0761" w:rsidP="00684CB6">
      <w:pPr>
        <w:pStyle w:val="Prrafodelista"/>
        <w:ind w:left="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Previo a realizar tal examen, la Corte recordó someramente los elementos desarrollados en su propia jurisprudencia, el bloque de constitucionalidad, y la práctica continental sobre la obligación de erradi</w:t>
      </w:r>
      <w:r w:rsidRPr="006D0761">
        <w:rPr>
          <w:rFonts w:ascii="Times New Roman" w:hAnsi="Times New Roman"/>
          <w:color w:val="000000"/>
          <w:sz w:val="28"/>
          <w:szCs w:val="28"/>
          <w:lang w:val="es-ES"/>
        </w:rPr>
        <w:t>car la violencia contra la mujer.</w:t>
      </w:r>
    </w:p>
    <w:p w:rsidR="00684CB6" w:rsidRPr="006D0761" w:rsidRDefault="006D0761" w:rsidP="00684CB6">
      <w:pPr>
        <w:pStyle w:val="Prrafodelista"/>
        <w:ind w:left="0"/>
        <w:jc w:val="both"/>
        <w:rPr>
          <w:rFonts w:ascii="Times New Roman" w:hAnsi="Times New Roman"/>
          <w:color w:val="000000"/>
          <w:sz w:val="28"/>
          <w:szCs w:val="28"/>
          <w:lang w:val="es-ES"/>
        </w:rPr>
      </w:pPr>
    </w:p>
    <w:p w:rsidR="00684CB6" w:rsidRPr="006D0761" w:rsidRDefault="006D0761" w:rsidP="00684CB6">
      <w:pPr>
        <w:pStyle w:val="Prrafodelista"/>
        <w:ind w:left="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Al evaluar al primer cargo, la Corte concluyó que el cargo general contra la ley resultaba inepto, por cuanto los argumentos del accionante carecían de especificidad, pertinencia y suficiencia, al basar sus alegatos en ap</w:t>
      </w:r>
      <w:r w:rsidRPr="006D0761">
        <w:rPr>
          <w:rFonts w:ascii="Times New Roman" w:hAnsi="Times New Roman"/>
          <w:color w:val="000000"/>
          <w:sz w:val="28"/>
          <w:szCs w:val="28"/>
          <w:lang w:val="es-ES"/>
        </w:rPr>
        <w:t>reciaciones subjetivas y vagas y no abordar las supuestas razones por las cuales la medida carecería de justificación constitucional. Además, respecto de los cargos puntuales contra los artículos 9 a 12, la Corte encontró que ninguno de ellos cumplía con e</w:t>
      </w:r>
      <w:r w:rsidRPr="006D0761">
        <w:rPr>
          <w:rFonts w:ascii="Times New Roman" w:hAnsi="Times New Roman"/>
          <w:color w:val="000000"/>
          <w:sz w:val="28"/>
          <w:szCs w:val="28"/>
          <w:lang w:val="es-ES"/>
        </w:rPr>
        <w:t>l requisito de certeza, dado que los alegatos se construyeron sobre interpretaciones subjetivas de los artículos atacados, atribuyendo a ellos significados que no surgen de su redacción ni del contexto normativo en que se inscriben.</w:t>
      </w:r>
    </w:p>
    <w:p w:rsidR="00684CB6" w:rsidRPr="006D0761" w:rsidRDefault="006D0761" w:rsidP="00684CB6">
      <w:pPr>
        <w:pStyle w:val="Prrafodelista"/>
        <w:ind w:left="0"/>
        <w:jc w:val="both"/>
        <w:rPr>
          <w:rFonts w:ascii="Times New Roman" w:hAnsi="Times New Roman"/>
          <w:color w:val="000000"/>
          <w:sz w:val="28"/>
          <w:szCs w:val="28"/>
          <w:lang w:val="es-ES"/>
        </w:rPr>
      </w:pPr>
    </w:p>
    <w:p w:rsidR="00684CB6" w:rsidRPr="006D0761" w:rsidRDefault="006D0761" w:rsidP="00684CB6">
      <w:pPr>
        <w:pStyle w:val="Prrafodelista"/>
        <w:ind w:left="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Por otro lado, al </w:t>
      </w:r>
      <w:r w:rsidRPr="006D0761">
        <w:rPr>
          <w:rFonts w:ascii="Times New Roman" w:hAnsi="Times New Roman"/>
          <w:color w:val="000000"/>
          <w:sz w:val="28"/>
          <w:szCs w:val="28"/>
          <w:lang w:val="es-ES"/>
        </w:rPr>
        <w:t>analizar el cargo contra el artículo 12 que dispone la obligación de adopción de un sistema de estadísticas sobre violencia basada en género, la Corte consideró que el texto del artículo no excluye la posibilidad de que se investigue sobre los casos de vio</w:t>
      </w:r>
      <w:r w:rsidRPr="006D0761">
        <w:rPr>
          <w:rFonts w:ascii="Times New Roman" w:hAnsi="Times New Roman"/>
          <w:color w:val="000000"/>
          <w:sz w:val="28"/>
          <w:szCs w:val="28"/>
          <w:lang w:val="es-ES"/>
        </w:rPr>
        <w:t>lencia basada en género contra los hombres y resaltó la importancia de que este tipo de violencia también sea estudiada dada la esca</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a información existente en la materia.  </w:t>
      </w:r>
    </w:p>
    <w:p w:rsidR="00684CB6" w:rsidRPr="006D0761" w:rsidRDefault="006D0761" w:rsidP="00684CB6">
      <w:pPr>
        <w:pStyle w:val="Prrafodelista"/>
        <w:ind w:left="0"/>
        <w:jc w:val="both"/>
        <w:rPr>
          <w:rFonts w:ascii="Times New Roman" w:hAnsi="Times New Roman"/>
          <w:color w:val="000000"/>
          <w:sz w:val="28"/>
          <w:szCs w:val="28"/>
          <w:lang w:val="es-ES"/>
        </w:rPr>
      </w:pPr>
    </w:p>
    <w:p w:rsidR="00684CB6" w:rsidRPr="006D0761" w:rsidRDefault="006D0761" w:rsidP="00684CB6">
      <w:pPr>
        <w:pStyle w:val="Prrafodelista"/>
        <w:ind w:left="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En cuanto al segundo cargo, contra el artículo 13 y contra la totalidad de la Ley</w:t>
      </w:r>
      <w:r w:rsidRPr="006D0761">
        <w:rPr>
          <w:rFonts w:ascii="Times New Roman" w:hAnsi="Times New Roman"/>
          <w:color w:val="000000"/>
          <w:sz w:val="28"/>
          <w:szCs w:val="28"/>
          <w:lang w:val="es-ES"/>
        </w:rPr>
        <w:t xml:space="preserve"> 1761 de 2015 por violar la regla de temporalidad de las acciones afirmativas, la Corte Constitucional encontró que la especificidad de los alegatos implicaba considerar que no toda medida que proteja a un grupo específico requiere ser temporal, sino que d</w:t>
      </w:r>
      <w:r w:rsidRPr="006D0761">
        <w:rPr>
          <w:rFonts w:ascii="Times New Roman" w:hAnsi="Times New Roman"/>
          <w:color w:val="000000"/>
          <w:sz w:val="28"/>
          <w:szCs w:val="28"/>
          <w:lang w:val="es-ES"/>
        </w:rPr>
        <w:t>icho requisito es exigible a las medidas dirigidas a buscar la igualdad que puedan implicar una afectación o restricción frente los derechos de otro grupo. En ese sentido, le correspondía al accionante explicar por qué la tipificación del feminicidio y las</w:t>
      </w:r>
      <w:r w:rsidRPr="006D0761">
        <w:rPr>
          <w:rFonts w:ascii="Times New Roman" w:hAnsi="Times New Roman"/>
          <w:color w:val="000000"/>
          <w:sz w:val="28"/>
          <w:szCs w:val="28"/>
          <w:lang w:val="es-ES"/>
        </w:rPr>
        <w:t xml:space="preserve"> medidas para prevenir y sancionar la violencia de género contra la mujer constituyen una medida afirmativa (a favor de la igualdad) que tiene como efecto restringir los derechos de los hombres y que en consecuencia requiere ser temporal para no convertirs</w:t>
      </w:r>
      <w:r w:rsidRPr="006D0761">
        <w:rPr>
          <w:rFonts w:ascii="Times New Roman" w:hAnsi="Times New Roman"/>
          <w:color w:val="000000"/>
          <w:sz w:val="28"/>
          <w:szCs w:val="28"/>
          <w:lang w:val="es-ES"/>
        </w:rPr>
        <w:t xml:space="preserve">e en una forma de discriminación. El accionante omitió completamente esta carga y, por lo tanto, el cargo resulta inepto para su evaluación. </w:t>
      </w:r>
    </w:p>
    <w:p w:rsidR="00684CB6" w:rsidRPr="006D0761" w:rsidRDefault="006D0761" w:rsidP="00684CB6">
      <w:pPr>
        <w:pStyle w:val="Prrafodelista"/>
        <w:ind w:left="0"/>
        <w:jc w:val="both"/>
        <w:rPr>
          <w:rFonts w:ascii="Times New Roman" w:hAnsi="Times New Roman"/>
          <w:color w:val="000000"/>
          <w:sz w:val="28"/>
          <w:szCs w:val="28"/>
          <w:lang w:val="es-ES"/>
        </w:rPr>
      </w:pPr>
    </w:p>
    <w:p w:rsidR="00684CB6" w:rsidRPr="006D0761" w:rsidRDefault="006D0761" w:rsidP="00684CB6">
      <w:pPr>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conclusión, la Sala Plena de la Corte Constitucional, de forma unánime, decidió inhibirse frente a la demanda </w:t>
      </w:r>
      <w:r w:rsidRPr="006D0761">
        <w:rPr>
          <w:rFonts w:ascii="Times New Roman" w:hAnsi="Times New Roman"/>
          <w:color w:val="000000"/>
          <w:sz w:val="28"/>
          <w:szCs w:val="28"/>
          <w:lang w:val="es-ES"/>
        </w:rPr>
        <w:t>presentada contra la Ley 1761 de 2015 por la supuesta violación del derecho a la igualdad.</w:t>
      </w:r>
    </w:p>
    <w:p w:rsidR="00F573C1" w:rsidRPr="006D0761" w:rsidRDefault="006D0761" w:rsidP="6D224379">
      <w:pPr>
        <w:jc w:val="both"/>
        <w:rPr>
          <w:rFonts w:ascii="Times New Roman" w:hAnsi="Times New Roman"/>
          <w:color w:val="000000"/>
          <w:sz w:val="28"/>
          <w:szCs w:val="28"/>
          <w:lang w:val="es-ES"/>
        </w:rPr>
      </w:pPr>
    </w:p>
    <w:p w:rsidR="00F573C1" w:rsidRPr="006D0761" w:rsidRDefault="006D0761" w:rsidP="00EB501B">
      <w:pPr>
        <w:pStyle w:val="TtuloTDC"/>
        <w:jc w:val="center"/>
        <w:rPr>
          <w:rFonts w:ascii="Times New Roman" w:hAnsi="Times New Roman"/>
        </w:rPr>
      </w:pPr>
      <w:r w:rsidRPr="006D0761">
        <w:rPr>
          <w:rFonts w:ascii="Times New Roman" w:hAnsi="Times New Roman"/>
          <w:lang w:val="es-ES"/>
        </w:rPr>
        <w:t>Tabla de contenido</w:t>
      </w:r>
    </w:p>
    <w:p w:rsidR="0025378B" w:rsidRPr="006D0761" w:rsidRDefault="006D0761">
      <w:pPr>
        <w:pStyle w:val="TDC1"/>
        <w:rPr>
          <w:rFonts w:ascii="Times New Roman" w:hAnsi="Times New Roman"/>
          <w:b w:val="0"/>
          <w:bCs w:val="0"/>
          <w:i w:val="0"/>
          <w:iCs w:val="0"/>
          <w:noProof/>
          <w:sz w:val="28"/>
        </w:rPr>
      </w:pPr>
      <w:r w:rsidRPr="006D0761">
        <w:rPr>
          <w:rFonts w:ascii="Times New Roman" w:hAnsi="Times New Roman"/>
          <w:b w:val="0"/>
          <w:bCs w:val="0"/>
          <w:sz w:val="28"/>
          <w:szCs w:val="28"/>
        </w:rPr>
        <w:fldChar w:fldCharType="begin"/>
      </w:r>
      <w:r w:rsidRPr="006D0761">
        <w:rPr>
          <w:rFonts w:ascii="Times New Roman" w:hAnsi="Times New Roman"/>
          <w:b w:val="0"/>
          <w:bCs w:val="0"/>
          <w:sz w:val="28"/>
          <w:szCs w:val="28"/>
        </w:rPr>
        <w:instrText>TOC \o "1-3" \h \z \u</w:instrText>
      </w:r>
      <w:r w:rsidRPr="006D0761">
        <w:rPr>
          <w:rFonts w:ascii="Times New Roman" w:hAnsi="Times New Roman"/>
          <w:b w:val="0"/>
          <w:bCs w:val="0"/>
          <w:sz w:val="28"/>
          <w:szCs w:val="28"/>
        </w:rPr>
        <w:fldChar w:fldCharType="separate"/>
      </w:r>
      <w:hyperlink w:anchor="_Toc220572663" w:history="1">
        <w:r w:rsidRPr="006D0761">
          <w:rPr>
            <w:rStyle w:val="Hipervnculo"/>
            <w:rFonts w:ascii="Times New Roman" w:hAnsi="Times New Roman"/>
            <w:noProof/>
            <w:sz w:val="28"/>
            <w:lang w:val="es-ES"/>
          </w:rPr>
          <w:t>I.</w:t>
        </w:r>
        <w:r w:rsidRPr="006D0761">
          <w:rPr>
            <w:rFonts w:ascii="Times New Roman" w:hAnsi="Times New Roman"/>
            <w:b w:val="0"/>
            <w:bCs w:val="0"/>
            <w:i w:val="0"/>
            <w:iCs w:val="0"/>
            <w:noProof/>
            <w:sz w:val="28"/>
          </w:rPr>
          <w:tab/>
        </w:r>
        <w:r w:rsidRPr="006D0761">
          <w:rPr>
            <w:rStyle w:val="Hipervnculo"/>
            <w:rFonts w:ascii="Times New Roman" w:hAnsi="Times New Roman"/>
            <w:noProof/>
            <w:sz w:val="28"/>
            <w:lang w:val="es-ES"/>
          </w:rPr>
          <w:t>ANTECEDENTES</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_Toc220572663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4</w:t>
        </w:r>
        <w:r w:rsidRPr="006D0761">
          <w:rPr>
            <w:rFonts w:ascii="Times New Roman" w:hAnsi="Times New Roman"/>
            <w:noProof/>
            <w:webHidden/>
            <w:sz w:val="28"/>
          </w:rPr>
          <w:fldChar w:fldCharType="end"/>
        </w:r>
      </w:hyperlink>
    </w:p>
    <w:p w:rsidR="0025378B" w:rsidRPr="006D0761" w:rsidRDefault="006D0761">
      <w:pPr>
        <w:pStyle w:val="TDC2"/>
        <w:tabs>
          <w:tab w:val="right" w:leader="dot" w:pos="9016"/>
        </w:tabs>
        <w:rPr>
          <w:rFonts w:ascii="Times New Roman" w:hAnsi="Times New Roman"/>
          <w:b w:val="0"/>
          <w:bCs w:val="0"/>
          <w:noProof/>
          <w:sz w:val="28"/>
          <w:szCs w:val="24"/>
        </w:rPr>
      </w:pPr>
      <w:hyperlink w:anchor="_Toc220572664" w:history="1">
        <w:r w:rsidRPr="006D0761">
          <w:rPr>
            <w:rStyle w:val="Hipervnculo"/>
            <w:rFonts w:ascii="Times New Roman" w:hAnsi="Times New Roman"/>
            <w:noProof/>
            <w:sz w:val="28"/>
            <w:lang w:val="es-ES"/>
          </w:rPr>
          <w:t>1. Norma demandada</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_Toc220572664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4</w:t>
        </w:r>
        <w:r w:rsidRPr="006D0761">
          <w:rPr>
            <w:rFonts w:ascii="Times New Roman" w:hAnsi="Times New Roman"/>
            <w:noProof/>
            <w:webHidden/>
            <w:sz w:val="28"/>
          </w:rPr>
          <w:fldChar w:fldCharType="end"/>
        </w:r>
      </w:hyperlink>
    </w:p>
    <w:p w:rsidR="0025378B" w:rsidRPr="006D0761" w:rsidRDefault="006D0761">
      <w:pPr>
        <w:pStyle w:val="TDC2"/>
        <w:tabs>
          <w:tab w:val="left" w:pos="720"/>
          <w:tab w:val="right" w:leader="dot" w:pos="9016"/>
        </w:tabs>
        <w:rPr>
          <w:rFonts w:ascii="Times New Roman" w:hAnsi="Times New Roman"/>
          <w:b w:val="0"/>
          <w:bCs w:val="0"/>
          <w:noProof/>
          <w:sz w:val="28"/>
          <w:szCs w:val="24"/>
        </w:rPr>
      </w:pPr>
      <w:hyperlink w:anchor="_Toc220572665" w:history="1">
        <w:r w:rsidRPr="006D0761">
          <w:rPr>
            <w:rStyle w:val="Hipervnculo"/>
            <w:rFonts w:ascii="Times New Roman" w:hAnsi="Times New Roman"/>
            <w:noProof/>
            <w:sz w:val="28"/>
            <w:lang w:val="es-ES"/>
          </w:rPr>
          <w:t>2.</w:t>
        </w:r>
        <w:r w:rsidRPr="006D0761">
          <w:rPr>
            <w:rFonts w:ascii="Times New Roman" w:hAnsi="Times New Roman"/>
            <w:b w:val="0"/>
            <w:bCs w:val="0"/>
            <w:noProof/>
            <w:sz w:val="28"/>
            <w:szCs w:val="24"/>
          </w:rPr>
          <w:tab/>
        </w:r>
        <w:r w:rsidRPr="006D0761">
          <w:rPr>
            <w:rStyle w:val="Hipervnculo"/>
            <w:rFonts w:ascii="Times New Roman" w:hAnsi="Times New Roman"/>
            <w:noProof/>
            <w:sz w:val="28"/>
            <w:lang w:val="es-ES"/>
          </w:rPr>
          <w:t>Relació</w:t>
        </w:r>
        <w:r w:rsidRPr="006D0761">
          <w:rPr>
            <w:rStyle w:val="Hipervnculo"/>
            <w:rFonts w:ascii="Times New Roman" w:hAnsi="Times New Roman"/>
            <w:noProof/>
            <w:sz w:val="28"/>
            <w:lang w:val="es-ES"/>
          </w:rPr>
          <w:t>n de siglas, abreviaturas y equivalencias</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_Toc220572665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9</w:t>
        </w:r>
        <w:r w:rsidRPr="006D0761">
          <w:rPr>
            <w:rFonts w:ascii="Times New Roman" w:hAnsi="Times New Roman"/>
            <w:noProof/>
            <w:webHidden/>
            <w:sz w:val="28"/>
          </w:rPr>
          <w:fldChar w:fldCharType="end"/>
        </w:r>
      </w:hyperlink>
    </w:p>
    <w:p w:rsidR="0025378B" w:rsidRPr="006D0761" w:rsidRDefault="006D0761">
      <w:pPr>
        <w:pStyle w:val="TDC2"/>
        <w:tabs>
          <w:tab w:val="right" w:leader="dot" w:pos="9016"/>
        </w:tabs>
        <w:rPr>
          <w:rFonts w:ascii="Times New Roman" w:hAnsi="Times New Roman"/>
          <w:b w:val="0"/>
          <w:bCs w:val="0"/>
          <w:noProof/>
          <w:sz w:val="28"/>
          <w:szCs w:val="24"/>
        </w:rPr>
      </w:pPr>
      <w:hyperlink w:anchor="_Toc220572666" w:history="1">
        <w:r w:rsidRPr="006D0761">
          <w:rPr>
            <w:rStyle w:val="Hipervnculo"/>
            <w:rFonts w:ascii="Times New Roman" w:hAnsi="Times New Roman"/>
            <w:noProof/>
            <w:sz w:val="28"/>
            <w:lang w:val="es-ES"/>
          </w:rPr>
          <w:t>3. La demanda</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_Toc220572666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10</w:t>
        </w:r>
        <w:r w:rsidRPr="006D0761">
          <w:rPr>
            <w:rFonts w:ascii="Times New Roman" w:hAnsi="Times New Roman"/>
            <w:noProof/>
            <w:webHidden/>
            <w:sz w:val="28"/>
          </w:rPr>
          <w:fldChar w:fldCharType="end"/>
        </w:r>
      </w:hyperlink>
    </w:p>
    <w:p w:rsidR="0025378B" w:rsidRPr="006D0761" w:rsidRDefault="006D0761">
      <w:pPr>
        <w:pStyle w:val="TDC1"/>
        <w:rPr>
          <w:rFonts w:ascii="Times New Roman" w:hAnsi="Times New Roman"/>
          <w:b w:val="0"/>
          <w:bCs w:val="0"/>
          <w:i w:val="0"/>
          <w:iCs w:val="0"/>
          <w:noProof/>
          <w:sz w:val="28"/>
        </w:rPr>
      </w:pPr>
      <w:hyperlink w:anchor="_Toc220572667" w:history="1">
        <w:r w:rsidRPr="006D0761">
          <w:rPr>
            <w:rStyle w:val="Hipervnculo"/>
            <w:rFonts w:ascii="Times New Roman" w:hAnsi="Times New Roman"/>
            <w:noProof/>
            <w:sz w:val="28"/>
            <w:lang w:val="es-ES"/>
          </w:rPr>
          <w:t>II.</w:t>
        </w:r>
        <w:r w:rsidRPr="006D0761">
          <w:rPr>
            <w:rFonts w:ascii="Times New Roman" w:hAnsi="Times New Roman"/>
            <w:b w:val="0"/>
            <w:bCs w:val="0"/>
            <w:i w:val="0"/>
            <w:iCs w:val="0"/>
            <w:noProof/>
            <w:sz w:val="28"/>
          </w:rPr>
          <w:tab/>
        </w:r>
        <w:r w:rsidRPr="006D0761">
          <w:rPr>
            <w:rStyle w:val="Hipervnculo"/>
            <w:rFonts w:ascii="Times New Roman" w:hAnsi="Times New Roman"/>
            <w:noProof/>
            <w:sz w:val="28"/>
            <w:lang w:val="es-ES"/>
          </w:rPr>
          <w:t>INTERVENCIONES</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_Toc220572667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16</w:t>
        </w:r>
        <w:r w:rsidRPr="006D0761">
          <w:rPr>
            <w:rFonts w:ascii="Times New Roman" w:hAnsi="Times New Roman"/>
            <w:noProof/>
            <w:webHidden/>
            <w:sz w:val="28"/>
          </w:rPr>
          <w:fldChar w:fldCharType="end"/>
        </w:r>
      </w:hyperlink>
    </w:p>
    <w:p w:rsidR="0025378B" w:rsidRPr="006D0761" w:rsidRDefault="006D0761">
      <w:pPr>
        <w:pStyle w:val="TDC1"/>
        <w:rPr>
          <w:rFonts w:ascii="Times New Roman" w:hAnsi="Times New Roman"/>
          <w:b w:val="0"/>
          <w:bCs w:val="0"/>
          <w:i w:val="0"/>
          <w:iCs w:val="0"/>
          <w:noProof/>
          <w:sz w:val="28"/>
        </w:rPr>
      </w:pPr>
      <w:hyperlink w:anchor="_Toc220572668" w:history="1">
        <w:r w:rsidRPr="006D0761">
          <w:rPr>
            <w:rStyle w:val="Hipervnculo"/>
            <w:rFonts w:ascii="Times New Roman" w:hAnsi="Times New Roman"/>
            <w:noProof/>
            <w:sz w:val="28"/>
            <w:lang w:val="es-ES"/>
          </w:rPr>
          <w:t>III.</w:t>
        </w:r>
        <w:r w:rsidRPr="006D0761">
          <w:rPr>
            <w:rFonts w:ascii="Times New Roman" w:hAnsi="Times New Roman"/>
            <w:b w:val="0"/>
            <w:bCs w:val="0"/>
            <w:i w:val="0"/>
            <w:iCs w:val="0"/>
            <w:noProof/>
            <w:sz w:val="28"/>
          </w:rPr>
          <w:tab/>
        </w:r>
        <w:r w:rsidRPr="006D0761">
          <w:rPr>
            <w:rStyle w:val="Hipervnculo"/>
            <w:rFonts w:ascii="Times New Roman" w:hAnsi="Times New Roman"/>
            <w:noProof/>
            <w:sz w:val="28"/>
            <w:lang w:val="es-ES"/>
          </w:rPr>
          <w:t>CONCE</w:t>
        </w:r>
        <w:r w:rsidRPr="006D0761">
          <w:rPr>
            <w:rStyle w:val="Hipervnculo"/>
            <w:rFonts w:ascii="Times New Roman" w:hAnsi="Times New Roman"/>
            <w:noProof/>
            <w:sz w:val="28"/>
            <w:lang w:val="es-ES"/>
          </w:rPr>
          <w:t>PTO DEL PROCURADOR GENERAL DE LA NACIÓN</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_Toc220572668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27</w:t>
        </w:r>
        <w:r w:rsidRPr="006D0761">
          <w:rPr>
            <w:rFonts w:ascii="Times New Roman" w:hAnsi="Times New Roman"/>
            <w:noProof/>
            <w:webHidden/>
            <w:sz w:val="28"/>
          </w:rPr>
          <w:fldChar w:fldCharType="end"/>
        </w:r>
      </w:hyperlink>
    </w:p>
    <w:p w:rsidR="0025378B" w:rsidRPr="006D0761" w:rsidRDefault="006D0761">
      <w:pPr>
        <w:pStyle w:val="TDC1"/>
        <w:rPr>
          <w:rFonts w:ascii="Times New Roman" w:hAnsi="Times New Roman"/>
          <w:b w:val="0"/>
          <w:bCs w:val="0"/>
          <w:i w:val="0"/>
          <w:iCs w:val="0"/>
          <w:noProof/>
          <w:sz w:val="28"/>
        </w:rPr>
      </w:pPr>
      <w:hyperlink w:anchor="_Toc220572669" w:history="1">
        <w:r w:rsidRPr="006D0761">
          <w:rPr>
            <w:rStyle w:val="Hipervnculo"/>
            <w:rFonts w:ascii="Times New Roman" w:hAnsi="Times New Roman"/>
            <w:noProof/>
            <w:sz w:val="28"/>
            <w:lang w:val="es-ES"/>
          </w:rPr>
          <w:t>IV.</w:t>
        </w:r>
        <w:r w:rsidRPr="006D0761">
          <w:rPr>
            <w:rFonts w:ascii="Times New Roman" w:hAnsi="Times New Roman"/>
            <w:b w:val="0"/>
            <w:bCs w:val="0"/>
            <w:i w:val="0"/>
            <w:iCs w:val="0"/>
            <w:noProof/>
            <w:sz w:val="28"/>
          </w:rPr>
          <w:tab/>
        </w:r>
        <w:r w:rsidRPr="006D0761">
          <w:rPr>
            <w:rStyle w:val="Hipervnculo"/>
            <w:rFonts w:ascii="Times New Roman" w:hAnsi="Times New Roman"/>
            <w:noProof/>
            <w:sz w:val="28"/>
            <w:lang w:val="es-ES"/>
          </w:rPr>
          <w:t>CONSIDERACIONES</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_Toc220572669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28</w:t>
        </w:r>
        <w:r w:rsidRPr="006D0761">
          <w:rPr>
            <w:rFonts w:ascii="Times New Roman" w:hAnsi="Times New Roman"/>
            <w:noProof/>
            <w:webHidden/>
            <w:sz w:val="28"/>
          </w:rPr>
          <w:fldChar w:fldCharType="end"/>
        </w:r>
      </w:hyperlink>
    </w:p>
    <w:p w:rsidR="0025378B" w:rsidRPr="006D0761" w:rsidRDefault="006D0761">
      <w:pPr>
        <w:pStyle w:val="TDC2"/>
        <w:tabs>
          <w:tab w:val="left" w:pos="720"/>
          <w:tab w:val="right" w:leader="dot" w:pos="9016"/>
        </w:tabs>
        <w:rPr>
          <w:rFonts w:ascii="Times New Roman" w:hAnsi="Times New Roman"/>
          <w:b w:val="0"/>
          <w:bCs w:val="0"/>
          <w:noProof/>
          <w:sz w:val="28"/>
          <w:szCs w:val="24"/>
        </w:rPr>
      </w:pPr>
      <w:hyperlink w:anchor="_Toc220572670" w:history="1">
        <w:r w:rsidRPr="006D0761">
          <w:rPr>
            <w:rStyle w:val="Hipervnculo"/>
            <w:rFonts w:ascii="Times New Roman" w:hAnsi="Times New Roman"/>
            <w:noProof/>
            <w:sz w:val="28"/>
            <w:lang w:val="es-ES"/>
          </w:rPr>
          <w:t>1.</w:t>
        </w:r>
        <w:r w:rsidRPr="006D0761">
          <w:rPr>
            <w:rFonts w:ascii="Times New Roman" w:hAnsi="Times New Roman"/>
            <w:b w:val="0"/>
            <w:bCs w:val="0"/>
            <w:noProof/>
            <w:sz w:val="28"/>
            <w:szCs w:val="24"/>
          </w:rPr>
          <w:tab/>
        </w:r>
        <w:r w:rsidRPr="006D0761">
          <w:rPr>
            <w:rStyle w:val="Hipervnculo"/>
            <w:rFonts w:ascii="Times New Roman" w:hAnsi="Times New Roman"/>
            <w:noProof/>
            <w:sz w:val="28"/>
            <w:lang w:val="es-ES"/>
          </w:rPr>
          <w:t>Competencia</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_Toc220572670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28</w:t>
        </w:r>
        <w:r w:rsidRPr="006D0761">
          <w:rPr>
            <w:rFonts w:ascii="Times New Roman" w:hAnsi="Times New Roman"/>
            <w:noProof/>
            <w:webHidden/>
            <w:sz w:val="28"/>
          </w:rPr>
          <w:fldChar w:fldCharType="end"/>
        </w:r>
      </w:hyperlink>
    </w:p>
    <w:p w:rsidR="0025378B" w:rsidRPr="006D0761" w:rsidRDefault="006D0761">
      <w:pPr>
        <w:pStyle w:val="TDC2"/>
        <w:tabs>
          <w:tab w:val="left" w:pos="720"/>
          <w:tab w:val="right" w:leader="dot" w:pos="9016"/>
        </w:tabs>
        <w:rPr>
          <w:rFonts w:ascii="Times New Roman" w:hAnsi="Times New Roman"/>
          <w:b w:val="0"/>
          <w:bCs w:val="0"/>
          <w:noProof/>
          <w:sz w:val="28"/>
          <w:szCs w:val="24"/>
        </w:rPr>
      </w:pPr>
      <w:hyperlink w:anchor="_Toc220572671" w:history="1">
        <w:r w:rsidRPr="006D0761">
          <w:rPr>
            <w:rStyle w:val="Hipervnculo"/>
            <w:rFonts w:ascii="Times New Roman" w:hAnsi="Times New Roman"/>
            <w:noProof/>
            <w:sz w:val="28"/>
            <w:lang w:val="es-ES"/>
          </w:rPr>
          <w:t>2.</w:t>
        </w:r>
        <w:r w:rsidRPr="006D0761">
          <w:rPr>
            <w:rFonts w:ascii="Times New Roman" w:hAnsi="Times New Roman"/>
            <w:b w:val="0"/>
            <w:bCs w:val="0"/>
            <w:noProof/>
            <w:sz w:val="28"/>
            <w:szCs w:val="24"/>
          </w:rPr>
          <w:tab/>
        </w:r>
        <w:r w:rsidRPr="006D0761">
          <w:rPr>
            <w:rStyle w:val="Hipervnculo"/>
            <w:rFonts w:ascii="Times New Roman" w:hAnsi="Times New Roman"/>
            <w:noProof/>
            <w:sz w:val="28"/>
            <w:lang w:val="es-ES"/>
          </w:rPr>
          <w:t>Examen de a</w:t>
        </w:r>
        <w:r w:rsidRPr="006D0761">
          <w:rPr>
            <w:rStyle w:val="Hipervnculo"/>
            <w:rFonts w:ascii="Times New Roman" w:hAnsi="Times New Roman"/>
            <w:noProof/>
            <w:sz w:val="28"/>
            <w:lang w:val="es-ES"/>
          </w:rPr>
          <w:t>ptitud de la demanda</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_Toc220572671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29</w:t>
        </w:r>
        <w:r w:rsidRPr="006D0761">
          <w:rPr>
            <w:rFonts w:ascii="Times New Roman" w:hAnsi="Times New Roman"/>
            <w:noProof/>
            <w:webHidden/>
            <w:sz w:val="28"/>
          </w:rPr>
          <w:fldChar w:fldCharType="end"/>
        </w:r>
      </w:hyperlink>
    </w:p>
    <w:p w:rsidR="0025378B" w:rsidRPr="006D0761" w:rsidRDefault="006D0761">
      <w:pPr>
        <w:pStyle w:val="TDC3"/>
        <w:tabs>
          <w:tab w:val="left" w:pos="1200"/>
          <w:tab w:val="right" w:leader="dot" w:pos="9016"/>
        </w:tabs>
        <w:rPr>
          <w:rFonts w:ascii="Times New Roman" w:hAnsi="Times New Roman"/>
          <w:noProof/>
          <w:sz w:val="28"/>
          <w:szCs w:val="24"/>
        </w:rPr>
      </w:pPr>
      <w:hyperlink w:anchor="_Toc220572672" w:history="1">
        <w:r w:rsidRPr="006D0761">
          <w:rPr>
            <w:rStyle w:val="Hipervnculo"/>
            <w:rFonts w:ascii="Times New Roman" w:hAnsi="Times New Roman"/>
            <w:noProof/>
            <w:sz w:val="28"/>
            <w:lang w:val="es-ES"/>
          </w:rPr>
          <w:t>2.1.</w:t>
        </w:r>
        <w:r w:rsidRPr="006D0761">
          <w:rPr>
            <w:rFonts w:ascii="Times New Roman" w:hAnsi="Times New Roman"/>
            <w:noProof/>
            <w:sz w:val="28"/>
            <w:szCs w:val="24"/>
          </w:rPr>
          <w:tab/>
        </w:r>
        <w:r w:rsidRPr="006D0761">
          <w:rPr>
            <w:rStyle w:val="Hipervnculo"/>
            <w:rFonts w:ascii="Times New Roman" w:hAnsi="Times New Roman"/>
            <w:noProof/>
            <w:sz w:val="28"/>
            <w:lang w:val="es-ES"/>
          </w:rPr>
          <w:t>La carga argumentativa exigida a una demanda contra una medida de acción afirmativa en materia de género</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_Toc220572672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31</w:t>
        </w:r>
        <w:r w:rsidRPr="006D0761">
          <w:rPr>
            <w:rFonts w:ascii="Times New Roman" w:hAnsi="Times New Roman"/>
            <w:noProof/>
            <w:webHidden/>
            <w:sz w:val="28"/>
          </w:rPr>
          <w:fldChar w:fldCharType="end"/>
        </w:r>
      </w:hyperlink>
    </w:p>
    <w:p w:rsidR="0025378B" w:rsidRPr="006D0761" w:rsidRDefault="006D0761">
      <w:pPr>
        <w:pStyle w:val="TDC3"/>
        <w:tabs>
          <w:tab w:val="left" w:pos="1200"/>
          <w:tab w:val="right" w:leader="dot" w:pos="9016"/>
        </w:tabs>
        <w:rPr>
          <w:rFonts w:ascii="Times New Roman" w:hAnsi="Times New Roman"/>
          <w:noProof/>
          <w:sz w:val="28"/>
          <w:szCs w:val="24"/>
        </w:rPr>
      </w:pPr>
      <w:hyperlink w:anchor="_Toc220572673" w:history="1">
        <w:r w:rsidRPr="006D0761">
          <w:rPr>
            <w:rStyle w:val="Hipervnculo"/>
            <w:rFonts w:ascii="Times New Roman" w:hAnsi="Times New Roman"/>
            <w:noProof/>
            <w:sz w:val="28"/>
            <w:lang w:val="es-ES"/>
          </w:rPr>
          <w:t>2.2.</w:t>
        </w:r>
        <w:r w:rsidRPr="006D0761">
          <w:rPr>
            <w:rFonts w:ascii="Times New Roman" w:hAnsi="Times New Roman"/>
            <w:noProof/>
            <w:sz w:val="28"/>
            <w:szCs w:val="24"/>
          </w:rPr>
          <w:tab/>
        </w:r>
        <w:r w:rsidRPr="006D0761">
          <w:rPr>
            <w:rStyle w:val="Hipervnculo"/>
            <w:rFonts w:ascii="Times New Roman" w:hAnsi="Times New Roman"/>
            <w:noProof/>
            <w:sz w:val="28"/>
            <w:lang w:val="es-ES"/>
          </w:rPr>
          <w:t xml:space="preserve">Requerimientos particulares cuando se alega la violación del </w:t>
        </w:r>
        <w:r w:rsidRPr="006D0761">
          <w:rPr>
            <w:rStyle w:val="Hipervnculo"/>
            <w:rFonts w:ascii="Times New Roman" w:hAnsi="Times New Roman"/>
            <w:i/>
            <w:iCs/>
            <w:noProof/>
            <w:sz w:val="28"/>
            <w:lang w:val="es-ES"/>
          </w:rPr>
          <w:t>mandato de trato igual</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_Toc220572673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34</w:t>
        </w:r>
        <w:r w:rsidRPr="006D0761">
          <w:rPr>
            <w:rFonts w:ascii="Times New Roman" w:hAnsi="Times New Roman"/>
            <w:noProof/>
            <w:webHidden/>
            <w:sz w:val="28"/>
          </w:rPr>
          <w:fldChar w:fldCharType="end"/>
        </w:r>
      </w:hyperlink>
    </w:p>
    <w:p w:rsidR="0025378B" w:rsidRPr="006D0761" w:rsidRDefault="006D0761">
      <w:pPr>
        <w:pStyle w:val="TDC2"/>
        <w:tabs>
          <w:tab w:val="left" w:pos="720"/>
          <w:tab w:val="right" w:leader="dot" w:pos="9016"/>
        </w:tabs>
        <w:rPr>
          <w:rFonts w:ascii="Times New Roman" w:hAnsi="Times New Roman"/>
          <w:b w:val="0"/>
          <w:bCs w:val="0"/>
          <w:noProof/>
          <w:sz w:val="28"/>
          <w:szCs w:val="24"/>
        </w:rPr>
      </w:pPr>
      <w:hyperlink w:anchor="_Toc220572674" w:history="1">
        <w:r w:rsidRPr="006D0761">
          <w:rPr>
            <w:rStyle w:val="Hipervnculo"/>
            <w:rFonts w:ascii="Times New Roman" w:hAnsi="Times New Roman"/>
            <w:noProof/>
            <w:sz w:val="28"/>
            <w:lang w:val="es-ES"/>
          </w:rPr>
          <w:t>3.</w:t>
        </w:r>
        <w:r w:rsidRPr="006D0761">
          <w:rPr>
            <w:rFonts w:ascii="Times New Roman" w:hAnsi="Times New Roman"/>
            <w:b w:val="0"/>
            <w:bCs w:val="0"/>
            <w:noProof/>
            <w:sz w:val="28"/>
            <w:szCs w:val="24"/>
          </w:rPr>
          <w:tab/>
        </w:r>
        <w:r w:rsidRPr="006D0761">
          <w:rPr>
            <w:rStyle w:val="Hipervnculo"/>
            <w:rFonts w:ascii="Times New Roman" w:hAnsi="Times New Roman"/>
            <w:noProof/>
            <w:sz w:val="28"/>
            <w:lang w:val="es-ES"/>
          </w:rPr>
          <w:t>Examen de aptitud de los cargos presentados en la demanda</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_Toc220572674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41</w:t>
        </w:r>
        <w:r w:rsidRPr="006D0761">
          <w:rPr>
            <w:rFonts w:ascii="Times New Roman" w:hAnsi="Times New Roman"/>
            <w:noProof/>
            <w:webHidden/>
            <w:sz w:val="28"/>
          </w:rPr>
          <w:fldChar w:fldCharType="end"/>
        </w:r>
      </w:hyperlink>
    </w:p>
    <w:p w:rsidR="0025378B" w:rsidRPr="006D0761" w:rsidRDefault="006D0761">
      <w:pPr>
        <w:pStyle w:val="TDC3"/>
        <w:tabs>
          <w:tab w:val="left" w:pos="1200"/>
          <w:tab w:val="right" w:leader="dot" w:pos="9016"/>
        </w:tabs>
        <w:rPr>
          <w:rFonts w:ascii="Times New Roman" w:hAnsi="Times New Roman"/>
          <w:noProof/>
          <w:sz w:val="28"/>
          <w:szCs w:val="24"/>
        </w:rPr>
      </w:pPr>
      <w:hyperlink w:anchor="_Toc220572675" w:history="1">
        <w:r w:rsidRPr="006D0761">
          <w:rPr>
            <w:rStyle w:val="Hipervnculo"/>
            <w:rFonts w:ascii="Times New Roman" w:hAnsi="Times New Roman"/>
            <w:bCs/>
            <w:noProof/>
            <w:sz w:val="28"/>
            <w:lang w:val="es-ES"/>
          </w:rPr>
          <w:t>3.1.</w:t>
        </w:r>
        <w:r w:rsidRPr="006D0761">
          <w:rPr>
            <w:rFonts w:ascii="Times New Roman" w:hAnsi="Times New Roman"/>
            <w:noProof/>
            <w:sz w:val="28"/>
            <w:szCs w:val="24"/>
          </w:rPr>
          <w:tab/>
        </w:r>
        <w:r w:rsidRPr="006D0761">
          <w:rPr>
            <w:rStyle w:val="Hipervnculo"/>
            <w:rFonts w:ascii="Times New Roman" w:hAnsi="Times New Roman"/>
            <w:bCs/>
            <w:noProof/>
            <w:sz w:val="28"/>
            <w:lang w:val="es-ES"/>
          </w:rPr>
          <w:t>Primer cargo: violación al derecho a la igualdad</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_Toc220572675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41</w:t>
        </w:r>
        <w:r w:rsidRPr="006D0761">
          <w:rPr>
            <w:rFonts w:ascii="Times New Roman" w:hAnsi="Times New Roman"/>
            <w:noProof/>
            <w:webHidden/>
            <w:sz w:val="28"/>
          </w:rPr>
          <w:fldChar w:fldCharType="end"/>
        </w:r>
      </w:hyperlink>
    </w:p>
    <w:p w:rsidR="0025378B" w:rsidRPr="006D0761" w:rsidRDefault="006D0761">
      <w:pPr>
        <w:pStyle w:val="TDC3"/>
        <w:tabs>
          <w:tab w:val="left" w:pos="1200"/>
          <w:tab w:val="right" w:leader="dot" w:pos="9016"/>
        </w:tabs>
        <w:rPr>
          <w:rFonts w:ascii="Times New Roman" w:hAnsi="Times New Roman"/>
          <w:noProof/>
          <w:sz w:val="28"/>
          <w:szCs w:val="24"/>
        </w:rPr>
      </w:pPr>
      <w:hyperlink w:anchor="_Toc220572676" w:history="1">
        <w:r w:rsidRPr="006D0761">
          <w:rPr>
            <w:rStyle w:val="Hipervnculo"/>
            <w:rFonts w:ascii="Times New Roman" w:hAnsi="Times New Roman"/>
            <w:noProof/>
            <w:sz w:val="28"/>
            <w:lang w:val="es-ES"/>
          </w:rPr>
          <w:t>3.2.</w:t>
        </w:r>
        <w:r w:rsidRPr="006D0761">
          <w:rPr>
            <w:rFonts w:ascii="Times New Roman" w:hAnsi="Times New Roman"/>
            <w:noProof/>
            <w:sz w:val="28"/>
            <w:szCs w:val="24"/>
          </w:rPr>
          <w:tab/>
        </w:r>
        <w:r w:rsidRPr="006D0761">
          <w:rPr>
            <w:rStyle w:val="Hipervnculo"/>
            <w:rFonts w:ascii="Times New Roman" w:hAnsi="Times New Roman"/>
            <w:noProof/>
            <w:sz w:val="28"/>
            <w:lang w:val="es-ES"/>
          </w:rPr>
          <w:t>Segundo cargo: violación a la temporalidad de una medida afirmativa</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_Toc220572676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53</w:t>
        </w:r>
        <w:r w:rsidRPr="006D0761">
          <w:rPr>
            <w:rFonts w:ascii="Times New Roman" w:hAnsi="Times New Roman"/>
            <w:noProof/>
            <w:webHidden/>
            <w:sz w:val="28"/>
          </w:rPr>
          <w:fldChar w:fldCharType="end"/>
        </w:r>
      </w:hyperlink>
    </w:p>
    <w:p w:rsidR="0025378B" w:rsidRPr="006D0761" w:rsidRDefault="006D0761">
      <w:pPr>
        <w:pStyle w:val="TDC2"/>
        <w:tabs>
          <w:tab w:val="left" w:pos="720"/>
          <w:tab w:val="right" w:leader="dot" w:pos="9016"/>
        </w:tabs>
        <w:rPr>
          <w:rFonts w:ascii="Times New Roman" w:hAnsi="Times New Roman"/>
          <w:b w:val="0"/>
          <w:bCs w:val="0"/>
          <w:noProof/>
          <w:sz w:val="28"/>
          <w:szCs w:val="24"/>
        </w:rPr>
      </w:pPr>
      <w:hyperlink w:anchor="_Toc220572677" w:history="1">
        <w:r w:rsidRPr="006D0761">
          <w:rPr>
            <w:rStyle w:val="Hipervnculo"/>
            <w:rFonts w:ascii="Times New Roman" w:hAnsi="Times New Roman"/>
            <w:noProof/>
            <w:sz w:val="28"/>
            <w:lang w:val="es-ES"/>
          </w:rPr>
          <w:t>4.</w:t>
        </w:r>
        <w:r w:rsidRPr="006D0761">
          <w:rPr>
            <w:rFonts w:ascii="Times New Roman" w:hAnsi="Times New Roman"/>
            <w:b w:val="0"/>
            <w:bCs w:val="0"/>
            <w:noProof/>
            <w:sz w:val="28"/>
            <w:szCs w:val="24"/>
          </w:rPr>
          <w:tab/>
        </w:r>
        <w:r w:rsidRPr="006D0761">
          <w:rPr>
            <w:rStyle w:val="Hipervnculo"/>
            <w:rFonts w:ascii="Times New Roman" w:hAnsi="Times New Roman"/>
            <w:noProof/>
            <w:sz w:val="28"/>
            <w:lang w:val="es-ES"/>
          </w:rPr>
          <w:t>Conclusión</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_Toc220572677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57</w:t>
        </w:r>
        <w:r w:rsidRPr="006D0761">
          <w:rPr>
            <w:rFonts w:ascii="Times New Roman" w:hAnsi="Times New Roman"/>
            <w:noProof/>
            <w:webHidden/>
            <w:sz w:val="28"/>
          </w:rPr>
          <w:fldChar w:fldCharType="end"/>
        </w:r>
      </w:hyperlink>
    </w:p>
    <w:p w:rsidR="0025378B" w:rsidRPr="006D0761" w:rsidRDefault="006D0761">
      <w:pPr>
        <w:pStyle w:val="TDC1"/>
        <w:rPr>
          <w:rFonts w:ascii="Times New Roman" w:hAnsi="Times New Roman"/>
          <w:b w:val="0"/>
          <w:bCs w:val="0"/>
          <w:i w:val="0"/>
          <w:iCs w:val="0"/>
          <w:noProof/>
          <w:sz w:val="28"/>
        </w:rPr>
      </w:pPr>
      <w:hyperlink w:anchor="_Toc220572678" w:history="1">
        <w:r w:rsidRPr="006D0761">
          <w:rPr>
            <w:rStyle w:val="Hipervnculo"/>
            <w:rFonts w:ascii="Times New Roman" w:hAnsi="Times New Roman"/>
            <w:noProof/>
            <w:sz w:val="28"/>
            <w:lang w:val="es-ES"/>
          </w:rPr>
          <w:t>V.</w:t>
        </w:r>
        <w:r w:rsidRPr="006D0761">
          <w:rPr>
            <w:rFonts w:ascii="Times New Roman" w:hAnsi="Times New Roman"/>
            <w:b w:val="0"/>
            <w:bCs w:val="0"/>
            <w:i w:val="0"/>
            <w:iCs w:val="0"/>
            <w:noProof/>
            <w:sz w:val="28"/>
          </w:rPr>
          <w:tab/>
        </w:r>
        <w:r w:rsidRPr="006D0761">
          <w:rPr>
            <w:rStyle w:val="Hipervnculo"/>
            <w:rFonts w:ascii="Times New Roman" w:hAnsi="Times New Roman"/>
            <w:noProof/>
            <w:sz w:val="28"/>
            <w:lang w:val="es-ES"/>
          </w:rPr>
          <w:t>DECISIÓN</w:t>
        </w:r>
        <w:r w:rsidRPr="006D0761">
          <w:rPr>
            <w:rFonts w:ascii="Times New Roman" w:hAnsi="Times New Roman"/>
            <w:noProof/>
            <w:webHidden/>
            <w:sz w:val="28"/>
          </w:rPr>
          <w:tab/>
        </w:r>
        <w:r w:rsidRPr="006D0761">
          <w:rPr>
            <w:rFonts w:ascii="Times New Roman" w:hAnsi="Times New Roman"/>
            <w:noProof/>
            <w:webHidden/>
            <w:sz w:val="28"/>
          </w:rPr>
          <w:fldChar w:fldCharType="begin"/>
        </w:r>
        <w:r w:rsidRPr="006D0761">
          <w:rPr>
            <w:rFonts w:ascii="Times New Roman" w:hAnsi="Times New Roman"/>
            <w:noProof/>
            <w:webHidden/>
            <w:sz w:val="28"/>
          </w:rPr>
          <w:instrText xml:space="preserve"> PAGEREF _Toc220572678 \h </w:instrText>
        </w:r>
        <w:r w:rsidRPr="006D0761">
          <w:rPr>
            <w:rFonts w:ascii="Times New Roman" w:hAnsi="Times New Roman"/>
            <w:noProof/>
            <w:webHidden/>
            <w:sz w:val="28"/>
          </w:rPr>
        </w:r>
        <w:r w:rsidRPr="006D0761">
          <w:rPr>
            <w:rFonts w:ascii="Times New Roman" w:hAnsi="Times New Roman"/>
            <w:noProof/>
            <w:webHidden/>
            <w:sz w:val="28"/>
          </w:rPr>
          <w:fldChar w:fldCharType="separate"/>
        </w:r>
        <w:r w:rsidRPr="006D0761">
          <w:rPr>
            <w:rFonts w:ascii="Times New Roman" w:hAnsi="Times New Roman"/>
            <w:noProof/>
            <w:webHidden/>
            <w:sz w:val="28"/>
          </w:rPr>
          <w:t>58</w:t>
        </w:r>
        <w:r w:rsidRPr="006D0761">
          <w:rPr>
            <w:rFonts w:ascii="Times New Roman" w:hAnsi="Times New Roman"/>
            <w:noProof/>
            <w:webHidden/>
            <w:sz w:val="28"/>
          </w:rPr>
          <w:fldChar w:fldCharType="end"/>
        </w:r>
      </w:hyperlink>
    </w:p>
    <w:p w:rsidR="00F573C1" w:rsidRPr="006D0761" w:rsidRDefault="006D0761" w:rsidP="00EB501B">
      <w:pPr>
        <w:jc w:val="both"/>
        <w:rPr>
          <w:rFonts w:ascii="Times New Roman" w:hAnsi="Times New Roman"/>
          <w:sz w:val="28"/>
        </w:rPr>
      </w:pPr>
      <w:r w:rsidRPr="006D0761">
        <w:rPr>
          <w:rFonts w:ascii="Times New Roman" w:hAnsi="Times New Roman"/>
          <w:noProof/>
          <w:sz w:val="28"/>
          <w:szCs w:val="28"/>
        </w:rPr>
        <w:fldChar w:fldCharType="end"/>
      </w:r>
    </w:p>
    <w:p w:rsidR="003D3E87" w:rsidRPr="006D0761" w:rsidRDefault="006D0761" w:rsidP="00EB501B">
      <w:pPr>
        <w:pStyle w:val="Ttulo1"/>
        <w:numPr>
          <w:ilvl w:val="0"/>
          <w:numId w:val="1"/>
        </w:numPr>
        <w:ind w:left="0" w:firstLine="0"/>
        <w:rPr>
          <w:rFonts w:ascii="Times New Roman" w:hAnsi="Times New Roman"/>
          <w:szCs w:val="28"/>
          <w:lang w:val="es-ES"/>
        </w:rPr>
      </w:pPr>
      <w:bookmarkStart w:id="1" w:name="_Toc220572663"/>
      <w:r w:rsidRPr="006D0761">
        <w:rPr>
          <w:rFonts w:ascii="Times New Roman" w:hAnsi="Times New Roman"/>
          <w:szCs w:val="28"/>
          <w:lang w:val="es-ES"/>
        </w:rPr>
        <w:t>A</w:t>
      </w:r>
      <w:r w:rsidRPr="006D0761">
        <w:rPr>
          <w:rFonts w:ascii="Times New Roman" w:hAnsi="Times New Roman"/>
          <w:szCs w:val="28"/>
          <w:lang w:val="es-ES"/>
        </w:rPr>
        <w:t>NTECEDENTES</w:t>
      </w:r>
      <w:bookmarkEnd w:id="1"/>
    </w:p>
    <w:p w:rsidR="008E2564" w:rsidRPr="006D0761" w:rsidRDefault="006D0761" w:rsidP="00330CB9">
      <w:pPr>
        <w:pStyle w:val="Prrafodelista"/>
        <w:ind w:left="0"/>
        <w:jc w:val="both"/>
        <w:rPr>
          <w:rFonts w:ascii="Times New Roman" w:hAnsi="Times New Roman"/>
          <w:color w:val="000000"/>
          <w:sz w:val="28"/>
          <w:szCs w:val="28"/>
          <w:lang w:val="es-ES"/>
        </w:rPr>
      </w:pPr>
    </w:p>
    <w:p w:rsidR="006959F7" w:rsidRPr="006D0761" w:rsidRDefault="006D0761" w:rsidP="00330CB9">
      <w:pPr>
        <w:pStyle w:val="Prrafodelista"/>
        <w:numPr>
          <w:ilvl w:val="0"/>
          <w:numId w:val="2"/>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En ejercicio de la acción pública prevista en el artículo 241 de la Constitución Política, el ciudadano Pedro Pablo Menéndez Pla presentó una demanda de inconstitucionalidad en contra de la totalidad de la Ley 1761 de 2015, “</w:t>
      </w:r>
      <w:r w:rsidRPr="006D0761">
        <w:rPr>
          <w:rFonts w:ascii="Times New Roman" w:hAnsi="Times New Roman"/>
          <w:i/>
          <w:iCs/>
          <w:color w:val="000000"/>
          <w:sz w:val="28"/>
          <w:szCs w:val="28"/>
          <w:lang w:val="es-ES"/>
        </w:rPr>
        <w:t>Por la cual se cre</w:t>
      </w:r>
      <w:r w:rsidRPr="006D0761">
        <w:rPr>
          <w:rFonts w:ascii="Times New Roman" w:hAnsi="Times New Roman"/>
          <w:i/>
          <w:iCs/>
          <w:color w:val="000000"/>
          <w:sz w:val="28"/>
          <w:szCs w:val="28"/>
          <w:lang w:val="es-ES"/>
        </w:rPr>
        <w:t>a el tipo penal de feminicidio como delito autónomo y se dictan otras disposiciones</w:t>
      </w:r>
      <w:r w:rsidRPr="006D0761">
        <w:rPr>
          <w:rFonts w:ascii="Times New Roman" w:hAnsi="Times New Roman"/>
          <w:color w:val="000000"/>
          <w:sz w:val="28"/>
          <w:szCs w:val="28"/>
          <w:lang w:val="es-ES"/>
        </w:rPr>
        <w:t xml:space="preserve">”, por vulnerar el derecho a la igualdad. Por lo tanto, solicitó </w:t>
      </w:r>
      <w:r w:rsidRPr="006D0761">
        <w:rPr>
          <w:rFonts w:ascii="Times New Roman" w:hAnsi="Times New Roman"/>
          <w:color w:val="000000"/>
          <w:sz w:val="28"/>
          <w:szCs w:val="28"/>
          <w:lang w:val="es-ES"/>
        </w:rPr>
        <w:t xml:space="preserve">modificar la redacción </w:t>
      </w:r>
      <w:r w:rsidRPr="006D0761">
        <w:rPr>
          <w:rFonts w:ascii="Times New Roman" w:hAnsi="Times New Roman"/>
          <w:color w:val="000000"/>
          <w:sz w:val="28"/>
          <w:szCs w:val="28"/>
          <w:lang w:val="es-ES"/>
        </w:rPr>
        <w:t>de ciertas palabras o frases a lo largo de toda la norma</w:t>
      </w:r>
      <w:r w:rsidRPr="006D0761">
        <w:rPr>
          <w:rFonts w:ascii="Times New Roman" w:hAnsi="Times New Roman"/>
          <w:color w:val="000000"/>
          <w:sz w:val="28"/>
          <w:szCs w:val="28"/>
          <w:lang w:val="es-ES"/>
        </w:rPr>
        <w:t xml:space="preserve"> con la finalidad de que la norma incluya a los hombres frente a la protección ante la violencia de género.</w:t>
      </w:r>
    </w:p>
    <w:p w:rsidR="006959F7" w:rsidRPr="006D0761" w:rsidRDefault="006D0761" w:rsidP="00330CB9">
      <w:pPr>
        <w:pStyle w:val="Prrafodelista"/>
        <w:ind w:left="0"/>
        <w:jc w:val="both"/>
        <w:rPr>
          <w:rFonts w:ascii="Times New Roman" w:hAnsi="Times New Roman"/>
          <w:color w:val="000000"/>
          <w:sz w:val="28"/>
          <w:szCs w:val="28"/>
          <w:lang w:val="es-ES"/>
        </w:rPr>
      </w:pPr>
    </w:p>
    <w:p w:rsidR="006959F7" w:rsidRPr="006D0761" w:rsidRDefault="006D0761" w:rsidP="00EB501B">
      <w:pPr>
        <w:pStyle w:val="Ttulo2"/>
        <w:rPr>
          <w:rFonts w:ascii="Times New Roman" w:hAnsi="Times New Roman"/>
          <w:szCs w:val="28"/>
          <w:lang w:val="es-ES"/>
        </w:rPr>
      </w:pPr>
      <w:bookmarkStart w:id="2" w:name="_Toc220572664"/>
      <w:r w:rsidRPr="006D0761">
        <w:rPr>
          <w:rFonts w:ascii="Times New Roman" w:hAnsi="Times New Roman"/>
          <w:szCs w:val="28"/>
          <w:lang w:val="es-ES"/>
        </w:rPr>
        <w:t>1. Norma demandada</w:t>
      </w:r>
      <w:bookmarkEnd w:id="2"/>
    </w:p>
    <w:p w:rsidR="006959F7" w:rsidRPr="006D0761" w:rsidRDefault="006D0761" w:rsidP="00330CB9">
      <w:pPr>
        <w:pStyle w:val="Prrafodelista"/>
        <w:ind w:left="0"/>
        <w:jc w:val="both"/>
        <w:rPr>
          <w:rFonts w:ascii="Times New Roman" w:hAnsi="Times New Roman"/>
          <w:color w:val="000000"/>
          <w:sz w:val="28"/>
          <w:szCs w:val="28"/>
          <w:lang w:val="es-ES"/>
        </w:rPr>
      </w:pPr>
    </w:p>
    <w:p w:rsidR="000B36A3" w:rsidRPr="006D0761" w:rsidRDefault="006D0761" w:rsidP="00330CB9">
      <w:pPr>
        <w:pStyle w:val="Prrafodelista"/>
        <w:numPr>
          <w:ilvl w:val="0"/>
          <w:numId w:val="2"/>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 xml:space="preserve">demanda se dirige </w:t>
      </w:r>
      <w:r w:rsidRPr="006D0761">
        <w:rPr>
          <w:rFonts w:ascii="Times New Roman" w:hAnsi="Times New Roman"/>
          <w:color w:val="000000"/>
          <w:sz w:val="28"/>
          <w:szCs w:val="28"/>
          <w:lang w:val="es-ES"/>
        </w:rPr>
        <w:t xml:space="preserve">contra la </w:t>
      </w:r>
      <w:r w:rsidRPr="006D0761">
        <w:rPr>
          <w:rFonts w:ascii="Times New Roman" w:hAnsi="Times New Roman"/>
          <w:color w:val="000000"/>
          <w:sz w:val="28"/>
          <w:szCs w:val="28"/>
          <w:lang w:val="es-ES"/>
        </w:rPr>
        <w:t xml:space="preserve">totalidad de la </w:t>
      </w:r>
      <w:r w:rsidRPr="006D0761">
        <w:rPr>
          <w:rFonts w:ascii="Times New Roman" w:hAnsi="Times New Roman"/>
          <w:color w:val="000000"/>
          <w:sz w:val="28"/>
          <w:szCs w:val="28"/>
          <w:lang w:val="es-ES"/>
        </w:rPr>
        <w:t>Ley 1761 de 2015</w:t>
      </w:r>
      <w:r w:rsidRPr="006D0761">
        <w:rPr>
          <w:rStyle w:val="Refdenotaalpie"/>
          <w:rFonts w:ascii="Times New Roman" w:hAnsi="Times New Roman"/>
          <w:color w:val="000000"/>
          <w:sz w:val="28"/>
          <w:szCs w:val="28"/>
          <w:lang w:val="es-ES"/>
        </w:rPr>
        <w:footnoteReference w:id="3"/>
      </w:r>
      <w:r w:rsidRPr="006D0761">
        <w:rPr>
          <w:rFonts w:ascii="Times New Roman" w:hAnsi="Times New Roman"/>
          <w:color w:val="000000"/>
          <w:sz w:val="28"/>
          <w:szCs w:val="28"/>
          <w:lang w:val="es-ES"/>
        </w:rPr>
        <w:t>, “</w:t>
      </w:r>
      <w:r w:rsidRPr="006D0761">
        <w:rPr>
          <w:rFonts w:ascii="Times New Roman" w:hAnsi="Times New Roman"/>
          <w:i/>
          <w:iCs/>
          <w:color w:val="000000"/>
          <w:sz w:val="28"/>
          <w:szCs w:val="28"/>
          <w:lang w:val="es-ES"/>
        </w:rPr>
        <w:t>Por la cual se crea el tipo penal de feminicidio como delito</w:t>
      </w:r>
      <w:r w:rsidRPr="006D0761">
        <w:rPr>
          <w:rFonts w:ascii="Times New Roman" w:hAnsi="Times New Roman"/>
          <w:i/>
          <w:iCs/>
          <w:color w:val="000000"/>
          <w:sz w:val="28"/>
          <w:szCs w:val="28"/>
          <w:lang w:val="es-ES"/>
        </w:rPr>
        <w:t xml:space="preserve"> autónomo y se dictan otras disposiciones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A continuación, se incluye el texto de la norma tal como fue publicado en el Diario Oficial No. 49.565 de 6 de julio de 2015:</w:t>
      </w:r>
    </w:p>
    <w:p w:rsidR="008E2564" w:rsidRPr="006D0761" w:rsidRDefault="006D0761" w:rsidP="6D224379">
      <w:pPr>
        <w:jc w:val="both"/>
        <w:rPr>
          <w:rFonts w:ascii="Times New Roman" w:hAnsi="Times New Roman"/>
          <w:color w:val="000000"/>
          <w:sz w:val="28"/>
          <w:szCs w:val="28"/>
          <w:lang w:val="es-ES"/>
        </w:rPr>
      </w:pPr>
    </w:p>
    <w:p w:rsidR="000B36A3" w:rsidRPr="006D0761" w:rsidRDefault="006D0761" w:rsidP="6D224379">
      <w:pPr>
        <w:pStyle w:val="centrado"/>
        <w:spacing w:before="0" w:beforeAutospacing="0" w:after="0" w:afterAutospacing="0"/>
        <w:ind w:left="284" w:right="237"/>
        <w:jc w:val="center"/>
        <w:rPr>
          <w:rStyle w:val="baj"/>
          <w:rFonts w:ascii="Times New Roman" w:hAnsi="Times New Roman"/>
          <w:b/>
          <w:bCs/>
          <w:sz w:val="28"/>
          <w:lang w:val="es-ES"/>
        </w:rPr>
      </w:pPr>
      <w:r w:rsidRPr="006D0761">
        <w:rPr>
          <w:rStyle w:val="baj"/>
          <w:rFonts w:ascii="Times New Roman" w:hAnsi="Times New Roman"/>
          <w:b/>
          <w:bCs/>
          <w:sz w:val="28"/>
          <w:lang w:val="es-ES"/>
        </w:rPr>
        <w:t>LEY 1761 DE 2015</w:t>
      </w:r>
      <w:r w:rsidRPr="006D0761">
        <w:rPr>
          <w:rStyle w:val="Refdenotaalpie"/>
          <w:rFonts w:ascii="Times New Roman" w:hAnsi="Times New Roman"/>
          <w:b/>
          <w:bCs/>
          <w:sz w:val="28"/>
          <w:lang w:val="es-ES"/>
        </w:rPr>
        <w:footnoteReference w:id="4"/>
      </w:r>
    </w:p>
    <w:p w:rsidR="000B36A3" w:rsidRPr="006D0761" w:rsidRDefault="006D0761" w:rsidP="6D224379">
      <w:pPr>
        <w:pStyle w:val="centrado"/>
        <w:spacing w:before="0" w:beforeAutospacing="0" w:after="0" w:afterAutospacing="0"/>
        <w:ind w:left="284" w:right="237"/>
        <w:jc w:val="center"/>
        <w:rPr>
          <w:rFonts w:ascii="Times New Roman" w:hAnsi="Times New Roman"/>
          <w:b/>
          <w:bCs/>
          <w:sz w:val="28"/>
          <w:lang w:val="es-ES"/>
        </w:rPr>
      </w:pPr>
      <w:r w:rsidRPr="006D0761">
        <w:rPr>
          <w:rFonts w:ascii="Times New Roman" w:hAnsi="Times New Roman"/>
          <w:b/>
          <w:bCs/>
          <w:sz w:val="28"/>
          <w:lang w:val="es-ES"/>
        </w:rPr>
        <w:t>(julio 6)</w:t>
      </w:r>
    </w:p>
    <w:p w:rsidR="000B36A3" w:rsidRPr="006D0761" w:rsidRDefault="006D0761" w:rsidP="6D224379">
      <w:pPr>
        <w:pStyle w:val="centrado"/>
        <w:spacing w:before="0" w:beforeAutospacing="0" w:after="0" w:afterAutospacing="0"/>
        <w:ind w:left="284" w:right="237"/>
        <w:jc w:val="center"/>
        <w:rPr>
          <w:rFonts w:ascii="Times New Roman" w:hAnsi="Times New Roman"/>
          <w:b/>
          <w:bCs/>
          <w:sz w:val="28"/>
          <w:lang w:val="es-ES"/>
        </w:rPr>
      </w:pPr>
      <w:r w:rsidRPr="006D0761">
        <w:rPr>
          <w:rFonts w:ascii="Times New Roman" w:hAnsi="Times New Roman"/>
          <w:b/>
          <w:bCs/>
          <w:sz w:val="28"/>
          <w:lang w:val="es-ES"/>
        </w:rPr>
        <w:t xml:space="preserve">Por la cual se crea el tipo penal de feminicidio como delito autónomo y se dictan otras </w:t>
      </w:r>
      <w:r w:rsidRPr="006D0761">
        <w:rPr>
          <w:rFonts w:ascii="Times New Roman" w:hAnsi="Times New Roman"/>
          <w:b/>
          <w:bCs/>
          <w:sz w:val="28"/>
          <w:lang w:val="es-ES"/>
        </w:rPr>
        <w:t>disposiciones. (</w:t>
      </w:r>
      <w:r w:rsidRPr="006D0761">
        <w:rPr>
          <w:rFonts w:ascii="Times New Roman" w:hAnsi="Times New Roman"/>
          <w:b/>
          <w:bCs/>
          <w:sz w:val="28"/>
          <w:lang w:val="es-ES"/>
        </w:rPr>
        <w:t>Rosa Elvira Cely)</w:t>
      </w:r>
    </w:p>
    <w:p w:rsidR="000B36A3" w:rsidRPr="006D0761" w:rsidRDefault="006D0761" w:rsidP="6D224379">
      <w:pPr>
        <w:pStyle w:val="centrado"/>
        <w:spacing w:before="0" w:beforeAutospacing="0" w:after="0" w:afterAutospacing="0"/>
        <w:ind w:left="284" w:right="237"/>
        <w:jc w:val="center"/>
        <w:rPr>
          <w:rStyle w:val="baj"/>
          <w:rFonts w:ascii="Times New Roman" w:hAnsi="Times New Roman"/>
          <w:b/>
          <w:bCs/>
          <w:sz w:val="28"/>
          <w:lang w:val="es-ES"/>
        </w:rPr>
      </w:pPr>
    </w:p>
    <w:p w:rsidR="000B36A3" w:rsidRPr="006D0761" w:rsidRDefault="006D0761" w:rsidP="6D224379">
      <w:pPr>
        <w:pStyle w:val="centrado"/>
        <w:spacing w:before="0" w:beforeAutospacing="0" w:after="0" w:afterAutospacing="0"/>
        <w:ind w:left="284" w:right="237"/>
        <w:jc w:val="center"/>
        <w:rPr>
          <w:rStyle w:val="baj"/>
          <w:rFonts w:ascii="Times New Roman" w:hAnsi="Times New Roman"/>
          <w:b/>
          <w:bCs/>
          <w:sz w:val="28"/>
          <w:lang w:val="es-ES"/>
        </w:rPr>
      </w:pPr>
      <w:r w:rsidRPr="006D0761">
        <w:rPr>
          <w:rStyle w:val="baj"/>
          <w:rFonts w:ascii="Times New Roman" w:hAnsi="Times New Roman"/>
          <w:b/>
          <w:bCs/>
          <w:sz w:val="28"/>
          <w:lang w:val="es-ES"/>
        </w:rPr>
        <w:t>EL CONGRESO DE COLOMBIA</w:t>
      </w:r>
    </w:p>
    <w:p w:rsidR="000B36A3" w:rsidRPr="006D0761" w:rsidRDefault="006D0761" w:rsidP="6D224379">
      <w:pPr>
        <w:pStyle w:val="centrado"/>
        <w:spacing w:before="0" w:beforeAutospacing="0" w:after="0" w:afterAutospacing="0"/>
        <w:ind w:left="284" w:right="237"/>
        <w:jc w:val="center"/>
        <w:rPr>
          <w:rFonts w:ascii="Times New Roman" w:hAnsi="Times New Roman"/>
          <w:b/>
          <w:bCs/>
          <w:sz w:val="28"/>
          <w:lang w:val="es-ES"/>
        </w:rPr>
      </w:pPr>
    </w:p>
    <w:p w:rsidR="000B36A3" w:rsidRPr="006D0761" w:rsidRDefault="006D0761" w:rsidP="6D224379">
      <w:pPr>
        <w:pStyle w:val="centrado"/>
        <w:spacing w:before="0" w:beforeAutospacing="0" w:after="0" w:afterAutospacing="0"/>
        <w:ind w:left="284" w:right="237"/>
        <w:jc w:val="center"/>
        <w:rPr>
          <w:rStyle w:val="baj"/>
          <w:rFonts w:ascii="Times New Roman" w:hAnsi="Times New Roman"/>
          <w:b/>
          <w:bCs/>
          <w:sz w:val="28"/>
          <w:lang w:val="es-ES"/>
        </w:rPr>
      </w:pPr>
      <w:r w:rsidRPr="006D0761">
        <w:rPr>
          <w:rStyle w:val="baj"/>
          <w:rFonts w:ascii="Times New Roman" w:hAnsi="Times New Roman"/>
          <w:b/>
          <w:bCs/>
          <w:sz w:val="28"/>
          <w:lang w:val="es-ES"/>
        </w:rPr>
        <w:t>DECRETA:</w:t>
      </w:r>
    </w:p>
    <w:p w:rsidR="000B36A3" w:rsidRPr="006D0761" w:rsidRDefault="006D0761" w:rsidP="6D224379">
      <w:pPr>
        <w:pStyle w:val="centrado"/>
        <w:spacing w:before="0" w:beforeAutospacing="0" w:after="0" w:afterAutospacing="0"/>
        <w:ind w:left="284" w:right="237"/>
        <w:jc w:val="center"/>
        <w:rPr>
          <w:rStyle w:val="baj"/>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1°. </w:t>
      </w:r>
      <w:r w:rsidRPr="006D0761">
        <w:rPr>
          <w:rFonts w:ascii="Times New Roman" w:hAnsi="Times New Roman"/>
          <w:b/>
          <w:bCs/>
          <w:i/>
          <w:iCs/>
          <w:sz w:val="28"/>
          <w:lang w:val="es-ES"/>
        </w:rPr>
        <w:t>Objeto de la ley. </w:t>
      </w:r>
      <w:r w:rsidRPr="006D0761">
        <w:rPr>
          <w:rFonts w:ascii="Times New Roman" w:hAnsi="Times New Roman"/>
          <w:sz w:val="28"/>
          <w:lang w:val="es-ES"/>
        </w:rPr>
        <w:t xml:space="preserve">La presente ley tiene por objeto tipificar el feminicidio como un </w:t>
      </w:r>
      <w:r w:rsidRPr="006D0761">
        <w:rPr>
          <w:rFonts w:ascii="Times New Roman" w:hAnsi="Times New Roman"/>
          <w:sz w:val="28"/>
          <w:lang w:val="es-ES"/>
        </w:rPr>
        <w:t xml:space="preserve">delito autónomo, para garantizar la investigación y sanción de las violencias contra las mujeres por motivos de género y discriminación, así como prevenir y erradicar dichas violencias y adoptar estrategias de sensibilización de la sociedad colombiana, en </w:t>
      </w:r>
      <w:r w:rsidRPr="006D0761">
        <w:rPr>
          <w:rFonts w:ascii="Times New Roman" w:hAnsi="Times New Roman"/>
          <w:sz w:val="28"/>
          <w:lang w:val="es-ES"/>
        </w:rPr>
        <w:t>orden a garantizar el acceso de las mujeres a una vida libre de violencias que favorezca su desarrollo integral y su bienestar, de acuerdo con los principios de igualdad y no discriminación.</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2°. </w:t>
      </w:r>
      <w:r w:rsidRPr="006D0761">
        <w:rPr>
          <w:rFonts w:ascii="Times New Roman" w:hAnsi="Times New Roman"/>
          <w:sz w:val="28"/>
          <w:lang w:val="es-ES"/>
        </w:rPr>
        <w:t>La Ley 599 de 2000 tendrá un artículo 104A del sigu</w:t>
      </w:r>
      <w:r w:rsidRPr="006D0761">
        <w:rPr>
          <w:rFonts w:ascii="Times New Roman" w:hAnsi="Times New Roman"/>
          <w:sz w:val="28"/>
          <w:lang w:val="es-ES"/>
        </w:rPr>
        <w:t>iente tenor: </w:t>
      </w:r>
    </w:p>
    <w:p w:rsidR="000B36A3" w:rsidRPr="006D0761" w:rsidRDefault="006D0761" w:rsidP="6D224379">
      <w:pPr>
        <w:pStyle w:val="centrado"/>
        <w:spacing w:before="0" w:beforeAutospacing="0" w:after="0" w:afterAutospacing="0"/>
        <w:ind w:left="284" w:right="237"/>
        <w:jc w:val="both"/>
        <w:rPr>
          <w:rFonts w:ascii="Times New Roman" w:hAnsi="Times New Roman"/>
          <w:b/>
          <w:bCs/>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104 A. </w:t>
      </w:r>
      <w:r w:rsidRPr="006D0761">
        <w:rPr>
          <w:rFonts w:ascii="Times New Roman" w:hAnsi="Times New Roman"/>
          <w:b/>
          <w:bCs/>
          <w:i/>
          <w:iCs/>
          <w:sz w:val="28"/>
          <w:lang w:val="es-ES"/>
        </w:rPr>
        <w:t>Feminicidio</w:t>
      </w:r>
      <w:r w:rsidRPr="006D0761">
        <w:rPr>
          <w:rFonts w:ascii="Times New Roman" w:hAnsi="Times New Roman"/>
          <w:b/>
          <w:bCs/>
          <w:sz w:val="28"/>
          <w:lang w:val="es-ES"/>
        </w:rPr>
        <w:t>.</w:t>
      </w:r>
      <w:r w:rsidRPr="006D0761">
        <w:rPr>
          <w:rFonts w:ascii="Times New Roman" w:hAnsi="Times New Roman"/>
          <w:sz w:val="28"/>
          <w:lang w:val="es-ES"/>
        </w:rPr>
        <w:t> Quien causare la muerte a una mujer, por su condición de ser mujer o por motivos de su identidad de género o en donde haya concurrido o antecedido cualquiera de las siguientes circunstancias, incurrirá en prisión</w:t>
      </w:r>
      <w:r w:rsidRPr="006D0761">
        <w:rPr>
          <w:rFonts w:ascii="Times New Roman" w:hAnsi="Times New Roman"/>
          <w:sz w:val="28"/>
          <w:lang w:val="es-ES"/>
        </w:rPr>
        <w:t xml:space="preserve"> de doscientos cincuenta (250) meses a quinientos (500) meses.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a). Tener o haber tenido una relación familiar, íntima o, de convivencia con la víctima, de amistad, de compañerismo o de trabajo y ser perpetrador de un ciclo de violencia física, sexual, psic</w:t>
      </w:r>
      <w:r w:rsidRPr="006D0761">
        <w:rPr>
          <w:rFonts w:ascii="Times New Roman" w:hAnsi="Times New Roman"/>
          <w:sz w:val="28"/>
          <w:lang w:val="es-ES"/>
        </w:rPr>
        <w:t>ológica o patrimonial que antecedió el crimen contra ella.</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b). Ejercer sobre el cuerpo y la vida de la mujer actos de instrumentalización de género o sexual o acciones de opresión y dominio sobre sus decisiones vitales y su sexualidad.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xml:space="preserve">c). Cometer el </w:t>
      </w:r>
      <w:r w:rsidRPr="006D0761">
        <w:rPr>
          <w:rFonts w:ascii="Times New Roman" w:hAnsi="Times New Roman"/>
          <w:sz w:val="28"/>
          <w:lang w:val="es-ES"/>
        </w:rPr>
        <w:t>delito en aprovechamiento de las relaciones de poder ejercidas sobre la mujer, expresado en la jerarquización personal, económica, sexual, militar, política o sociocultural.</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d). Cometer el delito para generar terror o humillación a quien se considere enemi</w:t>
      </w:r>
      <w:r w:rsidRPr="006D0761">
        <w:rPr>
          <w:rFonts w:ascii="Times New Roman" w:hAnsi="Times New Roman"/>
          <w:sz w:val="28"/>
          <w:lang w:val="es-ES"/>
        </w:rPr>
        <w:t>go.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xml:space="preserve">e). Que existan antecedentes o indicios de cualquier tipo de violencia o amenaza en el ámbito doméstico, familiar, laboral o escolar por parte del sujeto activo en contra de la víctima o de violencia de género cometida por el autor contra la víctima, </w:t>
      </w:r>
      <w:r w:rsidRPr="006D0761">
        <w:rPr>
          <w:rFonts w:ascii="Times New Roman" w:hAnsi="Times New Roman"/>
          <w:sz w:val="28"/>
          <w:lang w:val="es-ES"/>
        </w:rPr>
        <w:t>independientemente de que el hecho haya sido denunciado o no.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f). Que la víctima haya sido incomunicada o privada de su libertad de locomoción, cualquiera que sea el tiempo previo a la muerte de aquella.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3°. </w:t>
      </w:r>
      <w:r w:rsidRPr="006D0761">
        <w:rPr>
          <w:rFonts w:ascii="Times New Roman" w:hAnsi="Times New Roman"/>
          <w:sz w:val="28"/>
          <w:lang w:val="es-ES"/>
        </w:rPr>
        <w:t>La Ley 599 de 2000 tendrá un artícul</w:t>
      </w:r>
      <w:r w:rsidRPr="006D0761">
        <w:rPr>
          <w:rFonts w:ascii="Times New Roman" w:hAnsi="Times New Roman"/>
          <w:sz w:val="28"/>
          <w:lang w:val="es-ES"/>
        </w:rPr>
        <w:t>o 104B del siguiente tenor: </w:t>
      </w:r>
    </w:p>
    <w:p w:rsidR="00CE6E47" w:rsidRPr="006D0761" w:rsidRDefault="006D0761" w:rsidP="6D224379">
      <w:pPr>
        <w:pStyle w:val="centrado"/>
        <w:spacing w:before="0" w:beforeAutospacing="0" w:after="0" w:afterAutospacing="0"/>
        <w:ind w:left="284" w:right="237"/>
        <w:jc w:val="both"/>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104 B. </w:t>
      </w:r>
      <w:r w:rsidRPr="006D0761">
        <w:rPr>
          <w:rFonts w:ascii="Times New Roman" w:hAnsi="Times New Roman"/>
          <w:b/>
          <w:bCs/>
          <w:i/>
          <w:iCs/>
          <w:sz w:val="28"/>
          <w:lang w:val="es-ES"/>
        </w:rPr>
        <w:t>Circunstancias de agravación punitiva del feminicidio.</w:t>
      </w:r>
      <w:r w:rsidRPr="006D0761">
        <w:rPr>
          <w:rFonts w:ascii="Times New Roman" w:hAnsi="Times New Roman"/>
          <w:i/>
          <w:iCs/>
          <w:sz w:val="28"/>
          <w:lang w:val="es-ES"/>
        </w:rPr>
        <w:t> </w:t>
      </w:r>
      <w:r w:rsidRPr="006D0761">
        <w:rPr>
          <w:rFonts w:ascii="Times New Roman" w:hAnsi="Times New Roman"/>
          <w:sz w:val="28"/>
          <w:lang w:val="es-ES"/>
        </w:rPr>
        <w:t>La pena será de quinientos (500) meses a seiscientos (600) meses de prisión, si el feminicidio se cometiere:</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a). Cuando el autor tenga la calidad de servid</w:t>
      </w:r>
      <w:r w:rsidRPr="006D0761">
        <w:rPr>
          <w:rFonts w:ascii="Times New Roman" w:hAnsi="Times New Roman"/>
          <w:sz w:val="28"/>
          <w:lang w:val="es-ES"/>
        </w:rPr>
        <w:t>or público y desarrolle la conducta punible aprovechándose de esta calidad</w:t>
      </w:r>
      <w:r w:rsidRPr="006D0761">
        <w:rPr>
          <w:rFonts w:ascii="Times New Roman" w:hAnsi="Times New Roman"/>
          <w:sz w:val="28"/>
          <w:lang w:val="es-ES"/>
        </w:rPr>
        <w:t>.</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b). Cuando la conducta punible se cometiere en mujer menor de dieciocho (18) años o mayor de sesenta (60) o mujer en estado de embarazo.</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xml:space="preserve">c). Cuando la conducta se cometiere con el </w:t>
      </w:r>
      <w:r w:rsidRPr="006D0761">
        <w:rPr>
          <w:rFonts w:ascii="Times New Roman" w:hAnsi="Times New Roman"/>
          <w:sz w:val="28"/>
          <w:lang w:val="es-ES"/>
        </w:rPr>
        <w:t>concurso de otra u otras personas.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d). Cuando se cometiere en una mujer en situación de discapacidad física, psíquica o sensorial o desplazamiento forzado, condición socioeconómica o por prejuicios relacionados con la condición étnica o la orientación sexu</w:t>
      </w:r>
      <w:r w:rsidRPr="006D0761">
        <w:rPr>
          <w:rFonts w:ascii="Times New Roman" w:hAnsi="Times New Roman"/>
          <w:sz w:val="28"/>
          <w:lang w:val="es-ES"/>
        </w:rPr>
        <w:t>al.</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e). Cuando la conducta punible fuere cometida en presencia de cualquier persona que integre la unidad doméstica de la víctima.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f). Cuando se cometa el delito con posterioridad a una agresión sexual, a la realización de rituales, actos de mutilación ge</w:t>
      </w:r>
      <w:r w:rsidRPr="006D0761">
        <w:rPr>
          <w:rFonts w:ascii="Times New Roman" w:hAnsi="Times New Roman"/>
          <w:sz w:val="28"/>
          <w:lang w:val="es-ES"/>
        </w:rPr>
        <w:t>nital o cualquier otro tipo de agresión o sufrimiento físico o psicológico.</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g). Por medio de las circunstancias de agravación punitiva descritas en los numerales 1, 3, 5, 6, 7 y 8 del artículo 104 de este Código. </w:t>
      </w:r>
    </w:p>
    <w:p w:rsidR="000B36A3" w:rsidRPr="006D0761" w:rsidRDefault="006D0761" w:rsidP="6D224379">
      <w:pPr>
        <w:pStyle w:val="centrado"/>
        <w:spacing w:before="0" w:beforeAutospacing="0" w:after="0" w:afterAutospacing="0"/>
        <w:ind w:left="284" w:right="237"/>
        <w:jc w:val="both"/>
        <w:rPr>
          <w:rFonts w:ascii="Times New Roman" w:hAnsi="Times New Roman"/>
          <w:b/>
          <w:bCs/>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4°. </w:t>
      </w:r>
      <w:r w:rsidRPr="006D0761">
        <w:rPr>
          <w:rFonts w:ascii="Times New Roman" w:hAnsi="Times New Roman"/>
          <w:sz w:val="28"/>
          <w:lang w:val="es-ES"/>
        </w:rPr>
        <w:t xml:space="preserve">Modifíquese el segundo </w:t>
      </w:r>
      <w:r w:rsidRPr="006D0761">
        <w:rPr>
          <w:rFonts w:ascii="Times New Roman" w:hAnsi="Times New Roman"/>
          <w:sz w:val="28"/>
          <w:lang w:val="es-ES"/>
        </w:rPr>
        <w:t>inciso del artículo 119 del Código Penal -Ley 599 de 2000, el cual quedará así: </w:t>
      </w:r>
    </w:p>
    <w:p w:rsidR="00CE6E47" w:rsidRPr="006D0761" w:rsidRDefault="006D0761" w:rsidP="6D224379">
      <w:pPr>
        <w:pStyle w:val="centrado"/>
        <w:spacing w:before="0" w:beforeAutospacing="0" w:after="0" w:afterAutospacing="0"/>
        <w:ind w:left="284" w:right="237"/>
        <w:jc w:val="both"/>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Cuando las conductas señaladas en los artículos anteriores se cometan en niños y niñas menores de catorce (14) años o en mujer por el hecho de ser mujer, las respectivas pena</w:t>
      </w:r>
      <w:r w:rsidRPr="006D0761">
        <w:rPr>
          <w:rFonts w:ascii="Times New Roman" w:hAnsi="Times New Roman"/>
          <w:sz w:val="28"/>
          <w:lang w:val="es-ES"/>
        </w:rPr>
        <w:t>s se aumentarán en el doble.</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5°. </w:t>
      </w:r>
      <w:r w:rsidRPr="006D0761">
        <w:rPr>
          <w:rFonts w:ascii="Times New Roman" w:hAnsi="Times New Roman"/>
          <w:b/>
          <w:bCs/>
          <w:i/>
          <w:iCs/>
          <w:sz w:val="28"/>
          <w:lang w:val="es-ES"/>
        </w:rPr>
        <w:t>Preacuerdos. </w:t>
      </w:r>
      <w:r w:rsidRPr="006D0761">
        <w:rPr>
          <w:rFonts w:ascii="Times New Roman" w:hAnsi="Times New Roman"/>
          <w:sz w:val="28"/>
          <w:lang w:val="es-ES"/>
        </w:rPr>
        <w:t>La persona que incurra en el delito de feminicidio solo se le podrá aplicar un medio del beneficio de que trata el artículo 351 de la Ley 906 de 2004. Igualmente, no podrá celebrarse preacuerdos sobr</w:t>
      </w:r>
      <w:r w:rsidRPr="006D0761">
        <w:rPr>
          <w:rFonts w:ascii="Times New Roman" w:hAnsi="Times New Roman"/>
          <w:sz w:val="28"/>
          <w:lang w:val="es-ES"/>
        </w:rPr>
        <w:t>e los hechos imputados y sus consecuencias. </w:t>
      </w:r>
    </w:p>
    <w:p w:rsidR="000B36A3" w:rsidRPr="006D0761" w:rsidRDefault="006D0761" w:rsidP="6D224379">
      <w:pPr>
        <w:pStyle w:val="centrado"/>
        <w:spacing w:before="0" w:beforeAutospacing="0" w:after="0" w:afterAutospacing="0"/>
        <w:ind w:left="284" w:right="237"/>
        <w:jc w:val="both"/>
        <w:rPr>
          <w:rFonts w:ascii="Times New Roman" w:hAnsi="Times New Roman"/>
          <w:b/>
          <w:bCs/>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6°. </w:t>
      </w:r>
      <w:r w:rsidRPr="006D0761">
        <w:rPr>
          <w:rFonts w:ascii="Times New Roman" w:hAnsi="Times New Roman"/>
          <w:b/>
          <w:bCs/>
          <w:i/>
          <w:iCs/>
          <w:sz w:val="28"/>
          <w:lang w:val="es-ES"/>
        </w:rPr>
        <w:t>Principios rectores de la debida diligencia en materia de investigación y juzgamiento del delito de feminicidio</w:t>
      </w:r>
      <w:r w:rsidRPr="006D0761">
        <w:rPr>
          <w:rFonts w:ascii="Times New Roman" w:hAnsi="Times New Roman"/>
          <w:b/>
          <w:bCs/>
          <w:sz w:val="28"/>
          <w:lang w:val="es-ES"/>
        </w:rPr>
        <w:t>. </w:t>
      </w:r>
      <w:r w:rsidRPr="006D0761">
        <w:rPr>
          <w:rFonts w:ascii="Times New Roman" w:hAnsi="Times New Roman"/>
          <w:sz w:val="28"/>
          <w:lang w:val="es-ES"/>
        </w:rPr>
        <w:t>Con el fin de garantizar la realización de una investigación técnica, especializada,</w:t>
      </w:r>
      <w:r w:rsidRPr="006D0761">
        <w:rPr>
          <w:rFonts w:ascii="Times New Roman" w:hAnsi="Times New Roman"/>
          <w:sz w:val="28"/>
          <w:lang w:val="es-ES"/>
        </w:rPr>
        <w:t xml:space="preserve"> exhaustiva, imparcial, ágil, oportuna y efectiva sobre la comisión de delito de feminicidio, así como el juzgamiento sin dilaciones de los presuntos responsables, las autoridades jurisdiccionales competentes deberán actuar con la debida diligencia en toda</w:t>
      </w:r>
      <w:r w:rsidRPr="006D0761">
        <w:rPr>
          <w:rFonts w:ascii="Times New Roman" w:hAnsi="Times New Roman"/>
          <w:sz w:val="28"/>
          <w:lang w:val="es-ES"/>
        </w:rPr>
        <w:t>s y cada una de las actuaciones judiciales correspondientes, en acatamiento de los principios de competencia, independencia, imparcialidad, exhaustividad y oportunidad y con miras al respeto del derecho que tienen las víctimas y sus familiares o personas d</w:t>
      </w:r>
      <w:r w:rsidRPr="006D0761">
        <w:rPr>
          <w:rFonts w:ascii="Times New Roman" w:hAnsi="Times New Roman"/>
          <w:sz w:val="28"/>
          <w:lang w:val="es-ES"/>
        </w:rPr>
        <w:t>e su entorno social y/o comunitario, a participar y colaborar con la administración de justicia dentro de los procesos de investigación y juzgamiento de la comisión de las conductas punibles de las violencias en contra de las mujeres y, en particular del f</w:t>
      </w:r>
      <w:r w:rsidRPr="006D0761">
        <w:rPr>
          <w:rFonts w:ascii="Times New Roman" w:hAnsi="Times New Roman"/>
          <w:sz w:val="28"/>
          <w:lang w:val="es-ES"/>
        </w:rPr>
        <w:t>eminicidio.</w:t>
      </w:r>
    </w:p>
    <w:p w:rsidR="000B36A3" w:rsidRPr="006D0761" w:rsidRDefault="006D0761" w:rsidP="6D224379">
      <w:pPr>
        <w:pStyle w:val="centrado"/>
        <w:spacing w:before="0" w:beforeAutospacing="0" w:after="0" w:afterAutospacing="0"/>
        <w:ind w:left="284" w:right="237"/>
        <w:jc w:val="both"/>
        <w:rPr>
          <w:rFonts w:ascii="Times New Roman" w:hAnsi="Times New Roman"/>
          <w:b/>
          <w:bCs/>
          <w:sz w:val="28"/>
          <w:lang w:val="es-ES"/>
        </w:rPr>
      </w:pP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7°. </w:t>
      </w:r>
      <w:r w:rsidRPr="006D0761">
        <w:rPr>
          <w:rFonts w:ascii="Times New Roman" w:hAnsi="Times New Roman"/>
          <w:b/>
          <w:bCs/>
          <w:i/>
          <w:iCs/>
          <w:sz w:val="28"/>
          <w:lang w:val="es-ES"/>
        </w:rPr>
        <w:t>Actuaciones jurisdiccionales dentro del principio de la diligencia debida para desarrollar las investigaciones y el juzgamiento del delito de feminicidio. </w:t>
      </w:r>
      <w:r w:rsidRPr="006D0761">
        <w:rPr>
          <w:rFonts w:ascii="Times New Roman" w:hAnsi="Times New Roman"/>
          <w:sz w:val="28"/>
          <w:lang w:val="es-ES"/>
        </w:rPr>
        <w:t>Las autoridades jurisdiccionales competentes deberán obrar con la diligenci</w:t>
      </w:r>
      <w:r w:rsidRPr="006D0761">
        <w:rPr>
          <w:rFonts w:ascii="Times New Roman" w:hAnsi="Times New Roman"/>
          <w:sz w:val="28"/>
          <w:lang w:val="es-ES"/>
        </w:rPr>
        <w:t>a debida en todas y cada una de las actuaciones judiciales correspondientes, entre otras: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a). La búsqueda e identificación de la víctima o sus restos cuando haya sido sometida a desaparición forzada o se desconozca su paradero.</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b). La indagación sobre los</w:t>
      </w:r>
      <w:r w:rsidRPr="006D0761">
        <w:rPr>
          <w:rFonts w:ascii="Times New Roman" w:hAnsi="Times New Roman"/>
          <w:sz w:val="28"/>
          <w:lang w:val="es-ES"/>
        </w:rPr>
        <w:t xml:space="preserve"> antecedentes del </w:t>
      </w:r>
      <w:r w:rsidRPr="006D0761">
        <w:rPr>
          <w:rFonts w:ascii="Times New Roman" w:hAnsi="Times New Roman"/>
          <w:i/>
          <w:iCs/>
          <w:sz w:val="28"/>
          <w:lang w:val="es-ES"/>
        </w:rPr>
        <w:t>continuum </w:t>
      </w:r>
      <w:r w:rsidRPr="006D0761">
        <w:rPr>
          <w:rFonts w:ascii="Times New Roman" w:hAnsi="Times New Roman"/>
          <w:sz w:val="28"/>
          <w:lang w:val="es-ES"/>
        </w:rPr>
        <w:t>de violencias de que fue víctima la mujer antes de la muerte, aun cuando estos no hayan sido denunciados.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c). La determinación de los elementos subjetivos del tipo penal relacionados con las razones de género que motivaron la c</w:t>
      </w:r>
      <w:r w:rsidRPr="006D0761">
        <w:rPr>
          <w:rFonts w:ascii="Times New Roman" w:hAnsi="Times New Roman"/>
          <w:sz w:val="28"/>
          <w:lang w:val="es-ES"/>
        </w:rPr>
        <w:t>omisión del delito de feminicidio.</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d). La ejecución de las órdenes de captura y las medidas de detención preventiva contra él o los responsables del delito de feminicidio.</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xml:space="preserve"> e). El empleo de todos los medios al alcance para la obtención de las pruebas </w:t>
      </w:r>
      <w:r w:rsidRPr="006D0761">
        <w:rPr>
          <w:rFonts w:ascii="Times New Roman" w:hAnsi="Times New Roman"/>
          <w:sz w:val="28"/>
          <w:lang w:val="es-ES"/>
        </w:rPr>
        <w:t>relevantes en orden a determinar las causas de la muerte violenta contra la mujer.</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f). La ubicación del contexto en el que se cometió el hecho punible y las peculiaridades de la situación y del tipo de violación que se esté investigando.</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g). La eliminaci</w:t>
      </w:r>
      <w:r w:rsidRPr="006D0761">
        <w:rPr>
          <w:rFonts w:ascii="Times New Roman" w:hAnsi="Times New Roman"/>
          <w:sz w:val="28"/>
          <w:lang w:val="es-ES"/>
        </w:rPr>
        <w:t>ón de los obstáculos y mecanismos de hecho y de derecho que conducen a la impunidad de la violencia feminicida.</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xml:space="preserve"> h). El otorgamiento de garantías de seguridad para los testigos, los familiares de las víctimas de la violencia feminicida, lo mismo que a los </w:t>
      </w:r>
      <w:r w:rsidRPr="006D0761">
        <w:rPr>
          <w:rFonts w:ascii="Times New Roman" w:hAnsi="Times New Roman"/>
          <w:sz w:val="28"/>
          <w:lang w:val="es-ES"/>
        </w:rPr>
        <w:t>operadores de la justicia.</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i). La sanción a los responsables del delito de feminicidio mediante el uso eficiente y cuidadoso de los medios al alcance de la jurisdicción penal ordinaria o de las jurisdicciones especiales.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j). La eliminación de los prejuic</w:t>
      </w:r>
      <w:r w:rsidRPr="006D0761">
        <w:rPr>
          <w:rFonts w:ascii="Times New Roman" w:hAnsi="Times New Roman"/>
          <w:sz w:val="28"/>
          <w:lang w:val="es-ES"/>
        </w:rPr>
        <w:t>ios basados en género en relación con las violencias contra las mujeres.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8°. </w:t>
      </w:r>
      <w:r w:rsidRPr="006D0761">
        <w:rPr>
          <w:rFonts w:ascii="Times New Roman" w:hAnsi="Times New Roman"/>
          <w:b/>
          <w:bCs/>
          <w:i/>
          <w:iCs/>
          <w:sz w:val="28"/>
          <w:lang w:val="es-ES"/>
        </w:rPr>
        <w:t>Obligatoriedad y características de la investigación del feminicidio. </w:t>
      </w:r>
      <w:r w:rsidRPr="006D0761">
        <w:rPr>
          <w:rFonts w:ascii="Times New Roman" w:hAnsi="Times New Roman"/>
          <w:sz w:val="28"/>
          <w:lang w:val="es-ES"/>
        </w:rPr>
        <w:t>En los casos de evidencia clara o de sospecha fundada de perpetración de un feminicidio o de una t</w:t>
      </w:r>
      <w:r w:rsidRPr="006D0761">
        <w:rPr>
          <w:rFonts w:ascii="Times New Roman" w:hAnsi="Times New Roman"/>
          <w:sz w:val="28"/>
          <w:lang w:val="es-ES"/>
        </w:rPr>
        <w:t>entativa de feminicidio, las investigaciones deberán iniciarse de oficio y llevarse a cabo inmediatamente y de modo exhaustivo por personal especializado, dotado de los medios logísticos y metodológicos suficientes e indispensables para conducir la identif</w:t>
      </w:r>
      <w:r w:rsidRPr="006D0761">
        <w:rPr>
          <w:rFonts w:ascii="Times New Roman" w:hAnsi="Times New Roman"/>
          <w:sz w:val="28"/>
          <w:lang w:val="es-ES"/>
        </w:rPr>
        <w:t>icación del o de los responsables, su judicialización y sanción.</w:t>
      </w:r>
    </w:p>
    <w:p w:rsidR="000B36A3" w:rsidRPr="006D0761" w:rsidRDefault="006D0761" w:rsidP="6D224379">
      <w:pPr>
        <w:pStyle w:val="centrado"/>
        <w:spacing w:before="0" w:beforeAutospacing="0" w:after="0" w:afterAutospacing="0"/>
        <w:ind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El retiro de una denuncia por una presunta víctima no se constituirá en elemento determinante para el archivo del proceso.</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9°. </w:t>
      </w:r>
      <w:r w:rsidRPr="006D0761">
        <w:rPr>
          <w:rFonts w:ascii="Times New Roman" w:hAnsi="Times New Roman"/>
          <w:b/>
          <w:bCs/>
          <w:i/>
          <w:iCs/>
          <w:sz w:val="28"/>
          <w:lang w:val="es-ES"/>
        </w:rPr>
        <w:t>Asistencia Técnico Legal. </w:t>
      </w:r>
      <w:r w:rsidRPr="006D0761">
        <w:rPr>
          <w:rFonts w:ascii="Times New Roman" w:hAnsi="Times New Roman"/>
          <w:sz w:val="28"/>
          <w:lang w:val="es-ES"/>
        </w:rPr>
        <w:t>El Estado, a través de la</w:t>
      </w:r>
      <w:r w:rsidRPr="006D0761">
        <w:rPr>
          <w:rFonts w:ascii="Times New Roman" w:hAnsi="Times New Roman"/>
          <w:sz w:val="28"/>
          <w:lang w:val="es-ES"/>
        </w:rPr>
        <w:t xml:space="preserve"> Defensoría del Pueblo garantizará la orientación, asesoría y representación jurídica a mujeres víctimas de las violencias de género y en especial de la violencia feminicida de manera gratuita, inmediata, especializada y prioritaria desde la perspectiva de</w:t>
      </w:r>
      <w:r w:rsidRPr="006D0761">
        <w:rPr>
          <w:rFonts w:ascii="Times New Roman" w:hAnsi="Times New Roman"/>
          <w:sz w:val="28"/>
          <w:lang w:val="es-ES"/>
        </w:rPr>
        <w:t xml:space="preserve"> género y de los Derechos Humanos de las mujeres, a fin de garantizar su acceso a la administración de justicia, a un recurso judicial efectivo y al otorgamiento de las medidas de protección y atención consagradas en la Ley 1257 de 2008 y en otras instanci</w:t>
      </w:r>
      <w:r w:rsidRPr="006D0761">
        <w:rPr>
          <w:rFonts w:ascii="Times New Roman" w:hAnsi="Times New Roman"/>
          <w:sz w:val="28"/>
          <w:lang w:val="es-ES"/>
        </w:rPr>
        <w:t>as administrativas y jurisdiccionales.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xml:space="preserve">Esta asistencia técnico legal y la representación jurídica de las mujeres víctimas de las violencias de género la podrán realizar las entidades rectoras de políticas públicas para las mujeres y de equidad de género </w:t>
      </w:r>
      <w:r w:rsidRPr="006D0761">
        <w:rPr>
          <w:rFonts w:ascii="Times New Roman" w:hAnsi="Times New Roman"/>
          <w:sz w:val="28"/>
          <w:lang w:val="es-ES"/>
        </w:rPr>
        <w:t>existentes en el ámbito nacional, departamental, distrital y municipal, de conformidad con sus competencias constitucionales, legales y reglamentarias.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En las entidades territoriales donde no existan o no estén contempladas las instancias y los mecanismo</w:t>
      </w:r>
      <w:r w:rsidRPr="006D0761">
        <w:rPr>
          <w:rFonts w:ascii="Times New Roman" w:hAnsi="Times New Roman"/>
          <w:sz w:val="28"/>
          <w:lang w:val="es-ES"/>
        </w:rPr>
        <w:t>s de atención, protección y asistencia técnico legal para las mujeres víctimas de las violencias de género, de conformidad con sus competencias constitucionales, legales y reglamentarias, deberán crear las instancias y los mecanismos pertinentes al cumplim</w:t>
      </w:r>
      <w:r w:rsidRPr="006D0761">
        <w:rPr>
          <w:rFonts w:ascii="Times New Roman" w:hAnsi="Times New Roman"/>
          <w:sz w:val="28"/>
          <w:lang w:val="es-ES"/>
        </w:rPr>
        <w:t>iento de lo previsto en el presente artículo, en concordancia con las disposiciones establecidas en el artículo 9° de la Ley 1257 de 2008.</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PARÁGRAFO. </w:t>
      </w:r>
      <w:r w:rsidRPr="006D0761">
        <w:rPr>
          <w:rFonts w:ascii="Times New Roman" w:hAnsi="Times New Roman"/>
          <w:sz w:val="28"/>
          <w:lang w:val="es-ES"/>
        </w:rPr>
        <w:t>El plazo para la creación de dichas instancias y los mecanismos de atención, protección y asistencia téc</w:t>
      </w:r>
      <w:r w:rsidRPr="006D0761">
        <w:rPr>
          <w:rFonts w:ascii="Times New Roman" w:hAnsi="Times New Roman"/>
          <w:sz w:val="28"/>
          <w:lang w:val="es-ES"/>
        </w:rPr>
        <w:t>nico legal para las mujeres víctimas de la violencia de género en las entidades territoriales no podrá superar el plazo de un (1) año, contado a partir de la promulgación de la presente ley.</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10°. </w:t>
      </w:r>
      <w:r w:rsidRPr="006D0761">
        <w:rPr>
          <w:rFonts w:ascii="Times New Roman" w:hAnsi="Times New Roman"/>
          <w:b/>
          <w:bCs/>
          <w:i/>
          <w:iCs/>
          <w:sz w:val="28"/>
          <w:lang w:val="es-ES"/>
        </w:rPr>
        <w:t>Sobre la perspectiva de género en la educación pr</w:t>
      </w:r>
      <w:r w:rsidRPr="006D0761">
        <w:rPr>
          <w:rFonts w:ascii="Times New Roman" w:hAnsi="Times New Roman"/>
          <w:b/>
          <w:bCs/>
          <w:i/>
          <w:iCs/>
          <w:sz w:val="28"/>
          <w:lang w:val="es-ES"/>
        </w:rPr>
        <w:t>eescolar, básica y media. </w:t>
      </w:r>
      <w:r w:rsidRPr="006D0761">
        <w:rPr>
          <w:rFonts w:ascii="Times New Roman" w:hAnsi="Times New Roman"/>
          <w:sz w:val="28"/>
          <w:lang w:val="es-ES"/>
        </w:rPr>
        <w:t>A partir de la promulgación de la presente ley, el Ministerio de Educación Nacional dispondrá lo necesario para que las instituciones educativas de preescolar, básica y media incorporen a la malla curricular, la perspectiva de gén</w:t>
      </w:r>
      <w:r w:rsidRPr="006D0761">
        <w:rPr>
          <w:rFonts w:ascii="Times New Roman" w:hAnsi="Times New Roman"/>
          <w:sz w:val="28"/>
          <w:lang w:val="es-ES"/>
        </w:rPr>
        <w:t>ero y las reflexiones alrededor de la misma, centrándose en la protección de la mujer como base fundamental de la sociedad, en el marco del desarrollo de competencias básicas y ciudadanas, según el ciclo vital y educativo de los estudiantes. Dicha incorpor</w:t>
      </w:r>
      <w:r w:rsidRPr="006D0761">
        <w:rPr>
          <w:rFonts w:ascii="Times New Roman" w:hAnsi="Times New Roman"/>
          <w:sz w:val="28"/>
          <w:lang w:val="es-ES"/>
        </w:rPr>
        <w:t>ación será realizada a través de proyectos pedagógicos transversales basados en principios de interdisciplinariedad, intersectorialidad, e interinstitucionalidad sin vulnerar al ideario religioso y ético de las instituciones educativas, así como el derecho</w:t>
      </w:r>
      <w:r w:rsidRPr="006D0761">
        <w:rPr>
          <w:rFonts w:ascii="Times New Roman" w:hAnsi="Times New Roman"/>
          <w:sz w:val="28"/>
          <w:lang w:val="es-ES"/>
        </w:rPr>
        <w:t xml:space="preserve"> de los padres a elegir la educación moral y religiosa para sus hijos.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PARÁGRAFO 1°. </w:t>
      </w:r>
      <w:r w:rsidRPr="006D0761">
        <w:rPr>
          <w:rFonts w:ascii="Times New Roman" w:hAnsi="Times New Roman"/>
          <w:sz w:val="28"/>
          <w:lang w:val="es-ES"/>
        </w:rPr>
        <w:t>El Ministerio de Educación Nacional, establecerá e implementará los mecanismos de monitoreo y evaluación permanente del proceso de incorporación del enfoque de género en</w:t>
      </w:r>
      <w:r w:rsidRPr="006D0761">
        <w:rPr>
          <w:rFonts w:ascii="Times New Roman" w:hAnsi="Times New Roman"/>
          <w:sz w:val="28"/>
          <w:lang w:val="es-ES"/>
        </w:rPr>
        <w:t xml:space="preserve"> los proyectos pedagógicos y sus resultados, sobre lo cual deberá entregar un informe anual a la Comisión Legal para la Equidad de la Mujer del Congreso de la República de Colombia y a las autoridades que lo requieran.</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PARÁGRAFO 2°. </w:t>
      </w:r>
      <w:r w:rsidRPr="006D0761">
        <w:rPr>
          <w:rFonts w:ascii="Times New Roman" w:hAnsi="Times New Roman"/>
          <w:sz w:val="28"/>
          <w:lang w:val="es-ES"/>
        </w:rPr>
        <w:t>El Ministerio de Educ</w:t>
      </w:r>
      <w:r w:rsidRPr="006D0761">
        <w:rPr>
          <w:rFonts w:ascii="Times New Roman" w:hAnsi="Times New Roman"/>
          <w:sz w:val="28"/>
          <w:lang w:val="es-ES"/>
        </w:rPr>
        <w:t>ación Nacional tendrá un plazo de seis (6) meses contados a partir de la promulgación de la presente ley para iniciar el proceso de reglamentación que garantice la efectiva integración del enfoque de género a los procesos y proyectos pedagógicos en todas l</w:t>
      </w:r>
      <w:r w:rsidRPr="006D0761">
        <w:rPr>
          <w:rFonts w:ascii="Times New Roman" w:hAnsi="Times New Roman"/>
          <w:sz w:val="28"/>
          <w:lang w:val="es-ES"/>
        </w:rPr>
        <w:t>as instituciones educativas de preescolar, básica y media. Ver Resolución Sec. Educación 800 de 2015.</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11. </w:t>
      </w:r>
      <w:r w:rsidRPr="006D0761">
        <w:rPr>
          <w:rFonts w:ascii="Times New Roman" w:hAnsi="Times New Roman"/>
          <w:b/>
          <w:bCs/>
          <w:i/>
          <w:iCs/>
          <w:sz w:val="28"/>
          <w:lang w:val="es-ES"/>
        </w:rPr>
        <w:t>Formación de género, Derechos Humanos o Derecho Internacional Humanitario de los servidores públicos. </w:t>
      </w:r>
      <w:r w:rsidRPr="006D0761">
        <w:rPr>
          <w:rFonts w:ascii="Times New Roman" w:hAnsi="Times New Roman"/>
          <w:sz w:val="28"/>
          <w:lang w:val="es-ES"/>
        </w:rPr>
        <w:t>A partir de la promulgación de la pre</w:t>
      </w:r>
      <w:r w:rsidRPr="006D0761">
        <w:rPr>
          <w:rFonts w:ascii="Times New Roman" w:hAnsi="Times New Roman"/>
          <w:sz w:val="28"/>
          <w:lang w:val="es-ES"/>
        </w:rPr>
        <w:t xml:space="preserve">sente ley, los servidores públicos de la Rama Ejecutiva o Judicial en cualquiera de los órdenes que tengan funciones o competencias en la prevención, investigación, judicialización, sanción y reparación de todas las formas de violencia contra las mujeres, </w:t>
      </w:r>
      <w:r w:rsidRPr="006D0761">
        <w:rPr>
          <w:rFonts w:ascii="Times New Roman" w:hAnsi="Times New Roman"/>
          <w:sz w:val="28"/>
          <w:lang w:val="es-ES"/>
        </w:rPr>
        <w:t>deberán recibir formación en género, Derechos Humanos y Derecho Internacional Humanitario, en los procesos de inducción y reinducción en los que deban participar, de acuerdo con las normas que regulen sus respectivos empleos.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12. </w:t>
      </w:r>
      <w:r w:rsidRPr="006D0761">
        <w:rPr>
          <w:rFonts w:ascii="Times New Roman" w:hAnsi="Times New Roman"/>
          <w:b/>
          <w:bCs/>
          <w:i/>
          <w:iCs/>
          <w:sz w:val="28"/>
          <w:lang w:val="es-ES"/>
        </w:rPr>
        <w:t xml:space="preserve">Adopción de un </w:t>
      </w:r>
      <w:r w:rsidRPr="006D0761">
        <w:rPr>
          <w:rFonts w:ascii="Times New Roman" w:hAnsi="Times New Roman"/>
          <w:b/>
          <w:bCs/>
          <w:i/>
          <w:iCs/>
          <w:sz w:val="28"/>
          <w:lang w:val="es-ES"/>
        </w:rPr>
        <w:t>Sistema Nacional de Estadísticas sobre Violencia Basada en Género. </w:t>
      </w:r>
      <w:r w:rsidRPr="006D0761">
        <w:rPr>
          <w:rFonts w:ascii="Times New Roman" w:hAnsi="Times New Roman"/>
          <w:sz w:val="28"/>
          <w:lang w:val="es-ES"/>
        </w:rPr>
        <w:t>Dentro del año siguiente a la promulgación de la presente ley, el Departamento Nacional de Estadísticas (DANE), en coordinación con el Ministerio de Justicia y del Derecho y el Instituto de</w:t>
      </w:r>
      <w:r w:rsidRPr="006D0761">
        <w:rPr>
          <w:rFonts w:ascii="Times New Roman" w:hAnsi="Times New Roman"/>
          <w:sz w:val="28"/>
          <w:lang w:val="es-ES"/>
        </w:rPr>
        <w:t xml:space="preserve"> Medicina Legal y Ciencias Forenses (INMLCF), adoptarán un Sistema Nacional de Recopilación de Datos sobre los hechos relacionados con la violencia de género en el país, en orden a establecer los tipos, ámbitos, modalidades, frecuencia, medios utilizados p</w:t>
      </w:r>
      <w:r w:rsidRPr="006D0761">
        <w:rPr>
          <w:rFonts w:ascii="Times New Roman" w:hAnsi="Times New Roman"/>
          <w:sz w:val="28"/>
          <w:lang w:val="es-ES"/>
        </w:rPr>
        <w:t>ara ejecutar la violencia, niveles de impacto personal y social, medidas otorgadas, servicios prestados y estado del proceso judicial, para la definición de políticas públicas de prevención, protección, atención y reparación de las víctimas de la violencia</w:t>
      </w:r>
      <w:r w:rsidRPr="006D0761">
        <w:rPr>
          <w:rFonts w:ascii="Times New Roman" w:hAnsi="Times New Roman"/>
          <w:sz w:val="28"/>
          <w:lang w:val="es-ES"/>
        </w:rPr>
        <w:t xml:space="preserve"> de género.</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b/>
          <w:bCs/>
          <w:sz w:val="28"/>
          <w:lang w:val="es-ES"/>
        </w:rPr>
        <w:t>ARTÍCULO 13. </w:t>
      </w:r>
      <w:r w:rsidRPr="006D0761">
        <w:rPr>
          <w:rFonts w:ascii="Times New Roman" w:hAnsi="Times New Roman"/>
          <w:b/>
          <w:bCs/>
          <w:i/>
          <w:iCs/>
          <w:sz w:val="28"/>
          <w:lang w:val="es-ES"/>
        </w:rPr>
        <w:t>Vigencia. </w:t>
      </w:r>
      <w:r w:rsidRPr="006D0761">
        <w:rPr>
          <w:rFonts w:ascii="Times New Roman" w:hAnsi="Times New Roman"/>
          <w:sz w:val="28"/>
          <w:lang w:val="es-ES"/>
        </w:rPr>
        <w:t>La presente ley rige a partir de su promulgación y deroga el numeral undécimo del artículo 104 del Código Penal - Ley 599 de 2000, así como las demás disposiciones que le sean contrarias.</w:t>
      </w:r>
    </w:p>
    <w:p w:rsidR="000B36A3" w:rsidRPr="006D0761" w:rsidRDefault="006D0761" w:rsidP="6D224379">
      <w:pPr>
        <w:pStyle w:val="centrado"/>
        <w:spacing w:before="0" w:beforeAutospacing="0" w:after="0" w:afterAutospacing="0"/>
        <w:ind w:left="284" w:right="237"/>
        <w:jc w:val="both"/>
        <w:rPr>
          <w:rFonts w:ascii="Times New Roman" w:hAnsi="Times New Roman"/>
          <w:sz w:val="28"/>
          <w:lang w:val="es-ES"/>
        </w:rPr>
      </w:pPr>
      <w:r w:rsidRPr="006D0761">
        <w:rPr>
          <w:rFonts w:ascii="Times New Roman" w:hAnsi="Times New Roman"/>
          <w:sz w:val="28"/>
          <w:lang w:val="es-ES"/>
        </w:rPr>
        <w:t> </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JOSÉ DAVID NAME CARDOZO.</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EL P</w:t>
      </w:r>
      <w:r w:rsidRPr="006D0761">
        <w:rPr>
          <w:rFonts w:ascii="Times New Roman" w:hAnsi="Times New Roman"/>
          <w:sz w:val="28"/>
          <w:lang w:val="es-ES"/>
        </w:rPr>
        <w:t>RESIDENTE DEL HONORABLE SENADO DE LA REPÚBLICA,</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GREGORIO ELJACH PACHECO.</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EL SECRETARIO GENERAL DEL HONORABLE SENADO DE LA REPÚBLICA,</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FABIO RAÚL AMÍN SALEME.</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EL PRESIDENTE DE LA HONORABLE CÁMARA DE REPRESENTANTES,</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JORGE HUMBERTO MANTILLA SERRANO.</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 xml:space="preserve">EL </w:t>
      </w:r>
      <w:r w:rsidRPr="006D0761">
        <w:rPr>
          <w:rFonts w:ascii="Times New Roman" w:hAnsi="Times New Roman"/>
          <w:sz w:val="28"/>
          <w:lang w:val="es-ES"/>
        </w:rPr>
        <w:t>SECRETARIO GENERAL DE LA HONORABLE CÁMARA DE REPRESENTANTES,</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REPÚBLICA DE COLOMBIA-GOBIERNO NACIONAL</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PUBLÍQUESE Y CÚMPLASE.</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Dada en Bogotá, D. D., a los 6 del mes de julio de 2015.</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JUAN MANUEL SANTOS CALDERÓN</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YESID REYES ALVARADO.</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EL MINISTRO DE JUSTIC</w:t>
      </w:r>
      <w:r w:rsidRPr="006D0761">
        <w:rPr>
          <w:rFonts w:ascii="Times New Roman" w:hAnsi="Times New Roman"/>
          <w:sz w:val="28"/>
          <w:lang w:val="es-ES"/>
        </w:rPr>
        <w:t>IA Y DEL DERECHO,</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GINA PARODY D´ECHEONA.</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LA MINISTRA DE EDUCACIÓN NACIONAL,</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MAURICIO PERFETTI DEL CORRAL.</w:t>
      </w:r>
    </w:p>
    <w:p w:rsidR="000B36A3" w:rsidRPr="006D0761" w:rsidRDefault="006D0761" w:rsidP="6D224379">
      <w:pPr>
        <w:pStyle w:val="centrado"/>
        <w:spacing w:before="0" w:beforeAutospacing="0" w:after="0" w:afterAutospacing="0"/>
        <w:ind w:left="284" w:right="237"/>
        <w:jc w:val="center"/>
        <w:rPr>
          <w:rFonts w:ascii="Times New Roman" w:hAnsi="Times New Roman"/>
          <w:sz w:val="28"/>
          <w:lang w:val="es-ES"/>
        </w:rPr>
      </w:pPr>
      <w:r w:rsidRPr="006D0761">
        <w:rPr>
          <w:rFonts w:ascii="Times New Roman" w:hAnsi="Times New Roman"/>
          <w:sz w:val="28"/>
          <w:lang w:val="es-ES"/>
        </w:rPr>
        <w:t>EL DIRECTOR DEL DEPARTAMENTO NACIONAL DE ESTADÍSTICA (DANE)</w:t>
      </w:r>
    </w:p>
    <w:p w:rsidR="003A3F0E" w:rsidRPr="006D0761" w:rsidRDefault="006D0761" w:rsidP="6D224379">
      <w:pPr>
        <w:jc w:val="both"/>
        <w:rPr>
          <w:rFonts w:ascii="Times New Roman" w:hAnsi="Times New Roman"/>
          <w:color w:val="000000"/>
          <w:sz w:val="28"/>
          <w:szCs w:val="28"/>
          <w:lang w:val="es-ES"/>
        </w:rPr>
      </w:pPr>
    </w:p>
    <w:p w:rsidR="003A3F0E" w:rsidRPr="006D0761" w:rsidRDefault="006D0761" w:rsidP="00EB501B">
      <w:pPr>
        <w:pStyle w:val="Ttulo2"/>
        <w:numPr>
          <w:ilvl w:val="0"/>
          <w:numId w:val="3"/>
        </w:numPr>
        <w:ind w:left="0" w:firstLine="0"/>
        <w:rPr>
          <w:rFonts w:ascii="Times New Roman" w:hAnsi="Times New Roman"/>
          <w:lang w:val="es-ES"/>
        </w:rPr>
      </w:pPr>
      <w:bookmarkStart w:id="3" w:name="_Toc220572665"/>
      <w:r w:rsidRPr="006D0761">
        <w:rPr>
          <w:rFonts w:ascii="Times New Roman" w:hAnsi="Times New Roman"/>
          <w:lang w:val="es-ES"/>
        </w:rPr>
        <w:t>Relación de siglas, abreviaturas y equivalencias</w:t>
      </w:r>
      <w:bookmarkEnd w:id="3"/>
    </w:p>
    <w:p w:rsidR="003A3F0E" w:rsidRPr="006D0761" w:rsidRDefault="006D0761" w:rsidP="6D224379">
      <w:pPr>
        <w:jc w:val="both"/>
        <w:rPr>
          <w:rFonts w:ascii="Times New Roman" w:hAnsi="Times New Roman"/>
          <w:color w:val="000000"/>
          <w:sz w:val="28"/>
          <w:szCs w:val="28"/>
          <w:lang w:val="es-ES"/>
        </w:rPr>
      </w:pPr>
    </w:p>
    <w:p w:rsidR="003A3F0E"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el texto de la decisión, con el </w:t>
      </w:r>
      <w:r w:rsidRPr="006D0761">
        <w:rPr>
          <w:rFonts w:ascii="Times New Roman" w:hAnsi="Times New Roman"/>
          <w:color w:val="000000"/>
          <w:sz w:val="28"/>
          <w:szCs w:val="28"/>
          <w:lang w:val="es-ES"/>
        </w:rPr>
        <w:t>ánimo de facilitar su lectura, la Corte utilizará algunas siglas</w:t>
      </w:r>
      <w:r w:rsidRPr="006D0761">
        <w:rPr>
          <w:rFonts w:ascii="Times New Roman" w:hAnsi="Times New Roman"/>
          <w:color w:val="000000"/>
          <w:sz w:val="28"/>
          <w:szCs w:val="28"/>
          <w:lang w:val="es-ES"/>
        </w:rPr>
        <w:t xml:space="preserve"> y abreviaturas</w:t>
      </w:r>
      <w:r w:rsidRPr="006D0761">
        <w:rPr>
          <w:rFonts w:ascii="Times New Roman" w:hAnsi="Times New Roman"/>
          <w:color w:val="000000"/>
          <w:sz w:val="28"/>
          <w:szCs w:val="28"/>
          <w:lang w:val="es-ES"/>
        </w:rPr>
        <w:t xml:space="preserve"> que son empleadas usualmente para referir a entidades o instrumentos relacionados con el presente asunto. Las siglas son las siguientes:</w:t>
      </w:r>
    </w:p>
    <w:p w:rsidR="6D224379" w:rsidRPr="006D0761" w:rsidRDefault="006D0761" w:rsidP="00F573C1">
      <w:pPr>
        <w:jc w:val="center"/>
        <w:rPr>
          <w:rFonts w:ascii="Times New Roman" w:hAnsi="Times New Roman"/>
          <w:i/>
          <w:iCs/>
          <w:color w:val="000000"/>
          <w:sz w:val="28"/>
          <w:lang w:val="es-ES"/>
        </w:rPr>
      </w:pPr>
      <w:r w:rsidRPr="006D0761">
        <w:rPr>
          <w:rFonts w:ascii="Times New Roman" w:hAnsi="Times New Roman"/>
          <w:color w:val="000000"/>
          <w:sz w:val="28"/>
          <w:lang w:val="es-ES"/>
        </w:rPr>
        <w:t xml:space="preserve">Tabla 1. </w:t>
      </w:r>
      <w:r w:rsidRPr="006D0761">
        <w:rPr>
          <w:rFonts w:ascii="Times New Roman" w:hAnsi="Times New Roman"/>
          <w:i/>
          <w:iCs/>
          <w:color w:val="000000"/>
          <w:sz w:val="28"/>
          <w:lang w:val="es-ES"/>
        </w:rPr>
        <w:t>Abreviaturas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0"/>
        <w:gridCol w:w="6186"/>
      </w:tblGrid>
      <w:tr w:rsidR="003A3F0E" w:rsidRPr="006D0761" w:rsidTr="006D0761">
        <w:tc>
          <w:tcPr>
            <w:tcW w:w="2830" w:type="dxa"/>
            <w:shd w:val="clear" w:color="auto" w:fill="auto"/>
          </w:tcPr>
          <w:p w:rsidR="003A3F0E" w:rsidRPr="006D0761" w:rsidRDefault="006D0761" w:rsidP="006D0761">
            <w:pPr>
              <w:spacing w:after="0" w:line="240" w:lineRule="auto"/>
              <w:jc w:val="center"/>
              <w:rPr>
                <w:rFonts w:ascii="Times New Roman" w:hAnsi="Times New Roman"/>
                <w:b/>
                <w:bCs/>
                <w:color w:val="000000"/>
                <w:sz w:val="28"/>
                <w:lang w:val="es-ES"/>
              </w:rPr>
            </w:pPr>
            <w:r w:rsidRPr="006D0761">
              <w:rPr>
                <w:rFonts w:ascii="Times New Roman" w:hAnsi="Times New Roman"/>
                <w:b/>
                <w:bCs/>
                <w:color w:val="000000"/>
                <w:sz w:val="28"/>
                <w:lang w:val="es-ES"/>
              </w:rPr>
              <w:t xml:space="preserve">Sigla o </w:t>
            </w:r>
            <w:r w:rsidRPr="006D0761">
              <w:rPr>
                <w:rFonts w:ascii="Times New Roman" w:hAnsi="Times New Roman"/>
                <w:b/>
                <w:bCs/>
                <w:color w:val="000000"/>
                <w:sz w:val="28"/>
                <w:lang w:val="es-ES"/>
              </w:rPr>
              <w:t>abreviatura</w:t>
            </w:r>
          </w:p>
        </w:tc>
        <w:tc>
          <w:tcPr>
            <w:tcW w:w="6186" w:type="dxa"/>
            <w:shd w:val="clear" w:color="auto" w:fill="auto"/>
          </w:tcPr>
          <w:p w:rsidR="003A3F0E" w:rsidRPr="006D0761" w:rsidRDefault="006D0761" w:rsidP="006D0761">
            <w:pPr>
              <w:spacing w:after="0" w:line="240" w:lineRule="auto"/>
              <w:jc w:val="center"/>
              <w:rPr>
                <w:rFonts w:ascii="Times New Roman" w:hAnsi="Times New Roman"/>
                <w:b/>
                <w:bCs/>
                <w:color w:val="000000"/>
                <w:sz w:val="28"/>
                <w:lang w:val="es-ES"/>
              </w:rPr>
            </w:pPr>
            <w:r w:rsidRPr="006D0761">
              <w:rPr>
                <w:rFonts w:ascii="Times New Roman" w:hAnsi="Times New Roman"/>
                <w:b/>
                <w:bCs/>
                <w:color w:val="000000"/>
                <w:sz w:val="28"/>
                <w:lang w:val="es-ES"/>
              </w:rPr>
              <w:t>Nombre completo</w:t>
            </w:r>
          </w:p>
          <w:p w:rsidR="003A3F0E" w:rsidRPr="006D0761" w:rsidRDefault="006D0761" w:rsidP="006D0761">
            <w:pPr>
              <w:spacing w:after="0" w:line="240" w:lineRule="auto"/>
              <w:jc w:val="center"/>
              <w:rPr>
                <w:rFonts w:ascii="Times New Roman" w:hAnsi="Times New Roman"/>
                <w:color w:val="000000"/>
                <w:sz w:val="28"/>
                <w:lang w:val="es-ES"/>
              </w:rPr>
            </w:pPr>
          </w:p>
        </w:tc>
      </w:tr>
      <w:tr w:rsidR="003A3F0E" w:rsidRPr="006D0761" w:rsidTr="006D0761">
        <w:tc>
          <w:tcPr>
            <w:tcW w:w="2830" w:type="dxa"/>
            <w:shd w:val="clear" w:color="auto" w:fill="auto"/>
          </w:tcPr>
          <w:p w:rsidR="003A3F0E"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CEDAW</w:t>
            </w:r>
          </w:p>
        </w:tc>
        <w:tc>
          <w:tcPr>
            <w:tcW w:w="6186" w:type="dxa"/>
            <w:shd w:val="clear" w:color="auto" w:fill="auto"/>
          </w:tcPr>
          <w:p w:rsidR="003A3F0E"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Convención para la Eliminación de la Discriminación contra la Mujer </w:t>
            </w:r>
          </w:p>
        </w:tc>
      </w:tr>
      <w:tr w:rsidR="0092646D" w:rsidRPr="006D0761" w:rsidTr="006D0761">
        <w:tc>
          <w:tcPr>
            <w:tcW w:w="2830" w:type="dxa"/>
            <w:shd w:val="clear" w:color="auto" w:fill="auto"/>
          </w:tcPr>
          <w:p w:rsidR="0092646D"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CADH</w:t>
            </w:r>
          </w:p>
        </w:tc>
        <w:tc>
          <w:tcPr>
            <w:tcW w:w="6186" w:type="dxa"/>
            <w:shd w:val="clear" w:color="auto" w:fill="auto"/>
          </w:tcPr>
          <w:p w:rsidR="0092646D"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Convención Americana sobre Derechos Humanos</w:t>
            </w:r>
          </w:p>
        </w:tc>
      </w:tr>
      <w:tr w:rsidR="0092646D" w:rsidRPr="006D0761" w:rsidTr="006D0761">
        <w:tc>
          <w:tcPr>
            <w:tcW w:w="2830" w:type="dxa"/>
            <w:shd w:val="clear" w:color="auto" w:fill="auto"/>
          </w:tcPr>
          <w:p w:rsidR="0092646D"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Convención de Belém do Par</w:t>
            </w:r>
            <w:r w:rsidRPr="006D0761">
              <w:rPr>
                <w:rFonts w:ascii="Times New Roman" w:hAnsi="Times New Roman"/>
                <w:b/>
                <w:bCs/>
                <w:color w:val="000000"/>
                <w:sz w:val="28"/>
                <w:lang w:val="es-ES"/>
              </w:rPr>
              <w:t>á</w:t>
            </w:r>
          </w:p>
        </w:tc>
        <w:tc>
          <w:tcPr>
            <w:tcW w:w="6186" w:type="dxa"/>
            <w:shd w:val="clear" w:color="auto" w:fill="auto"/>
          </w:tcPr>
          <w:p w:rsidR="0092646D"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Convención Americana para prevenir, sancionar y erradicar la violencia </w:t>
            </w:r>
            <w:r w:rsidRPr="006D0761">
              <w:rPr>
                <w:rFonts w:ascii="Times New Roman" w:hAnsi="Times New Roman"/>
                <w:color w:val="000000"/>
                <w:sz w:val="28"/>
                <w:lang w:val="es-ES"/>
              </w:rPr>
              <w:t>contra la mujer</w:t>
            </w:r>
          </w:p>
        </w:tc>
      </w:tr>
      <w:tr w:rsidR="003A3F0E" w:rsidRPr="006D0761" w:rsidTr="006D0761">
        <w:tc>
          <w:tcPr>
            <w:tcW w:w="2830" w:type="dxa"/>
            <w:shd w:val="clear" w:color="auto" w:fill="auto"/>
          </w:tcPr>
          <w:p w:rsidR="003A3F0E"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CIDH</w:t>
            </w:r>
          </w:p>
        </w:tc>
        <w:tc>
          <w:tcPr>
            <w:tcW w:w="6186" w:type="dxa"/>
            <w:shd w:val="clear" w:color="auto" w:fill="auto"/>
          </w:tcPr>
          <w:p w:rsidR="003A3F0E"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Comisión Interamericana de Derechos Humanos</w:t>
            </w:r>
          </w:p>
        </w:tc>
      </w:tr>
      <w:tr w:rsidR="003A3F0E" w:rsidRPr="006D0761" w:rsidTr="006D0761">
        <w:tc>
          <w:tcPr>
            <w:tcW w:w="2830" w:type="dxa"/>
            <w:shd w:val="clear" w:color="auto" w:fill="auto"/>
          </w:tcPr>
          <w:p w:rsidR="003A3F0E"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C</w:t>
            </w:r>
            <w:r w:rsidRPr="006D0761">
              <w:rPr>
                <w:rFonts w:ascii="Times New Roman" w:hAnsi="Times New Roman"/>
                <w:b/>
                <w:bCs/>
                <w:color w:val="000000"/>
                <w:sz w:val="28"/>
                <w:lang w:val="es-ES"/>
              </w:rPr>
              <w:t xml:space="preserve">orte </w:t>
            </w:r>
            <w:r w:rsidRPr="006D0761">
              <w:rPr>
                <w:rFonts w:ascii="Times New Roman" w:hAnsi="Times New Roman"/>
                <w:b/>
                <w:bCs/>
                <w:color w:val="000000"/>
                <w:sz w:val="28"/>
                <w:lang w:val="es-ES"/>
              </w:rPr>
              <w:t>IDH</w:t>
            </w:r>
          </w:p>
        </w:tc>
        <w:tc>
          <w:tcPr>
            <w:tcW w:w="6186" w:type="dxa"/>
            <w:shd w:val="clear" w:color="auto" w:fill="auto"/>
          </w:tcPr>
          <w:p w:rsidR="003A3F0E"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Corte Interamericana de Derechos Humanos</w:t>
            </w:r>
          </w:p>
        </w:tc>
      </w:tr>
      <w:tr w:rsidR="003A3F0E" w:rsidRPr="006D0761" w:rsidTr="006D0761">
        <w:tc>
          <w:tcPr>
            <w:tcW w:w="2830" w:type="dxa"/>
            <w:shd w:val="clear" w:color="auto" w:fill="auto"/>
          </w:tcPr>
          <w:p w:rsidR="003A3F0E"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 xml:space="preserve">ICBF </w:t>
            </w:r>
          </w:p>
        </w:tc>
        <w:tc>
          <w:tcPr>
            <w:tcW w:w="6186" w:type="dxa"/>
            <w:shd w:val="clear" w:color="auto" w:fill="auto"/>
          </w:tcPr>
          <w:p w:rsidR="003A3F0E"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Instituto Colombiano de Bienestar Familiar</w:t>
            </w:r>
          </w:p>
        </w:tc>
      </w:tr>
      <w:tr w:rsidR="003A3F0E" w:rsidRPr="006D0761" w:rsidTr="006D0761">
        <w:tc>
          <w:tcPr>
            <w:tcW w:w="2830" w:type="dxa"/>
            <w:shd w:val="clear" w:color="auto" w:fill="auto"/>
          </w:tcPr>
          <w:p w:rsidR="003A3F0E"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INMLCF</w:t>
            </w:r>
          </w:p>
        </w:tc>
        <w:tc>
          <w:tcPr>
            <w:tcW w:w="6186" w:type="dxa"/>
            <w:shd w:val="clear" w:color="auto" w:fill="auto"/>
          </w:tcPr>
          <w:p w:rsidR="003A3F0E"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Instituto Nacional de Medicina Legal y Ciencias Forenses</w:t>
            </w:r>
          </w:p>
        </w:tc>
      </w:tr>
      <w:tr w:rsidR="003A3F0E" w:rsidRPr="006D0761" w:rsidTr="006D0761">
        <w:tc>
          <w:tcPr>
            <w:tcW w:w="2830" w:type="dxa"/>
            <w:shd w:val="clear" w:color="auto" w:fill="auto"/>
          </w:tcPr>
          <w:p w:rsidR="003A3F0E"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DANE</w:t>
            </w:r>
          </w:p>
        </w:tc>
        <w:tc>
          <w:tcPr>
            <w:tcW w:w="6186" w:type="dxa"/>
            <w:shd w:val="clear" w:color="auto" w:fill="auto"/>
          </w:tcPr>
          <w:p w:rsidR="003A3F0E"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Departamento </w:t>
            </w:r>
            <w:r w:rsidRPr="006D0761">
              <w:rPr>
                <w:rFonts w:ascii="Times New Roman" w:hAnsi="Times New Roman"/>
                <w:color w:val="000000"/>
                <w:sz w:val="28"/>
                <w:lang w:val="es-ES"/>
              </w:rPr>
              <w:t>Administrativo Nacional de Estadísticas</w:t>
            </w:r>
          </w:p>
        </w:tc>
      </w:tr>
      <w:tr w:rsidR="003A3F0E" w:rsidRPr="006D0761" w:rsidTr="006D0761">
        <w:tc>
          <w:tcPr>
            <w:tcW w:w="2830" w:type="dxa"/>
            <w:shd w:val="clear" w:color="auto" w:fill="auto"/>
          </w:tcPr>
          <w:p w:rsidR="003A3F0E"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FGN</w:t>
            </w:r>
          </w:p>
        </w:tc>
        <w:tc>
          <w:tcPr>
            <w:tcW w:w="6186" w:type="dxa"/>
            <w:shd w:val="clear" w:color="auto" w:fill="auto"/>
          </w:tcPr>
          <w:p w:rsidR="003A3F0E"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Fiscalía General de la Nación</w:t>
            </w:r>
          </w:p>
        </w:tc>
      </w:tr>
      <w:tr w:rsidR="0092646D" w:rsidRPr="006D0761" w:rsidTr="006D0761">
        <w:tc>
          <w:tcPr>
            <w:tcW w:w="2830" w:type="dxa"/>
            <w:shd w:val="clear" w:color="auto" w:fill="auto"/>
          </w:tcPr>
          <w:p w:rsidR="0092646D"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Secretaría de la Mujer</w:t>
            </w:r>
          </w:p>
        </w:tc>
        <w:tc>
          <w:tcPr>
            <w:tcW w:w="6186" w:type="dxa"/>
            <w:shd w:val="clear" w:color="auto" w:fill="auto"/>
          </w:tcPr>
          <w:p w:rsidR="0092646D"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Secretaría Distrital de la Mujer - Bogotá</w:t>
            </w:r>
          </w:p>
        </w:tc>
      </w:tr>
    </w:tbl>
    <w:p w:rsidR="003A3F0E" w:rsidRPr="006D0761" w:rsidRDefault="006D0761" w:rsidP="6D224379">
      <w:pPr>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w:t>
      </w:r>
    </w:p>
    <w:p w:rsidR="008E2564" w:rsidRPr="006D0761" w:rsidRDefault="006D0761" w:rsidP="00EB501B">
      <w:pPr>
        <w:pStyle w:val="Ttulo2"/>
        <w:rPr>
          <w:rFonts w:ascii="Times New Roman" w:hAnsi="Times New Roman"/>
          <w:szCs w:val="28"/>
          <w:lang w:val="es-ES"/>
        </w:rPr>
      </w:pPr>
      <w:bookmarkStart w:id="4" w:name="_Toc220572666"/>
      <w:r w:rsidRPr="006D0761">
        <w:rPr>
          <w:rFonts w:ascii="Times New Roman" w:hAnsi="Times New Roman"/>
          <w:lang w:val="es-ES"/>
        </w:rPr>
        <w:t>3.</w:t>
      </w:r>
      <w:r w:rsidRPr="006D0761">
        <w:rPr>
          <w:rFonts w:ascii="Times New Roman" w:hAnsi="Times New Roman"/>
          <w:lang w:val="es-ES"/>
        </w:rPr>
        <w:t xml:space="preserve"> </w:t>
      </w:r>
      <w:r w:rsidRPr="006D0761">
        <w:rPr>
          <w:rFonts w:ascii="Times New Roman" w:hAnsi="Times New Roman"/>
          <w:szCs w:val="28"/>
          <w:lang w:val="es-ES"/>
        </w:rPr>
        <w:t>La demanda</w:t>
      </w:r>
      <w:bookmarkEnd w:id="4"/>
    </w:p>
    <w:p w:rsidR="6E3DF2DB" w:rsidRPr="006D0761" w:rsidRDefault="006D0761" w:rsidP="00330CB9">
      <w:pPr>
        <w:pStyle w:val="Prrafodelista"/>
        <w:ind w:left="0"/>
        <w:jc w:val="both"/>
        <w:rPr>
          <w:rFonts w:ascii="Times New Roman" w:hAnsi="Times New Roman"/>
          <w:b/>
          <w:bCs/>
          <w:color w:val="000000"/>
          <w:sz w:val="28"/>
          <w:szCs w:val="28"/>
          <w:lang w:val="es-ES"/>
        </w:rPr>
      </w:pPr>
    </w:p>
    <w:p w:rsidR="00DB3ABA"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La demanda contra la Ley 1761 de 2015 se sustenta en la supuesta vulneración de los artículos 13 y 93 de la Constitución, en conexión con disposiciones de la </w:t>
      </w:r>
      <w:r w:rsidRPr="006D0761">
        <w:rPr>
          <w:rFonts w:ascii="Times New Roman" w:hAnsi="Times New Roman"/>
          <w:color w:val="000000"/>
          <w:sz w:val="28"/>
          <w:szCs w:val="28"/>
          <w:lang w:val="es-ES"/>
        </w:rPr>
        <w:t xml:space="preserve">CADH </w:t>
      </w:r>
      <w:r w:rsidRPr="006D0761">
        <w:rPr>
          <w:rFonts w:ascii="Times New Roman" w:hAnsi="Times New Roman"/>
          <w:color w:val="000000"/>
          <w:sz w:val="28"/>
          <w:szCs w:val="28"/>
          <w:lang w:val="es-ES"/>
        </w:rPr>
        <w:t>y de la CEDAW. Según el accionante, la tipificación del feminicidio como delito autónomo cons</w:t>
      </w:r>
      <w:r w:rsidRPr="006D0761">
        <w:rPr>
          <w:rFonts w:ascii="Times New Roman" w:hAnsi="Times New Roman"/>
          <w:color w:val="000000"/>
          <w:sz w:val="28"/>
          <w:szCs w:val="28"/>
          <w:lang w:val="es-ES"/>
        </w:rPr>
        <w:t>tituye un esquema de protección exclusivo para las mujeres, que excluye de manera injustificada a los hombres, quienes también pueden ser víctimas de homicidios motivados por razones de género.</w:t>
      </w:r>
    </w:p>
    <w:p w:rsidR="00DB3ABA" w:rsidRPr="006D0761" w:rsidRDefault="006D0761" w:rsidP="00330CB9">
      <w:pPr>
        <w:pStyle w:val="Prrafodelista"/>
        <w:ind w:left="0"/>
        <w:jc w:val="both"/>
        <w:rPr>
          <w:rFonts w:ascii="Times New Roman" w:hAnsi="Times New Roman"/>
          <w:color w:val="000000"/>
          <w:sz w:val="28"/>
          <w:szCs w:val="28"/>
          <w:lang w:val="es-ES"/>
        </w:rPr>
      </w:pPr>
    </w:p>
    <w:p w:rsidR="00DB3ABA"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 demandante solicita que la Corte condicione la exequibilid</w:t>
      </w:r>
      <w:r w:rsidRPr="006D0761">
        <w:rPr>
          <w:rFonts w:ascii="Times New Roman" w:hAnsi="Times New Roman"/>
          <w:color w:val="000000"/>
          <w:sz w:val="28"/>
          <w:szCs w:val="28"/>
          <w:lang w:val="es-ES"/>
        </w:rPr>
        <w:t>ad de la norma, de forma que las expresiones que limitan su alcance únicamente a las mujeres se interpreten extensivas a los hombres. Asegura que el trato diferencial carece de justificación objetiva y proporcional, pues refuerza la idea de que los hombres</w:t>
      </w:r>
      <w:r w:rsidRPr="006D0761">
        <w:rPr>
          <w:rFonts w:ascii="Times New Roman" w:hAnsi="Times New Roman"/>
          <w:color w:val="000000"/>
          <w:sz w:val="28"/>
          <w:szCs w:val="28"/>
          <w:lang w:val="es-ES"/>
        </w:rPr>
        <w:t xml:space="preserve"> son siempre agresores y las mujeres siempre víctimas, reproduciendo un enfoque sesgado del fenómeno de la violencia de género.</w:t>
      </w:r>
    </w:p>
    <w:p w:rsidR="00DB3ABA" w:rsidRPr="006D0761" w:rsidRDefault="006D0761" w:rsidP="00330CB9">
      <w:pPr>
        <w:jc w:val="both"/>
        <w:rPr>
          <w:rFonts w:ascii="Times New Roman" w:hAnsi="Times New Roman"/>
          <w:color w:val="000000"/>
          <w:sz w:val="28"/>
          <w:szCs w:val="28"/>
          <w:lang w:val="es-ES"/>
        </w:rPr>
      </w:pPr>
    </w:p>
    <w:p w:rsidR="00DB3ABA"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Como parte de su argumentación, afirma que la protección normativa de las mujeres no se ajusta a la naturaleza de las acciones </w:t>
      </w:r>
      <w:r w:rsidRPr="006D0761">
        <w:rPr>
          <w:rFonts w:ascii="Times New Roman" w:hAnsi="Times New Roman"/>
          <w:color w:val="000000"/>
          <w:sz w:val="28"/>
          <w:szCs w:val="28"/>
          <w:lang w:val="es-ES"/>
        </w:rPr>
        <w:t>afirmativas, pues ellas representan la mayoría poblacional, mientras que los hombres, que calificarían como minoría, resultan marginados de esa protección. Con apoyo en un análisis histórico, sostiene que la vida de los varones ha sido sistemáticamente dev</w:t>
      </w:r>
      <w:r w:rsidRPr="006D0761">
        <w:rPr>
          <w:rFonts w:ascii="Times New Roman" w:hAnsi="Times New Roman"/>
          <w:color w:val="000000"/>
          <w:sz w:val="28"/>
          <w:szCs w:val="28"/>
          <w:lang w:val="es-ES"/>
        </w:rPr>
        <w:t>aluada al exponerlos a contextos de riesgo como guerras o labores de alto peligro, en contraste con una cultura que ha privilegiado la protección de la mujer.</w:t>
      </w:r>
    </w:p>
    <w:p w:rsidR="00DB3ABA" w:rsidRPr="006D0761" w:rsidRDefault="006D0761" w:rsidP="00330CB9">
      <w:pPr>
        <w:jc w:val="both"/>
        <w:rPr>
          <w:rFonts w:ascii="Times New Roman" w:hAnsi="Times New Roman"/>
          <w:color w:val="000000"/>
          <w:sz w:val="28"/>
          <w:szCs w:val="28"/>
          <w:lang w:val="es-ES"/>
        </w:rPr>
      </w:pPr>
    </w:p>
    <w:p w:rsidR="00DB3ABA"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Para reforzar su cargo, aduce que los hombres también son víctimas de violencia de género y requ</w:t>
      </w:r>
      <w:r w:rsidRPr="006D0761">
        <w:rPr>
          <w:rFonts w:ascii="Times New Roman" w:hAnsi="Times New Roman"/>
          <w:color w:val="000000"/>
          <w:sz w:val="28"/>
          <w:szCs w:val="28"/>
          <w:lang w:val="es-ES"/>
        </w:rPr>
        <w:t>ieren medidas de protección equivalentes. Recurre a estudios y estadísticas nacionales e internacionales para demostrar la bidireccionalidad de la violencia en las relaciones de pareja, las altas tasas de suicidio masculino, así como su mayor vulnerabilida</w:t>
      </w:r>
      <w:r w:rsidRPr="006D0761">
        <w:rPr>
          <w:rFonts w:ascii="Times New Roman" w:hAnsi="Times New Roman"/>
          <w:color w:val="000000"/>
          <w:sz w:val="28"/>
          <w:szCs w:val="28"/>
          <w:lang w:val="es-ES"/>
        </w:rPr>
        <w:t>d en escenarios de conflicto armado y reclutamiento forzado. A partir de ello critica que las políticas públicas de género respondan a una agenda femenina excluyente, que invisibiliza las problemáticas masculinas y refuerza estereotipos en los servicios ju</w:t>
      </w:r>
      <w:r w:rsidRPr="006D0761">
        <w:rPr>
          <w:rFonts w:ascii="Times New Roman" w:hAnsi="Times New Roman"/>
          <w:color w:val="000000"/>
          <w:sz w:val="28"/>
          <w:szCs w:val="28"/>
          <w:lang w:val="es-ES"/>
        </w:rPr>
        <w:t>diciales y sociales</w:t>
      </w:r>
      <w:r w:rsidRPr="006D0761">
        <w:rPr>
          <w:rFonts w:ascii="Times New Roman" w:hAnsi="Times New Roman"/>
          <w:color w:val="000000"/>
          <w:sz w:val="28"/>
          <w:szCs w:val="28"/>
          <w:lang w:val="es-ES"/>
        </w:rPr>
        <w:t>.</w:t>
      </w:r>
    </w:p>
    <w:p w:rsidR="00DB3ABA" w:rsidRPr="006D0761" w:rsidRDefault="006D0761" w:rsidP="00330CB9">
      <w:pPr>
        <w:jc w:val="both"/>
        <w:rPr>
          <w:rFonts w:ascii="Times New Roman" w:hAnsi="Times New Roman"/>
          <w:color w:val="000000"/>
          <w:sz w:val="28"/>
          <w:szCs w:val="28"/>
          <w:lang w:val="es-ES"/>
        </w:rPr>
      </w:pPr>
    </w:p>
    <w:p w:rsidR="00DB3ABA"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 demandante agrega que la creación de un tipo penal autónomo centrado únicamente en el feminicidio configura una</w:t>
      </w:r>
      <w:r w:rsidRPr="006D0761">
        <w:rPr>
          <w:rFonts w:ascii="Times New Roman" w:hAnsi="Times New Roman"/>
          <w:color w:val="000000"/>
          <w:sz w:val="28"/>
          <w:szCs w:val="28"/>
          <w:lang w:val="es-ES"/>
        </w:rPr>
        <w:t xml:space="preserve"> violación del derecho a la igualdad</w:t>
      </w:r>
      <w:r w:rsidRPr="006D0761">
        <w:rPr>
          <w:rFonts w:ascii="Times New Roman" w:hAnsi="Times New Roman"/>
          <w:color w:val="000000"/>
          <w:sz w:val="28"/>
          <w:szCs w:val="28"/>
          <w:lang w:val="es-ES"/>
        </w:rPr>
        <w:t xml:space="preserve">, pues </w:t>
      </w:r>
      <w:r w:rsidRPr="006D0761">
        <w:rPr>
          <w:rFonts w:ascii="Times New Roman" w:hAnsi="Times New Roman"/>
          <w:color w:val="000000"/>
          <w:sz w:val="28"/>
          <w:szCs w:val="28"/>
          <w:lang w:val="es-ES"/>
        </w:rPr>
        <w:t xml:space="preserve">omite </w:t>
      </w:r>
      <w:r w:rsidRPr="006D0761">
        <w:rPr>
          <w:rFonts w:ascii="Times New Roman" w:hAnsi="Times New Roman"/>
          <w:color w:val="000000"/>
          <w:sz w:val="28"/>
          <w:szCs w:val="28"/>
          <w:lang w:val="es-ES"/>
        </w:rPr>
        <w:t>una figura paralela que sancione los homicidios cometidos contra hombre</w:t>
      </w:r>
      <w:r w:rsidRPr="006D0761">
        <w:rPr>
          <w:rFonts w:ascii="Times New Roman" w:hAnsi="Times New Roman"/>
          <w:color w:val="000000"/>
          <w:sz w:val="28"/>
          <w:szCs w:val="28"/>
          <w:lang w:val="es-ES"/>
        </w:rPr>
        <w:t>s por razones de género. De este modo, considera que se vulnera el principio de igualdad al no brindar protección simétrica a un grupo en condiciones equiparables. Aun si se entendiera como una acción afirmativa, sostiene que esta ley no cumple los criteri</w:t>
      </w:r>
      <w:r w:rsidRPr="006D0761">
        <w:rPr>
          <w:rFonts w:ascii="Times New Roman" w:hAnsi="Times New Roman"/>
          <w:color w:val="000000"/>
          <w:sz w:val="28"/>
          <w:szCs w:val="28"/>
          <w:lang w:val="es-ES"/>
        </w:rPr>
        <w:t>os de temporalidad, necesidad y proporcionalidad fijados por la jurisprudencia constitucional, ya que, según sus cálculos, existen más de treinta medidas normativas orientadas a proteger exclusivamente a las mujeres.</w:t>
      </w:r>
    </w:p>
    <w:p w:rsidR="00DB3ABA" w:rsidRPr="006D0761" w:rsidRDefault="006D0761" w:rsidP="00330CB9">
      <w:pPr>
        <w:jc w:val="both"/>
        <w:rPr>
          <w:rFonts w:ascii="Times New Roman" w:hAnsi="Times New Roman"/>
          <w:color w:val="000000"/>
          <w:sz w:val="28"/>
          <w:szCs w:val="28"/>
          <w:lang w:val="es-ES"/>
        </w:rPr>
      </w:pPr>
    </w:p>
    <w:p w:rsidR="00DB3ABA"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Finalmente, como cierre de sus argumen</w:t>
      </w:r>
      <w:r w:rsidRPr="006D0761">
        <w:rPr>
          <w:rFonts w:ascii="Times New Roman" w:hAnsi="Times New Roman"/>
          <w:color w:val="000000"/>
          <w:sz w:val="28"/>
          <w:szCs w:val="28"/>
          <w:lang w:val="es-ES"/>
        </w:rPr>
        <w:t xml:space="preserve">tos, el demandante formula </w:t>
      </w:r>
      <w:r w:rsidRPr="006D0761">
        <w:rPr>
          <w:rFonts w:ascii="Times New Roman" w:hAnsi="Times New Roman"/>
          <w:color w:val="000000"/>
          <w:sz w:val="28"/>
          <w:szCs w:val="28"/>
          <w:lang w:val="es-ES"/>
        </w:rPr>
        <w:t>trece</w:t>
      </w:r>
      <w:r w:rsidRPr="006D0761">
        <w:rPr>
          <w:rFonts w:ascii="Times New Roman" w:hAnsi="Times New Roman"/>
          <w:color w:val="000000"/>
          <w:sz w:val="28"/>
          <w:szCs w:val="28"/>
          <w:lang w:val="es-ES"/>
        </w:rPr>
        <w:t xml:space="preserve"> cuestionamientos específicos contra la Ley 1761 de 2015</w:t>
      </w:r>
      <w:r w:rsidRPr="006D0761">
        <w:rPr>
          <w:rFonts w:ascii="Times New Roman" w:hAnsi="Times New Roman"/>
          <w:color w:val="000000"/>
          <w:sz w:val="28"/>
          <w:szCs w:val="28"/>
          <w:lang w:val="es-ES"/>
        </w:rPr>
        <w:t>.</w:t>
      </w:r>
    </w:p>
    <w:p w:rsidR="00DB3ABA" w:rsidRPr="006D0761" w:rsidRDefault="006D0761" w:rsidP="00330CB9">
      <w:pPr>
        <w:pStyle w:val="Prrafodelista"/>
        <w:ind w:left="0"/>
        <w:jc w:val="both"/>
        <w:rPr>
          <w:rFonts w:ascii="Times New Roman" w:hAnsi="Times New Roman"/>
          <w:color w:val="000000"/>
          <w:sz w:val="28"/>
          <w:szCs w:val="28"/>
          <w:lang w:val="es-ES"/>
        </w:rPr>
      </w:pPr>
    </w:p>
    <w:p w:rsidR="00DB3ABA"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w:t>
      </w:r>
      <w:r w:rsidRPr="006D0761">
        <w:rPr>
          <w:rFonts w:ascii="Times New Roman" w:hAnsi="Times New Roman"/>
          <w:b/>
          <w:bCs/>
          <w:color w:val="000000"/>
          <w:sz w:val="28"/>
          <w:szCs w:val="28"/>
          <w:lang w:val="es-ES"/>
        </w:rPr>
        <w:t>Primer cuestionamiento</w:t>
      </w:r>
      <w:r w:rsidRPr="006D0761">
        <w:rPr>
          <w:rFonts w:ascii="Times New Roman" w:hAnsi="Times New Roman"/>
          <w:b/>
          <w:bCs/>
          <w:color w:val="000000"/>
          <w:sz w:val="28"/>
          <w:szCs w:val="28"/>
          <w:lang w:val="es-ES"/>
        </w:rPr>
        <w:t xml:space="preserve">. Hacer leyes que atiendan la violencia contra la mujer nunca obliga a desproteger a los varones en similares circunstancias, por lo que está </w:t>
      </w:r>
      <w:r w:rsidRPr="006D0761">
        <w:rPr>
          <w:rFonts w:ascii="Times New Roman" w:hAnsi="Times New Roman"/>
          <w:b/>
          <w:bCs/>
          <w:color w:val="000000"/>
          <w:sz w:val="28"/>
          <w:szCs w:val="28"/>
          <w:lang w:val="es-ES"/>
        </w:rPr>
        <w:t>vigente la obligación de no excluirlos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El demandante sostiene que los tratados internacionales que promueven la adopción de medidas para erradicar la violencia contra la mujer, como la CEDAW y la Convención de Belém do Pará, en ningún caso autorizan que </w:t>
      </w:r>
      <w:r w:rsidRPr="006D0761">
        <w:rPr>
          <w:rFonts w:ascii="Times New Roman" w:hAnsi="Times New Roman"/>
          <w:color w:val="000000"/>
          <w:sz w:val="28"/>
          <w:szCs w:val="28"/>
          <w:lang w:val="es-ES"/>
        </w:rPr>
        <w:t>dichas normas excluyan a los hombres en condiciones de igual vulnerabilidad. A su juicio, estas disposiciones consagran la temporalidad de las acciones afirmativas y persiguen la igualdad material, pero no facultan a otorgar privilegios exclusivos a las mu</w:t>
      </w:r>
      <w:r w:rsidRPr="006D0761">
        <w:rPr>
          <w:rFonts w:ascii="Times New Roman" w:hAnsi="Times New Roman"/>
          <w:color w:val="000000"/>
          <w:sz w:val="28"/>
          <w:szCs w:val="28"/>
          <w:lang w:val="es-ES"/>
        </w:rPr>
        <w:t>jeres. De allí concluye que la Ley 1761, al no prever protección equivalente para los hombres víctimas de violencia de género, desconoce el principio de igualdad consagrado en la Constitución y en los instrumentos internacionales, generando una discriminac</w:t>
      </w:r>
      <w:r w:rsidRPr="006D0761">
        <w:rPr>
          <w:rFonts w:ascii="Times New Roman" w:hAnsi="Times New Roman"/>
          <w:color w:val="000000"/>
          <w:sz w:val="28"/>
          <w:szCs w:val="28"/>
          <w:lang w:val="es-ES"/>
        </w:rPr>
        <w:t>ión que deshumaniza al varón como sujeto de derechos.</w:t>
      </w:r>
    </w:p>
    <w:p w:rsidR="00DB3ABA" w:rsidRPr="006D0761" w:rsidRDefault="006D0761" w:rsidP="00330CB9">
      <w:pPr>
        <w:pStyle w:val="Prrafodelista"/>
        <w:ind w:left="0"/>
        <w:jc w:val="both"/>
        <w:rPr>
          <w:rFonts w:ascii="Times New Roman" w:hAnsi="Times New Roman"/>
          <w:b/>
          <w:bCs/>
          <w:color w:val="000000"/>
          <w:sz w:val="28"/>
          <w:szCs w:val="28"/>
          <w:lang w:val="es-ES"/>
        </w:rPr>
      </w:pPr>
    </w:p>
    <w:p w:rsidR="00DB3ABA"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Segundo cuestionamiento.</w:t>
      </w:r>
      <w:r w:rsidRPr="006D0761">
        <w:rPr>
          <w:rFonts w:ascii="Times New Roman" w:hAnsi="Times New Roman"/>
          <w:b/>
          <w:bCs/>
          <w:color w:val="000000"/>
          <w:sz w:val="28"/>
          <w:szCs w:val="28"/>
          <w:lang w:val="es-ES"/>
        </w:rPr>
        <w:t xml:space="preserve"> Se han excedido los límites que debe tener una “acción afirmativa” para no convertirse en una forma de “discriminación”</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El demandante sostiene que las acciones afirmativas deb</w:t>
      </w:r>
      <w:r w:rsidRPr="006D0761">
        <w:rPr>
          <w:rFonts w:ascii="Times New Roman" w:hAnsi="Times New Roman"/>
          <w:color w:val="000000"/>
          <w:sz w:val="28"/>
          <w:szCs w:val="28"/>
          <w:lang w:val="es-ES"/>
        </w:rPr>
        <w:t>en aplicarse únicamente para revertir situaciones de marginación y con carácter temporal, sin llegar a convertirse en privilegios que desplacen a otros grupos igualmente vulnerables. Afirma que la Ley 1761 traspasó ese límite, pues al definir como benefici</w:t>
      </w:r>
      <w:r w:rsidRPr="006D0761">
        <w:rPr>
          <w:rFonts w:ascii="Times New Roman" w:hAnsi="Times New Roman"/>
          <w:color w:val="000000"/>
          <w:sz w:val="28"/>
          <w:szCs w:val="28"/>
          <w:lang w:val="es-ES"/>
        </w:rPr>
        <w:t>arias solo a las mujeres y no a todas las víctimas de violencia de género, terminó invisibilizando a los hombres en igual penuria, privándolos de protección estatal, recursos, políticas públicas y oportunidades de reparación. A su juicio, el uso del sexo c</w:t>
      </w:r>
      <w:r w:rsidRPr="006D0761">
        <w:rPr>
          <w:rFonts w:ascii="Times New Roman" w:hAnsi="Times New Roman"/>
          <w:color w:val="000000"/>
          <w:sz w:val="28"/>
          <w:szCs w:val="28"/>
          <w:lang w:val="es-ES"/>
        </w:rPr>
        <w:t>omo criterio exclusivo desconoce que muchos problemas atribuidos a las mujeres también afectan a una minoría de varones, quienes quedan marginados de la protección estatal. Por ello concluye que la norma, bajo la apariencia de una acción afirmativa, devino</w:t>
      </w:r>
      <w:r w:rsidRPr="006D0761">
        <w:rPr>
          <w:rFonts w:ascii="Times New Roman" w:hAnsi="Times New Roman"/>
          <w:color w:val="000000"/>
          <w:sz w:val="28"/>
          <w:szCs w:val="28"/>
          <w:lang w:val="es-ES"/>
        </w:rPr>
        <w:t xml:space="preserve"> en una forma de discriminación contraria al artículo 13 de la Constitución, pues genera privilegios para las mujeres y desprotección para los hombres.</w:t>
      </w:r>
    </w:p>
    <w:p w:rsidR="00DB3ABA" w:rsidRPr="006D0761" w:rsidRDefault="006D0761" w:rsidP="00330CB9">
      <w:pPr>
        <w:pStyle w:val="Prrafodelista"/>
        <w:ind w:left="0"/>
        <w:jc w:val="both"/>
        <w:rPr>
          <w:rFonts w:ascii="Times New Roman" w:hAnsi="Times New Roman"/>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Tercer c</w:t>
      </w:r>
      <w:r w:rsidRPr="006D0761">
        <w:rPr>
          <w:rFonts w:ascii="Times New Roman" w:hAnsi="Times New Roman"/>
          <w:b/>
          <w:bCs/>
          <w:color w:val="000000"/>
          <w:sz w:val="28"/>
          <w:szCs w:val="28"/>
          <w:lang w:val="es-ES"/>
        </w:rPr>
        <w:t>uestionamiento. Se ofende para los varones víctimas la igualdad ante la Ley a la que tienen der</w:t>
      </w:r>
      <w:r w:rsidRPr="006D0761">
        <w:rPr>
          <w:rFonts w:ascii="Times New Roman" w:hAnsi="Times New Roman"/>
          <w:b/>
          <w:bCs/>
          <w:color w:val="000000"/>
          <w:sz w:val="28"/>
          <w:szCs w:val="28"/>
          <w:lang w:val="es-ES"/>
        </w:rPr>
        <w:t>echo.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El demandante argumenta que la igualdad ante la ley debe garantizarse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en tres niveles: normativo, de trato y de oportunidad, y en su dimensión material. Afirma que, mientras existen numerosos tratados y leyes que privilegian a la mujer, incluida la L</w:t>
      </w:r>
      <w:r w:rsidRPr="006D0761">
        <w:rPr>
          <w:rFonts w:ascii="Times New Roman" w:hAnsi="Times New Roman"/>
          <w:color w:val="000000"/>
          <w:sz w:val="28"/>
          <w:szCs w:val="28"/>
          <w:lang w:val="es-ES"/>
        </w:rPr>
        <w:t>ey 1761, no hay normas equivalentes que amparen al varón. Sostiene que un hombre en riesgo de ser víctima de un “machicidio” debería recibir la misma protección que una mujer en riesgo de feminicidio, y que la proporción estadística de víctimas no justific</w:t>
      </w:r>
      <w:r w:rsidRPr="006D0761">
        <w:rPr>
          <w:rFonts w:ascii="Times New Roman" w:hAnsi="Times New Roman"/>
          <w:color w:val="000000"/>
          <w:sz w:val="28"/>
          <w:szCs w:val="28"/>
          <w:lang w:val="es-ES"/>
        </w:rPr>
        <w:t xml:space="preserve">a desatender al grupo minoritario. A su juicio, la exclusión de los varones convierte automáticamente a estos en un grupo marginado y discriminado, lo que obliga al Estado, en aplicación del artículo 13 constitucional, a brindarles igual trato, protección </w:t>
      </w:r>
      <w:r w:rsidRPr="006D0761">
        <w:rPr>
          <w:rFonts w:ascii="Times New Roman" w:hAnsi="Times New Roman"/>
          <w:color w:val="000000"/>
          <w:sz w:val="28"/>
          <w:szCs w:val="28"/>
          <w:lang w:val="es-ES"/>
        </w:rPr>
        <w:t>y oportunidad.</w:t>
      </w:r>
    </w:p>
    <w:p w:rsidR="004C3F7B" w:rsidRPr="006D0761" w:rsidRDefault="006D0761" w:rsidP="00330CB9">
      <w:pPr>
        <w:pStyle w:val="Prrafodelista"/>
        <w:ind w:left="0"/>
        <w:jc w:val="both"/>
        <w:rPr>
          <w:rFonts w:ascii="Times New Roman" w:hAnsi="Times New Roman"/>
          <w:b/>
          <w:bCs/>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Cuarto c</w:t>
      </w:r>
      <w:r w:rsidRPr="006D0761">
        <w:rPr>
          <w:rFonts w:ascii="Times New Roman" w:hAnsi="Times New Roman"/>
          <w:b/>
          <w:bCs/>
          <w:color w:val="000000"/>
          <w:sz w:val="28"/>
          <w:szCs w:val="28"/>
          <w:lang w:val="es-ES"/>
        </w:rPr>
        <w:t>uestionamiento. La protección especial es personal y condicionada, nunca es grupal y no puede presuponerse pues debe evidenciarse que hay manifestaciones de debilidad que la ameritan.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El demandante afirma que la protección especial </w:t>
      </w:r>
      <w:r w:rsidRPr="006D0761">
        <w:rPr>
          <w:rFonts w:ascii="Times New Roman" w:hAnsi="Times New Roman"/>
          <w:color w:val="000000"/>
          <w:sz w:val="28"/>
          <w:szCs w:val="28"/>
          <w:lang w:val="es-ES"/>
        </w:rPr>
        <w:t>prevista en el artículo 13 constitucional es de carácter individual y procede únicamente frente a situaciones concretas de debilidad manifiesta, no de manera generalizada por pertenencia a un grupo. Expone como ejemplo los hogares monoparentales, en los qu</w:t>
      </w:r>
      <w:r w:rsidRPr="006D0761">
        <w:rPr>
          <w:rFonts w:ascii="Times New Roman" w:hAnsi="Times New Roman"/>
          <w:color w:val="000000"/>
          <w:sz w:val="28"/>
          <w:szCs w:val="28"/>
          <w:lang w:val="es-ES"/>
        </w:rPr>
        <w:t xml:space="preserve">e tanto hombres como mujeres deben recibir igual trato y protección, pero señala que en Colombia el 15% de hogares encabezados por varones ha sido excluido de la mayoría de </w:t>
      </w:r>
      <w:r w:rsidRPr="006D0761">
        <w:rPr>
          <w:rFonts w:ascii="Times New Roman" w:hAnsi="Times New Roman"/>
          <w:color w:val="000000"/>
          <w:sz w:val="28"/>
          <w:szCs w:val="28"/>
          <w:lang w:val="es-ES"/>
        </w:rPr>
        <w:t>los programas</w:t>
      </w:r>
      <w:r w:rsidRPr="006D0761">
        <w:rPr>
          <w:rFonts w:ascii="Times New Roman" w:hAnsi="Times New Roman"/>
          <w:color w:val="000000"/>
          <w:sz w:val="28"/>
          <w:szCs w:val="28"/>
          <w:lang w:val="es-ES"/>
        </w:rPr>
        <w:t xml:space="preserve"> de apoyo. Advierte que esta discriminación puede tener consecuencias graves, como lo ilustra el caso de Johan Sebastián Rugeles, víctima de su madre, cuya vida pudo haberse preservado si el Estado hubiera brindado apoyo a su padre para asumir la custodia.</w:t>
      </w:r>
      <w:r w:rsidRPr="006D0761">
        <w:rPr>
          <w:rFonts w:ascii="Times New Roman" w:hAnsi="Times New Roman"/>
          <w:color w:val="000000"/>
          <w:sz w:val="28"/>
          <w:szCs w:val="28"/>
          <w:lang w:val="es-ES"/>
        </w:rPr>
        <w:t xml:space="preserve"> En su criterio, la exclusión de los padres de tales programas desconoce la naturaleza personal de la protección constitucional y perpetúa barreras culturales que afectan el interés superior de los niños.</w:t>
      </w:r>
    </w:p>
    <w:p w:rsidR="004C3F7B" w:rsidRPr="006D0761" w:rsidRDefault="006D0761" w:rsidP="00330CB9">
      <w:pPr>
        <w:pStyle w:val="Prrafodelista"/>
        <w:ind w:left="0"/>
        <w:jc w:val="both"/>
        <w:rPr>
          <w:rFonts w:ascii="Times New Roman" w:hAnsi="Times New Roman"/>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Quinto c</w:t>
      </w:r>
      <w:r w:rsidRPr="006D0761">
        <w:rPr>
          <w:rFonts w:ascii="Times New Roman" w:hAnsi="Times New Roman"/>
          <w:b/>
          <w:bCs/>
          <w:color w:val="000000"/>
          <w:sz w:val="28"/>
          <w:szCs w:val="28"/>
          <w:lang w:val="es-ES"/>
        </w:rPr>
        <w:t xml:space="preserve">uestionamiento. Fallas en el </w:t>
      </w:r>
      <w:r w:rsidRPr="006D0761">
        <w:rPr>
          <w:rFonts w:ascii="Times New Roman" w:hAnsi="Times New Roman"/>
          <w:b/>
          <w:bCs/>
          <w:i/>
          <w:iCs/>
          <w:color w:val="000000"/>
          <w:sz w:val="28"/>
          <w:szCs w:val="28"/>
          <w:lang w:val="es-ES"/>
        </w:rPr>
        <w:t>tertium compa</w:t>
      </w:r>
      <w:r w:rsidRPr="006D0761">
        <w:rPr>
          <w:rFonts w:ascii="Times New Roman" w:hAnsi="Times New Roman"/>
          <w:b/>
          <w:bCs/>
          <w:i/>
          <w:iCs/>
          <w:color w:val="000000"/>
          <w:sz w:val="28"/>
          <w:szCs w:val="28"/>
          <w:lang w:val="es-ES"/>
        </w:rPr>
        <w:t>rationis</w:t>
      </w:r>
      <w:r w:rsidRPr="006D0761">
        <w:rPr>
          <w:rFonts w:ascii="Times New Roman" w:hAnsi="Times New Roman"/>
          <w:b/>
          <w:bCs/>
          <w:color w:val="000000"/>
          <w:sz w:val="28"/>
          <w:szCs w:val="28"/>
          <w:lang w:val="es-ES"/>
        </w:rPr>
        <w:t>, posible</w:t>
      </w:r>
      <w:r w:rsidRPr="006D0761">
        <w:rPr>
          <w:rFonts w:ascii="Times New Roman" w:hAnsi="Times New Roman"/>
          <w:b/>
          <w:bCs/>
          <w:color w:val="000000"/>
          <w:sz w:val="28"/>
          <w:szCs w:val="28"/>
          <w:lang w:val="es-ES"/>
        </w:rPr>
        <w:t xml:space="preserve"> </w:t>
      </w:r>
      <w:r w:rsidRPr="006D0761">
        <w:rPr>
          <w:rFonts w:ascii="Times New Roman" w:hAnsi="Times New Roman"/>
          <w:b/>
          <w:bCs/>
          <w:color w:val="000000"/>
          <w:sz w:val="28"/>
          <w:szCs w:val="28"/>
          <w:lang w:val="es-ES"/>
        </w:rPr>
        <w:t>vicio procesal.</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 xml:space="preserve">El demandante sostiene que la Ley 1761 incurre en un error al definir como hecho generador exclusivo el feminicidio, pues ello sesga el punto de comparación en el juicio de igualdad y deja por fuera a los hombres víctimas </w:t>
      </w:r>
      <w:r w:rsidRPr="006D0761">
        <w:rPr>
          <w:rFonts w:ascii="Times New Roman" w:hAnsi="Times New Roman"/>
          <w:color w:val="000000"/>
          <w:sz w:val="28"/>
          <w:szCs w:val="28"/>
          <w:lang w:val="es-ES"/>
        </w:rPr>
        <w:t>de homicidios por razones de género. Afirma que, aunque existen diferencias culturales y de visibilización, donde los feminicidios generan mayor repudio social y respaldo institucional que los “machicidios”, ambos fenómenos comparten la misma naturaleza: h</w:t>
      </w:r>
      <w:r w:rsidRPr="006D0761">
        <w:rPr>
          <w:rFonts w:ascii="Times New Roman" w:hAnsi="Times New Roman"/>
          <w:color w:val="000000"/>
          <w:sz w:val="28"/>
          <w:szCs w:val="28"/>
          <w:lang w:val="es-ES"/>
        </w:rPr>
        <w:t xml:space="preserve">omicidios motivados por razones de género. Considera que negar esa equiparación rompe el </w:t>
      </w:r>
      <w:r w:rsidRPr="006D0761">
        <w:rPr>
          <w:rFonts w:ascii="Times New Roman" w:hAnsi="Times New Roman"/>
          <w:i/>
          <w:iCs/>
          <w:color w:val="000000"/>
          <w:sz w:val="28"/>
          <w:szCs w:val="28"/>
          <w:lang w:val="es-ES"/>
        </w:rPr>
        <w:t>tertium comparationis</w:t>
      </w:r>
      <w:r w:rsidRPr="006D0761">
        <w:rPr>
          <w:rFonts w:ascii="Times New Roman" w:hAnsi="Times New Roman"/>
          <w:color w:val="000000"/>
          <w:sz w:val="28"/>
          <w:szCs w:val="28"/>
          <w:lang w:val="es-ES"/>
        </w:rPr>
        <w:t xml:space="preserve"> exigido por la jurisprudencia constitucional, lo que genera una discriminación contraria al artículo 13, en la medida en que un varón asesinado p</w:t>
      </w:r>
      <w:r w:rsidRPr="006D0761">
        <w:rPr>
          <w:rFonts w:ascii="Times New Roman" w:hAnsi="Times New Roman"/>
          <w:color w:val="000000"/>
          <w:sz w:val="28"/>
          <w:szCs w:val="28"/>
          <w:lang w:val="es-ES"/>
        </w:rPr>
        <w:t>or razones de género debería recibir igual nivel de protección normativa y estatal que una mujer en idéntica situación.</w:t>
      </w:r>
    </w:p>
    <w:p w:rsidR="004C3F7B" w:rsidRPr="006D0761" w:rsidRDefault="006D0761" w:rsidP="00330CB9">
      <w:pPr>
        <w:pStyle w:val="Prrafodelista"/>
        <w:ind w:left="0"/>
        <w:jc w:val="both"/>
        <w:rPr>
          <w:rFonts w:ascii="Times New Roman" w:hAnsi="Times New Roman"/>
          <w:b/>
          <w:bCs/>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Sexto c</w:t>
      </w:r>
      <w:r w:rsidRPr="006D0761">
        <w:rPr>
          <w:rFonts w:ascii="Times New Roman" w:hAnsi="Times New Roman"/>
          <w:b/>
          <w:bCs/>
          <w:color w:val="000000"/>
          <w:sz w:val="28"/>
          <w:szCs w:val="28"/>
          <w:lang w:val="es-ES"/>
        </w:rPr>
        <w:t>uestionamient</w:t>
      </w:r>
      <w:r w:rsidRPr="006D0761">
        <w:rPr>
          <w:rFonts w:ascii="Times New Roman" w:hAnsi="Times New Roman"/>
          <w:b/>
          <w:bCs/>
          <w:color w:val="000000"/>
          <w:sz w:val="28"/>
          <w:szCs w:val="28"/>
          <w:lang w:val="es-ES"/>
        </w:rPr>
        <w:t>o</w:t>
      </w:r>
      <w:r w:rsidRPr="006D0761">
        <w:rPr>
          <w:rFonts w:ascii="Times New Roman" w:hAnsi="Times New Roman"/>
          <w:b/>
          <w:bCs/>
          <w:color w:val="000000"/>
          <w:sz w:val="28"/>
          <w:szCs w:val="28"/>
          <w:lang w:val="es-ES"/>
        </w:rPr>
        <w:t xml:space="preserve">. Indicios de fallas procesales por atender solicitudes discriminatorias de las mayorías femeninas. Posible vicio </w:t>
      </w:r>
      <w:r w:rsidRPr="006D0761">
        <w:rPr>
          <w:rFonts w:ascii="Times New Roman" w:hAnsi="Times New Roman"/>
          <w:b/>
          <w:bCs/>
          <w:color w:val="000000"/>
          <w:sz w:val="28"/>
          <w:szCs w:val="28"/>
          <w:lang w:val="es-ES"/>
        </w:rPr>
        <w:t>procesal.</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El demandante argumenta que en la construcción de la Ley 1761 se atendieron principalmente las presiones de grupos feministas mayoritarios que buscaban privilegios y no igualdad, lo que derivó en la exclusión de los varones en situación equiparab</w:t>
      </w:r>
      <w:r w:rsidRPr="006D0761">
        <w:rPr>
          <w:rFonts w:ascii="Times New Roman" w:hAnsi="Times New Roman"/>
          <w:color w:val="000000"/>
          <w:sz w:val="28"/>
          <w:szCs w:val="28"/>
          <w:lang w:val="es-ES"/>
        </w:rPr>
        <w:t>le. Señala que incluso en la sentencia C-539 de 2016 se reconoció que el tipo penal fue formulado bajo la influencia de esas demandas, lo que revela un sesgo en el debate legislativo. A su juicio, ello constituye un posible vicio procesal, pues los tratado</w:t>
      </w:r>
      <w:r w:rsidRPr="006D0761">
        <w:rPr>
          <w:rFonts w:ascii="Times New Roman" w:hAnsi="Times New Roman"/>
          <w:color w:val="000000"/>
          <w:sz w:val="28"/>
          <w:szCs w:val="28"/>
          <w:lang w:val="es-ES"/>
        </w:rPr>
        <w:t>s internacionales sobre violencia contra la mujer nunca han exigido excluir a los hombres, sino garantizar igualdad ante la ley sin distinción de sexo. La norma, entonces, no solo desconoce la Constitución y el bloque de constitucionalidad, sino que respon</w:t>
      </w:r>
      <w:r w:rsidRPr="006D0761">
        <w:rPr>
          <w:rFonts w:ascii="Times New Roman" w:hAnsi="Times New Roman"/>
          <w:color w:val="000000"/>
          <w:sz w:val="28"/>
          <w:szCs w:val="28"/>
          <w:lang w:val="es-ES"/>
        </w:rPr>
        <w:t>de a presiones sectoriales que terminaron marginando a los varones de la protección penal reforzada.</w:t>
      </w:r>
    </w:p>
    <w:p w:rsidR="004C3F7B" w:rsidRPr="006D0761" w:rsidRDefault="006D0761" w:rsidP="00330CB9">
      <w:pPr>
        <w:pStyle w:val="Prrafodelista"/>
        <w:ind w:left="0"/>
        <w:jc w:val="both"/>
        <w:rPr>
          <w:rFonts w:ascii="Times New Roman" w:hAnsi="Times New Roman"/>
          <w:b/>
          <w:bCs/>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Séptimo c</w:t>
      </w:r>
      <w:r w:rsidRPr="006D0761">
        <w:rPr>
          <w:rFonts w:ascii="Times New Roman" w:hAnsi="Times New Roman"/>
          <w:b/>
          <w:bCs/>
          <w:color w:val="000000"/>
          <w:sz w:val="28"/>
          <w:szCs w:val="28"/>
          <w:lang w:val="es-ES"/>
        </w:rPr>
        <w:t>uestionamiento. En el artículo 8</w:t>
      </w:r>
      <w:r w:rsidRPr="006D0761">
        <w:rPr>
          <w:rFonts w:ascii="Times New Roman" w:hAnsi="Times New Roman"/>
          <w:b/>
          <w:bCs/>
          <w:color w:val="000000"/>
          <w:sz w:val="28"/>
          <w:szCs w:val="28"/>
          <w:lang w:val="es-ES"/>
        </w:rPr>
        <w:t>°</w:t>
      </w:r>
      <w:r w:rsidRPr="006D0761">
        <w:rPr>
          <w:rFonts w:ascii="Times New Roman" w:hAnsi="Times New Roman"/>
          <w:b/>
          <w:bCs/>
          <w:color w:val="000000"/>
          <w:sz w:val="28"/>
          <w:szCs w:val="28"/>
          <w:lang w:val="es-ES"/>
        </w:rPr>
        <w:t xml:space="preserve"> se cuestiona el principio de igualdad en el trato y oportunidad.</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El demandante afirma que el derecho procesal n</w:t>
      </w:r>
      <w:r w:rsidRPr="006D0761">
        <w:rPr>
          <w:rFonts w:ascii="Times New Roman" w:hAnsi="Times New Roman"/>
          <w:color w:val="000000"/>
          <w:sz w:val="28"/>
          <w:szCs w:val="28"/>
          <w:lang w:val="es-ES"/>
        </w:rPr>
        <w:t>o debería operar con sesgos de género, pero en la práctica el artículo 8 de la Ley 1761 prioriza la atención de mujeres y desvía recursos limitados de entidades como la Fiscalía y el CTI, lo que desprotege a los varones. Señala que esto parte de la idea cu</w:t>
      </w:r>
      <w:r w:rsidRPr="006D0761">
        <w:rPr>
          <w:rFonts w:ascii="Times New Roman" w:hAnsi="Times New Roman"/>
          <w:color w:val="000000"/>
          <w:sz w:val="28"/>
          <w:szCs w:val="28"/>
          <w:lang w:val="es-ES"/>
        </w:rPr>
        <w:t>ltural de que la vida de una mujer vale más que la de un hombre, reforzando lo que denomina “</w:t>
      </w:r>
      <w:r w:rsidRPr="006D0761">
        <w:rPr>
          <w:rFonts w:ascii="Times New Roman" w:hAnsi="Times New Roman"/>
          <w:i/>
          <w:iCs/>
          <w:color w:val="000000"/>
          <w:sz w:val="28"/>
          <w:szCs w:val="28"/>
          <w:lang w:val="es-ES"/>
        </w:rPr>
        <w:t>desechabilidad masculina</w:t>
      </w:r>
      <w:r w:rsidRPr="006D0761">
        <w:rPr>
          <w:rFonts w:ascii="Times New Roman" w:hAnsi="Times New Roman"/>
          <w:color w:val="000000"/>
          <w:sz w:val="28"/>
          <w:szCs w:val="28"/>
          <w:lang w:val="es-ES"/>
        </w:rPr>
        <w:t>”. Advierte que la flexibilización probatoria con enfoque de género aumenta el riesgo de condenar varones inocentes y facilita la impunidad</w:t>
      </w:r>
      <w:r w:rsidRPr="006D0761">
        <w:rPr>
          <w:rFonts w:ascii="Times New Roman" w:hAnsi="Times New Roman"/>
          <w:color w:val="000000"/>
          <w:sz w:val="28"/>
          <w:szCs w:val="28"/>
          <w:lang w:val="es-ES"/>
        </w:rPr>
        <w:t xml:space="preserve"> de denuncias falsas, mientras que fenómenos como la violencia familiar contra hombres permanecen invisibilizados. Cita estudios que muestran una inversión en la brecha de género procesal: aunque el 19% de denuncias por violencia intrafamiliar se presentan</w:t>
      </w:r>
      <w:r w:rsidRPr="006D0761">
        <w:rPr>
          <w:rFonts w:ascii="Times New Roman" w:hAnsi="Times New Roman"/>
          <w:color w:val="000000"/>
          <w:sz w:val="28"/>
          <w:szCs w:val="28"/>
          <w:lang w:val="es-ES"/>
        </w:rPr>
        <w:t xml:space="preserve"> contra mujeres, solo el 4% culmina en condena, lo que refleja un trato más severo hacia los hombres. En su criterio, este desequilibrio rompe el principio de igualdad de trato y oportunidad previsto en el artículo 13 constitucional.</w:t>
      </w:r>
    </w:p>
    <w:p w:rsidR="004C3F7B" w:rsidRPr="006D0761" w:rsidRDefault="006D0761" w:rsidP="00330CB9">
      <w:pPr>
        <w:pStyle w:val="Prrafodelista"/>
        <w:ind w:left="0"/>
        <w:jc w:val="both"/>
        <w:rPr>
          <w:rFonts w:ascii="Times New Roman" w:hAnsi="Times New Roman"/>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Octavo c</w:t>
      </w:r>
      <w:r w:rsidRPr="006D0761">
        <w:rPr>
          <w:rFonts w:ascii="Times New Roman" w:hAnsi="Times New Roman"/>
          <w:b/>
          <w:bCs/>
          <w:color w:val="000000"/>
          <w:sz w:val="28"/>
          <w:szCs w:val="28"/>
          <w:lang w:val="es-ES"/>
        </w:rPr>
        <w:t>uestionamiento. En el artículo 9 se cuestiona que solo las mujeres reciban asistencia técnica legal cuando esta se le debe dar a toda persona en circunstancia de debilidad manifiesta.</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El demandante sostiene que la asistencia técnica legal prevista en el ar</w:t>
      </w:r>
      <w:r w:rsidRPr="006D0761">
        <w:rPr>
          <w:rFonts w:ascii="Times New Roman" w:hAnsi="Times New Roman"/>
          <w:color w:val="000000"/>
          <w:sz w:val="28"/>
          <w:szCs w:val="28"/>
          <w:lang w:val="es-ES"/>
        </w:rPr>
        <w:t>tículo 9 de la Ley 1761 vulnera el principio de igualdad de armas al presumir que solo las mujeres la requieren, excluyendo a los hombres que puedan encontrarse en igual o mayor situación de debilidad. Afirma que la protección especial del artículo 13 cons</w:t>
      </w:r>
      <w:r w:rsidRPr="006D0761">
        <w:rPr>
          <w:rFonts w:ascii="Times New Roman" w:hAnsi="Times New Roman"/>
          <w:color w:val="000000"/>
          <w:sz w:val="28"/>
          <w:szCs w:val="28"/>
          <w:lang w:val="es-ES"/>
        </w:rPr>
        <w:t>titucional es personal y exige que la debilidad sea manifiesta, no presupuesta por pertenencia a un grupo. Señala que existen casos en los que, para equilibrar el proceso, sería el varón quien necesita apoyo jurídico, dado el cúmulo de acciones afirmativas</w:t>
      </w:r>
      <w:r w:rsidRPr="006D0761">
        <w:rPr>
          <w:rFonts w:ascii="Times New Roman" w:hAnsi="Times New Roman"/>
          <w:color w:val="000000"/>
          <w:sz w:val="28"/>
          <w:szCs w:val="28"/>
          <w:lang w:val="es-ES"/>
        </w:rPr>
        <w:t xml:space="preserve"> y sesgos que lo colocan en desventaja en la justicia de familia y de género. En su criterio, brindar asistencia exclusiva a las mujeres constituye una discriminación contraria al mandato constitucional, pues priva a los hombres en debilidad manifiesta de </w:t>
      </w:r>
      <w:r w:rsidRPr="006D0761">
        <w:rPr>
          <w:rFonts w:ascii="Times New Roman" w:hAnsi="Times New Roman"/>
          <w:color w:val="000000"/>
          <w:sz w:val="28"/>
          <w:szCs w:val="28"/>
          <w:lang w:val="es-ES"/>
        </w:rPr>
        <w:t>un derecho fundamental y favorece el uso indebido de tales medidas, incluso mediante denuncias falsas que terminan afectando su buen nombre y la unidad familiar.</w:t>
      </w:r>
    </w:p>
    <w:p w:rsidR="004C3F7B" w:rsidRPr="006D0761" w:rsidRDefault="006D0761" w:rsidP="00330CB9">
      <w:pPr>
        <w:pStyle w:val="Prrafodelista"/>
        <w:ind w:left="0"/>
        <w:jc w:val="both"/>
        <w:rPr>
          <w:rFonts w:ascii="Times New Roman" w:hAnsi="Times New Roman"/>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Noveno c</w:t>
      </w:r>
      <w:r w:rsidRPr="006D0761">
        <w:rPr>
          <w:rFonts w:ascii="Times New Roman" w:hAnsi="Times New Roman"/>
          <w:b/>
          <w:bCs/>
          <w:color w:val="000000"/>
          <w:sz w:val="28"/>
          <w:szCs w:val="28"/>
          <w:lang w:val="es-ES"/>
        </w:rPr>
        <w:t>uestionamiento. En el artículo 10 se cuestiona que la perspectiva de género en la edu</w:t>
      </w:r>
      <w:r w:rsidRPr="006D0761">
        <w:rPr>
          <w:rFonts w:ascii="Times New Roman" w:hAnsi="Times New Roman"/>
          <w:b/>
          <w:bCs/>
          <w:color w:val="000000"/>
          <w:sz w:val="28"/>
          <w:szCs w:val="28"/>
          <w:lang w:val="es-ES"/>
        </w:rPr>
        <w:t>cación solo se aplica a la agenda femenina de género y la violencia contra la mujer, desatendiendo la agenda masculina de género y la violencia de género contra el varón.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El demandante critica que la educación con perspectiva de género prevista en el artíc</w:t>
      </w:r>
      <w:r w:rsidRPr="006D0761">
        <w:rPr>
          <w:rFonts w:ascii="Times New Roman" w:hAnsi="Times New Roman"/>
          <w:color w:val="000000"/>
          <w:sz w:val="28"/>
          <w:szCs w:val="28"/>
          <w:lang w:val="es-ES"/>
        </w:rPr>
        <w:t>ulo 10 de la Ley 1761 se limite a visibilizar la violencia contra la mujer, ignorando las violencias que sufren los varones. A su juicio, esta omisión invisibiliza problemáticas como el mayor índice de suicidios masculinos, el reclutamiento forzado, la vio</w:t>
      </w:r>
      <w:r w:rsidRPr="006D0761">
        <w:rPr>
          <w:rFonts w:ascii="Times New Roman" w:hAnsi="Times New Roman"/>
          <w:color w:val="000000"/>
          <w:sz w:val="28"/>
          <w:szCs w:val="28"/>
          <w:lang w:val="es-ES"/>
        </w:rPr>
        <w:t>lencia psicológica ejercida por mujeres y otras formas de victimización. Señala que los materiales pedagógicos reproducen estereotipos que etiquetan a los hombres como “incapacitados emocionales” o predispuestos a la violencia, lo cual constituye hostigami</w:t>
      </w:r>
      <w:r w:rsidRPr="006D0761">
        <w:rPr>
          <w:rFonts w:ascii="Times New Roman" w:hAnsi="Times New Roman"/>
          <w:color w:val="000000"/>
          <w:sz w:val="28"/>
          <w:szCs w:val="28"/>
          <w:lang w:val="es-ES"/>
        </w:rPr>
        <w:t>ento y refuerza prejuicios contrarios a la igualdad. Advierte que esta visión sesgada deshumaniza a los niños y adolescentes varones, quienes desde temprana edad enfrentan riesgos diferenciados que deberían ser reconocidos en los programas educativos. En s</w:t>
      </w:r>
      <w:r w:rsidRPr="006D0761">
        <w:rPr>
          <w:rFonts w:ascii="Times New Roman" w:hAnsi="Times New Roman"/>
          <w:color w:val="000000"/>
          <w:sz w:val="28"/>
          <w:szCs w:val="28"/>
          <w:lang w:val="es-ES"/>
        </w:rPr>
        <w:t>u criterio, la discriminación histórica contra la mujer no puede justificar la exclusión sistemática de los varones de la educación en igualdad y del reconocimiento de sus propias vulnerabilidades.</w:t>
      </w:r>
    </w:p>
    <w:p w:rsidR="004C3F7B" w:rsidRPr="006D0761" w:rsidRDefault="006D0761" w:rsidP="00330CB9">
      <w:pPr>
        <w:pStyle w:val="Prrafodelista"/>
        <w:ind w:left="0"/>
        <w:jc w:val="both"/>
        <w:rPr>
          <w:rFonts w:ascii="Times New Roman" w:hAnsi="Times New Roman"/>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Décimo c</w:t>
      </w:r>
      <w:r w:rsidRPr="006D0761">
        <w:rPr>
          <w:rFonts w:ascii="Times New Roman" w:hAnsi="Times New Roman"/>
          <w:b/>
          <w:bCs/>
          <w:color w:val="000000"/>
          <w:sz w:val="28"/>
          <w:szCs w:val="28"/>
          <w:lang w:val="es-ES"/>
        </w:rPr>
        <w:t>uestionamiento. Se cuestiona que el artículo 11 d</w:t>
      </w:r>
      <w:r w:rsidRPr="006D0761">
        <w:rPr>
          <w:rFonts w:ascii="Times New Roman" w:hAnsi="Times New Roman"/>
          <w:b/>
          <w:bCs/>
          <w:color w:val="000000"/>
          <w:sz w:val="28"/>
          <w:szCs w:val="28"/>
          <w:lang w:val="es-ES"/>
        </w:rPr>
        <w:t>esproteja a los varones víctimas de violencia de género en la formación a servidores públicos.</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El demandante sostiene que la capacitación en perspectiva de género dirigida a servidores públicos, prevista en el artículo 11 de la Ley 1761, invisibiliza de ma</w:t>
      </w:r>
      <w:r w:rsidRPr="006D0761">
        <w:rPr>
          <w:rFonts w:ascii="Times New Roman" w:hAnsi="Times New Roman"/>
          <w:color w:val="000000"/>
          <w:sz w:val="28"/>
          <w:szCs w:val="28"/>
          <w:lang w:val="es-ES"/>
        </w:rPr>
        <w:t>nera sistemática la violencia que sufren los varones, al centrarse exclusivamente en la violencia contra la mujer. Señala que materiales oficiales como cartillas e instructivos reproducen estereotipos sin fundamento científico, llegando incluso a catalogar</w:t>
      </w:r>
      <w:r w:rsidRPr="006D0761">
        <w:rPr>
          <w:rFonts w:ascii="Times New Roman" w:hAnsi="Times New Roman"/>
          <w:color w:val="000000"/>
          <w:sz w:val="28"/>
          <w:szCs w:val="28"/>
          <w:lang w:val="es-ES"/>
        </w:rPr>
        <w:t xml:space="preserve"> a los hombres como “incapacitados emocionales”, lo que asocia lo masculino con lo violento en lugar de reconocer situaciones de debilidad manifiesta que exigirían protección. A su juicio, esta exclusión no solo carece de justificación temporal y objetiva,</w:t>
      </w:r>
      <w:r w:rsidRPr="006D0761">
        <w:rPr>
          <w:rFonts w:ascii="Times New Roman" w:hAnsi="Times New Roman"/>
          <w:color w:val="000000"/>
          <w:sz w:val="28"/>
          <w:szCs w:val="28"/>
          <w:lang w:val="es-ES"/>
        </w:rPr>
        <w:t xml:space="preserve"> sino que fomenta un discurso que podría calificarse de hostil hacia lo masculino, lo cual perpetúa la desprotección de los hombres víctimas de violencia de género en la política pública y en la actuación de las autoridades.</w:t>
      </w:r>
    </w:p>
    <w:p w:rsidR="004C3F7B" w:rsidRPr="006D0761" w:rsidRDefault="006D0761" w:rsidP="00330CB9">
      <w:pPr>
        <w:pStyle w:val="Prrafodelista"/>
        <w:ind w:left="0"/>
        <w:jc w:val="both"/>
        <w:rPr>
          <w:rFonts w:ascii="Times New Roman" w:hAnsi="Times New Roman"/>
          <w:b/>
          <w:bCs/>
          <w:color w:val="000000"/>
          <w:sz w:val="28"/>
          <w:szCs w:val="28"/>
          <w:lang w:val="es-ES"/>
        </w:rPr>
      </w:pPr>
    </w:p>
    <w:p w:rsidR="004C3F7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 xml:space="preserve">Undécimo </w:t>
      </w:r>
      <w:r w:rsidRPr="006D0761">
        <w:rPr>
          <w:rFonts w:ascii="Times New Roman" w:hAnsi="Times New Roman"/>
          <w:b/>
          <w:bCs/>
          <w:color w:val="000000"/>
          <w:sz w:val="28"/>
          <w:szCs w:val="28"/>
          <w:lang w:val="es-ES"/>
        </w:rPr>
        <w:t>c</w:t>
      </w:r>
      <w:r w:rsidRPr="006D0761">
        <w:rPr>
          <w:rFonts w:ascii="Times New Roman" w:hAnsi="Times New Roman"/>
          <w:b/>
          <w:bCs/>
          <w:color w:val="000000"/>
          <w:sz w:val="28"/>
          <w:szCs w:val="28"/>
          <w:lang w:val="es-ES"/>
        </w:rPr>
        <w:t>uestionamiento. Se c</w:t>
      </w:r>
      <w:r w:rsidRPr="006D0761">
        <w:rPr>
          <w:rFonts w:ascii="Times New Roman" w:hAnsi="Times New Roman"/>
          <w:b/>
          <w:bCs/>
          <w:color w:val="000000"/>
          <w:sz w:val="28"/>
          <w:szCs w:val="28"/>
          <w:lang w:val="es-ES"/>
        </w:rPr>
        <w:t>uestiona el artículo 12 que pide al INMLCF y DANE investigar solo lo que pasa con las mujeres invisibilizando a los varones en igual penuria.</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El demandante afirma que el mandato legal de producir estadísticas centradas únicamente en las mujeres rompe la im</w:t>
      </w:r>
      <w:r w:rsidRPr="006D0761">
        <w:rPr>
          <w:rFonts w:ascii="Times New Roman" w:hAnsi="Times New Roman"/>
          <w:color w:val="000000"/>
          <w:sz w:val="28"/>
          <w:szCs w:val="28"/>
          <w:lang w:val="es-ES"/>
        </w:rPr>
        <w:t xml:space="preserve">parcialidad científica y excluye a los varones de la información pública sobre violencia de género, lo que a su vez impide que sean incluidos en las políticas estatales. Señala que existen múltiples observatorios dedicados al feminicidio, pero ninguno que </w:t>
      </w:r>
      <w:r w:rsidRPr="006D0761">
        <w:rPr>
          <w:rFonts w:ascii="Times New Roman" w:hAnsi="Times New Roman"/>
          <w:color w:val="000000"/>
          <w:sz w:val="28"/>
          <w:szCs w:val="28"/>
          <w:lang w:val="es-ES"/>
        </w:rPr>
        <w:t>registre los homicidios de hombres cometidos por sus parejas, lo que perpetúa su invisibilización y desprotección. A su juicio, esta omisión vulnera el artículo 4 de la CEDAW y configura la primera de una cadena de discriminaciones contra los hombres en la</w:t>
      </w:r>
      <w:r w:rsidRPr="006D0761">
        <w:rPr>
          <w:rFonts w:ascii="Times New Roman" w:hAnsi="Times New Roman"/>
          <w:color w:val="000000"/>
          <w:sz w:val="28"/>
          <w:szCs w:val="28"/>
          <w:lang w:val="es-ES"/>
        </w:rPr>
        <w:t xml:space="preserve"> justicia de familia y de género, pues sin datos oficiales sobre sus padecimientos se consolida un sesgo estructural que los margina y deshumaniza en el diseño de las políticas públicas.</w:t>
      </w:r>
    </w:p>
    <w:p w:rsidR="004C3F7B" w:rsidRPr="006D0761" w:rsidRDefault="006D0761" w:rsidP="00330CB9">
      <w:pPr>
        <w:pStyle w:val="Prrafodelista"/>
        <w:ind w:left="0"/>
        <w:jc w:val="both"/>
        <w:rPr>
          <w:rFonts w:ascii="Times New Roman" w:hAnsi="Times New Roman"/>
          <w:b/>
          <w:bCs/>
          <w:color w:val="000000"/>
          <w:sz w:val="28"/>
          <w:szCs w:val="28"/>
          <w:lang w:val="es-ES"/>
        </w:rPr>
      </w:pPr>
    </w:p>
    <w:p w:rsidR="001176D6"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Duodécimo</w:t>
      </w:r>
      <w:r w:rsidRPr="006D0761">
        <w:rPr>
          <w:rFonts w:ascii="Times New Roman" w:hAnsi="Times New Roman"/>
          <w:b/>
          <w:bCs/>
          <w:color w:val="000000"/>
          <w:sz w:val="28"/>
          <w:szCs w:val="28"/>
          <w:lang w:val="es-ES"/>
        </w:rPr>
        <w:t xml:space="preserve"> c</w:t>
      </w:r>
      <w:r w:rsidRPr="006D0761">
        <w:rPr>
          <w:rFonts w:ascii="Times New Roman" w:hAnsi="Times New Roman"/>
          <w:b/>
          <w:bCs/>
          <w:color w:val="000000"/>
          <w:sz w:val="28"/>
          <w:szCs w:val="28"/>
          <w:lang w:val="es-ES"/>
        </w:rPr>
        <w:t xml:space="preserve">uestionamiento. Se cuestiona la vigencia del artículo 13 </w:t>
      </w:r>
      <w:r w:rsidRPr="006D0761">
        <w:rPr>
          <w:rFonts w:ascii="Times New Roman" w:hAnsi="Times New Roman"/>
          <w:b/>
          <w:bCs/>
          <w:color w:val="000000"/>
          <w:sz w:val="28"/>
          <w:szCs w:val="28"/>
          <w:lang w:val="es-ES"/>
        </w:rPr>
        <w:t>puesto que no instrumentaliza el artículo 4° de la CEDAW.</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El demandante sostiene que las acciones afirmativas de género previstas en la Ley 1761 desconocen el principio de temporalidad establecido en el artículo 4 de la CEDAW, según el cual solo lo relacio</w:t>
      </w:r>
      <w:r w:rsidRPr="006D0761">
        <w:rPr>
          <w:rFonts w:ascii="Times New Roman" w:hAnsi="Times New Roman"/>
          <w:color w:val="000000"/>
          <w:sz w:val="28"/>
          <w:szCs w:val="28"/>
          <w:lang w:val="es-ES"/>
        </w:rPr>
        <w:t xml:space="preserve">nado con la maternidad puede justificar medidas permanentes, mientras que las demás deben ser transitorias. Afirma que mantener vigencia indefinida en estas medidas resulta inconstitucional y ha derivado en discriminaciones contra los varones, quienes hoy </w:t>
      </w:r>
      <w:r w:rsidRPr="006D0761">
        <w:rPr>
          <w:rFonts w:ascii="Times New Roman" w:hAnsi="Times New Roman"/>
          <w:color w:val="000000"/>
          <w:sz w:val="28"/>
          <w:szCs w:val="28"/>
          <w:lang w:val="es-ES"/>
        </w:rPr>
        <w:t>serían el grupo marginado en la justicia de género y de familia. Cita la jurisprudencia de la Corte Constitucional que exige adecuar las acciones afirmativas a la realidad social, y sostiene que, al no prever límites temporales ni protocolos para su desmon</w:t>
      </w:r>
      <w:r w:rsidRPr="006D0761">
        <w:rPr>
          <w:rFonts w:ascii="Times New Roman" w:hAnsi="Times New Roman"/>
          <w:color w:val="000000"/>
          <w:sz w:val="28"/>
          <w:szCs w:val="28"/>
          <w:lang w:val="es-ES"/>
        </w:rPr>
        <w:t>te, la Ley 1761 consolidó privilegios a favor de las mujeres y dejó casos como el de Reinel Salcedo sin protección. A su juicio, corresponde a la Corte replantear la vigencia de este tipo de medidas, fijando metas, indicadores y mecanismos de seguimiento q</w:t>
      </w:r>
      <w:r w:rsidRPr="006D0761">
        <w:rPr>
          <w:rFonts w:ascii="Times New Roman" w:hAnsi="Times New Roman"/>
          <w:color w:val="000000"/>
          <w:sz w:val="28"/>
          <w:szCs w:val="28"/>
          <w:lang w:val="es-ES"/>
        </w:rPr>
        <w:t>ue permitan corregir excesos y evitar nuevas formas de discriminación.</w:t>
      </w:r>
    </w:p>
    <w:p w:rsidR="001176D6" w:rsidRPr="006D0761" w:rsidRDefault="006D0761" w:rsidP="00330CB9">
      <w:pPr>
        <w:pStyle w:val="Prrafodelista"/>
        <w:ind w:left="0"/>
        <w:jc w:val="both"/>
        <w:rPr>
          <w:rFonts w:ascii="Times New Roman" w:hAnsi="Times New Roman"/>
          <w:color w:val="000000"/>
          <w:sz w:val="28"/>
          <w:szCs w:val="28"/>
          <w:lang w:val="es-ES"/>
        </w:rPr>
      </w:pPr>
    </w:p>
    <w:p w:rsidR="008E2564"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Décimo tercer</w:t>
      </w:r>
      <w:r w:rsidRPr="006D0761">
        <w:rPr>
          <w:rFonts w:ascii="Times New Roman" w:hAnsi="Times New Roman"/>
          <w:b/>
          <w:bCs/>
          <w:color w:val="000000"/>
          <w:sz w:val="28"/>
          <w:szCs w:val="28"/>
          <w:lang w:val="es-ES"/>
        </w:rPr>
        <w:t xml:space="preserve"> c</w:t>
      </w:r>
      <w:r w:rsidRPr="006D0761">
        <w:rPr>
          <w:rFonts w:ascii="Times New Roman" w:hAnsi="Times New Roman"/>
          <w:b/>
          <w:bCs/>
          <w:color w:val="000000"/>
          <w:sz w:val="28"/>
          <w:szCs w:val="28"/>
          <w:lang w:val="es-ES"/>
        </w:rPr>
        <w:t>uestionamiento</w:t>
      </w:r>
      <w:r w:rsidRPr="006D0761">
        <w:rPr>
          <w:rFonts w:ascii="Times New Roman" w:hAnsi="Times New Roman"/>
          <w:b/>
          <w:bCs/>
          <w:color w:val="000000"/>
          <w:sz w:val="28"/>
          <w:szCs w:val="28"/>
          <w:lang w:val="es-ES"/>
        </w:rPr>
        <w:t>.</w:t>
      </w:r>
      <w:r w:rsidRPr="006D0761">
        <w:rPr>
          <w:rFonts w:ascii="Times New Roman" w:hAnsi="Times New Roman"/>
          <w:b/>
          <w:bCs/>
          <w:color w:val="000000"/>
          <w:sz w:val="28"/>
          <w:szCs w:val="28"/>
          <w:lang w:val="es-ES"/>
        </w:rPr>
        <w:t xml:space="preserve"> </w:t>
      </w:r>
      <w:r w:rsidRPr="006D0761">
        <w:rPr>
          <w:rFonts w:ascii="Times New Roman" w:hAnsi="Times New Roman"/>
          <w:b/>
          <w:bCs/>
          <w:color w:val="000000"/>
          <w:sz w:val="28"/>
          <w:szCs w:val="28"/>
          <w:lang w:val="es-ES"/>
        </w:rPr>
        <w:t>C</w:t>
      </w:r>
      <w:r w:rsidRPr="006D0761">
        <w:rPr>
          <w:rFonts w:ascii="Times New Roman" w:hAnsi="Times New Roman"/>
          <w:b/>
          <w:bCs/>
          <w:color w:val="000000"/>
          <w:sz w:val="28"/>
          <w:szCs w:val="28"/>
          <w:lang w:val="es-ES"/>
        </w:rPr>
        <w:t xml:space="preserve">uestiona la proporcionalidad de </w:t>
      </w:r>
      <w:r w:rsidRPr="006D0761">
        <w:rPr>
          <w:rFonts w:ascii="Times New Roman" w:hAnsi="Times New Roman"/>
          <w:b/>
          <w:bCs/>
          <w:color w:val="000000"/>
          <w:sz w:val="28"/>
          <w:szCs w:val="28"/>
          <w:lang w:val="es-ES"/>
        </w:rPr>
        <w:t>la</w:t>
      </w:r>
      <w:r w:rsidRPr="006D0761">
        <w:rPr>
          <w:rFonts w:ascii="Times New Roman" w:hAnsi="Times New Roman"/>
          <w:b/>
          <w:bCs/>
          <w:color w:val="000000"/>
          <w:sz w:val="28"/>
          <w:szCs w:val="28"/>
          <w:lang w:val="es-ES"/>
        </w:rPr>
        <w:t xml:space="preserve"> </w:t>
      </w:r>
      <w:r w:rsidRPr="006D0761">
        <w:rPr>
          <w:rFonts w:ascii="Times New Roman" w:hAnsi="Times New Roman"/>
          <w:b/>
          <w:bCs/>
          <w:color w:val="000000"/>
          <w:sz w:val="28"/>
          <w:szCs w:val="28"/>
          <w:lang w:val="es-ES"/>
        </w:rPr>
        <w:t xml:space="preserve">medida </w:t>
      </w:r>
      <w:r w:rsidRPr="006D0761">
        <w:rPr>
          <w:rFonts w:ascii="Times New Roman" w:hAnsi="Times New Roman"/>
          <w:b/>
          <w:bCs/>
          <w:color w:val="000000"/>
          <w:sz w:val="28"/>
          <w:szCs w:val="28"/>
          <w:lang w:val="es-ES"/>
        </w:rPr>
        <w:t xml:space="preserve"> </w:t>
      </w:r>
      <w:r w:rsidRPr="006D0761">
        <w:rPr>
          <w:rFonts w:ascii="Times New Roman" w:hAnsi="Times New Roman"/>
          <w:b/>
          <w:bCs/>
          <w:color w:val="000000"/>
          <w:sz w:val="28"/>
          <w:szCs w:val="28"/>
          <w:lang w:val="es-ES"/>
        </w:rPr>
        <w:t>“</w:t>
      </w:r>
      <w:r w:rsidRPr="006D0761">
        <w:rPr>
          <w:rFonts w:ascii="Times New Roman" w:hAnsi="Times New Roman"/>
          <w:b/>
          <w:bCs/>
          <w:color w:val="000000"/>
          <w:sz w:val="28"/>
          <w:szCs w:val="28"/>
          <w:lang w:val="es-ES"/>
        </w:rPr>
        <w:t>no solo por sus contenidos en sí misma sino como parte de un clúster de más de 30 acciones afirmativas todas</w:t>
      </w:r>
      <w:r w:rsidRPr="006D0761">
        <w:rPr>
          <w:rFonts w:ascii="Times New Roman" w:hAnsi="Times New Roman"/>
          <w:b/>
          <w:bCs/>
          <w:color w:val="000000"/>
          <w:sz w:val="28"/>
          <w:szCs w:val="28"/>
          <w:lang w:val="es-ES"/>
        </w:rPr>
        <w:t xml:space="preserve"> ellas encaminadas a proteger a la mujer</w:t>
      </w:r>
      <w:r w:rsidRPr="006D0761">
        <w:rPr>
          <w:rFonts w:ascii="Times New Roman" w:hAnsi="Times New Roman"/>
          <w:b/>
          <w:bCs/>
          <w:color w:val="000000"/>
          <w:sz w:val="28"/>
          <w:szCs w:val="28"/>
          <w:lang w:val="es-ES"/>
        </w:rPr>
        <w:t>”</w:t>
      </w:r>
      <w:r w:rsidRPr="006D0761">
        <w:rPr>
          <w:rFonts w:ascii="Times New Roman" w:hAnsi="Times New Roman"/>
          <w:b/>
          <w:bCs/>
          <w:color w:val="000000"/>
          <w:sz w:val="28"/>
          <w:szCs w:val="28"/>
          <w:lang w:val="es-ES"/>
        </w:rPr>
        <w:t>.</w:t>
      </w:r>
      <w:r w:rsidRPr="006D0761">
        <w:rPr>
          <w:rFonts w:ascii="Times New Roman" w:hAnsi="Times New Roman"/>
          <w:b/>
          <w:bCs/>
          <w:color w:val="000000"/>
          <w:sz w:val="28"/>
          <w:szCs w:val="28"/>
          <w:lang w:val="es-ES"/>
        </w:rPr>
        <w:t xml:space="preserve"> </w:t>
      </w:r>
      <w:r w:rsidRPr="006D0761">
        <w:rPr>
          <w:rFonts w:ascii="Times New Roman" w:hAnsi="Times New Roman"/>
          <w:color w:val="000000"/>
          <w:sz w:val="28"/>
          <w:szCs w:val="28"/>
          <w:lang w:val="es-ES"/>
        </w:rPr>
        <w:t xml:space="preserve">El demandante advierte que la proporcionalidad de la Ley 1761 no puede evaluarse de manera aislada, pues forma parte de un conjunto de más de 30 acciones afirmativas dirigidas exclusivamente a la protección de la </w:t>
      </w:r>
      <w:r w:rsidRPr="006D0761">
        <w:rPr>
          <w:rFonts w:ascii="Times New Roman" w:hAnsi="Times New Roman"/>
          <w:color w:val="000000"/>
          <w:sz w:val="28"/>
          <w:szCs w:val="28"/>
          <w:lang w:val="es-ES"/>
        </w:rPr>
        <w:t>mujer, sin contrapesos ni mecanismos de control. A su juicio, el examen de proporcionalidad aplicado por la Corte Constitucional debería considerar este “clúster” normativo, ya que su acumulación ha generado un sistema sesgado en el que se invisibilizan la</w:t>
      </w:r>
      <w:r w:rsidRPr="006D0761">
        <w:rPr>
          <w:rFonts w:ascii="Times New Roman" w:hAnsi="Times New Roman"/>
          <w:color w:val="000000"/>
          <w:sz w:val="28"/>
          <w:szCs w:val="28"/>
          <w:lang w:val="es-ES"/>
        </w:rPr>
        <w:t>s agresiones contra varones y se refuerzan estereotipos de género en la justicia de familia. Señala que ni siquiera se producen datos oficiales sobre violencia ejercida contra hombres, mientras que la formación de los operadores de justicia se basa en mate</w:t>
      </w:r>
      <w:r w:rsidRPr="006D0761">
        <w:rPr>
          <w:rFonts w:ascii="Times New Roman" w:hAnsi="Times New Roman"/>
          <w:color w:val="000000"/>
          <w:sz w:val="28"/>
          <w:szCs w:val="28"/>
          <w:lang w:val="es-ES"/>
        </w:rPr>
        <w:t>riales que reproducen visiones discriminatorias hacia lo masculino. En ese contexto, concluye que la Ley 1761 contribuye a un desequilibrio normativo que rompe la imparcialidad judicial y desconoce el mandato de igualdad del artículo 13 constitucional.</w:t>
      </w:r>
    </w:p>
    <w:p w:rsidR="00B71BD0" w:rsidRPr="006D0761" w:rsidRDefault="006D0761" w:rsidP="00330CB9">
      <w:pPr>
        <w:jc w:val="both"/>
        <w:rPr>
          <w:rFonts w:ascii="Times New Roman" w:hAnsi="Times New Roman"/>
          <w:color w:val="000000"/>
          <w:sz w:val="28"/>
          <w:szCs w:val="28"/>
          <w:lang w:val="es-ES"/>
        </w:rPr>
      </w:pPr>
    </w:p>
    <w:p w:rsidR="000B3F67" w:rsidRPr="006D0761" w:rsidRDefault="006D0761" w:rsidP="000B3F67">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eastAsia="es-ES"/>
        </w:rPr>
      </w:pPr>
      <w:r w:rsidRPr="006D0761">
        <w:rPr>
          <w:rFonts w:ascii="Times New Roman" w:hAnsi="Times New Roman"/>
          <w:color w:val="000000"/>
          <w:sz w:val="28"/>
          <w:szCs w:val="28"/>
          <w:lang w:val="es-ES" w:eastAsia="es-MX"/>
        </w:rPr>
        <w:t xml:space="preserve"> </w:t>
      </w:r>
      <w:r w:rsidRPr="006D0761">
        <w:rPr>
          <w:rFonts w:ascii="Times New Roman" w:hAnsi="Times New Roman"/>
          <w:color w:val="000000"/>
          <w:sz w:val="28"/>
          <w:szCs w:val="28"/>
          <w:lang w:val="es-ES"/>
        </w:rPr>
        <w:t xml:space="preserve">Por Auto del 24 de junio de 2025, la Magistrada Sustanciadora (E),  Carolina Ramírez Pérez admitió la demanda, dio traslado al Procurador General de la Nación; </w:t>
      </w:r>
      <w:r w:rsidRPr="006D0761">
        <w:rPr>
          <w:rFonts w:ascii="Times New Roman" w:hAnsi="Times New Roman"/>
          <w:color w:val="000000"/>
          <w:sz w:val="28"/>
          <w:szCs w:val="28"/>
          <w:lang w:val="es-ES" w:eastAsia="es-ES"/>
        </w:rPr>
        <w:t xml:space="preserve">comunicó del proceso a los Ministerios de Justicia, Salud y Protección Social y de la Igualdad, </w:t>
      </w:r>
      <w:r w:rsidRPr="006D0761">
        <w:rPr>
          <w:rFonts w:ascii="Times New Roman" w:hAnsi="Times New Roman"/>
          <w:color w:val="000000"/>
          <w:sz w:val="28"/>
          <w:szCs w:val="28"/>
          <w:lang w:val="es-ES" w:eastAsia="es-ES"/>
        </w:rPr>
        <w:t>al Observatorio Nacional de Violencias de Género, a la Sala de Casación Penal de la Corte Suprema de Justicia, a la Fiscalía General de la Nación, a la Defensoría del Pueblo, al Departamento Administrativo Nacional de Estadísticas – DANE, al Instituto Colo</w:t>
      </w:r>
      <w:r w:rsidRPr="006D0761">
        <w:rPr>
          <w:rFonts w:ascii="Times New Roman" w:hAnsi="Times New Roman"/>
          <w:color w:val="000000"/>
          <w:sz w:val="28"/>
          <w:szCs w:val="28"/>
          <w:lang w:val="es-ES" w:eastAsia="es-ES"/>
        </w:rPr>
        <w:t>mbiano de Bienestar Familiar -ICBF, al Instituto Nacional de Medicina Legal y Ciencias Forenses, a la Secretaria de la Mujer de Bogotá D.C., e invitó a  intervenir en el proceso a:  ONU Mujeres Colombia, Academia Colombiana de Jurisprudencia, y a las Unive</w:t>
      </w:r>
      <w:r w:rsidRPr="006D0761">
        <w:rPr>
          <w:rFonts w:ascii="Times New Roman" w:hAnsi="Times New Roman"/>
          <w:color w:val="000000"/>
          <w:sz w:val="28"/>
          <w:szCs w:val="28"/>
          <w:lang w:val="es-ES" w:eastAsia="es-ES"/>
        </w:rPr>
        <w:t>rsidades Nacional, del Rosario, Externado de Colombia, Sergio Arboleda,  de los Andes, de la Sabana, de Nariño, de Caldas, de Antioquia, del Norte, y Pedagógica y Tecnológica de Colombia sede Tunja.</w:t>
      </w:r>
    </w:p>
    <w:p w:rsidR="000B3F67" w:rsidRPr="006D0761" w:rsidRDefault="006D0761" w:rsidP="000B3F67">
      <w:pPr>
        <w:pStyle w:val="NormalWeb"/>
        <w:spacing w:before="0" w:beforeAutospacing="0" w:after="0" w:afterAutospacing="0"/>
        <w:jc w:val="both"/>
        <w:rPr>
          <w:rFonts w:ascii="Times New Roman" w:hAnsi="Times New Roman"/>
          <w:color w:val="000000"/>
          <w:sz w:val="28"/>
          <w:szCs w:val="28"/>
          <w:lang w:val="es-ES" w:eastAsia="es-ES"/>
        </w:rPr>
      </w:pPr>
    </w:p>
    <w:p w:rsidR="006A6BC5"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eastAsia="es-MX"/>
        </w:rPr>
        <w:t>El despacho sustanciador consideró que la demanda presen</w:t>
      </w:r>
      <w:r w:rsidRPr="006D0761">
        <w:rPr>
          <w:rFonts w:ascii="Times New Roman" w:hAnsi="Times New Roman"/>
          <w:color w:val="000000"/>
          <w:sz w:val="28"/>
          <w:szCs w:val="28"/>
          <w:lang w:val="es-ES" w:eastAsia="es-MX"/>
        </w:rPr>
        <w:t>tada cumplía con todos los requisitos formales, recaía sobre una norma bajo la competencia material de la Corte. Además, en el examen de los cargos, consideró que la demanda cumplía con los requisitos de claridad, certeza, pertinencia, especificidad y sufi</w:t>
      </w:r>
      <w:r w:rsidRPr="006D0761">
        <w:rPr>
          <w:rFonts w:ascii="Times New Roman" w:hAnsi="Times New Roman"/>
          <w:color w:val="000000"/>
          <w:sz w:val="28"/>
          <w:szCs w:val="28"/>
          <w:lang w:val="es-ES" w:eastAsia="es-MX"/>
        </w:rPr>
        <w:t xml:space="preserve">ciencia. </w:t>
      </w:r>
      <w:r w:rsidRPr="006D0761">
        <w:rPr>
          <w:rFonts w:ascii="Times New Roman" w:hAnsi="Times New Roman"/>
          <w:color w:val="000000"/>
          <w:sz w:val="28"/>
          <w:szCs w:val="28"/>
          <w:lang w:val="es-ES"/>
        </w:rPr>
        <w:t xml:space="preserve"> </w:t>
      </w:r>
    </w:p>
    <w:p w:rsidR="00C249D9" w:rsidRPr="006D0761" w:rsidRDefault="006D0761" w:rsidP="00330CB9">
      <w:pPr>
        <w:pStyle w:val="NormalWeb"/>
        <w:spacing w:before="0" w:beforeAutospacing="0" w:after="0" w:afterAutospacing="0"/>
        <w:jc w:val="both"/>
        <w:rPr>
          <w:rFonts w:ascii="Times New Roman" w:hAnsi="Times New Roman"/>
          <w:color w:val="000000"/>
          <w:sz w:val="28"/>
          <w:szCs w:val="28"/>
          <w:lang w:val="es-ES" w:eastAsia="es-ES"/>
        </w:rPr>
      </w:pPr>
    </w:p>
    <w:p w:rsidR="6E3DF2DB"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La Magistrada </w:t>
      </w:r>
      <w:r w:rsidRPr="006D0761">
        <w:rPr>
          <w:rFonts w:ascii="Times New Roman" w:hAnsi="Times New Roman"/>
          <w:color w:val="000000"/>
          <w:sz w:val="28"/>
          <w:szCs w:val="28"/>
          <w:lang w:val="es-ES"/>
        </w:rPr>
        <w:t xml:space="preserve">Carolina Ramírez Pérez </w:t>
      </w:r>
      <w:r w:rsidRPr="006D0761">
        <w:rPr>
          <w:rFonts w:ascii="Times New Roman" w:hAnsi="Times New Roman"/>
          <w:color w:val="000000"/>
          <w:sz w:val="28"/>
          <w:szCs w:val="28"/>
          <w:lang w:val="es-ES"/>
        </w:rPr>
        <w:t>terminó su</w:t>
      </w:r>
      <w:r w:rsidRPr="006D0761">
        <w:rPr>
          <w:rFonts w:ascii="Times New Roman" w:hAnsi="Times New Roman"/>
          <w:color w:val="000000"/>
          <w:sz w:val="28"/>
          <w:szCs w:val="28"/>
          <w:lang w:val="es-ES"/>
        </w:rPr>
        <w:t xml:space="preserve"> encargo como Magistrada de</w:t>
      </w:r>
      <w:r w:rsidRPr="006D0761">
        <w:rPr>
          <w:rFonts w:ascii="Times New Roman" w:hAnsi="Times New Roman"/>
          <w:color w:val="000000"/>
          <w:sz w:val="28"/>
          <w:szCs w:val="28"/>
          <w:lang w:val="es-ES"/>
        </w:rPr>
        <w:t xml:space="preserve"> la Corte Constitucional el 3 de julio de 2025, </w:t>
      </w:r>
      <w:r w:rsidRPr="006D0761">
        <w:rPr>
          <w:rFonts w:ascii="Times New Roman" w:hAnsi="Times New Roman"/>
          <w:color w:val="000000"/>
          <w:sz w:val="28"/>
          <w:szCs w:val="28"/>
          <w:lang w:val="es-ES"/>
        </w:rPr>
        <w:t xml:space="preserve">fecha en la cual </w:t>
      </w:r>
      <w:r w:rsidRPr="006D0761">
        <w:rPr>
          <w:rFonts w:ascii="Times New Roman" w:hAnsi="Times New Roman"/>
          <w:color w:val="000000"/>
          <w:sz w:val="28"/>
          <w:szCs w:val="28"/>
          <w:lang w:val="es-ES"/>
        </w:rPr>
        <w:t>el Dr. Héctor Alfonso Carvajal Londoño se posesionó como Magistrado de la Corte Constitucional en el mis</w:t>
      </w:r>
      <w:r w:rsidRPr="006D0761">
        <w:rPr>
          <w:rFonts w:ascii="Times New Roman" w:hAnsi="Times New Roman"/>
          <w:color w:val="000000"/>
          <w:sz w:val="28"/>
          <w:szCs w:val="28"/>
          <w:lang w:val="es-ES"/>
        </w:rPr>
        <w:t>mo despacho</w:t>
      </w:r>
      <w:r w:rsidRPr="006D0761">
        <w:rPr>
          <w:rFonts w:ascii="Times New Roman" w:hAnsi="Times New Roman"/>
          <w:color w:val="000000"/>
          <w:sz w:val="28"/>
          <w:szCs w:val="28"/>
          <w:lang w:val="es-ES"/>
        </w:rPr>
        <w:t xml:space="preserve"> y quedó desde entonces a cargo del trámite del expediente D-16596</w:t>
      </w:r>
      <w:r w:rsidRPr="006D0761">
        <w:rPr>
          <w:rFonts w:ascii="Times New Roman" w:hAnsi="Times New Roman"/>
          <w:color w:val="000000"/>
          <w:sz w:val="28"/>
          <w:szCs w:val="28"/>
          <w:lang w:val="es-ES"/>
        </w:rPr>
        <w:t>.</w:t>
      </w:r>
    </w:p>
    <w:p w:rsidR="008E2564" w:rsidRPr="006D0761" w:rsidRDefault="006D0761" w:rsidP="00EB501B">
      <w:pPr>
        <w:pStyle w:val="Ttulo1"/>
        <w:numPr>
          <w:ilvl w:val="0"/>
          <w:numId w:val="1"/>
        </w:numPr>
        <w:ind w:left="0" w:firstLine="0"/>
        <w:rPr>
          <w:rFonts w:ascii="Times New Roman" w:hAnsi="Times New Roman"/>
          <w:lang w:val="es-ES"/>
        </w:rPr>
      </w:pPr>
      <w:bookmarkStart w:id="5" w:name="_Toc220572667"/>
      <w:r w:rsidRPr="006D0761">
        <w:rPr>
          <w:rFonts w:ascii="Times New Roman" w:hAnsi="Times New Roman"/>
          <w:lang w:val="es-ES"/>
        </w:rPr>
        <w:t>INTERVENCIONES</w:t>
      </w:r>
      <w:bookmarkEnd w:id="5"/>
    </w:p>
    <w:p w:rsidR="00031B87" w:rsidRPr="006D0761" w:rsidRDefault="006D0761" w:rsidP="00330CB9">
      <w:pPr>
        <w:pStyle w:val="Prrafodelista"/>
        <w:ind w:left="0"/>
        <w:jc w:val="both"/>
        <w:rPr>
          <w:rFonts w:ascii="Times New Roman" w:hAnsi="Times New Roman"/>
          <w:color w:val="000000"/>
          <w:sz w:val="28"/>
          <w:szCs w:val="28"/>
          <w:lang w:val="es-ES"/>
        </w:rPr>
      </w:pPr>
    </w:p>
    <w:p w:rsidR="008E2564"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Dentro del término otorgado para intervenir en el presente proceso de constitucionalidad, se recibieron las siguientes intervenciones: </w:t>
      </w:r>
    </w:p>
    <w:p w:rsidR="008E2564" w:rsidRPr="006D0761" w:rsidRDefault="006D0761" w:rsidP="6D224379">
      <w:pPr>
        <w:pStyle w:val="Prrafodelista"/>
        <w:ind w:left="0"/>
        <w:jc w:val="both"/>
        <w:rPr>
          <w:rFonts w:ascii="Times New Roman" w:hAnsi="Times New Roman"/>
          <w:color w:val="000000"/>
          <w:sz w:val="28"/>
          <w:szCs w:val="28"/>
          <w:lang w:val="es-ES"/>
        </w:rPr>
      </w:pPr>
    </w:p>
    <w:p w:rsidR="008E2564" w:rsidRPr="006D0761" w:rsidRDefault="006D0761" w:rsidP="00EB501B">
      <w:pPr>
        <w:pStyle w:val="Prrafodelista"/>
        <w:ind w:left="0"/>
        <w:jc w:val="center"/>
        <w:rPr>
          <w:rFonts w:ascii="Times New Roman" w:hAnsi="Times New Roman"/>
          <w:color w:val="000000"/>
          <w:sz w:val="28"/>
          <w:szCs w:val="28"/>
          <w:lang w:val="es-ES"/>
        </w:rPr>
      </w:pPr>
      <w:r w:rsidRPr="006D0761">
        <w:rPr>
          <w:rFonts w:ascii="Times New Roman" w:hAnsi="Times New Roman"/>
          <w:color w:val="000000"/>
          <w:sz w:val="28"/>
          <w:lang w:val="es-ES"/>
        </w:rPr>
        <w:t xml:space="preserve">Tabla </w:t>
      </w:r>
      <w:r w:rsidRPr="006D0761">
        <w:rPr>
          <w:rFonts w:ascii="Times New Roman" w:hAnsi="Times New Roman"/>
          <w:color w:val="000000"/>
          <w:sz w:val="28"/>
          <w:lang w:val="es-ES"/>
        </w:rPr>
        <w:t>2</w:t>
      </w:r>
      <w:r w:rsidRPr="006D0761">
        <w:rPr>
          <w:rFonts w:ascii="Times New Roman" w:hAnsi="Times New Roman"/>
          <w:color w:val="000000"/>
          <w:sz w:val="28"/>
          <w:lang w:val="es-ES"/>
        </w:rPr>
        <w:t xml:space="preserve">. </w:t>
      </w:r>
      <w:r w:rsidRPr="006D0761">
        <w:rPr>
          <w:rFonts w:ascii="Times New Roman" w:hAnsi="Times New Roman"/>
          <w:i/>
          <w:iCs/>
          <w:color w:val="000000"/>
          <w:sz w:val="28"/>
          <w:lang w:val="es-ES"/>
        </w:rPr>
        <w:t xml:space="preserve">Síntesis de </w:t>
      </w:r>
      <w:r w:rsidRPr="006D0761">
        <w:rPr>
          <w:rFonts w:ascii="Times New Roman" w:hAnsi="Times New Roman"/>
          <w:i/>
          <w:iCs/>
          <w:color w:val="000000"/>
          <w:sz w:val="28"/>
          <w:lang w:val="es-ES"/>
        </w:rPr>
        <w:t>intervencione</w:t>
      </w:r>
      <w:r w:rsidRPr="006D0761">
        <w:rPr>
          <w:rFonts w:ascii="Times New Roman" w:hAnsi="Times New Roman"/>
          <w:i/>
          <w:iCs/>
          <w:color w:val="000000"/>
          <w:sz w:val="28"/>
          <w:lang w:val="es-ES"/>
        </w:rPr>
        <w:t>s</w:t>
      </w:r>
    </w:p>
    <w:tbl>
      <w:tblPr>
        <w:tblW w:w="8930"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3"/>
        <w:gridCol w:w="1696"/>
        <w:gridCol w:w="4961"/>
      </w:tblGrid>
      <w:tr w:rsidR="002946D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44077AA1"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Interviniente</w:t>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44077AA1"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Solicitud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44077AA1" w:rsidRPr="006D0761" w:rsidRDefault="006D0761" w:rsidP="006D0761">
            <w:pPr>
              <w:spacing w:after="0" w:line="240" w:lineRule="auto"/>
              <w:jc w:val="both"/>
              <w:rPr>
                <w:rFonts w:ascii="Times New Roman" w:hAnsi="Times New Roman"/>
                <w:b/>
                <w:bCs/>
                <w:color w:val="000000"/>
                <w:sz w:val="28"/>
                <w:lang w:val="es-ES"/>
              </w:rPr>
            </w:pPr>
            <w:r w:rsidRPr="006D0761">
              <w:rPr>
                <w:rFonts w:ascii="Times New Roman" w:hAnsi="Times New Roman"/>
                <w:b/>
                <w:bCs/>
                <w:color w:val="000000"/>
                <w:sz w:val="28"/>
                <w:lang w:val="es-ES"/>
              </w:rPr>
              <w:t>Consideraciones relevantes</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Fundación Jurídica Proyecto Inocencia</w:t>
            </w:r>
            <w:r w:rsidRPr="006D0761">
              <w:rPr>
                <w:rStyle w:val="Refdenotaalpie"/>
                <w:rFonts w:ascii="Times New Roman" w:hAnsi="Times New Roman"/>
                <w:color w:val="000000"/>
                <w:sz w:val="28"/>
                <w:lang w:val="es-ES"/>
              </w:rPr>
              <w:footnoteReference w:id="5"/>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Exequ</w:t>
            </w:r>
            <w:r w:rsidRPr="006D0761">
              <w:rPr>
                <w:rFonts w:ascii="Times New Roman" w:hAnsi="Times New Roman"/>
                <w:color w:val="000000"/>
                <w:sz w:val="28"/>
                <w:lang w:val="es-ES"/>
              </w:rPr>
              <w:t>i</w:t>
            </w:r>
            <w:r w:rsidRPr="006D0761">
              <w:rPr>
                <w:rFonts w:ascii="Times New Roman" w:hAnsi="Times New Roman"/>
                <w:color w:val="000000"/>
                <w:sz w:val="28"/>
                <w:lang w:val="es-ES"/>
              </w:rPr>
              <w:t>bilidad condicionada</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La Fundación señaló que la distinción entre homicidio y feminicidio parte de la condición de ser mujer, pero el mayor </w:t>
            </w:r>
            <w:r w:rsidRPr="006D0761">
              <w:rPr>
                <w:rFonts w:ascii="Times New Roman" w:hAnsi="Times New Roman"/>
                <w:color w:val="000000"/>
                <w:sz w:val="28"/>
                <w:lang w:val="es-ES"/>
              </w:rPr>
              <w:t>castigo carece de una justificación clara en la exposición de motivos. Mientras el homicidio contempla penas de 208 a 450 meses, el feminicidio oscila entre 250 y 500, generando un aumento de más de 3 años en el mínimo y casi cinco en el máximo, sin explic</w:t>
            </w:r>
            <w:r w:rsidRPr="006D0761">
              <w:rPr>
                <w:rFonts w:ascii="Times New Roman" w:hAnsi="Times New Roman"/>
                <w:color w:val="000000"/>
                <w:sz w:val="28"/>
                <w:lang w:val="es-ES"/>
              </w:rPr>
              <w:t>ación suficiente. Aunque el objetivo es visibilizar la violencia histórica contra las mujeres, no se argumenta por qué amerita un rigor mayor frente a otros homicidios. Además, observó que varios agravantes, como el concurso de personas, la comisión en pre</w:t>
            </w:r>
            <w:r w:rsidRPr="006D0761">
              <w:rPr>
                <w:rFonts w:ascii="Times New Roman" w:hAnsi="Times New Roman"/>
                <w:color w:val="000000"/>
                <w:sz w:val="28"/>
                <w:lang w:val="es-ES"/>
              </w:rPr>
              <w:t>sencia de familiares o la instrumentalización del cuerpo de la víctima, podrían aplicarse al homicidio común, pero solo se contemplan para el feminicidio, lo que crea un trato desigual sin razonabilidad ni proporcionalidad.</w:t>
            </w:r>
          </w:p>
          <w:p w:rsidR="00354CDE"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La intervención también criticó</w:t>
            </w:r>
            <w:r w:rsidRPr="006D0761">
              <w:rPr>
                <w:rFonts w:ascii="Times New Roman" w:hAnsi="Times New Roman"/>
                <w:color w:val="000000"/>
                <w:sz w:val="28"/>
                <w:lang w:val="es-ES"/>
              </w:rPr>
              <w:t xml:space="preserve"> la confusión conceptual al usar indistintamente “violencia de género”, “violencia contra la mujer” y “violencia basada en género”. Subrayó que esta última es más amplia y puede afectar también a hombres, niños o personas trans, por lo que limitar la prote</w:t>
            </w:r>
            <w:r w:rsidRPr="006D0761">
              <w:rPr>
                <w:rFonts w:ascii="Times New Roman" w:hAnsi="Times New Roman"/>
                <w:color w:val="000000"/>
                <w:sz w:val="28"/>
                <w:lang w:val="es-ES"/>
              </w:rPr>
              <w:t>cción a las mujeres excluye injustificadamente a otros grupos igualmente vulnerables. Asimismo, advirtió que el diseño de tipos penales autónomos con penas más altas responde a un populismo punitivo que no previene la violencia, sino que puede intensificar</w:t>
            </w:r>
            <w:r w:rsidRPr="006D0761">
              <w:rPr>
                <w:rFonts w:ascii="Times New Roman" w:hAnsi="Times New Roman"/>
                <w:color w:val="000000"/>
                <w:sz w:val="28"/>
                <w:lang w:val="es-ES"/>
              </w:rPr>
              <w:t xml:space="preserve">la, desconociendo que el derecho penal debe ser </w:t>
            </w:r>
            <w:r w:rsidRPr="006D0761">
              <w:rPr>
                <w:rFonts w:ascii="Times New Roman" w:hAnsi="Times New Roman"/>
                <w:color w:val="000000"/>
                <w:sz w:val="28"/>
                <w:lang w:val="es-ES"/>
              </w:rPr>
              <w:t xml:space="preserve">la </w:t>
            </w:r>
            <w:r w:rsidRPr="006D0761">
              <w:rPr>
                <w:rFonts w:ascii="Times New Roman" w:hAnsi="Times New Roman"/>
                <w:i/>
                <w:iCs/>
                <w:color w:val="000000"/>
                <w:sz w:val="28"/>
                <w:lang w:val="es-ES"/>
              </w:rPr>
              <w:t>última</w:t>
            </w:r>
            <w:r w:rsidRPr="006D0761">
              <w:rPr>
                <w:rFonts w:ascii="Times New Roman" w:hAnsi="Times New Roman"/>
                <w:i/>
                <w:iCs/>
                <w:color w:val="000000"/>
                <w:sz w:val="28"/>
                <w:lang w:val="es-ES"/>
              </w:rPr>
              <w:t xml:space="preserve"> ratio</w:t>
            </w:r>
            <w:r w:rsidRPr="006D0761">
              <w:rPr>
                <w:rFonts w:ascii="Times New Roman" w:hAnsi="Times New Roman"/>
                <w:color w:val="000000"/>
                <w:sz w:val="28"/>
                <w:lang w:val="es-ES"/>
              </w:rPr>
              <w:t>.</w:t>
            </w:r>
          </w:p>
          <w:p w:rsidR="00354CDE"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En conclusión, sostuvo que el feminicidio es necesario como mecanismo de reconocimiento jurídico de la discriminación histórica, pero su regulación actual debe condicionarse para ampliar agr</w:t>
            </w:r>
            <w:r w:rsidRPr="006D0761">
              <w:rPr>
                <w:rFonts w:ascii="Times New Roman" w:hAnsi="Times New Roman"/>
                <w:color w:val="000000"/>
                <w:sz w:val="28"/>
                <w:lang w:val="es-ES"/>
              </w:rPr>
              <w:t>avantes a toda violencia basada en género. De esta forma, reiteró que ninguna vida es más valiosa que otra y que la finalidad de la norma debe centrarse en garantizar igualdad, visibilización y protección integral.</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Universidad de Los Andes</w:t>
            </w:r>
            <w:r w:rsidRPr="006D0761">
              <w:rPr>
                <w:rStyle w:val="Refdenotaalpie"/>
                <w:rFonts w:ascii="Times New Roman" w:hAnsi="Times New Roman"/>
                <w:color w:val="000000"/>
                <w:sz w:val="28"/>
                <w:lang w:val="es-ES"/>
              </w:rPr>
              <w:footnoteReference w:id="6"/>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Exequibilidad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La intervención explicó que el feminicidio no desprotege a los hombres ni presume que solo los varones puedan ser victimarios, ya que es un delito de sujeto activo común aplicable a cualquier persona, centrado en la condición de la víctima como mujer o co</w:t>
            </w:r>
            <w:r w:rsidRPr="006D0761">
              <w:rPr>
                <w:rFonts w:ascii="Times New Roman" w:hAnsi="Times New Roman"/>
                <w:color w:val="000000"/>
                <w:sz w:val="28"/>
                <w:lang w:val="es-ES"/>
              </w:rPr>
              <w:t>mo persona cuya identidad de género la ubique en esa categoría. De este modo, se desvirtúa la idea de que la norma estigmatiza a los hombres, pues su finalidad es visibilizar la violencia estructural derivada de patrones patriarcales. Además, resaltó que l</w:t>
            </w:r>
            <w:r w:rsidRPr="006D0761">
              <w:rPr>
                <w:rFonts w:ascii="Times New Roman" w:hAnsi="Times New Roman"/>
                <w:color w:val="000000"/>
                <w:sz w:val="28"/>
                <w:lang w:val="es-ES"/>
              </w:rPr>
              <w:t>a definición incluye a las mujeres trans, en consonancia con los Principios de Yogyakarta y con la jurisprudencia que reconoce protección reforzada a identidades de género diversas.</w:t>
            </w:r>
          </w:p>
          <w:p w:rsidR="00354CDE"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Destacó también que el feminicidio es un delito pluriofensivo, pues prote</w:t>
            </w:r>
            <w:r w:rsidRPr="006D0761">
              <w:rPr>
                <w:rFonts w:ascii="Times New Roman" w:hAnsi="Times New Roman"/>
                <w:color w:val="000000"/>
                <w:sz w:val="28"/>
                <w:lang w:val="es-ES"/>
              </w:rPr>
              <w:t>ge no solo la vida, sino también la autonomía, la libertad sexual y la igualdad material de las mujeres. Bajo esta perspectiva, aclaró que la norma no invisibiliza la violencia de género contra hombres u otros sujetos, quienes siguen amparados por disposic</w:t>
            </w:r>
            <w:r w:rsidRPr="006D0761">
              <w:rPr>
                <w:rFonts w:ascii="Times New Roman" w:hAnsi="Times New Roman"/>
                <w:color w:val="000000"/>
                <w:sz w:val="28"/>
                <w:lang w:val="es-ES"/>
              </w:rPr>
              <w:t>iones como el homicidio agravado o la violencia intrafamiliar. Desde un enfoque constitucional, la Universidad de los Andes sostuvo que la igualdad no implica un trato idéntico, sino reconocer diferencias que colocan a ciertos grupos en desventaja. Por ell</w:t>
            </w:r>
            <w:r w:rsidRPr="006D0761">
              <w:rPr>
                <w:rFonts w:ascii="Times New Roman" w:hAnsi="Times New Roman"/>
                <w:color w:val="000000"/>
                <w:sz w:val="28"/>
                <w:lang w:val="es-ES"/>
              </w:rPr>
              <w:t xml:space="preserve">o, </w:t>
            </w:r>
            <w:r w:rsidRPr="006D0761">
              <w:rPr>
                <w:rFonts w:ascii="Times New Roman" w:hAnsi="Times New Roman"/>
                <w:color w:val="000000"/>
                <w:sz w:val="28"/>
                <w:lang w:val="es-ES"/>
              </w:rPr>
              <w:t xml:space="preserve">luego de realizar un test de igualdad, concluye que </w:t>
            </w:r>
            <w:r w:rsidRPr="006D0761">
              <w:rPr>
                <w:rFonts w:ascii="Times New Roman" w:hAnsi="Times New Roman"/>
                <w:color w:val="000000"/>
                <w:sz w:val="28"/>
                <w:lang w:val="es-ES"/>
              </w:rPr>
              <w:t>la Ley 1761 de 2015 constituye una acción afirmativa proporcionada que cumple con el mandato del artículo 13, al otorgar un trato diferenciado para superar la histórica situación de vulnerabilidad de l</w:t>
            </w:r>
            <w:r w:rsidRPr="006D0761">
              <w:rPr>
                <w:rFonts w:ascii="Times New Roman" w:hAnsi="Times New Roman"/>
                <w:color w:val="000000"/>
                <w:sz w:val="28"/>
                <w:lang w:val="es-ES"/>
              </w:rPr>
              <w:t>as mujeres.</w:t>
            </w:r>
          </w:p>
          <w:p w:rsidR="00354CDE"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También resaltó que la norma responde a obligaciones internacionales derivadas de la CEDAW y de la Convención de Belém do Pará, que exigen prevenir, sancionar y erradicar la violencia contra las mujeres mediante marcos jurídicos adecuados. Afi</w:t>
            </w:r>
            <w:r w:rsidRPr="006D0761">
              <w:rPr>
                <w:rFonts w:ascii="Times New Roman" w:hAnsi="Times New Roman"/>
                <w:color w:val="000000"/>
                <w:sz w:val="28"/>
                <w:lang w:val="es-ES"/>
              </w:rPr>
              <w:t xml:space="preserve">rmó que declarar inexequible la ley tendría efectos regresivos, debilitando la visibilización e investigación de los feminicidios y comprometiendo </w:t>
            </w:r>
            <w:r w:rsidRPr="006D0761">
              <w:rPr>
                <w:rFonts w:ascii="Times New Roman" w:hAnsi="Times New Roman"/>
                <w:color w:val="000000"/>
                <w:sz w:val="28"/>
                <w:lang w:val="es-ES"/>
              </w:rPr>
              <w:t xml:space="preserve">el cumplimiento de </w:t>
            </w:r>
            <w:r w:rsidRPr="006D0761">
              <w:rPr>
                <w:rFonts w:ascii="Times New Roman" w:hAnsi="Times New Roman"/>
                <w:color w:val="000000"/>
                <w:sz w:val="28"/>
                <w:lang w:val="es-ES"/>
              </w:rPr>
              <w:t>los compromisos internacionales de Colombia. En contraste, refirió que mantener su vigenci</w:t>
            </w:r>
            <w:r w:rsidRPr="006D0761">
              <w:rPr>
                <w:rFonts w:ascii="Times New Roman" w:hAnsi="Times New Roman"/>
                <w:color w:val="000000"/>
                <w:sz w:val="28"/>
                <w:lang w:val="es-ES"/>
              </w:rPr>
              <w:t>a fortalece la protección diferenciada, consolida el enfoque de género en la justicia y materializa los principios de igualdad y dignidad.</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6E3DF2DB"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Universidad Sergio Arboleda</w:t>
            </w:r>
            <w:r w:rsidRPr="006D0761">
              <w:rPr>
                <w:rStyle w:val="Refdenotaalpie"/>
                <w:rFonts w:ascii="Times New Roman" w:hAnsi="Times New Roman"/>
                <w:color w:val="000000"/>
                <w:sz w:val="28"/>
                <w:lang w:val="es-ES"/>
              </w:rPr>
              <w:footnoteReference w:id="7"/>
            </w:r>
            <w:r w:rsidRPr="006D0761">
              <w:rPr>
                <w:rFonts w:ascii="Times New Roman" w:hAnsi="Times New Roman"/>
                <w:color w:val="000000"/>
                <w:sz w:val="28"/>
                <w:lang w:val="es-ES"/>
              </w:rPr>
              <w:t xml:space="preserve"> </w:t>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Exequibilidad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Realizó un breve análisis sobre los elementos objetivos y subjetivos del</w:t>
            </w:r>
            <w:r w:rsidRPr="006D0761">
              <w:rPr>
                <w:rFonts w:ascii="Times New Roman" w:hAnsi="Times New Roman"/>
                <w:color w:val="000000"/>
                <w:sz w:val="28"/>
                <w:lang w:val="es-ES"/>
              </w:rPr>
              <w:t xml:space="preserve"> delito de feminicidio, para así identificar que </w:t>
            </w:r>
            <w:r w:rsidRPr="006D0761">
              <w:rPr>
                <w:rFonts w:ascii="Times New Roman" w:hAnsi="Times New Roman"/>
                <w:color w:val="000000"/>
                <w:sz w:val="28"/>
                <w:lang w:val="es-ES"/>
              </w:rPr>
              <w:t>la violencia de género ejercida sistemáticamente sobre las mujeres exigía la consagración de una regulación penal autónoma</w:t>
            </w:r>
            <w:r w:rsidRPr="006D0761">
              <w:rPr>
                <w:rFonts w:ascii="Times New Roman" w:hAnsi="Times New Roman"/>
                <w:color w:val="000000"/>
                <w:sz w:val="28"/>
                <w:lang w:val="es-ES"/>
              </w:rPr>
              <w:t xml:space="preserve"> y, así, crear un mecanismo de protección reforzado a las mujeres.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En cuanto a la supuesta vulneración del derecho a la igualdad alegado por el accionante, </w:t>
            </w:r>
            <w:r w:rsidRPr="006D0761">
              <w:rPr>
                <w:rFonts w:ascii="Times New Roman" w:hAnsi="Times New Roman"/>
                <w:color w:val="000000"/>
                <w:sz w:val="28"/>
                <w:lang w:val="es-ES"/>
              </w:rPr>
              <w:t xml:space="preserve">estableció que el delito de feminicidio parte de la necesidad de implementar un trato especial </w:t>
            </w:r>
            <w:r w:rsidRPr="006D0761">
              <w:rPr>
                <w:rFonts w:ascii="Times New Roman" w:hAnsi="Times New Roman"/>
                <w:color w:val="000000"/>
                <w:sz w:val="28"/>
                <w:lang w:val="es-ES"/>
              </w:rPr>
              <w:t>en favor de</w:t>
            </w:r>
            <w:r w:rsidRPr="006D0761">
              <w:rPr>
                <w:rFonts w:ascii="Times New Roman" w:hAnsi="Times New Roman"/>
                <w:color w:val="000000"/>
                <w:sz w:val="28"/>
                <w:lang w:val="es-ES"/>
              </w:rPr>
              <w:t xml:space="preserve"> las mujeres </w:t>
            </w:r>
            <w:r w:rsidRPr="006D0761">
              <w:rPr>
                <w:rFonts w:ascii="Times New Roman" w:hAnsi="Times New Roman"/>
                <w:color w:val="000000"/>
                <w:sz w:val="28"/>
                <w:lang w:val="es-ES"/>
              </w:rPr>
              <w:t xml:space="preserve">de manera razonable, objetivo y legítimo. </w:t>
            </w:r>
            <w:r w:rsidRPr="006D0761">
              <w:rPr>
                <w:rFonts w:ascii="Times New Roman" w:hAnsi="Times New Roman"/>
                <w:color w:val="000000"/>
                <w:sz w:val="28"/>
                <w:lang w:val="es-ES"/>
              </w:rPr>
              <w:t>Mencio</w:t>
            </w:r>
            <w:r w:rsidRPr="006D0761">
              <w:rPr>
                <w:rFonts w:ascii="Times New Roman" w:hAnsi="Times New Roman"/>
                <w:color w:val="000000"/>
                <w:sz w:val="28"/>
                <w:lang w:val="es-ES"/>
              </w:rPr>
              <w:t xml:space="preserve">nó, además, que dicha legislación atiende a las obligaciones internacionales en cabeza del Estado colombiano que adquirió con ocasión de la Convención Belém do Pará.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Frente a la desprotección de los hombres por estar excluidos del sujeto pasivo del delit</w:t>
            </w:r>
            <w:r w:rsidRPr="006D0761">
              <w:rPr>
                <w:rFonts w:ascii="Times New Roman" w:hAnsi="Times New Roman"/>
                <w:color w:val="000000"/>
                <w:sz w:val="28"/>
                <w:lang w:val="es-ES"/>
              </w:rPr>
              <w:t xml:space="preserve">o, la Universidad afirmó que no existe un fenómeno de odio hacia los hombres </w:t>
            </w:r>
            <w:r w:rsidRPr="006D0761">
              <w:rPr>
                <w:rFonts w:ascii="Times New Roman" w:hAnsi="Times New Roman"/>
                <w:color w:val="000000"/>
                <w:sz w:val="28"/>
                <w:lang w:val="es-ES"/>
              </w:rPr>
              <w:t xml:space="preserve">en Colombia que sea </w:t>
            </w:r>
            <w:r w:rsidRPr="006D0761">
              <w:rPr>
                <w:rFonts w:ascii="Times New Roman" w:hAnsi="Times New Roman"/>
                <w:color w:val="000000"/>
                <w:sz w:val="28"/>
                <w:lang w:val="es-ES"/>
              </w:rPr>
              <w:t xml:space="preserve">asimilable </w:t>
            </w:r>
            <w:r w:rsidRPr="006D0761">
              <w:rPr>
                <w:rFonts w:ascii="Times New Roman" w:hAnsi="Times New Roman"/>
                <w:color w:val="000000"/>
                <w:sz w:val="28"/>
                <w:lang w:val="es-ES"/>
              </w:rPr>
              <w:t xml:space="preserve">al que aborda el feminicidio. </w:t>
            </w:r>
            <w:r w:rsidRPr="006D0761">
              <w:rPr>
                <w:rFonts w:ascii="Times New Roman" w:hAnsi="Times New Roman"/>
                <w:color w:val="000000"/>
                <w:sz w:val="28"/>
                <w:lang w:val="es-ES"/>
              </w:rPr>
              <w:t>En consecuencia, el delito no excluye a los hombres de merecer protección ni tampoco equivale a afirmar que la vida de</w:t>
            </w:r>
            <w:r w:rsidRPr="006D0761">
              <w:rPr>
                <w:rFonts w:ascii="Times New Roman" w:hAnsi="Times New Roman"/>
                <w:color w:val="000000"/>
                <w:sz w:val="28"/>
                <w:lang w:val="es-ES"/>
              </w:rPr>
              <w:t xml:space="preserve"> los hombres vale menos</w:t>
            </w:r>
            <w:r w:rsidRPr="006D0761">
              <w:rPr>
                <w:rFonts w:ascii="Times New Roman" w:hAnsi="Times New Roman"/>
                <w:color w:val="000000"/>
                <w:sz w:val="28"/>
                <w:lang w:val="es-ES"/>
              </w:rPr>
              <w:t xml:space="preserve">, sino que representa una </w:t>
            </w:r>
            <w:r w:rsidRPr="006D0761">
              <w:rPr>
                <w:rFonts w:ascii="Times New Roman" w:hAnsi="Times New Roman"/>
                <w:color w:val="000000"/>
                <w:sz w:val="28"/>
                <w:lang w:val="es-ES"/>
              </w:rPr>
              <w:t xml:space="preserve">política pública del Estado </w:t>
            </w:r>
            <w:r w:rsidRPr="006D0761">
              <w:rPr>
                <w:rFonts w:ascii="Times New Roman" w:hAnsi="Times New Roman"/>
                <w:color w:val="000000"/>
                <w:sz w:val="28"/>
                <w:lang w:val="es-ES"/>
              </w:rPr>
              <w:t xml:space="preserve">que, por motivos </w:t>
            </w:r>
            <w:r w:rsidRPr="006D0761">
              <w:rPr>
                <w:rFonts w:ascii="Times New Roman" w:hAnsi="Times New Roman"/>
                <w:color w:val="000000"/>
                <w:sz w:val="28"/>
                <w:lang w:val="es-ES"/>
              </w:rPr>
              <w:t xml:space="preserve">específicos, </w:t>
            </w:r>
            <w:r w:rsidRPr="006D0761">
              <w:rPr>
                <w:rFonts w:ascii="Times New Roman" w:hAnsi="Times New Roman"/>
                <w:color w:val="000000"/>
                <w:sz w:val="28"/>
                <w:lang w:val="es-ES"/>
              </w:rPr>
              <w:t xml:space="preserve">objetivos, razonables y legítimos, trata a los hombres y las mujeres de manera distinta.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En </w:t>
            </w:r>
            <w:r w:rsidRPr="006D0761">
              <w:rPr>
                <w:rFonts w:ascii="Times New Roman" w:hAnsi="Times New Roman"/>
                <w:color w:val="000000"/>
                <w:sz w:val="28"/>
                <w:lang w:val="es-ES"/>
              </w:rPr>
              <w:t xml:space="preserve">cuanto a la presunta </w:t>
            </w:r>
            <w:bookmarkStart w:id="6" w:name="_Int_coUs2bsU"/>
            <w:r w:rsidRPr="006D0761">
              <w:rPr>
                <w:rFonts w:ascii="Times New Roman" w:hAnsi="Times New Roman"/>
                <w:color w:val="000000"/>
                <w:sz w:val="28"/>
                <w:lang w:val="es-ES"/>
              </w:rPr>
              <w:t>omisión</w:t>
            </w:r>
            <w:bookmarkEnd w:id="6"/>
            <w:r w:rsidRPr="006D0761">
              <w:rPr>
                <w:rFonts w:ascii="Times New Roman" w:hAnsi="Times New Roman"/>
                <w:color w:val="000000"/>
                <w:sz w:val="28"/>
                <w:lang w:val="es-ES"/>
              </w:rPr>
              <w:t xml:space="preserve"> legislativa, </w:t>
            </w:r>
            <w:r w:rsidRPr="006D0761">
              <w:rPr>
                <w:rFonts w:ascii="Times New Roman" w:hAnsi="Times New Roman"/>
                <w:color w:val="000000"/>
                <w:sz w:val="28"/>
                <w:lang w:val="es-ES"/>
              </w:rPr>
              <w:t xml:space="preserve">recordó que </w:t>
            </w:r>
            <w:r w:rsidRPr="006D0761">
              <w:rPr>
                <w:rFonts w:ascii="Times New Roman" w:hAnsi="Times New Roman"/>
                <w:color w:val="000000"/>
                <w:sz w:val="28"/>
                <w:lang w:val="es-ES"/>
              </w:rPr>
              <w:t>el ordenamiento jurídico penal colombiano sí c</w:t>
            </w:r>
            <w:r w:rsidRPr="006D0761">
              <w:rPr>
                <w:rFonts w:ascii="Times New Roman" w:hAnsi="Times New Roman"/>
                <w:color w:val="000000"/>
                <w:sz w:val="28"/>
                <w:lang w:val="es-ES"/>
              </w:rPr>
              <w:t>uent</w:t>
            </w:r>
            <w:r w:rsidRPr="006D0761">
              <w:rPr>
                <w:rFonts w:ascii="Times New Roman" w:hAnsi="Times New Roman"/>
                <w:color w:val="000000"/>
                <w:sz w:val="28"/>
                <w:lang w:val="es-ES"/>
              </w:rPr>
              <w:t xml:space="preserve">a </w:t>
            </w:r>
            <w:r w:rsidRPr="006D0761">
              <w:rPr>
                <w:rFonts w:ascii="Times New Roman" w:hAnsi="Times New Roman"/>
                <w:color w:val="000000"/>
                <w:sz w:val="28"/>
                <w:lang w:val="es-ES"/>
              </w:rPr>
              <w:t xml:space="preserve">con </w:t>
            </w:r>
            <w:r w:rsidRPr="006D0761">
              <w:rPr>
                <w:rFonts w:ascii="Times New Roman" w:hAnsi="Times New Roman"/>
                <w:color w:val="000000"/>
                <w:sz w:val="28"/>
                <w:lang w:val="es-ES"/>
              </w:rPr>
              <w:t>delitos que protegen la vida de los hombres, como lo es el hom</w:t>
            </w:r>
            <w:r w:rsidRPr="006D0761">
              <w:rPr>
                <w:rFonts w:ascii="Times New Roman" w:hAnsi="Times New Roman"/>
                <w:color w:val="000000"/>
                <w:sz w:val="28"/>
                <w:lang w:val="es-ES"/>
              </w:rPr>
              <w:t>i</w:t>
            </w:r>
            <w:r w:rsidRPr="006D0761">
              <w:rPr>
                <w:rFonts w:ascii="Times New Roman" w:hAnsi="Times New Roman"/>
                <w:color w:val="000000"/>
                <w:sz w:val="28"/>
                <w:lang w:val="es-ES"/>
              </w:rPr>
              <w:t>cidio, simple o agravado, así como las circunstancias de mayor punibil</w:t>
            </w:r>
            <w:r w:rsidRPr="006D0761">
              <w:rPr>
                <w:rFonts w:ascii="Times New Roman" w:hAnsi="Times New Roman"/>
                <w:color w:val="000000"/>
                <w:sz w:val="28"/>
                <w:lang w:val="es-ES"/>
              </w:rPr>
              <w:t xml:space="preserve">idad.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Contrario a lo argumentado por el accionante, estableció que el delito de feminicidio </w:t>
            </w:r>
            <w:r w:rsidRPr="006D0761">
              <w:rPr>
                <w:rFonts w:ascii="Times New Roman" w:hAnsi="Times New Roman"/>
                <w:color w:val="000000"/>
                <w:sz w:val="28"/>
                <w:lang w:val="es-ES"/>
              </w:rPr>
              <w:t xml:space="preserve">responde </w:t>
            </w:r>
            <w:r w:rsidRPr="006D0761">
              <w:rPr>
                <w:rFonts w:ascii="Times New Roman" w:hAnsi="Times New Roman"/>
                <w:color w:val="000000"/>
                <w:sz w:val="28"/>
                <w:lang w:val="es-ES"/>
              </w:rPr>
              <w:t xml:space="preserve">a las obligaciones internacionales del Estado adquiridas </w:t>
            </w:r>
            <w:r w:rsidRPr="006D0761">
              <w:rPr>
                <w:rFonts w:ascii="Times New Roman" w:hAnsi="Times New Roman"/>
                <w:color w:val="000000"/>
                <w:sz w:val="28"/>
                <w:lang w:val="es-ES"/>
              </w:rPr>
              <w:t>a través de la Convención sobre la eliminación de todas las formas de discriminación contra la mujer y l</w:t>
            </w:r>
            <w:r w:rsidRPr="006D0761">
              <w:rPr>
                <w:rFonts w:ascii="Times New Roman" w:hAnsi="Times New Roman"/>
                <w:color w:val="000000"/>
                <w:sz w:val="28"/>
                <w:lang w:val="es-ES"/>
              </w:rPr>
              <w:t xml:space="preserve">a Convención Interamericana para Prevenir, Sancionar y Erradicar la Violencia contra la Mujer. </w:t>
            </w:r>
            <w:r w:rsidRPr="006D0761">
              <w:rPr>
                <w:rFonts w:ascii="Times New Roman" w:hAnsi="Times New Roman"/>
                <w:color w:val="000000"/>
                <w:sz w:val="28"/>
                <w:lang w:val="es-ES"/>
              </w:rPr>
              <w:t xml:space="preserve">Lo anterior, porque se trata de medidas positivas que promueven la igualdad material. </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6E3DF2DB"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Academia Colombiana de Jurisprudencia</w:t>
            </w:r>
            <w:r w:rsidRPr="006D0761">
              <w:rPr>
                <w:rStyle w:val="Refdenotaalpie"/>
                <w:rFonts w:ascii="Times New Roman" w:hAnsi="Times New Roman"/>
                <w:color w:val="000000"/>
                <w:sz w:val="28"/>
                <w:lang w:val="es-ES"/>
              </w:rPr>
              <w:footnoteReference w:id="8"/>
            </w:r>
            <w:r w:rsidRPr="006D0761">
              <w:rPr>
                <w:rFonts w:ascii="Times New Roman" w:hAnsi="Times New Roman"/>
                <w:color w:val="000000"/>
                <w:sz w:val="28"/>
                <w:lang w:val="es-ES"/>
              </w:rPr>
              <w:t xml:space="preserve"> </w:t>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Exequibilidad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Explic</w:t>
            </w:r>
            <w:r w:rsidRPr="006D0761">
              <w:rPr>
                <w:rFonts w:ascii="Times New Roman" w:hAnsi="Times New Roman"/>
                <w:color w:val="000000"/>
                <w:sz w:val="28"/>
                <w:lang w:val="es-ES"/>
              </w:rPr>
              <w:t xml:space="preserve">ó que el </w:t>
            </w:r>
            <w:r w:rsidRPr="006D0761">
              <w:rPr>
                <w:rFonts w:ascii="Times New Roman" w:hAnsi="Times New Roman"/>
                <w:color w:val="000000"/>
                <w:sz w:val="28"/>
                <w:lang w:val="es-ES"/>
              </w:rPr>
              <w:t>feminicidio, como delito autónomo, contempla contextos particulares de violencia y dominación a los que están sujetas las mujeres, como las relaciones afectivas, el control económico o la cosificación del cuerpo.</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Afirmó que la norma demandada representa u</w:t>
            </w:r>
            <w:r w:rsidRPr="006D0761">
              <w:rPr>
                <w:rFonts w:ascii="Times New Roman" w:hAnsi="Times New Roman"/>
                <w:color w:val="000000"/>
                <w:sz w:val="28"/>
                <w:lang w:val="es-ES"/>
              </w:rPr>
              <w:t>na medida afirmativa que busca materializar el mandato de igualdad material establecido en la Constitución Política y que, además, no excluye a otras víctimas de violencia de género, sino que aborda los crímenes basados en el desprecio por la identida</w:t>
            </w:r>
            <w:r w:rsidRPr="006D0761">
              <w:rPr>
                <w:rFonts w:ascii="Times New Roman" w:hAnsi="Times New Roman"/>
                <w:color w:val="000000"/>
                <w:sz w:val="28"/>
                <w:lang w:val="es-ES"/>
              </w:rPr>
              <w:t>d fem</w:t>
            </w:r>
            <w:r w:rsidRPr="006D0761">
              <w:rPr>
                <w:rFonts w:ascii="Times New Roman" w:hAnsi="Times New Roman"/>
                <w:color w:val="000000"/>
                <w:sz w:val="28"/>
                <w:lang w:val="es-ES"/>
              </w:rPr>
              <w:t xml:space="preserve">enina que históricamente ha marcado a la sociedad.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Desarrolló en qué consisten las obligaciones internacionales adquiridas con la Convención sobre la eliminación de todas las formas de discriminación contra la mujer y la Convención Interamericana para Pr</w:t>
            </w:r>
            <w:r w:rsidRPr="006D0761">
              <w:rPr>
                <w:rFonts w:ascii="Times New Roman" w:hAnsi="Times New Roman"/>
                <w:color w:val="000000"/>
                <w:sz w:val="28"/>
                <w:lang w:val="es-ES"/>
              </w:rPr>
              <w:t xml:space="preserve">evenir, Sancionar y Erradicar la Violencia contra la Mujer. </w:t>
            </w:r>
            <w:r w:rsidRPr="006D0761">
              <w:rPr>
                <w:rFonts w:ascii="Times New Roman" w:hAnsi="Times New Roman"/>
                <w:color w:val="000000"/>
                <w:sz w:val="28"/>
                <w:lang w:val="es-ES"/>
              </w:rPr>
              <w:t>Sumado</w:t>
            </w:r>
            <w:r w:rsidRPr="006D0761">
              <w:rPr>
                <w:rFonts w:ascii="Times New Roman" w:hAnsi="Times New Roman"/>
                <w:color w:val="000000"/>
                <w:sz w:val="28"/>
                <w:lang w:val="es-ES"/>
              </w:rPr>
              <w:t xml:space="preserve"> </w:t>
            </w:r>
            <w:r w:rsidRPr="006D0761">
              <w:rPr>
                <w:rFonts w:ascii="Times New Roman" w:hAnsi="Times New Roman"/>
                <w:color w:val="000000"/>
                <w:sz w:val="28"/>
                <w:lang w:val="es-ES"/>
              </w:rPr>
              <w:t>a</w:t>
            </w:r>
            <w:r w:rsidRPr="006D0761">
              <w:rPr>
                <w:rFonts w:ascii="Times New Roman" w:hAnsi="Times New Roman"/>
                <w:color w:val="000000"/>
                <w:sz w:val="28"/>
                <w:lang w:val="es-ES"/>
              </w:rPr>
              <w:t xml:space="preserve"> lo anterior, recordó la línea jurisprudencial de la Corte </w:t>
            </w:r>
            <w:r w:rsidRPr="006D0761">
              <w:rPr>
                <w:rFonts w:ascii="Times New Roman" w:hAnsi="Times New Roman"/>
                <w:color w:val="000000"/>
                <w:sz w:val="28"/>
                <w:lang w:val="es-ES"/>
              </w:rPr>
              <w:t xml:space="preserve">Constitucional </w:t>
            </w:r>
            <w:r w:rsidRPr="006D0761">
              <w:rPr>
                <w:rFonts w:ascii="Times New Roman" w:hAnsi="Times New Roman"/>
                <w:color w:val="000000"/>
                <w:sz w:val="28"/>
                <w:lang w:val="es-ES"/>
              </w:rPr>
              <w:t xml:space="preserve">y de la Corte Suprema de Justicia </w:t>
            </w:r>
            <w:r w:rsidRPr="006D0761">
              <w:rPr>
                <w:rFonts w:ascii="Times New Roman" w:hAnsi="Times New Roman"/>
                <w:color w:val="000000"/>
                <w:sz w:val="28"/>
                <w:lang w:val="es-ES"/>
              </w:rPr>
              <w:t>en relación con el uso de tipos penales específico</w:t>
            </w:r>
            <w:r w:rsidRPr="006D0761">
              <w:rPr>
                <w:rFonts w:ascii="Times New Roman" w:hAnsi="Times New Roman"/>
                <w:color w:val="000000"/>
                <w:sz w:val="28"/>
                <w:lang w:val="es-ES"/>
              </w:rPr>
              <w:t>s</w:t>
            </w:r>
            <w:r w:rsidRPr="006D0761">
              <w:rPr>
                <w:rFonts w:ascii="Times New Roman" w:hAnsi="Times New Roman"/>
                <w:color w:val="000000"/>
                <w:sz w:val="28"/>
                <w:lang w:val="es-ES"/>
              </w:rPr>
              <w:t xml:space="preserve"> para </w:t>
            </w:r>
            <w:r w:rsidRPr="006D0761">
              <w:rPr>
                <w:rFonts w:ascii="Times New Roman" w:hAnsi="Times New Roman"/>
                <w:color w:val="000000"/>
                <w:sz w:val="28"/>
                <w:lang w:val="es-ES"/>
              </w:rPr>
              <w:t xml:space="preserve">la garantía de finalidades legítimas de protección. </w:t>
            </w:r>
            <w:r w:rsidRPr="006D0761">
              <w:rPr>
                <w:rFonts w:ascii="Times New Roman" w:hAnsi="Times New Roman"/>
                <w:color w:val="000000"/>
                <w:sz w:val="28"/>
                <w:lang w:val="es-ES"/>
              </w:rPr>
              <w:t xml:space="preserve">Por último, presentó un estudio de derecho comparado, así como de los informes de ONU Mujeres. </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6E3DF2DB"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Secretaría de la Mujer de Bogotá</w:t>
            </w:r>
            <w:r w:rsidRPr="006D0761">
              <w:rPr>
                <w:rStyle w:val="Refdenotaalpie"/>
                <w:rFonts w:ascii="Times New Roman" w:hAnsi="Times New Roman"/>
                <w:color w:val="000000"/>
                <w:sz w:val="28"/>
                <w:lang w:val="es-ES"/>
              </w:rPr>
              <w:footnoteReference w:id="9"/>
            </w:r>
            <w:r w:rsidRPr="006D0761">
              <w:rPr>
                <w:rFonts w:ascii="Times New Roman" w:hAnsi="Times New Roman"/>
                <w:color w:val="000000"/>
                <w:sz w:val="28"/>
                <w:lang w:val="es-ES"/>
              </w:rPr>
              <w:t xml:space="preserve"> </w:t>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Exequibilidad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00CF340D"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Mencionó </w:t>
            </w:r>
            <w:r w:rsidRPr="006D0761">
              <w:rPr>
                <w:rFonts w:ascii="Times New Roman" w:hAnsi="Times New Roman"/>
                <w:color w:val="000000"/>
                <w:sz w:val="28"/>
                <w:lang w:val="es-ES"/>
              </w:rPr>
              <w:t xml:space="preserve">brevemente </w:t>
            </w:r>
            <w:r w:rsidRPr="006D0761">
              <w:rPr>
                <w:rFonts w:ascii="Times New Roman" w:hAnsi="Times New Roman"/>
                <w:color w:val="000000"/>
                <w:sz w:val="28"/>
                <w:lang w:val="es-ES"/>
              </w:rPr>
              <w:t>los orígenes violentos</w:t>
            </w:r>
            <w:r w:rsidRPr="006D0761">
              <w:rPr>
                <w:rFonts w:ascii="Times New Roman" w:hAnsi="Times New Roman"/>
                <w:color w:val="000000"/>
                <w:sz w:val="28"/>
                <w:lang w:val="es-ES"/>
              </w:rPr>
              <w:t xml:space="preserve"> </w:t>
            </w:r>
            <w:r w:rsidRPr="006D0761">
              <w:rPr>
                <w:rFonts w:ascii="Times New Roman" w:hAnsi="Times New Roman"/>
                <w:color w:val="000000"/>
                <w:sz w:val="28"/>
                <w:lang w:val="es-ES"/>
              </w:rPr>
              <w:t>por los cuales se creó el delito de feminicidi</w:t>
            </w:r>
            <w:r w:rsidRPr="006D0761">
              <w:rPr>
                <w:rFonts w:ascii="Times New Roman" w:hAnsi="Times New Roman"/>
                <w:color w:val="000000"/>
                <w:sz w:val="28"/>
                <w:lang w:val="es-ES"/>
              </w:rPr>
              <w:t>o y afirmó que, por eso mismo, no podía ser equiparado a un homicidio común</w:t>
            </w:r>
            <w:r w:rsidRPr="006D0761">
              <w:rPr>
                <w:rFonts w:ascii="Times New Roman" w:hAnsi="Times New Roman"/>
                <w:color w:val="000000"/>
                <w:sz w:val="28"/>
                <w:lang w:val="es-ES"/>
              </w:rPr>
              <w:t>, so pena de continuar</w:t>
            </w:r>
            <w:r w:rsidRPr="006D0761">
              <w:rPr>
                <w:rFonts w:ascii="Times New Roman" w:hAnsi="Times New Roman"/>
                <w:color w:val="000000"/>
                <w:sz w:val="28"/>
                <w:lang w:val="es-ES"/>
              </w:rPr>
              <w:t xml:space="preserve"> un fenómeno históricamente </w:t>
            </w:r>
            <w:r w:rsidRPr="006D0761">
              <w:rPr>
                <w:rFonts w:ascii="Times New Roman" w:hAnsi="Times New Roman"/>
                <w:color w:val="000000"/>
                <w:sz w:val="28"/>
                <w:lang w:val="es-ES"/>
              </w:rPr>
              <w:t>normalizado e invisibilizad</w:t>
            </w:r>
            <w:r w:rsidRPr="006D0761">
              <w:rPr>
                <w:rFonts w:ascii="Times New Roman" w:hAnsi="Times New Roman"/>
                <w:color w:val="000000"/>
                <w:sz w:val="28"/>
                <w:lang w:val="es-ES"/>
              </w:rPr>
              <w:t xml:space="preserve">o que contraría los principios del Estado Social de Derecho. </w:t>
            </w:r>
          </w:p>
          <w:p w:rsidR="00CF340D"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Con base en la Convención sobre la eliminación de todas las formas de discriminación contra la mujer y la Convención Interamericana para Prevenir, Sancionar y Erradicar la Violencia contra la M</w:t>
            </w:r>
            <w:r w:rsidRPr="006D0761">
              <w:rPr>
                <w:rFonts w:ascii="Times New Roman" w:hAnsi="Times New Roman"/>
                <w:color w:val="000000"/>
                <w:sz w:val="28"/>
                <w:lang w:val="es-ES"/>
              </w:rPr>
              <w:t xml:space="preserve">ujer, así como la jurisprudencia de la Corte Interamericana de Derechos Humanos, </w:t>
            </w:r>
            <w:r w:rsidRPr="006D0761">
              <w:rPr>
                <w:rFonts w:ascii="Times New Roman" w:hAnsi="Times New Roman"/>
                <w:color w:val="000000"/>
                <w:sz w:val="28"/>
                <w:lang w:val="es-ES"/>
              </w:rPr>
              <w:t>sostuvo que Colombia tiene la obligación internacional de adoptar medidas legislativas específicas para prevenir, sancionar y erradicar la violencia dirigida particularmente c</w:t>
            </w:r>
            <w:r w:rsidRPr="006D0761">
              <w:rPr>
                <w:rFonts w:ascii="Times New Roman" w:hAnsi="Times New Roman"/>
                <w:color w:val="000000"/>
                <w:sz w:val="28"/>
                <w:lang w:val="es-ES"/>
              </w:rPr>
              <w:t xml:space="preserve">ontra las mujeres.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Afirmó que el delito de feminicidio no vulnera el derecho a la igualdad ni desprotege a otras víctimas de violencia basada en el género. </w:t>
            </w:r>
            <w:r w:rsidRPr="006D0761">
              <w:rPr>
                <w:rFonts w:ascii="Times New Roman" w:hAnsi="Times New Roman"/>
                <w:color w:val="000000"/>
                <w:sz w:val="28"/>
                <w:lang w:val="es-ES"/>
              </w:rPr>
              <w:t xml:space="preserve">Al contrario, determinó que el artículo 13 de la Constitucional exige al Estado adoptar medidas </w:t>
            </w:r>
            <w:r w:rsidRPr="006D0761">
              <w:rPr>
                <w:rFonts w:ascii="Times New Roman" w:hAnsi="Times New Roman"/>
                <w:color w:val="000000"/>
                <w:sz w:val="28"/>
                <w:lang w:val="es-ES"/>
              </w:rPr>
              <w:t>para corregir desigualdades estructurales y proteger de manera especial a quienes se encuentren en circunstancias de mayor vulnerabilidad</w:t>
            </w:r>
            <w:r w:rsidRPr="006D0761">
              <w:rPr>
                <w:rFonts w:ascii="Times New Roman" w:hAnsi="Times New Roman"/>
                <w:color w:val="000000"/>
                <w:sz w:val="28"/>
                <w:lang w:val="es-ES"/>
              </w:rPr>
              <w:t xml:space="preserve">; máxime cuando </w:t>
            </w:r>
            <w:r w:rsidRPr="006D0761">
              <w:rPr>
                <w:rFonts w:ascii="Times New Roman" w:hAnsi="Times New Roman"/>
                <w:color w:val="000000"/>
                <w:sz w:val="28"/>
                <w:lang w:val="es-ES"/>
              </w:rPr>
              <w:t xml:space="preserve">la medida establece </w:t>
            </w:r>
            <w:r w:rsidRPr="006D0761">
              <w:rPr>
                <w:rFonts w:ascii="Times New Roman" w:hAnsi="Times New Roman"/>
                <w:color w:val="000000"/>
                <w:sz w:val="28"/>
                <w:lang w:val="es-ES"/>
              </w:rPr>
              <w:t xml:space="preserve">un trato diferenciado para situaciones diferentes. </w:t>
            </w:r>
            <w:r w:rsidRPr="006D0761">
              <w:rPr>
                <w:rFonts w:ascii="Times New Roman" w:hAnsi="Times New Roman"/>
                <w:color w:val="000000"/>
                <w:sz w:val="28"/>
                <w:lang w:val="es-ES"/>
              </w:rPr>
              <w:t>En respaldo de lo anterior, citó</w:t>
            </w:r>
            <w:r w:rsidRPr="006D0761">
              <w:rPr>
                <w:rFonts w:ascii="Times New Roman" w:hAnsi="Times New Roman"/>
                <w:color w:val="000000"/>
                <w:sz w:val="28"/>
                <w:lang w:val="es-ES"/>
              </w:rPr>
              <w:t xml:space="preserve"> la Sentencia C-297 de 2016.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También argument</w:t>
            </w:r>
            <w:r w:rsidRPr="006D0761">
              <w:rPr>
                <w:rFonts w:ascii="Times New Roman" w:hAnsi="Times New Roman"/>
                <w:color w:val="000000"/>
                <w:sz w:val="28"/>
                <w:lang w:val="es-ES"/>
              </w:rPr>
              <w:t>ó</w:t>
            </w:r>
            <w:r w:rsidRPr="006D0761">
              <w:rPr>
                <w:rFonts w:ascii="Times New Roman" w:hAnsi="Times New Roman"/>
                <w:color w:val="000000"/>
                <w:sz w:val="28"/>
                <w:lang w:val="es-ES"/>
              </w:rPr>
              <w:t xml:space="preserve"> que el delito de feminicidio no deroga ni sustituye las figuras penales generales que protegen el bien jurídico de la vida, ni tampoco </w:t>
            </w:r>
            <w:r w:rsidRPr="006D0761">
              <w:rPr>
                <w:rFonts w:ascii="Times New Roman" w:hAnsi="Times New Roman"/>
                <w:color w:val="000000"/>
                <w:sz w:val="28"/>
                <w:lang w:val="es-ES"/>
              </w:rPr>
              <w:t xml:space="preserve">impide la aplicación de </w:t>
            </w:r>
            <w:r w:rsidRPr="006D0761">
              <w:rPr>
                <w:rFonts w:ascii="Times New Roman" w:hAnsi="Times New Roman"/>
                <w:color w:val="000000"/>
                <w:sz w:val="28"/>
                <w:lang w:val="es-ES"/>
              </w:rPr>
              <w:t>aquellos delitos que sanciona la comisión de act</w:t>
            </w:r>
            <w:r w:rsidRPr="006D0761">
              <w:rPr>
                <w:rFonts w:ascii="Times New Roman" w:hAnsi="Times New Roman"/>
                <w:color w:val="000000"/>
                <w:sz w:val="28"/>
                <w:lang w:val="es-ES"/>
              </w:rPr>
              <w:t>os basados en prejuicios. En su lugar, el feminicidio complementa el ordenamiento jurídico y permite a Colombia cumplir con sus obligaciones</w:t>
            </w:r>
            <w:r w:rsidRPr="006D0761">
              <w:rPr>
                <w:rFonts w:ascii="Times New Roman" w:hAnsi="Times New Roman"/>
                <w:color w:val="000000"/>
                <w:sz w:val="28"/>
                <w:lang w:val="es-ES"/>
              </w:rPr>
              <w:t xml:space="preserve"> convencionales. </w:t>
            </w:r>
          </w:p>
          <w:p w:rsidR="003632F9"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Señaló que el delito de feminicidio también cumple una función simbólica</w:t>
            </w:r>
            <w:r w:rsidRPr="006D0761">
              <w:rPr>
                <w:rFonts w:ascii="Times New Roman" w:hAnsi="Times New Roman"/>
                <w:color w:val="000000"/>
                <w:sz w:val="28"/>
                <w:lang w:val="es-ES"/>
              </w:rPr>
              <w:t>, pedagógica</w:t>
            </w:r>
            <w:r w:rsidRPr="006D0761">
              <w:rPr>
                <w:rFonts w:ascii="Times New Roman" w:hAnsi="Times New Roman"/>
                <w:color w:val="000000"/>
                <w:sz w:val="28"/>
                <w:lang w:val="es-ES"/>
              </w:rPr>
              <w:t xml:space="preserve"> y transformadora en el ordenamiento jurídico y el tejido social. </w:t>
            </w:r>
            <w:r w:rsidRPr="006D0761">
              <w:rPr>
                <w:rFonts w:ascii="Times New Roman" w:hAnsi="Times New Roman"/>
                <w:color w:val="000000"/>
                <w:sz w:val="28"/>
                <w:lang w:val="es-ES"/>
              </w:rPr>
              <w:t>Sobre esto último, teniendo en cuenta que las desigualdades y violencias basadas en género también permean las relaciones sociales, culturales y familiares y los imag</w:t>
            </w:r>
            <w:r w:rsidRPr="006D0761">
              <w:rPr>
                <w:rFonts w:ascii="Times New Roman" w:hAnsi="Times New Roman"/>
                <w:color w:val="000000"/>
                <w:sz w:val="28"/>
                <w:lang w:val="es-ES"/>
              </w:rPr>
              <w:t>i</w:t>
            </w:r>
            <w:r w:rsidRPr="006D0761">
              <w:rPr>
                <w:rFonts w:ascii="Times New Roman" w:hAnsi="Times New Roman"/>
                <w:color w:val="000000"/>
                <w:sz w:val="28"/>
                <w:lang w:val="es-ES"/>
              </w:rPr>
              <w:t>narios sobre los cuales</w:t>
            </w:r>
            <w:r w:rsidRPr="006D0761">
              <w:rPr>
                <w:rFonts w:ascii="Times New Roman" w:hAnsi="Times New Roman"/>
                <w:color w:val="000000"/>
                <w:sz w:val="28"/>
                <w:lang w:val="es-ES"/>
              </w:rPr>
              <w:t xml:space="preserve"> estas se construyen. </w:t>
            </w:r>
            <w:r w:rsidRPr="006D0761">
              <w:rPr>
                <w:rFonts w:ascii="Times New Roman" w:hAnsi="Times New Roman"/>
                <w:color w:val="000000"/>
                <w:sz w:val="28"/>
                <w:lang w:val="es-ES"/>
              </w:rPr>
              <w:t xml:space="preserve">Para ello, recordó que una de las obligaciones internacionales adquiridas por Colombia consiste en </w:t>
            </w:r>
            <w:r w:rsidRPr="006D0761">
              <w:rPr>
                <w:rFonts w:ascii="Times New Roman" w:hAnsi="Times New Roman"/>
                <w:i/>
                <w:iCs/>
                <w:color w:val="000000"/>
                <w:sz w:val="28"/>
                <w:lang w:val="es-ES"/>
              </w:rPr>
              <w:t>prevenir</w:t>
            </w:r>
            <w:r w:rsidRPr="006D0761">
              <w:rPr>
                <w:rFonts w:ascii="Times New Roman" w:hAnsi="Times New Roman"/>
                <w:color w:val="000000"/>
                <w:sz w:val="28"/>
                <w:lang w:val="es-ES"/>
              </w:rPr>
              <w:t xml:space="preserve">.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Por último, la Secretaría aportó estadísticas con las cuales era posible evidenciar la necesidad de contar con un tipo pena</w:t>
            </w:r>
            <w:r w:rsidRPr="006D0761">
              <w:rPr>
                <w:rFonts w:ascii="Times New Roman" w:hAnsi="Times New Roman"/>
                <w:color w:val="000000"/>
                <w:sz w:val="28"/>
                <w:lang w:val="es-ES"/>
              </w:rPr>
              <w:t>l autónomo para proteger a las muje</w:t>
            </w:r>
            <w:r w:rsidRPr="006D0761">
              <w:rPr>
                <w:rFonts w:ascii="Times New Roman" w:hAnsi="Times New Roman"/>
                <w:color w:val="000000"/>
                <w:sz w:val="28"/>
                <w:lang w:val="es-ES"/>
              </w:rPr>
              <w:t xml:space="preserve">res. A saber, </w:t>
            </w:r>
            <w:r w:rsidRPr="006D0761">
              <w:rPr>
                <w:rFonts w:ascii="Times New Roman" w:hAnsi="Times New Roman"/>
                <w:color w:val="000000"/>
                <w:sz w:val="28"/>
                <w:lang w:val="es-ES"/>
              </w:rPr>
              <w:t>en 2023 fueron asesinadas 89 mujeres, de las cuales 25 casos fueron tipificados como feminicidios. En 2024, 116 mujeres fueron asesinadas y 22 casos fueron registrados como feminicidios. De manera preliminar</w:t>
            </w:r>
            <w:r w:rsidRPr="006D0761">
              <w:rPr>
                <w:rFonts w:ascii="Times New Roman" w:hAnsi="Times New Roman"/>
                <w:color w:val="000000"/>
                <w:sz w:val="28"/>
                <w:lang w:val="es-ES"/>
              </w:rPr>
              <w:t>, en 2025 han sido asesinadas 52 mujeres y 10</w:t>
            </w:r>
            <w:r w:rsidRPr="006D0761">
              <w:rPr>
                <w:rFonts w:ascii="Times New Roman" w:hAnsi="Times New Roman"/>
                <w:color w:val="000000"/>
                <w:sz w:val="28"/>
                <w:lang w:val="es-ES"/>
              </w:rPr>
              <w:t xml:space="preserve"> de ellas fueron víctimas de violencia de género. </w:t>
            </w:r>
            <w:r w:rsidRPr="006D0761">
              <w:rPr>
                <w:rFonts w:ascii="Times New Roman" w:hAnsi="Times New Roman"/>
                <w:color w:val="000000"/>
                <w:sz w:val="28"/>
                <w:lang w:val="es-ES"/>
              </w:rPr>
              <w:t xml:space="preserve">Previamente, las víctimas enfrentaron formas de violencia no letal, en contextos de vulnerabilidad acentuados por factores sociales, económicos, territoriales y </w:t>
            </w:r>
            <w:r w:rsidRPr="006D0761">
              <w:rPr>
                <w:rFonts w:ascii="Times New Roman" w:hAnsi="Times New Roman"/>
                <w:color w:val="000000"/>
                <w:sz w:val="28"/>
                <w:lang w:val="es-ES"/>
              </w:rPr>
              <w:t>de salud mental.</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La Secretaría también encontró que e</w:t>
            </w:r>
            <w:r w:rsidRPr="006D0761">
              <w:rPr>
                <w:rFonts w:ascii="Times New Roman" w:hAnsi="Times New Roman"/>
                <w:color w:val="000000"/>
                <w:sz w:val="28"/>
                <w:lang w:val="es-ES"/>
              </w:rPr>
              <w:t xml:space="preserve">l 25% de las víctimas tenía entre 25 y 29 años, el 16% entre 30 y 34 años, el 14% entre 20 y 24 años y el 11% entre 35 y 39 años. </w:t>
            </w:r>
            <w:r w:rsidRPr="006D0761">
              <w:rPr>
                <w:rFonts w:ascii="Times New Roman" w:hAnsi="Times New Roman"/>
                <w:color w:val="000000"/>
                <w:sz w:val="28"/>
                <w:lang w:val="es-ES"/>
              </w:rPr>
              <w:t xml:space="preserve">Por otro lado, el 19%  cabezas de hogar, 13% migrantes, 2% víctimas del </w:t>
            </w:r>
            <w:r w:rsidRPr="006D0761">
              <w:rPr>
                <w:rFonts w:ascii="Times New Roman" w:hAnsi="Times New Roman"/>
                <w:color w:val="000000"/>
                <w:sz w:val="28"/>
                <w:lang w:val="es-ES"/>
              </w:rPr>
              <w:t xml:space="preserve">conflicto armado y el 2% indígenas.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En más de</w:t>
            </w:r>
            <w:r w:rsidRPr="006D0761">
              <w:rPr>
                <w:rFonts w:ascii="Times New Roman" w:hAnsi="Times New Roman"/>
                <w:color w:val="000000"/>
                <w:sz w:val="28"/>
                <w:lang w:val="es-ES"/>
              </w:rPr>
              <w:t>l</w:t>
            </w:r>
            <w:r w:rsidRPr="006D0761">
              <w:rPr>
                <w:rFonts w:ascii="Times New Roman" w:hAnsi="Times New Roman"/>
                <w:color w:val="000000"/>
                <w:sz w:val="28"/>
                <w:lang w:val="es-ES"/>
              </w:rPr>
              <w:t xml:space="preserve"> 90%, el presunto responsable fue su pareja o expareja. En el 60% de los casos, las mujeres fueron asesinadas en su hogar. Y, por último, </w:t>
            </w:r>
            <w:r w:rsidRPr="006D0761">
              <w:rPr>
                <w:rFonts w:ascii="Times New Roman" w:hAnsi="Times New Roman"/>
                <w:color w:val="000000"/>
                <w:sz w:val="28"/>
                <w:lang w:val="es-ES"/>
              </w:rPr>
              <w:t>con la escasa información registrada en el 75% de los casos, se encont</w:t>
            </w:r>
            <w:r w:rsidRPr="006D0761">
              <w:rPr>
                <w:rFonts w:ascii="Times New Roman" w:hAnsi="Times New Roman"/>
                <w:color w:val="000000"/>
                <w:sz w:val="28"/>
                <w:lang w:val="es-ES"/>
              </w:rPr>
              <w:t xml:space="preserve">ró que el nivel educativo de las víctimas consistió en secundaria completa o incompleta.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I</w:t>
            </w:r>
            <w:r w:rsidRPr="006D0761">
              <w:rPr>
                <w:rFonts w:ascii="Times New Roman" w:hAnsi="Times New Roman"/>
                <w:color w:val="000000"/>
                <w:sz w:val="28"/>
                <w:lang w:val="es-ES"/>
              </w:rPr>
              <w:t xml:space="preserve">ndicaron que el 87% de las víctimas de delitos sexuales son mujeres, de las cuales el 78% son niñas o adolescentes. </w:t>
            </w:r>
            <w:r w:rsidRPr="006D0761">
              <w:rPr>
                <w:rFonts w:ascii="Times New Roman" w:hAnsi="Times New Roman"/>
                <w:color w:val="000000"/>
                <w:sz w:val="28"/>
                <w:lang w:val="es-ES"/>
              </w:rPr>
              <w:t>Por último, el 82% de víctimas de violencia entr</w:t>
            </w:r>
            <w:r w:rsidRPr="006D0761">
              <w:rPr>
                <w:rFonts w:ascii="Times New Roman" w:hAnsi="Times New Roman"/>
                <w:color w:val="000000"/>
                <w:sz w:val="28"/>
                <w:lang w:val="es-ES"/>
              </w:rPr>
              <w:t xml:space="preserve">e parejas o exparejas son mujeres y, en el 98% de casos, el agresor es un hombre. </w:t>
            </w:r>
            <w:r w:rsidRPr="006D0761">
              <w:rPr>
                <w:rFonts w:ascii="Times New Roman" w:hAnsi="Times New Roman"/>
                <w:color w:val="000000"/>
                <w:sz w:val="28"/>
                <w:lang w:val="es-ES"/>
              </w:rPr>
              <w:t>Según el Observatorio de Mujer y Equidad de Género de la Secretaría, las violencias de pareja, la exclusión social y la falta de redes de apoyo también afectan de manera nega</w:t>
            </w:r>
            <w:r w:rsidRPr="006D0761">
              <w:rPr>
                <w:rFonts w:ascii="Times New Roman" w:hAnsi="Times New Roman"/>
                <w:color w:val="000000"/>
                <w:sz w:val="28"/>
                <w:lang w:val="es-ES"/>
              </w:rPr>
              <w:t xml:space="preserve">tiva la salud mental de las mujeres, exacerbando su exposición a violencias extremas.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Según el Sistema Articulado de Alertas Tempranas, entre 2023 y mayo de 2025, 4.979 mujeres </w:t>
            </w:r>
            <w:r w:rsidRPr="006D0761">
              <w:rPr>
                <w:rFonts w:ascii="Times New Roman" w:hAnsi="Times New Roman"/>
                <w:color w:val="000000"/>
                <w:sz w:val="28"/>
                <w:lang w:val="es-ES"/>
              </w:rPr>
              <w:t xml:space="preserve">de Bogotá </w:t>
            </w:r>
            <w:r w:rsidRPr="006D0761">
              <w:rPr>
                <w:rFonts w:ascii="Times New Roman" w:hAnsi="Times New Roman"/>
                <w:color w:val="000000"/>
                <w:sz w:val="28"/>
                <w:lang w:val="es-ES"/>
              </w:rPr>
              <w:t xml:space="preserve">se encuentran en riesgo de ser asesinadas bajo un espectro de violencia de género. </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6E3DF2DB"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Ministerio de Justicia y</w:t>
            </w:r>
            <w:r w:rsidRPr="006D0761">
              <w:rPr>
                <w:rFonts w:ascii="Times New Roman" w:hAnsi="Times New Roman"/>
                <w:color w:val="000000"/>
                <w:sz w:val="28"/>
                <w:lang w:val="es-ES"/>
              </w:rPr>
              <w:t xml:space="preserve"> del</w:t>
            </w:r>
            <w:r w:rsidRPr="006D0761">
              <w:rPr>
                <w:rFonts w:ascii="Times New Roman" w:hAnsi="Times New Roman"/>
                <w:color w:val="000000"/>
                <w:sz w:val="28"/>
                <w:lang w:val="es-ES"/>
              </w:rPr>
              <w:t xml:space="preserve"> Derecho</w:t>
            </w:r>
            <w:r w:rsidRPr="006D0761">
              <w:rPr>
                <w:rStyle w:val="Refdenotaalpie"/>
                <w:rFonts w:ascii="Times New Roman" w:hAnsi="Times New Roman"/>
                <w:color w:val="000000"/>
                <w:sz w:val="28"/>
                <w:lang w:val="es-ES"/>
              </w:rPr>
              <w:footnoteReference w:id="10"/>
            </w:r>
            <w:r w:rsidRPr="006D0761">
              <w:rPr>
                <w:rFonts w:ascii="Times New Roman" w:hAnsi="Times New Roman"/>
                <w:color w:val="000000"/>
                <w:sz w:val="28"/>
                <w:lang w:val="es-ES"/>
              </w:rPr>
              <w:t xml:space="preserve"> </w:t>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Exequibilidad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Afirmó que la Ley 1761 de 2015 consagró el delito de feminicidio como una </w:t>
            </w:r>
            <w:r w:rsidRPr="006D0761">
              <w:rPr>
                <w:rFonts w:ascii="Times New Roman" w:hAnsi="Times New Roman"/>
                <w:color w:val="000000"/>
                <w:sz w:val="28"/>
                <w:lang w:val="es-ES"/>
              </w:rPr>
              <w:t>acción afirmativ</w:t>
            </w:r>
            <w:r w:rsidRPr="006D0761">
              <w:rPr>
                <w:rFonts w:ascii="Times New Roman" w:hAnsi="Times New Roman"/>
                <w:color w:val="000000"/>
                <w:sz w:val="28"/>
                <w:lang w:val="es-ES"/>
              </w:rPr>
              <w:t xml:space="preserve">a </w:t>
            </w:r>
            <w:r w:rsidRPr="006D0761">
              <w:rPr>
                <w:rFonts w:ascii="Times New Roman" w:hAnsi="Times New Roman"/>
                <w:color w:val="000000"/>
                <w:sz w:val="28"/>
                <w:lang w:val="es-ES"/>
              </w:rPr>
              <w:t xml:space="preserve">de tipo legislativo </w:t>
            </w:r>
            <w:r w:rsidRPr="006D0761">
              <w:rPr>
                <w:rFonts w:ascii="Times New Roman" w:hAnsi="Times New Roman"/>
                <w:color w:val="000000"/>
                <w:sz w:val="28"/>
                <w:lang w:val="es-ES"/>
              </w:rPr>
              <w:t>para superar las situaciones históricas, estructurales y sistemáticas de discriminación y violencia ante la cual se encuentran las muj</w:t>
            </w:r>
            <w:r w:rsidRPr="006D0761">
              <w:rPr>
                <w:rFonts w:ascii="Times New Roman" w:hAnsi="Times New Roman"/>
                <w:color w:val="000000"/>
                <w:sz w:val="28"/>
                <w:lang w:val="es-ES"/>
              </w:rPr>
              <w:t>e</w:t>
            </w:r>
            <w:r w:rsidRPr="006D0761">
              <w:rPr>
                <w:rFonts w:ascii="Times New Roman" w:hAnsi="Times New Roman"/>
                <w:color w:val="000000"/>
                <w:sz w:val="28"/>
                <w:lang w:val="es-ES"/>
              </w:rPr>
              <w:t xml:space="preserve">res. </w:t>
            </w:r>
            <w:r w:rsidRPr="006D0761">
              <w:rPr>
                <w:rFonts w:ascii="Times New Roman" w:hAnsi="Times New Roman"/>
                <w:color w:val="000000"/>
                <w:sz w:val="28"/>
                <w:lang w:val="es-ES"/>
              </w:rPr>
              <w:t xml:space="preserve">Lo anterior, en cumplimiento de la Constitución Política y sus obligaciones internacionales.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Para explicar la importancia constitucional de la norma demandada, </w:t>
            </w:r>
            <w:r w:rsidRPr="006D0761">
              <w:rPr>
                <w:rFonts w:ascii="Times New Roman" w:hAnsi="Times New Roman"/>
                <w:color w:val="000000"/>
                <w:sz w:val="28"/>
                <w:lang w:val="es-ES"/>
              </w:rPr>
              <w:t xml:space="preserve">recordó </w:t>
            </w:r>
            <w:r w:rsidRPr="006D0761">
              <w:rPr>
                <w:rFonts w:ascii="Times New Roman" w:hAnsi="Times New Roman"/>
                <w:color w:val="000000"/>
                <w:sz w:val="28"/>
                <w:lang w:val="es-ES"/>
              </w:rPr>
              <w:t>que la Corte IDH ha dicho que las muertes violentas de las mujeres son el resultado de</w:t>
            </w:r>
            <w:r w:rsidRPr="006D0761">
              <w:rPr>
                <w:rFonts w:ascii="Times New Roman" w:hAnsi="Times New Roman"/>
                <w:color w:val="000000"/>
                <w:sz w:val="28"/>
                <w:lang w:val="es-ES"/>
              </w:rPr>
              <w:t xml:space="preserve"> una cultura de discriminación contra las mujeres </w:t>
            </w:r>
            <w:r w:rsidRPr="006D0761">
              <w:rPr>
                <w:rFonts w:ascii="Times New Roman" w:hAnsi="Times New Roman"/>
                <w:color w:val="000000"/>
                <w:sz w:val="28"/>
                <w:lang w:val="es-ES"/>
              </w:rPr>
              <w:t>ante la cual el Estado adopta una postura de desidia para inve</w:t>
            </w:r>
            <w:r w:rsidRPr="006D0761">
              <w:rPr>
                <w:rFonts w:ascii="Times New Roman" w:hAnsi="Times New Roman"/>
                <w:color w:val="000000"/>
                <w:sz w:val="28"/>
                <w:lang w:val="es-ES"/>
              </w:rPr>
              <w:t>s</w:t>
            </w:r>
            <w:r w:rsidRPr="006D0761">
              <w:rPr>
                <w:rFonts w:ascii="Times New Roman" w:hAnsi="Times New Roman"/>
                <w:color w:val="000000"/>
                <w:sz w:val="28"/>
                <w:lang w:val="es-ES"/>
              </w:rPr>
              <w:t>tig</w:t>
            </w:r>
            <w:r w:rsidRPr="006D0761">
              <w:rPr>
                <w:rFonts w:ascii="Times New Roman" w:hAnsi="Times New Roman"/>
                <w:color w:val="000000"/>
                <w:sz w:val="28"/>
                <w:lang w:val="es-ES"/>
              </w:rPr>
              <w:t>a</w:t>
            </w:r>
            <w:r w:rsidRPr="006D0761">
              <w:rPr>
                <w:rFonts w:ascii="Times New Roman" w:hAnsi="Times New Roman"/>
                <w:color w:val="000000"/>
                <w:sz w:val="28"/>
                <w:lang w:val="es-ES"/>
              </w:rPr>
              <w:t xml:space="preserve">r los hechos. </w:t>
            </w:r>
            <w:r w:rsidRPr="006D0761">
              <w:rPr>
                <w:rFonts w:ascii="Times New Roman" w:hAnsi="Times New Roman"/>
                <w:color w:val="000000"/>
                <w:sz w:val="28"/>
                <w:lang w:val="es-ES"/>
              </w:rPr>
              <w:t>De ahí que el feminicidio, como delito autónomo, es necesario para evitar su minimización y com</w:t>
            </w:r>
            <w:r w:rsidRPr="006D0761">
              <w:rPr>
                <w:rFonts w:ascii="Times New Roman" w:hAnsi="Times New Roman"/>
                <w:color w:val="000000"/>
                <w:sz w:val="28"/>
                <w:lang w:val="es-ES"/>
              </w:rPr>
              <w:t>b</w:t>
            </w:r>
            <w:r w:rsidRPr="006D0761">
              <w:rPr>
                <w:rFonts w:ascii="Times New Roman" w:hAnsi="Times New Roman"/>
                <w:color w:val="000000"/>
                <w:sz w:val="28"/>
                <w:lang w:val="es-ES"/>
              </w:rPr>
              <w:t>atir su impunidad</w:t>
            </w:r>
            <w:r w:rsidRPr="006D0761">
              <w:rPr>
                <w:rFonts w:ascii="Times New Roman" w:hAnsi="Times New Roman"/>
                <w:color w:val="000000"/>
                <w:sz w:val="28"/>
                <w:lang w:val="es-ES"/>
              </w:rPr>
              <w:t>, especialme</w:t>
            </w:r>
            <w:r w:rsidRPr="006D0761">
              <w:rPr>
                <w:rFonts w:ascii="Times New Roman" w:hAnsi="Times New Roman"/>
                <w:color w:val="000000"/>
                <w:sz w:val="28"/>
                <w:lang w:val="es-ES"/>
              </w:rPr>
              <w:t xml:space="preserve">nte en una sociedad que aún está marcada por el machismo y la desigualdad. </w:t>
            </w:r>
            <w:r w:rsidRPr="006D0761">
              <w:rPr>
                <w:rFonts w:ascii="Times New Roman" w:hAnsi="Times New Roman"/>
                <w:color w:val="000000"/>
                <w:sz w:val="28"/>
                <w:lang w:val="es-ES"/>
              </w:rPr>
              <w:t xml:space="preserve">Insistió que cualquier equiparación con un homicidio común invisibiliza su raíz estructural y perpetúa la discriminación.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Hizo referencia al informe de Acceso a la justicia para las mujeres víctimas de violencia en las Américas publicado por la Organización de los Estados Americanos, oportunidad en la que se recomendó (i) diseñar políticas estatales integrales con recursos ad</w:t>
            </w:r>
            <w:r w:rsidRPr="006D0761">
              <w:rPr>
                <w:rFonts w:ascii="Times New Roman" w:hAnsi="Times New Roman"/>
                <w:color w:val="000000"/>
                <w:sz w:val="28"/>
                <w:lang w:val="es-ES"/>
              </w:rPr>
              <w:t xml:space="preserve">ecuados, (ii) crear condiciones para que las mujeres accedan dignamente al sistema judicial y (iii) erradicar estereotipos de género que obstaculizan su acceso a la justicia. </w:t>
            </w:r>
            <w:r w:rsidRPr="006D0761">
              <w:rPr>
                <w:rFonts w:ascii="Times New Roman" w:hAnsi="Times New Roman"/>
                <w:color w:val="000000"/>
                <w:sz w:val="28"/>
                <w:lang w:val="es-ES"/>
              </w:rPr>
              <w:t xml:space="preserve">Lo anterior, porque la mayoría de los actos de violencia de género permanecen en </w:t>
            </w:r>
            <w:r w:rsidRPr="006D0761">
              <w:rPr>
                <w:rFonts w:ascii="Times New Roman" w:hAnsi="Times New Roman"/>
                <w:color w:val="000000"/>
                <w:sz w:val="28"/>
                <w:lang w:val="es-ES"/>
              </w:rPr>
              <w:t xml:space="preserve">la impunidad.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Con base en los cargos de inconstitucionalidad </w:t>
            </w:r>
            <w:r w:rsidRPr="006D0761">
              <w:rPr>
                <w:rFonts w:ascii="Times New Roman" w:hAnsi="Times New Roman"/>
                <w:color w:val="000000"/>
                <w:sz w:val="28"/>
                <w:lang w:val="es-ES"/>
              </w:rPr>
              <w:t>formulados</w:t>
            </w:r>
            <w:r w:rsidRPr="006D0761">
              <w:rPr>
                <w:rFonts w:ascii="Times New Roman" w:hAnsi="Times New Roman"/>
                <w:color w:val="000000"/>
                <w:sz w:val="28"/>
                <w:lang w:val="es-ES"/>
              </w:rPr>
              <w:t xml:space="preserve">, explicó </w:t>
            </w:r>
            <w:r w:rsidRPr="006D0761">
              <w:rPr>
                <w:rFonts w:ascii="Times New Roman" w:hAnsi="Times New Roman"/>
                <w:color w:val="000000"/>
                <w:sz w:val="28"/>
                <w:lang w:val="es-ES"/>
              </w:rPr>
              <w:t>que todas</w:t>
            </w:r>
            <w:r w:rsidRPr="006D0761">
              <w:rPr>
                <w:rFonts w:ascii="Times New Roman" w:hAnsi="Times New Roman"/>
                <w:color w:val="000000"/>
                <w:sz w:val="28"/>
                <w:lang w:val="es-ES"/>
              </w:rPr>
              <w:t xml:space="preserve"> las </w:t>
            </w:r>
            <w:r w:rsidRPr="006D0761">
              <w:rPr>
                <w:rFonts w:ascii="Times New Roman" w:hAnsi="Times New Roman"/>
                <w:color w:val="000000"/>
                <w:sz w:val="28"/>
                <w:lang w:val="es-ES"/>
              </w:rPr>
              <w:t>disposiciones</w:t>
            </w:r>
            <w:r w:rsidRPr="006D0761">
              <w:rPr>
                <w:rFonts w:ascii="Times New Roman" w:hAnsi="Times New Roman"/>
                <w:color w:val="000000"/>
                <w:sz w:val="28"/>
                <w:lang w:val="es-ES"/>
              </w:rPr>
              <w:t xml:space="preserve"> que integran la Ley 1761 deben </w:t>
            </w:r>
            <w:r w:rsidRPr="006D0761">
              <w:rPr>
                <w:rFonts w:ascii="Times New Roman" w:hAnsi="Times New Roman"/>
                <w:color w:val="000000"/>
                <w:sz w:val="28"/>
                <w:lang w:val="es-ES"/>
              </w:rPr>
              <w:t>girar exclusivamente en torno a la protección de las mujeres víctimas de violencia de género</w:t>
            </w:r>
            <w:r w:rsidRPr="006D0761">
              <w:rPr>
                <w:rFonts w:ascii="Times New Roman" w:hAnsi="Times New Roman"/>
                <w:color w:val="000000"/>
                <w:sz w:val="28"/>
                <w:lang w:val="es-ES"/>
              </w:rPr>
              <w:t>, pues su materia no e</w:t>
            </w:r>
            <w:r w:rsidRPr="006D0761">
              <w:rPr>
                <w:rFonts w:ascii="Times New Roman" w:hAnsi="Times New Roman"/>
                <w:color w:val="000000"/>
                <w:sz w:val="28"/>
                <w:lang w:val="es-ES"/>
              </w:rPr>
              <w:t>s otra que tipificar el feminicidio como un delito autónomo y establecer medidas para garantizar su protección. Así, argumentó que acceder a lo pedido por el accionante vulneraría el principio de unidad de materia</w:t>
            </w:r>
            <w:r w:rsidRPr="006D0761">
              <w:rPr>
                <w:rFonts w:ascii="Times New Roman" w:hAnsi="Times New Roman"/>
                <w:color w:val="000000"/>
                <w:sz w:val="28"/>
                <w:lang w:val="es-ES"/>
              </w:rPr>
              <w:t xml:space="preserve"> e implicaría reinterpretar los mandatos de</w:t>
            </w:r>
            <w:r w:rsidRPr="006D0761">
              <w:rPr>
                <w:rFonts w:ascii="Times New Roman" w:hAnsi="Times New Roman"/>
                <w:color w:val="000000"/>
                <w:sz w:val="28"/>
                <w:lang w:val="es-ES"/>
              </w:rPr>
              <w:t xml:space="preserve"> protección reforzada a la luz de lógicas patriarcales, neutras o simétricas</w:t>
            </w:r>
            <w:r w:rsidRPr="006D0761">
              <w:rPr>
                <w:rFonts w:ascii="Times New Roman" w:hAnsi="Times New Roman"/>
                <w:color w:val="000000"/>
                <w:sz w:val="28"/>
                <w:lang w:val="es-ES"/>
              </w:rPr>
              <w:t xml:space="preserve"> que destruiría su eficacia.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Determinó que equiparar el feminicidio con un homicidio común o incluir dentro de su tipología los delitos de género contra los hombres conllevaría a camuflar la violencia contra la mujer y </w:t>
            </w:r>
            <w:r w:rsidRPr="006D0761">
              <w:rPr>
                <w:rFonts w:ascii="Times New Roman" w:hAnsi="Times New Roman"/>
                <w:color w:val="000000"/>
                <w:sz w:val="28"/>
                <w:lang w:val="es-ES"/>
              </w:rPr>
              <w:t>desconocer la reivindicación de derechos de las mujeres. Para ello</w:t>
            </w:r>
            <w:r w:rsidRPr="006D0761">
              <w:rPr>
                <w:rFonts w:ascii="Times New Roman" w:hAnsi="Times New Roman"/>
                <w:color w:val="000000"/>
                <w:sz w:val="28"/>
                <w:lang w:val="es-ES"/>
              </w:rPr>
              <w:t xml:space="preserve">, </w:t>
            </w:r>
            <w:r w:rsidRPr="006D0761">
              <w:rPr>
                <w:rFonts w:ascii="Times New Roman" w:hAnsi="Times New Roman"/>
                <w:color w:val="000000"/>
                <w:sz w:val="28"/>
                <w:lang w:val="es-ES"/>
              </w:rPr>
              <w:t xml:space="preserve">hizo un </w:t>
            </w:r>
            <w:r w:rsidRPr="006D0761">
              <w:rPr>
                <w:rFonts w:ascii="Times New Roman" w:hAnsi="Times New Roman"/>
                <w:color w:val="000000"/>
                <w:sz w:val="28"/>
                <w:lang w:val="es-ES"/>
              </w:rPr>
              <w:t>estudi</w:t>
            </w:r>
            <w:r w:rsidRPr="006D0761">
              <w:rPr>
                <w:rFonts w:ascii="Times New Roman" w:hAnsi="Times New Roman"/>
                <w:color w:val="000000"/>
                <w:sz w:val="28"/>
                <w:lang w:val="es-ES"/>
              </w:rPr>
              <w:t>o</w:t>
            </w:r>
            <w:r w:rsidRPr="006D0761">
              <w:rPr>
                <w:rFonts w:ascii="Times New Roman" w:hAnsi="Times New Roman"/>
                <w:color w:val="000000"/>
                <w:sz w:val="28"/>
                <w:lang w:val="es-ES"/>
              </w:rPr>
              <w:t xml:space="preserve"> comparativo entre el feminicidio y el homicidio y concluyó que (i) no existe identidad de objeto</w:t>
            </w:r>
            <w:r w:rsidRPr="006D0761">
              <w:rPr>
                <w:rFonts w:ascii="Times New Roman" w:hAnsi="Times New Roman"/>
                <w:color w:val="000000"/>
                <w:sz w:val="28"/>
                <w:lang w:val="es-ES"/>
              </w:rPr>
              <w:t xml:space="preserve">, </w:t>
            </w:r>
            <w:r w:rsidRPr="006D0761">
              <w:rPr>
                <w:rFonts w:ascii="Times New Roman" w:hAnsi="Times New Roman"/>
                <w:color w:val="000000"/>
                <w:sz w:val="28"/>
                <w:lang w:val="es-ES"/>
              </w:rPr>
              <w:t>(</w:t>
            </w:r>
            <w:r w:rsidRPr="006D0761">
              <w:rPr>
                <w:rFonts w:ascii="Times New Roman" w:hAnsi="Times New Roman"/>
                <w:color w:val="000000"/>
                <w:sz w:val="28"/>
                <w:lang w:val="es-ES"/>
              </w:rPr>
              <w:t>ii) no existe identidad en la finalidad de</w:t>
            </w:r>
            <w:r w:rsidRPr="006D0761">
              <w:rPr>
                <w:rFonts w:ascii="Times New Roman" w:hAnsi="Times New Roman"/>
                <w:color w:val="000000"/>
                <w:sz w:val="28"/>
                <w:lang w:val="es-ES"/>
              </w:rPr>
              <w:t>l tipo penal y (iii) se trata de bienes jurídicos diferentes, pues el feminicidio protege un</w:t>
            </w:r>
            <w:r w:rsidRPr="006D0761">
              <w:rPr>
                <w:rFonts w:ascii="Times New Roman" w:hAnsi="Times New Roman"/>
                <w:color w:val="000000"/>
                <w:sz w:val="28"/>
                <w:lang w:val="es-ES"/>
              </w:rPr>
              <w:t xml:space="preserve">o de </w:t>
            </w:r>
            <w:r w:rsidRPr="006D0761">
              <w:rPr>
                <w:rFonts w:ascii="Times New Roman" w:hAnsi="Times New Roman"/>
                <w:color w:val="000000"/>
                <w:sz w:val="28"/>
                <w:lang w:val="es-ES"/>
              </w:rPr>
              <w:t>c</w:t>
            </w:r>
            <w:r w:rsidRPr="006D0761">
              <w:rPr>
                <w:rFonts w:ascii="Times New Roman" w:hAnsi="Times New Roman"/>
                <w:color w:val="000000"/>
                <w:sz w:val="28"/>
                <w:lang w:val="es-ES"/>
              </w:rPr>
              <w:t>ar</w:t>
            </w:r>
            <w:r w:rsidRPr="006D0761">
              <w:rPr>
                <w:rFonts w:ascii="Times New Roman" w:hAnsi="Times New Roman"/>
                <w:color w:val="000000"/>
                <w:sz w:val="28"/>
                <w:lang w:val="es-ES"/>
              </w:rPr>
              <w:t xml:space="preserve">ácter complejo compuesto por la vida, la dignidad humana, la libertad, la igualdad, el libre desarrollo de la personalidad y el derecho a una vida libre de violencias. </w:t>
            </w:r>
          </w:p>
          <w:p w:rsidR="44077AA1" w:rsidRPr="006D0761" w:rsidRDefault="006D0761" w:rsidP="006D0761">
            <w:pPr>
              <w:spacing w:after="0" w:line="240" w:lineRule="auto"/>
              <w:jc w:val="both"/>
              <w:rPr>
                <w:rFonts w:ascii="Times New Roman" w:hAnsi="Times New Roman"/>
                <w:color w:val="000000"/>
                <w:sz w:val="28"/>
                <w:lang w:val="es-ES"/>
              </w:rPr>
            </w:pPr>
          </w:p>
          <w:p w:rsidR="44077AA1"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Desarrolló un test integrado de igualdad de intensidad intermedia en el que determi</w:t>
            </w:r>
            <w:r w:rsidRPr="006D0761">
              <w:rPr>
                <w:rFonts w:ascii="Times New Roman" w:hAnsi="Times New Roman"/>
                <w:color w:val="000000"/>
                <w:sz w:val="28"/>
                <w:lang w:val="es-ES"/>
              </w:rPr>
              <w:t>nó que la norma demandada persigue una finalidad legítima e importante</w:t>
            </w:r>
            <w:r w:rsidRPr="006D0761">
              <w:rPr>
                <w:rFonts w:ascii="Times New Roman" w:hAnsi="Times New Roman"/>
                <w:color w:val="000000"/>
                <w:sz w:val="28"/>
                <w:lang w:val="es-ES"/>
              </w:rPr>
              <w:t>, es adecuada y efectivamente conducente para dicho fin y no es innecesari</w:t>
            </w:r>
            <w:r w:rsidRPr="006D0761">
              <w:rPr>
                <w:rFonts w:ascii="Times New Roman" w:hAnsi="Times New Roman"/>
                <w:color w:val="000000"/>
                <w:sz w:val="28"/>
                <w:lang w:val="es-ES"/>
              </w:rPr>
              <w:t>a</w:t>
            </w:r>
            <w:r w:rsidRPr="006D0761">
              <w:rPr>
                <w:rFonts w:ascii="Times New Roman" w:hAnsi="Times New Roman"/>
                <w:color w:val="000000"/>
                <w:sz w:val="28"/>
                <w:lang w:val="es-ES"/>
              </w:rPr>
              <w:t xml:space="preserve">, irrazonable ni desproporcionada. </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3776BA8C"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Instituto Colombiano de Bienestar Familiar </w:t>
            </w:r>
            <w:r w:rsidRPr="006D0761">
              <w:rPr>
                <w:rFonts w:ascii="Times New Roman" w:hAnsi="Times New Roman"/>
                <w:color w:val="000000"/>
                <w:sz w:val="28"/>
                <w:lang w:val="es-ES"/>
              </w:rPr>
              <w:t>–</w:t>
            </w:r>
            <w:r w:rsidRPr="006D0761">
              <w:rPr>
                <w:rFonts w:ascii="Times New Roman" w:hAnsi="Times New Roman"/>
                <w:color w:val="000000"/>
                <w:sz w:val="28"/>
                <w:lang w:val="es-ES"/>
              </w:rPr>
              <w:t xml:space="preserve"> </w:t>
            </w:r>
            <w:r w:rsidRPr="006D0761">
              <w:rPr>
                <w:rFonts w:ascii="Times New Roman" w:hAnsi="Times New Roman"/>
                <w:color w:val="000000"/>
                <w:sz w:val="28"/>
                <w:lang w:val="es-ES"/>
              </w:rPr>
              <w:t>ICBF</w:t>
            </w:r>
            <w:r w:rsidRPr="006D0761">
              <w:rPr>
                <w:rStyle w:val="Refdenotaalpie"/>
                <w:rFonts w:ascii="Times New Roman" w:hAnsi="Times New Roman"/>
                <w:color w:val="000000"/>
                <w:sz w:val="28"/>
                <w:lang w:val="es-ES"/>
              </w:rPr>
              <w:footnoteReference w:id="11"/>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187F3AF9"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Inhibición</w:t>
            </w:r>
            <w:r w:rsidRPr="006D0761">
              <w:rPr>
                <w:rFonts w:ascii="Times New Roman" w:hAnsi="Times New Roman"/>
                <w:color w:val="000000"/>
                <w:sz w:val="28"/>
                <w:lang w:val="es-ES"/>
              </w:rPr>
              <w:t xml:space="preserve"> / subsidiariamente e</w:t>
            </w:r>
            <w:r w:rsidRPr="006D0761">
              <w:rPr>
                <w:rFonts w:ascii="Times New Roman" w:hAnsi="Times New Roman"/>
                <w:color w:val="000000"/>
                <w:sz w:val="28"/>
                <w:lang w:val="es-ES"/>
              </w:rPr>
              <w:t>xequibilidad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187F3AF9"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Indicó</w:t>
            </w:r>
            <w:r w:rsidRPr="006D0761">
              <w:rPr>
                <w:rFonts w:ascii="Times New Roman" w:hAnsi="Times New Roman"/>
                <w:color w:val="000000"/>
                <w:sz w:val="28"/>
                <w:lang w:val="es-ES"/>
              </w:rPr>
              <w:t xml:space="preserve"> que la demanda contra la Ley 1761 de 2015 carece de los requisitos mínimos exigidos por la jurisprudencia constitucional, como claridad, certeza y suficiencia, pues se basa en hipótesis subjetivas que no configuran una controversia real. Por ello, sostuvo</w:t>
            </w:r>
            <w:r w:rsidRPr="006D0761">
              <w:rPr>
                <w:rFonts w:ascii="Times New Roman" w:hAnsi="Times New Roman"/>
                <w:color w:val="000000"/>
                <w:sz w:val="28"/>
                <w:lang w:val="es-ES"/>
              </w:rPr>
              <w:t xml:space="preserve"> que los cargos planteados adolecen de ineptitud sustantiva y no habilitan un pronunciamiento de fondo de la Corte. En particular, advirtió que los argumentos del demandante no ofrecen un sustento jurídico sólido y se limitan a percepciones personales sin </w:t>
            </w:r>
            <w:r w:rsidRPr="006D0761">
              <w:rPr>
                <w:rFonts w:ascii="Times New Roman" w:hAnsi="Times New Roman"/>
                <w:color w:val="000000"/>
                <w:sz w:val="28"/>
                <w:lang w:val="es-ES"/>
              </w:rPr>
              <w:t>capacidad para cuestionar la validez de la norma.</w:t>
            </w:r>
          </w:p>
          <w:p w:rsidR="00354CDE" w:rsidRPr="006D0761" w:rsidRDefault="006D0761" w:rsidP="006D0761">
            <w:pPr>
              <w:spacing w:after="0" w:line="240" w:lineRule="auto"/>
              <w:jc w:val="both"/>
              <w:rPr>
                <w:rFonts w:ascii="Times New Roman" w:hAnsi="Times New Roman"/>
                <w:color w:val="000000"/>
                <w:sz w:val="28"/>
                <w:lang w:val="es-ES"/>
              </w:rPr>
            </w:pPr>
          </w:p>
          <w:p w:rsidR="187F3AF9"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En relación con la igualdad, resaltó que esta no implica un trato idéntico, sino la obligación de adoptar medidas diferenciadas que permitan superar desventajas históricas y estructurales. De acuerdo con l</w:t>
            </w:r>
            <w:r w:rsidRPr="006D0761">
              <w:rPr>
                <w:rFonts w:ascii="Times New Roman" w:hAnsi="Times New Roman"/>
                <w:color w:val="000000"/>
                <w:sz w:val="28"/>
                <w:lang w:val="es-ES"/>
              </w:rPr>
              <w:t>a doctrina constitucional, la igualdad se concibe como valor, principio y derecho, lo que justifica la adopción de acciones afirmativas en favor de poblaciones vulnerables. En este marco, indicó que la Ley 1761 de 2015 es una herramienta constitucionalment</w:t>
            </w:r>
            <w:r w:rsidRPr="006D0761">
              <w:rPr>
                <w:rFonts w:ascii="Times New Roman" w:hAnsi="Times New Roman"/>
                <w:color w:val="000000"/>
                <w:sz w:val="28"/>
                <w:lang w:val="es-ES"/>
              </w:rPr>
              <w:t>e válida para enfrentar la violencia estructural contra las mujeres, fenómeno que ha sido reconocido por la jurisprudencia como un problema grave, persistente y sistémico en la sociedad colombiana.</w:t>
            </w:r>
          </w:p>
          <w:p w:rsidR="003632F9" w:rsidRPr="006D0761" w:rsidRDefault="006D0761" w:rsidP="006D0761">
            <w:pPr>
              <w:spacing w:after="0" w:line="240" w:lineRule="auto"/>
              <w:jc w:val="both"/>
              <w:rPr>
                <w:rFonts w:ascii="Times New Roman" w:hAnsi="Times New Roman"/>
                <w:color w:val="000000"/>
                <w:sz w:val="28"/>
                <w:lang w:val="es-ES"/>
              </w:rPr>
            </w:pPr>
          </w:p>
          <w:p w:rsidR="003632F9"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Asimismo, advirtió que los planteamientos del demandante </w:t>
            </w:r>
            <w:r w:rsidRPr="006D0761">
              <w:rPr>
                <w:rFonts w:ascii="Times New Roman" w:hAnsi="Times New Roman"/>
                <w:color w:val="000000"/>
                <w:sz w:val="28"/>
                <w:lang w:val="es-ES"/>
              </w:rPr>
              <w:t>desconocen la perspectiva de género que la Corte ha exigido en decisiones legislativas y judiciales. Argumentos como la supuesta “desprotección de los hombres” o la idea de discriminación inversa carecen de sustento y omiten la obligación del Estado de com</w:t>
            </w:r>
            <w:r w:rsidRPr="006D0761">
              <w:rPr>
                <w:rFonts w:ascii="Times New Roman" w:hAnsi="Times New Roman"/>
                <w:color w:val="000000"/>
                <w:sz w:val="28"/>
                <w:lang w:val="es-ES"/>
              </w:rPr>
              <w:t xml:space="preserve">batir la violencia basada en género. </w:t>
            </w:r>
          </w:p>
          <w:p w:rsidR="003632F9" w:rsidRPr="006D0761" w:rsidRDefault="006D0761" w:rsidP="006D0761">
            <w:pPr>
              <w:spacing w:after="0" w:line="240" w:lineRule="auto"/>
              <w:jc w:val="both"/>
              <w:rPr>
                <w:rFonts w:ascii="Times New Roman" w:hAnsi="Times New Roman"/>
                <w:color w:val="000000"/>
                <w:sz w:val="28"/>
                <w:lang w:val="es-ES"/>
              </w:rPr>
            </w:pPr>
          </w:p>
          <w:p w:rsidR="187F3AF9"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Recordó que la tipificación del feminicidio es una medida afirmativa legítima que busca visibilizar una violencia específica que afecta desproporcionadamente a las mujeres, sin excluir a los hombres, quienes siguen pr</w:t>
            </w:r>
            <w:r w:rsidRPr="006D0761">
              <w:rPr>
                <w:rFonts w:ascii="Times New Roman" w:hAnsi="Times New Roman"/>
                <w:color w:val="000000"/>
                <w:sz w:val="28"/>
                <w:lang w:val="es-ES"/>
              </w:rPr>
              <w:t>otegidos por otros tipos penales. Además, resaltó que la ley se enmarca en la libre configuración legislativa y en compromisos internacionales adquiridos por Colombia, como la CEDAW y la Convención de Belém do Pará, que exigen medidas efectivas para preven</w:t>
            </w:r>
            <w:r w:rsidRPr="006D0761">
              <w:rPr>
                <w:rFonts w:ascii="Times New Roman" w:hAnsi="Times New Roman"/>
                <w:color w:val="000000"/>
                <w:sz w:val="28"/>
                <w:lang w:val="es-ES"/>
              </w:rPr>
              <w:t>ir y sancionar la violencia contra las mujeres.</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3776BA8C"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Universidad de Caldas</w:t>
            </w:r>
            <w:r w:rsidRPr="006D0761">
              <w:rPr>
                <w:rStyle w:val="Refdenotaalpie"/>
                <w:rFonts w:ascii="Times New Roman" w:hAnsi="Times New Roman"/>
                <w:color w:val="000000"/>
                <w:sz w:val="28"/>
                <w:lang w:val="es-ES"/>
              </w:rPr>
              <w:footnoteReference w:id="12"/>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1A8892EA"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Inhibición</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1A8892EA"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Sostuvo</w:t>
            </w:r>
            <w:r w:rsidRPr="006D0761">
              <w:rPr>
                <w:rFonts w:ascii="Times New Roman" w:hAnsi="Times New Roman"/>
                <w:color w:val="000000"/>
                <w:sz w:val="28"/>
                <w:lang w:val="es-ES"/>
              </w:rPr>
              <w:t xml:space="preserve"> que la demanda contra la Ley 1761 de 2015 carece de los requisitos mínimos de claridad, certeza, pertinencia y suficiencia exigidos por la jurisprudencia. Indicó qu</w:t>
            </w:r>
            <w:r w:rsidRPr="006D0761">
              <w:rPr>
                <w:rFonts w:ascii="Times New Roman" w:hAnsi="Times New Roman"/>
                <w:color w:val="000000"/>
                <w:sz w:val="28"/>
                <w:lang w:val="es-ES"/>
              </w:rPr>
              <w:t xml:space="preserve">e los cargos no plantean un debate constitucional real ni novedoso y omiten precedentes vinculantes en los que ya se ha analizado la validez de la norma. En particular, señaló que la sentencia C-297 de 2016 declaró exequible el feminicidio como tipo penal </w:t>
            </w:r>
            <w:r w:rsidRPr="006D0761">
              <w:rPr>
                <w:rFonts w:ascii="Times New Roman" w:hAnsi="Times New Roman"/>
                <w:color w:val="000000"/>
                <w:sz w:val="28"/>
                <w:lang w:val="es-ES"/>
              </w:rPr>
              <w:t>autónomo, reconociendo su papel en la visibilización y sanción de la violencia de género. Al no confrontar ni referirse a esta decisión, la demanda carece de un sustento suficiente que habilite un juicio de fondo.</w:t>
            </w:r>
          </w:p>
          <w:p w:rsidR="003632F9" w:rsidRPr="006D0761" w:rsidRDefault="006D0761" w:rsidP="006D0761">
            <w:pPr>
              <w:spacing w:after="0" w:line="240" w:lineRule="auto"/>
              <w:jc w:val="both"/>
              <w:rPr>
                <w:rFonts w:ascii="Times New Roman" w:hAnsi="Times New Roman"/>
                <w:color w:val="000000"/>
                <w:sz w:val="28"/>
                <w:lang w:val="es-ES"/>
              </w:rPr>
            </w:pPr>
          </w:p>
          <w:p w:rsidR="1A8892EA"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La intervención resaltó que el demandante</w:t>
            </w:r>
            <w:r w:rsidRPr="006D0761">
              <w:rPr>
                <w:rFonts w:ascii="Times New Roman" w:hAnsi="Times New Roman"/>
                <w:color w:val="000000"/>
                <w:sz w:val="28"/>
                <w:lang w:val="es-ES"/>
              </w:rPr>
              <w:t xml:space="preserve"> ignora el bloque de constitucionalidad, pues desvincula la Ley 1761 de los compromisos internacionales asumidos por Colombia mediante la Convención de Belém do Pará y la CEDAW. Arguyó que la Corte ha reconocido en decisiones como la C-297 y la C-539 de 20</w:t>
            </w:r>
            <w:r w:rsidRPr="006D0761">
              <w:rPr>
                <w:rFonts w:ascii="Times New Roman" w:hAnsi="Times New Roman"/>
                <w:color w:val="000000"/>
                <w:sz w:val="28"/>
                <w:lang w:val="es-ES"/>
              </w:rPr>
              <w:t>16 que dichos instrumentos obligan al Estado a adoptar medidas específicas contra la violencia de género. La falta de referencia a estas obligaciones internacionales demuestra, según la Universidad de Caldas, que la demanda carece de pertinencia y solidez,</w:t>
            </w:r>
            <w:r w:rsidRPr="006D0761">
              <w:rPr>
                <w:rFonts w:ascii="Times New Roman" w:hAnsi="Times New Roman"/>
                <w:color w:val="000000"/>
                <w:sz w:val="28"/>
                <w:lang w:val="es-ES"/>
              </w:rPr>
              <w:t xml:space="preserve"> al desconocer tanto el derecho interno como el marco internacional que respalda la existencia de la figura del feminicidio.</w:t>
            </w:r>
          </w:p>
          <w:p w:rsidR="003632F9" w:rsidRPr="006D0761" w:rsidRDefault="006D0761" w:rsidP="006D0761">
            <w:pPr>
              <w:spacing w:after="0" w:line="240" w:lineRule="auto"/>
              <w:jc w:val="both"/>
              <w:rPr>
                <w:rFonts w:ascii="Times New Roman" w:hAnsi="Times New Roman"/>
                <w:color w:val="000000"/>
                <w:sz w:val="28"/>
                <w:lang w:val="es-ES"/>
              </w:rPr>
            </w:pPr>
          </w:p>
          <w:p w:rsidR="1A8892EA"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Un aspecto adicional que destacó la intervención fue la ausencia de un estándar suficiente para controvertir precedentes constituc</w:t>
            </w:r>
            <w:r w:rsidRPr="006D0761">
              <w:rPr>
                <w:rFonts w:ascii="Times New Roman" w:hAnsi="Times New Roman"/>
                <w:color w:val="000000"/>
                <w:sz w:val="28"/>
                <w:lang w:val="es-ES"/>
              </w:rPr>
              <w:t xml:space="preserve">ionales firmes. </w:t>
            </w:r>
            <w:r w:rsidRPr="006D0761">
              <w:rPr>
                <w:rFonts w:ascii="Times New Roman" w:hAnsi="Times New Roman"/>
                <w:color w:val="000000"/>
                <w:sz w:val="28"/>
                <w:lang w:val="es-ES"/>
              </w:rPr>
              <w:t>Señaló que e</w:t>
            </w:r>
            <w:r w:rsidRPr="006D0761">
              <w:rPr>
                <w:rFonts w:ascii="Times New Roman" w:hAnsi="Times New Roman"/>
                <w:color w:val="000000"/>
                <w:sz w:val="28"/>
                <w:lang w:val="es-ES"/>
              </w:rPr>
              <w:t xml:space="preserve">l argumento de la supuesta exclusión de los hombres víctimas de homicidios por razones de género ya fue evaluado y descartado por la Corte, al precisar que el feminicidio se centra en mujeres y personas cuya identidad de género </w:t>
            </w:r>
            <w:r w:rsidRPr="006D0761">
              <w:rPr>
                <w:rFonts w:ascii="Times New Roman" w:hAnsi="Times New Roman"/>
                <w:color w:val="000000"/>
                <w:sz w:val="28"/>
                <w:lang w:val="es-ES"/>
              </w:rPr>
              <w:t xml:space="preserve">las sitúe en esa categoría, debido a la violencia estructural y sistemática que enfrentan. Concluyó que la demanda no aporta evidencia nueva, empírica o conceptual, que justifique reabrir el debate ni explica por qué esas situaciones deberían incluirse en </w:t>
            </w:r>
            <w:r w:rsidRPr="006D0761">
              <w:rPr>
                <w:rFonts w:ascii="Times New Roman" w:hAnsi="Times New Roman"/>
                <w:color w:val="000000"/>
                <w:sz w:val="28"/>
                <w:lang w:val="es-ES"/>
              </w:rPr>
              <w:t>el tipo penal.</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6E3DF2DB"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Defensoría del Pueblo</w:t>
            </w:r>
            <w:r w:rsidRPr="006D0761">
              <w:rPr>
                <w:rStyle w:val="Refdenotaalpie"/>
                <w:rFonts w:ascii="Times New Roman" w:hAnsi="Times New Roman"/>
                <w:color w:val="000000"/>
                <w:sz w:val="28"/>
                <w:lang w:val="es-ES"/>
              </w:rPr>
              <w:footnoteReference w:id="13"/>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6E3DF2DB"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Exequibilidad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6E3DF2DB"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Primero, estudió el sentido y alcance de la ley acusada y </w:t>
            </w:r>
            <w:r w:rsidRPr="006D0761">
              <w:rPr>
                <w:rFonts w:ascii="Times New Roman" w:hAnsi="Times New Roman"/>
                <w:color w:val="000000"/>
                <w:sz w:val="28"/>
                <w:lang w:val="es-ES"/>
              </w:rPr>
              <w:t xml:space="preserve">presentó </w:t>
            </w:r>
            <w:r w:rsidRPr="006D0761">
              <w:rPr>
                <w:rFonts w:ascii="Times New Roman" w:hAnsi="Times New Roman"/>
                <w:color w:val="000000"/>
                <w:sz w:val="28"/>
                <w:lang w:val="es-ES"/>
              </w:rPr>
              <w:t>una breve descripción de la demanda; segundo, formu</w:t>
            </w:r>
            <w:r w:rsidRPr="006D0761">
              <w:rPr>
                <w:rFonts w:ascii="Times New Roman" w:hAnsi="Times New Roman"/>
                <w:color w:val="000000"/>
                <w:sz w:val="28"/>
                <w:lang w:val="es-ES"/>
              </w:rPr>
              <w:t xml:space="preserve">ló </w:t>
            </w:r>
            <w:r w:rsidRPr="006D0761">
              <w:rPr>
                <w:rFonts w:ascii="Times New Roman" w:hAnsi="Times New Roman"/>
                <w:color w:val="000000"/>
                <w:sz w:val="28"/>
                <w:lang w:val="es-ES"/>
              </w:rPr>
              <w:t xml:space="preserve">el problema jurídico </w:t>
            </w:r>
            <w:r w:rsidRPr="006D0761">
              <w:rPr>
                <w:rFonts w:ascii="Times New Roman" w:hAnsi="Times New Roman"/>
                <w:color w:val="000000"/>
                <w:sz w:val="28"/>
                <w:lang w:val="es-ES"/>
              </w:rPr>
              <w:t>a resolver por la Corte</w:t>
            </w:r>
            <w:r w:rsidRPr="006D0761">
              <w:rPr>
                <w:rFonts w:ascii="Times New Roman" w:hAnsi="Times New Roman"/>
                <w:color w:val="000000"/>
                <w:sz w:val="28"/>
                <w:lang w:val="es-ES"/>
              </w:rPr>
              <w:t xml:space="preserve">; tercero, analizó el cargo </w:t>
            </w:r>
            <w:r w:rsidRPr="006D0761">
              <w:rPr>
                <w:rFonts w:ascii="Times New Roman" w:hAnsi="Times New Roman"/>
                <w:color w:val="000000"/>
                <w:sz w:val="28"/>
                <w:lang w:val="es-ES"/>
              </w:rPr>
              <w:t xml:space="preserve">de inconstitucionalidad </w:t>
            </w:r>
            <w:r w:rsidRPr="006D0761">
              <w:rPr>
                <w:rFonts w:ascii="Times New Roman" w:hAnsi="Times New Roman"/>
                <w:color w:val="000000"/>
                <w:sz w:val="28"/>
                <w:lang w:val="es-ES"/>
              </w:rPr>
              <w:t>que formuló el accionante</w:t>
            </w:r>
            <w:r w:rsidRPr="006D0761">
              <w:rPr>
                <w:rFonts w:ascii="Times New Roman" w:hAnsi="Times New Roman"/>
                <w:color w:val="000000"/>
                <w:sz w:val="28"/>
                <w:lang w:val="es-ES"/>
              </w:rPr>
              <w:t xml:space="preserve"> bajo un</w:t>
            </w:r>
            <w:r w:rsidRPr="006D0761">
              <w:rPr>
                <w:rFonts w:ascii="Times New Roman" w:hAnsi="Times New Roman"/>
                <w:color w:val="000000"/>
                <w:sz w:val="28"/>
                <w:lang w:val="es-ES"/>
              </w:rPr>
              <w:t xml:space="preserve"> test de igualdad </w:t>
            </w:r>
            <w:r w:rsidRPr="006D0761">
              <w:rPr>
                <w:rFonts w:ascii="Times New Roman" w:hAnsi="Times New Roman"/>
                <w:color w:val="000000"/>
                <w:sz w:val="28"/>
                <w:lang w:val="es-ES"/>
              </w:rPr>
              <w:t>de grado intermedio</w:t>
            </w:r>
            <w:r w:rsidRPr="006D0761">
              <w:rPr>
                <w:rFonts w:ascii="Times New Roman" w:hAnsi="Times New Roman"/>
                <w:color w:val="000000"/>
                <w:sz w:val="28"/>
                <w:lang w:val="es-ES"/>
              </w:rPr>
              <w:t xml:space="preserve">; y cuarto, </w:t>
            </w:r>
            <w:r w:rsidRPr="006D0761">
              <w:rPr>
                <w:rFonts w:ascii="Times New Roman" w:hAnsi="Times New Roman"/>
                <w:color w:val="000000"/>
                <w:sz w:val="28"/>
                <w:lang w:val="es-ES"/>
              </w:rPr>
              <w:t xml:space="preserve">estableció algunas conclusiones al respecto. </w:t>
            </w:r>
          </w:p>
          <w:p w:rsidR="00A37947" w:rsidRPr="006D0761" w:rsidRDefault="006D0761" w:rsidP="006D0761">
            <w:pPr>
              <w:spacing w:after="0" w:line="240" w:lineRule="auto"/>
              <w:jc w:val="both"/>
              <w:rPr>
                <w:rFonts w:ascii="Times New Roman" w:hAnsi="Times New Roman"/>
                <w:color w:val="000000"/>
                <w:sz w:val="28"/>
                <w:lang w:val="es-ES"/>
              </w:rPr>
            </w:pPr>
          </w:p>
          <w:p w:rsidR="00623C30"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Identificó que la norma demandada persigue un fin legítimo e importante que, además, la medida implementada para ello no está prohibida constitucionalmente. </w:t>
            </w:r>
            <w:r w:rsidRPr="006D0761">
              <w:rPr>
                <w:rFonts w:ascii="Times New Roman" w:hAnsi="Times New Roman"/>
                <w:color w:val="000000"/>
                <w:sz w:val="28"/>
                <w:lang w:val="es-ES"/>
              </w:rPr>
              <w:t xml:space="preserve">Desarrolló </w:t>
            </w:r>
            <w:r w:rsidRPr="006D0761">
              <w:rPr>
                <w:rFonts w:ascii="Times New Roman" w:hAnsi="Times New Roman"/>
                <w:color w:val="000000"/>
                <w:sz w:val="28"/>
                <w:lang w:val="es-ES"/>
              </w:rPr>
              <w:t xml:space="preserve">cómo </w:t>
            </w:r>
            <w:r w:rsidRPr="006D0761">
              <w:rPr>
                <w:rFonts w:ascii="Times New Roman" w:hAnsi="Times New Roman"/>
                <w:color w:val="000000"/>
                <w:sz w:val="28"/>
                <w:lang w:val="es-ES"/>
              </w:rPr>
              <w:t xml:space="preserve">(i) </w:t>
            </w:r>
            <w:r w:rsidRPr="006D0761">
              <w:rPr>
                <w:rFonts w:ascii="Times New Roman" w:hAnsi="Times New Roman"/>
                <w:color w:val="000000"/>
                <w:sz w:val="28"/>
                <w:lang w:val="es-ES"/>
              </w:rPr>
              <w:t xml:space="preserve">la medida permite </w:t>
            </w:r>
            <w:r w:rsidRPr="006D0761">
              <w:rPr>
                <w:rFonts w:ascii="Times New Roman" w:hAnsi="Times New Roman"/>
                <w:color w:val="000000"/>
                <w:sz w:val="28"/>
                <w:lang w:val="es-ES"/>
              </w:rPr>
              <w:t>cumplir con las obligaciones internacionales a cargo de Colom</w:t>
            </w:r>
            <w:r w:rsidRPr="006D0761">
              <w:rPr>
                <w:rFonts w:ascii="Times New Roman" w:hAnsi="Times New Roman"/>
                <w:color w:val="000000"/>
                <w:sz w:val="28"/>
                <w:lang w:val="es-ES"/>
              </w:rPr>
              <w:t>bi</w:t>
            </w:r>
            <w:r w:rsidRPr="006D0761">
              <w:rPr>
                <w:rFonts w:ascii="Times New Roman" w:hAnsi="Times New Roman"/>
                <w:color w:val="000000"/>
                <w:sz w:val="28"/>
                <w:lang w:val="es-ES"/>
              </w:rPr>
              <w:t xml:space="preserve">a, (ii) es efectiva y conducente </w:t>
            </w:r>
            <w:r w:rsidRPr="006D0761">
              <w:rPr>
                <w:rFonts w:ascii="Times New Roman" w:hAnsi="Times New Roman"/>
                <w:color w:val="000000"/>
                <w:sz w:val="28"/>
                <w:lang w:val="es-ES"/>
              </w:rPr>
              <w:t xml:space="preserve">para visibilizar una realidad </w:t>
            </w:r>
            <w:r w:rsidRPr="006D0761">
              <w:rPr>
                <w:rFonts w:ascii="Times New Roman" w:hAnsi="Times New Roman"/>
                <w:color w:val="000000"/>
                <w:sz w:val="28"/>
                <w:lang w:val="es-ES"/>
              </w:rPr>
              <w:t>previamente</w:t>
            </w:r>
            <w:r w:rsidRPr="006D0761">
              <w:rPr>
                <w:rFonts w:ascii="Times New Roman" w:hAnsi="Times New Roman"/>
                <w:color w:val="000000"/>
                <w:sz w:val="28"/>
                <w:lang w:val="es-ES"/>
              </w:rPr>
              <w:t xml:space="preserve"> escondida en </w:t>
            </w:r>
            <w:r w:rsidRPr="006D0761">
              <w:rPr>
                <w:rFonts w:ascii="Times New Roman" w:hAnsi="Times New Roman"/>
                <w:color w:val="000000"/>
                <w:sz w:val="28"/>
                <w:lang w:val="es-ES"/>
              </w:rPr>
              <w:t xml:space="preserve">las </w:t>
            </w:r>
            <w:r w:rsidRPr="006D0761">
              <w:rPr>
                <w:rFonts w:ascii="Times New Roman" w:hAnsi="Times New Roman"/>
                <w:color w:val="000000"/>
                <w:sz w:val="28"/>
                <w:lang w:val="es-ES"/>
              </w:rPr>
              <w:t xml:space="preserve">cifras globales </w:t>
            </w:r>
            <w:r w:rsidRPr="006D0761">
              <w:rPr>
                <w:rFonts w:ascii="Times New Roman" w:hAnsi="Times New Roman"/>
                <w:color w:val="000000"/>
                <w:sz w:val="28"/>
                <w:lang w:val="es-ES"/>
              </w:rPr>
              <w:t xml:space="preserve">de homicidio </w:t>
            </w:r>
            <w:r w:rsidRPr="006D0761">
              <w:rPr>
                <w:rFonts w:ascii="Times New Roman" w:hAnsi="Times New Roman"/>
                <w:color w:val="000000"/>
                <w:sz w:val="28"/>
                <w:lang w:val="es-ES"/>
              </w:rPr>
              <w:t xml:space="preserve">y garantizar el acceso a la administración de justicia a las víctimas, (iii) no es desproporcionada </w:t>
            </w:r>
            <w:r w:rsidRPr="006D0761">
              <w:rPr>
                <w:rFonts w:ascii="Times New Roman" w:hAnsi="Times New Roman"/>
                <w:color w:val="000000"/>
                <w:sz w:val="28"/>
                <w:lang w:val="es-ES"/>
              </w:rPr>
              <w:t xml:space="preserve">ni tampoco desprotege a los </w:t>
            </w:r>
            <w:r w:rsidRPr="006D0761">
              <w:rPr>
                <w:rFonts w:ascii="Times New Roman" w:hAnsi="Times New Roman"/>
                <w:color w:val="000000"/>
                <w:sz w:val="28"/>
                <w:lang w:val="es-ES"/>
              </w:rPr>
              <w:t>hombres que son víctimas de violencia leta</w:t>
            </w:r>
            <w:r w:rsidRPr="006D0761">
              <w:rPr>
                <w:rFonts w:ascii="Times New Roman" w:hAnsi="Times New Roman"/>
                <w:color w:val="000000"/>
                <w:sz w:val="28"/>
                <w:lang w:val="es-ES"/>
              </w:rPr>
              <w:t xml:space="preserve">l, pues esta no está motivada por el simple hecho de ser hombres, como sí sucede con las mujeres. </w:t>
            </w:r>
          </w:p>
          <w:p w:rsidR="008914B8" w:rsidRPr="006D0761" w:rsidRDefault="006D0761" w:rsidP="006D0761">
            <w:pPr>
              <w:spacing w:after="0" w:line="240" w:lineRule="auto"/>
              <w:jc w:val="both"/>
              <w:rPr>
                <w:rFonts w:ascii="Times New Roman" w:hAnsi="Times New Roman"/>
                <w:color w:val="000000"/>
                <w:sz w:val="28"/>
                <w:lang w:val="es-ES"/>
              </w:rPr>
            </w:pPr>
          </w:p>
          <w:p w:rsidR="00A37947"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Adjuntó estadísticas </w:t>
            </w:r>
            <w:r w:rsidRPr="006D0761">
              <w:rPr>
                <w:rFonts w:ascii="Times New Roman" w:hAnsi="Times New Roman"/>
                <w:color w:val="000000"/>
                <w:sz w:val="28"/>
                <w:lang w:val="es-ES"/>
              </w:rPr>
              <w:t xml:space="preserve">sobre el feminicidio </w:t>
            </w:r>
            <w:r w:rsidRPr="006D0761">
              <w:rPr>
                <w:rFonts w:ascii="Times New Roman" w:hAnsi="Times New Roman"/>
                <w:color w:val="000000"/>
                <w:sz w:val="28"/>
                <w:lang w:val="es-ES"/>
              </w:rPr>
              <w:t>por parte de</w:t>
            </w:r>
            <w:r w:rsidRPr="006D0761">
              <w:rPr>
                <w:rFonts w:ascii="Times New Roman" w:hAnsi="Times New Roman"/>
                <w:color w:val="000000"/>
                <w:sz w:val="28"/>
                <w:lang w:val="es-ES"/>
              </w:rPr>
              <w:t>l Observatorio de Feminicidios Colombia, la Fiscalía General</w:t>
            </w:r>
            <w:r w:rsidRPr="006D0761">
              <w:rPr>
                <w:rFonts w:ascii="Times New Roman" w:hAnsi="Times New Roman"/>
                <w:color w:val="000000"/>
                <w:sz w:val="28"/>
                <w:lang w:val="es-ES"/>
              </w:rPr>
              <w:t xml:space="preserve"> de la Nación</w:t>
            </w:r>
            <w:r w:rsidRPr="006D0761">
              <w:rPr>
                <w:rFonts w:ascii="Times New Roman" w:hAnsi="Times New Roman"/>
                <w:color w:val="000000"/>
                <w:sz w:val="28"/>
                <w:lang w:val="es-ES"/>
              </w:rPr>
              <w:t xml:space="preserve"> y</w:t>
            </w:r>
            <w:r w:rsidRPr="006D0761">
              <w:rPr>
                <w:rFonts w:ascii="Times New Roman" w:hAnsi="Times New Roman"/>
                <w:color w:val="000000"/>
                <w:sz w:val="28"/>
                <w:lang w:val="es-ES"/>
              </w:rPr>
              <w:t xml:space="preserve"> el Instituto Nacional de Salud</w:t>
            </w:r>
            <w:r w:rsidRPr="006D0761">
              <w:rPr>
                <w:rFonts w:ascii="Times New Roman" w:hAnsi="Times New Roman"/>
                <w:color w:val="000000"/>
                <w:sz w:val="28"/>
                <w:lang w:val="es-ES"/>
              </w:rPr>
              <w:t xml:space="preserve">. </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60A2F38D"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Departamento Administrativo Nacional de Estadística -</w:t>
            </w:r>
            <w:r w:rsidRPr="006D0761">
              <w:rPr>
                <w:rFonts w:ascii="Times New Roman" w:hAnsi="Times New Roman"/>
                <w:color w:val="000000"/>
                <w:sz w:val="28"/>
                <w:lang w:val="es-ES"/>
              </w:rPr>
              <w:t>DANE</w:t>
            </w:r>
            <w:r w:rsidRPr="006D0761">
              <w:rPr>
                <w:rStyle w:val="Refdenotaalpie"/>
                <w:rFonts w:ascii="Times New Roman" w:hAnsi="Times New Roman"/>
                <w:color w:val="000000"/>
                <w:sz w:val="28"/>
                <w:lang w:val="es-ES"/>
              </w:rPr>
              <w:footnoteReference w:id="14"/>
            </w: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2C0A9D37"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Exequibilidad</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2C0A9D37"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Se refirió</w:t>
            </w:r>
            <w:r w:rsidRPr="006D0761">
              <w:rPr>
                <w:rFonts w:ascii="Times New Roman" w:hAnsi="Times New Roman"/>
                <w:color w:val="000000"/>
                <w:sz w:val="28"/>
                <w:lang w:val="es-ES"/>
              </w:rPr>
              <w:t xml:space="preserve"> al artículo 12</w:t>
            </w:r>
            <w:r w:rsidRPr="006D0761">
              <w:rPr>
                <w:rFonts w:ascii="Times New Roman" w:hAnsi="Times New Roman"/>
                <w:color w:val="000000"/>
                <w:sz w:val="28"/>
                <w:lang w:val="es-ES"/>
              </w:rPr>
              <w:t xml:space="preserve"> de la ley demandada</w:t>
            </w:r>
            <w:r w:rsidRPr="006D0761">
              <w:rPr>
                <w:rFonts w:ascii="Times New Roman" w:hAnsi="Times New Roman"/>
                <w:color w:val="000000"/>
                <w:sz w:val="28"/>
                <w:lang w:val="es-ES"/>
              </w:rPr>
              <w:t xml:space="preserve">, que ordena la creación de un sistema nacional de datos sobre violencia de género. </w:t>
            </w:r>
            <w:r w:rsidRPr="006D0761">
              <w:rPr>
                <w:rFonts w:ascii="Times New Roman" w:hAnsi="Times New Roman"/>
                <w:color w:val="000000"/>
                <w:sz w:val="28"/>
                <w:lang w:val="es-ES"/>
              </w:rPr>
              <w:t>Explicó que su finalidad es proveer herramientas estadísticas que permitan visibilizar el feminicidio como delito autónomo y apoyar políticas públicas de prevención, protección y reparación. Señaló que esta disposición se enmarca en compromisos internacion</w:t>
            </w:r>
            <w:r w:rsidRPr="006D0761">
              <w:rPr>
                <w:rFonts w:ascii="Times New Roman" w:hAnsi="Times New Roman"/>
                <w:color w:val="000000"/>
                <w:sz w:val="28"/>
                <w:lang w:val="es-ES"/>
              </w:rPr>
              <w:t>ales y busca fortalecer la capacidad estatal para enfrentar la violencia estructural contra las mujeres.</w:t>
            </w:r>
          </w:p>
          <w:p w:rsidR="003632F9" w:rsidRPr="006D0761" w:rsidRDefault="006D0761" w:rsidP="006D0761">
            <w:pPr>
              <w:spacing w:after="0" w:line="240" w:lineRule="auto"/>
              <w:jc w:val="both"/>
              <w:rPr>
                <w:rFonts w:ascii="Times New Roman" w:hAnsi="Times New Roman"/>
                <w:color w:val="000000"/>
                <w:sz w:val="28"/>
                <w:lang w:val="es-ES"/>
              </w:rPr>
            </w:pPr>
          </w:p>
          <w:p w:rsidR="2C0A9D37"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Frente a la acusación de que la norma invisibiliza a los hombres, el DANE aclaró que el enfoque de género no excluye poblaciones, sino que responde a </w:t>
            </w:r>
            <w:r w:rsidRPr="006D0761">
              <w:rPr>
                <w:rFonts w:ascii="Times New Roman" w:hAnsi="Times New Roman"/>
                <w:color w:val="000000"/>
                <w:sz w:val="28"/>
                <w:lang w:val="es-ES"/>
              </w:rPr>
              <w:t xml:space="preserve">una discriminación histórica que requiere acciones afirmativas en favor de las mujeres. Precisó que el Sistema Integrado de Información de Violencias por Razones de Sexo y Género recoge variables como sexo, edad, relación con el agresor y lugar del hecho, </w:t>
            </w:r>
            <w:r w:rsidRPr="006D0761">
              <w:rPr>
                <w:rFonts w:ascii="Times New Roman" w:hAnsi="Times New Roman"/>
                <w:color w:val="000000"/>
                <w:sz w:val="28"/>
                <w:lang w:val="es-ES"/>
              </w:rPr>
              <w:t>lo cual permite registrar también casos que afectan a hombres, niños y personas con identidades diversas.</w:t>
            </w:r>
          </w:p>
          <w:p w:rsidR="003632F9" w:rsidRPr="006D0761" w:rsidRDefault="006D0761" w:rsidP="006D0761">
            <w:pPr>
              <w:spacing w:after="0" w:line="240" w:lineRule="auto"/>
              <w:jc w:val="both"/>
              <w:rPr>
                <w:rFonts w:ascii="Times New Roman" w:hAnsi="Times New Roman"/>
                <w:color w:val="000000"/>
                <w:sz w:val="28"/>
                <w:lang w:val="es-ES"/>
              </w:rPr>
            </w:pPr>
          </w:p>
          <w:p w:rsidR="2C0A9D37"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Finalmente, indicó que su función no es producir estadísticas judiciales sobre homicidios, sino recopilar y difundir información oficial proveniente </w:t>
            </w:r>
            <w:r w:rsidRPr="006D0761">
              <w:rPr>
                <w:rFonts w:ascii="Times New Roman" w:hAnsi="Times New Roman"/>
                <w:color w:val="000000"/>
                <w:sz w:val="28"/>
                <w:lang w:val="es-ES"/>
              </w:rPr>
              <w:t>de entidades competentes. Subrayó que la creación de sistemas específicos para violencia de género no impide analizar otras formas de violencia y que, en cambio, fortalece la igualdad material y el cumplimiento de obligaciones internacionales. Con ello, de</w:t>
            </w:r>
            <w:r w:rsidRPr="006D0761">
              <w:rPr>
                <w:rFonts w:ascii="Times New Roman" w:hAnsi="Times New Roman"/>
                <w:color w:val="000000"/>
                <w:sz w:val="28"/>
                <w:lang w:val="es-ES"/>
              </w:rPr>
              <w:t>stacó que el enfoque de género en las estadísticas oficiales constituye una herramienta legítima para atender una violencia estructuralmente dirigida contra las mujeres.</w:t>
            </w:r>
          </w:p>
        </w:tc>
      </w:tr>
      <w:tr w:rsidR="006D0761" w:rsidRPr="006D0761" w:rsidTr="006D0761">
        <w:trPr>
          <w:trHeight w:val="300"/>
        </w:trPr>
        <w:tc>
          <w:tcPr>
            <w:tcW w:w="227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00D51A92" w:rsidRPr="006D0761" w:rsidRDefault="006D0761" w:rsidP="006D0761">
            <w:pPr>
              <w:spacing w:after="0" w:line="240" w:lineRule="auto"/>
              <w:jc w:val="both"/>
              <w:rPr>
                <w:rFonts w:ascii="Times New Roman" w:hAnsi="Times New Roman"/>
                <w:color w:val="000000"/>
                <w:sz w:val="28"/>
                <w:lang w:val="es-ES"/>
              </w:rPr>
            </w:pPr>
          </w:p>
          <w:p w:rsidR="00DC0893" w:rsidRPr="006D0761" w:rsidRDefault="006D0761" w:rsidP="006D0761">
            <w:pPr>
              <w:spacing w:after="0" w:line="240" w:lineRule="auto"/>
              <w:jc w:val="both"/>
              <w:rPr>
                <w:rFonts w:ascii="Times New Roman" w:hAnsi="Times New Roman"/>
                <w:color w:val="000000"/>
                <w:sz w:val="28"/>
                <w:lang w:val="es-ES"/>
              </w:rPr>
            </w:pPr>
          </w:p>
          <w:p w:rsidR="00D51A92" w:rsidRPr="006D0761" w:rsidRDefault="006D0761" w:rsidP="006D0761">
            <w:pPr>
              <w:spacing w:after="0" w:line="240" w:lineRule="auto"/>
              <w:jc w:val="both"/>
              <w:rPr>
                <w:rFonts w:ascii="Times New Roman" w:hAnsi="Times New Roman"/>
                <w:color w:val="000000"/>
                <w:sz w:val="28"/>
                <w:lang w:val="es-ES"/>
              </w:rPr>
            </w:pPr>
          </w:p>
          <w:p w:rsidR="60A2F38D"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ONU Mujeres</w:t>
            </w:r>
            <w:r w:rsidRPr="006D0761">
              <w:rPr>
                <w:rStyle w:val="Refdenotaalpie"/>
                <w:rFonts w:ascii="Times New Roman" w:hAnsi="Times New Roman"/>
                <w:color w:val="000000"/>
                <w:sz w:val="28"/>
                <w:lang w:val="es-ES"/>
              </w:rPr>
              <w:footnoteReference w:id="15"/>
            </w:r>
          </w:p>
          <w:p w:rsidR="6E3DF2DB" w:rsidRPr="006D0761" w:rsidRDefault="006D0761" w:rsidP="006D0761">
            <w:pPr>
              <w:spacing w:after="0" w:line="240" w:lineRule="auto"/>
              <w:jc w:val="both"/>
              <w:rPr>
                <w:rFonts w:ascii="Times New Roman" w:hAnsi="Times New Roman"/>
                <w:color w:val="000000"/>
                <w:sz w:val="28"/>
                <w:lang w:val="es-ES"/>
              </w:rPr>
            </w:pPr>
          </w:p>
        </w:tc>
        <w:tc>
          <w:tcPr>
            <w:tcW w:w="1696"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vAlign w:val="center"/>
          </w:tcPr>
          <w:p w:rsidR="00D51A92" w:rsidRPr="006D0761" w:rsidRDefault="006D0761" w:rsidP="006D0761">
            <w:pPr>
              <w:spacing w:after="0" w:line="240" w:lineRule="auto"/>
              <w:jc w:val="both"/>
              <w:rPr>
                <w:rFonts w:ascii="Times New Roman" w:hAnsi="Times New Roman"/>
                <w:color w:val="000000"/>
                <w:sz w:val="28"/>
                <w:lang w:val="es-ES"/>
              </w:rPr>
            </w:pPr>
          </w:p>
          <w:p w:rsidR="00DC0893" w:rsidRPr="006D0761" w:rsidRDefault="006D0761" w:rsidP="006D0761">
            <w:pPr>
              <w:spacing w:after="0" w:line="240" w:lineRule="auto"/>
              <w:jc w:val="both"/>
              <w:rPr>
                <w:rFonts w:ascii="Times New Roman" w:hAnsi="Times New Roman"/>
                <w:color w:val="000000"/>
                <w:sz w:val="28"/>
                <w:lang w:val="es-ES"/>
              </w:rPr>
            </w:pPr>
          </w:p>
          <w:p w:rsidR="3E5A6596"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Sin postura</w:t>
            </w:r>
          </w:p>
        </w:tc>
        <w:tc>
          <w:tcPr>
            <w:tcW w:w="4961"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rsidR="002946D1" w:rsidRPr="006D0761" w:rsidRDefault="006D0761" w:rsidP="006D0761">
            <w:pPr>
              <w:spacing w:after="0" w:line="240" w:lineRule="auto"/>
              <w:jc w:val="both"/>
              <w:rPr>
                <w:rFonts w:ascii="Times New Roman" w:hAnsi="Times New Roman"/>
                <w:color w:val="000000"/>
                <w:sz w:val="28"/>
                <w:lang w:val="es-ES"/>
              </w:rPr>
            </w:pPr>
          </w:p>
          <w:p w:rsidR="59D778C6" w:rsidRPr="006D0761" w:rsidRDefault="006D0761" w:rsidP="006D0761">
            <w:pPr>
              <w:spacing w:after="0" w:line="240" w:lineRule="auto"/>
              <w:jc w:val="both"/>
              <w:rPr>
                <w:rFonts w:ascii="Times New Roman" w:hAnsi="Times New Roman"/>
                <w:color w:val="000000"/>
                <w:sz w:val="28"/>
                <w:lang w:val="es-ES"/>
              </w:rPr>
            </w:pPr>
            <w:r w:rsidRPr="006D0761">
              <w:rPr>
                <w:rFonts w:ascii="Times New Roman" w:hAnsi="Times New Roman"/>
                <w:color w:val="000000"/>
                <w:sz w:val="28"/>
                <w:lang w:val="es-ES"/>
              </w:rPr>
              <w:t xml:space="preserve">En virtud de su naturaleza jurídica como órgano de </w:t>
            </w:r>
            <w:r w:rsidRPr="006D0761">
              <w:rPr>
                <w:rFonts w:ascii="Times New Roman" w:hAnsi="Times New Roman"/>
                <w:color w:val="000000"/>
                <w:sz w:val="28"/>
                <w:lang w:val="es-ES"/>
              </w:rPr>
              <w:t>las Naciones Unidas, se declaró impedida para pronunciarse sobre la demanda de</w:t>
            </w:r>
            <w:r w:rsidRPr="006D0761">
              <w:rPr>
                <w:rFonts w:ascii="Times New Roman" w:hAnsi="Times New Roman"/>
                <w:color w:val="000000"/>
                <w:sz w:val="28"/>
                <w:lang w:val="es-ES"/>
              </w:rPr>
              <w:t xml:space="preserve"> la</w:t>
            </w:r>
            <w:r w:rsidRPr="006D0761">
              <w:rPr>
                <w:rFonts w:ascii="Times New Roman" w:hAnsi="Times New Roman"/>
                <w:color w:val="000000"/>
                <w:sz w:val="28"/>
                <w:lang w:val="es-ES"/>
              </w:rPr>
              <w:t xml:space="preserve"> referencia. </w:t>
            </w:r>
            <w:r w:rsidRPr="006D0761">
              <w:rPr>
                <w:rFonts w:ascii="Times New Roman" w:hAnsi="Times New Roman"/>
                <w:color w:val="000000"/>
                <w:sz w:val="28"/>
                <w:lang w:val="es-ES"/>
              </w:rPr>
              <w:t>Sin embargo, compartió cinco informes publicados por su organización para ser tenidos en cuenta en el análisis de la demanda</w:t>
            </w:r>
            <w:r w:rsidRPr="006D0761">
              <w:rPr>
                <w:rFonts w:ascii="Times New Roman" w:hAnsi="Times New Roman"/>
                <w:color w:val="000000"/>
                <w:sz w:val="28"/>
                <w:lang w:val="es-ES"/>
              </w:rPr>
              <w:t xml:space="preserve"> </w:t>
            </w:r>
            <w:r w:rsidRPr="006D0761">
              <w:rPr>
                <w:rStyle w:val="Refdenotaalpie"/>
                <w:rFonts w:ascii="Times New Roman" w:hAnsi="Times New Roman"/>
                <w:color w:val="000000"/>
                <w:sz w:val="28"/>
                <w:lang w:val="es-ES"/>
              </w:rPr>
              <w:footnoteReference w:id="16"/>
            </w:r>
            <w:r w:rsidRPr="006D0761">
              <w:rPr>
                <w:rFonts w:ascii="Times New Roman" w:hAnsi="Times New Roman"/>
                <w:color w:val="000000"/>
                <w:sz w:val="28"/>
                <w:lang w:val="es-ES"/>
              </w:rPr>
              <w:t xml:space="preserve"> </w:t>
            </w:r>
            <w:r w:rsidRPr="006D0761">
              <w:rPr>
                <w:rStyle w:val="Refdenotaalpie"/>
                <w:rFonts w:ascii="Times New Roman" w:hAnsi="Times New Roman"/>
                <w:color w:val="000000"/>
                <w:sz w:val="28"/>
                <w:lang w:val="es-ES"/>
              </w:rPr>
              <w:footnoteReference w:id="17"/>
            </w:r>
            <w:r w:rsidRPr="006D0761">
              <w:rPr>
                <w:rFonts w:ascii="Times New Roman" w:hAnsi="Times New Roman"/>
                <w:color w:val="000000"/>
                <w:sz w:val="28"/>
                <w:lang w:val="es-ES"/>
              </w:rPr>
              <w:t xml:space="preserve"> </w:t>
            </w:r>
            <w:r w:rsidRPr="006D0761">
              <w:rPr>
                <w:rStyle w:val="Refdenotaalpie"/>
                <w:rFonts w:ascii="Times New Roman" w:hAnsi="Times New Roman"/>
                <w:color w:val="000000"/>
                <w:sz w:val="28"/>
                <w:lang w:val="es-ES"/>
              </w:rPr>
              <w:footnoteReference w:id="18"/>
            </w:r>
            <w:r w:rsidRPr="006D0761">
              <w:rPr>
                <w:rFonts w:ascii="Times New Roman" w:hAnsi="Times New Roman"/>
                <w:color w:val="000000"/>
                <w:sz w:val="28"/>
                <w:lang w:val="es-ES"/>
              </w:rPr>
              <w:t xml:space="preserve"> </w:t>
            </w:r>
            <w:r w:rsidRPr="006D0761">
              <w:rPr>
                <w:rStyle w:val="Refdenotaalpie"/>
                <w:rFonts w:ascii="Times New Roman" w:hAnsi="Times New Roman"/>
                <w:color w:val="000000"/>
                <w:sz w:val="28"/>
                <w:lang w:val="es-ES"/>
              </w:rPr>
              <w:footnoteReference w:id="19"/>
            </w:r>
            <w:r w:rsidRPr="006D0761">
              <w:rPr>
                <w:rFonts w:ascii="Times New Roman" w:hAnsi="Times New Roman"/>
                <w:color w:val="000000"/>
                <w:sz w:val="28"/>
                <w:lang w:val="es-ES"/>
              </w:rPr>
              <w:t xml:space="preserve"> </w:t>
            </w:r>
            <w:r w:rsidRPr="006D0761">
              <w:rPr>
                <w:rStyle w:val="Refdenotaalpie"/>
                <w:rFonts w:ascii="Times New Roman" w:hAnsi="Times New Roman"/>
                <w:color w:val="000000"/>
                <w:sz w:val="28"/>
                <w:lang w:val="es-ES"/>
              </w:rPr>
              <w:footnoteReference w:id="20"/>
            </w:r>
            <w:r w:rsidRPr="006D0761">
              <w:rPr>
                <w:rFonts w:ascii="Times New Roman" w:hAnsi="Times New Roman"/>
                <w:color w:val="000000"/>
                <w:sz w:val="28"/>
                <w:lang w:val="es-ES"/>
              </w:rPr>
              <w:t xml:space="preserve">. </w:t>
            </w:r>
          </w:p>
        </w:tc>
      </w:tr>
    </w:tbl>
    <w:p w:rsidR="008E2564" w:rsidRPr="006D0761" w:rsidRDefault="006D0761" w:rsidP="6D224379">
      <w:pPr>
        <w:jc w:val="both"/>
        <w:rPr>
          <w:rFonts w:ascii="Times New Roman" w:hAnsi="Times New Roman"/>
          <w:color w:val="000000"/>
          <w:sz w:val="28"/>
          <w:szCs w:val="28"/>
          <w:lang w:val="es-ES"/>
        </w:rPr>
      </w:pPr>
    </w:p>
    <w:p w:rsidR="00031B87" w:rsidRPr="006D0761" w:rsidRDefault="006D0761" w:rsidP="6D224379">
      <w:pPr>
        <w:pStyle w:val="Prrafodelista"/>
        <w:ind w:left="0"/>
        <w:jc w:val="both"/>
        <w:rPr>
          <w:rFonts w:ascii="Times New Roman" w:hAnsi="Times New Roman"/>
          <w:color w:val="000000"/>
          <w:sz w:val="28"/>
          <w:szCs w:val="28"/>
          <w:lang w:val="es-ES"/>
        </w:rPr>
      </w:pPr>
    </w:p>
    <w:p w:rsidR="00031B87" w:rsidRPr="006D0761" w:rsidRDefault="006D0761" w:rsidP="00EB501B">
      <w:pPr>
        <w:pStyle w:val="Ttulo1"/>
        <w:numPr>
          <w:ilvl w:val="0"/>
          <w:numId w:val="1"/>
        </w:numPr>
        <w:ind w:left="0" w:firstLine="0"/>
        <w:rPr>
          <w:rFonts w:ascii="Times New Roman" w:hAnsi="Times New Roman"/>
          <w:lang w:val="es-ES"/>
        </w:rPr>
      </w:pPr>
      <w:bookmarkStart w:id="7" w:name="_Toc220572668"/>
      <w:r w:rsidRPr="006D0761">
        <w:rPr>
          <w:rFonts w:ascii="Times New Roman" w:hAnsi="Times New Roman"/>
          <w:lang w:val="es-ES"/>
        </w:rPr>
        <w:t xml:space="preserve">CONCEPTO DEL </w:t>
      </w:r>
      <w:r w:rsidRPr="006D0761">
        <w:rPr>
          <w:rFonts w:ascii="Times New Roman" w:hAnsi="Times New Roman"/>
          <w:lang w:val="es-ES"/>
        </w:rPr>
        <w:t>PROCURADOR GENERAL DE LA NACIÓN</w:t>
      </w:r>
      <w:bookmarkEnd w:id="7"/>
    </w:p>
    <w:p w:rsidR="00031B87" w:rsidRPr="006D0761" w:rsidRDefault="006D0761" w:rsidP="00330CB9">
      <w:pPr>
        <w:pStyle w:val="Prrafodelista"/>
        <w:ind w:left="0"/>
        <w:jc w:val="both"/>
        <w:rPr>
          <w:rFonts w:ascii="Times New Roman" w:hAnsi="Times New Roman"/>
          <w:b/>
          <w:bCs/>
          <w:color w:val="000000"/>
          <w:sz w:val="28"/>
          <w:szCs w:val="28"/>
          <w:lang w:val="es-ES"/>
        </w:rPr>
      </w:pPr>
    </w:p>
    <w:p w:rsidR="00031B87"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Mediante concepto presentado dentro del término previsto por el ordenamiento, el Procurador General de la Nación solicitó </w:t>
      </w:r>
      <w:r w:rsidRPr="006D0761">
        <w:rPr>
          <w:rFonts w:ascii="Times New Roman" w:hAnsi="Times New Roman"/>
          <w:color w:val="000000"/>
          <w:sz w:val="28"/>
          <w:szCs w:val="28"/>
          <w:lang w:val="es-ES"/>
        </w:rPr>
        <w:t xml:space="preserve">a la Corte Constitucional declarar la exequibilidad </w:t>
      </w:r>
      <w:r w:rsidRPr="006D0761">
        <w:rPr>
          <w:rFonts w:ascii="Times New Roman" w:hAnsi="Times New Roman"/>
          <w:color w:val="000000"/>
          <w:sz w:val="28"/>
          <w:szCs w:val="28"/>
          <w:lang w:val="es-ES"/>
        </w:rPr>
        <w:t>de la norma demandada.</w:t>
      </w:r>
      <w:r w:rsidRPr="006D0761">
        <w:rPr>
          <w:rStyle w:val="Refdenotaalpie"/>
          <w:rFonts w:ascii="Times New Roman" w:hAnsi="Times New Roman"/>
          <w:color w:val="000000"/>
          <w:sz w:val="28"/>
          <w:szCs w:val="28"/>
          <w:lang w:val="es-ES"/>
        </w:rPr>
        <w:footnoteReference w:id="21"/>
      </w:r>
      <w:r w:rsidRPr="006D0761">
        <w:rPr>
          <w:rFonts w:ascii="Times New Roman" w:hAnsi="Times New Roman"/>
          <w:color w:val="000000"/>
          <w:sz w:val="28"/>
          <w:szCs w:val="28"/>
          <w:lang w:val="es-ES"/>
        </w:rPr>
        <w:t xml:space="preserve"> </w:t>
      </w:r>
    </w:p>
    <w:p w:rsidR="00031B87" w:rsidRPr="006D0761" w:rsidRDefault="006D0761" w:rsidP="00330CB9">
      <w:pPr>
        <w:pStyle w:val="Textonotapie"/>
        <w:jc w:val="both"/>
        <w:rPr>
          <w:rFonts w:ascii="Times New Roman" w:hAnsi="Times New Roman"/>
          <w:color w:val="000000"/>
          <w:sz w:val="28"/>
          <w:szCs w:val="28"/>
          <w:lang w:val="es-ES"/>
        </w:rPr>
      </w:pPr>
    </w:p>
    <w:p w:rsidR="00031B87"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Luego de reseñar los argumentos formulados por el accionante sobre cómo la Ley 1761 de 2015 desconoce </w:t>
      </w:r>
      <w:r w:rsidRPr="006D0761">
        <w:rPr>
          <w:rFonts w:ascii="Times New Roman" w:hAnsi="Times New Roman"/>
          <w:color w:val="000000"/>
          <w:sz w:val="28"/>
          <w:szCs w:val="28"/>
          <w:lang w:val="es-ES"/>
        </w:rPr>
        <w:t>el derecho a la igualdad de los hombres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el Procurador presentó una manifestación de transparencia. Explicó que</w:t>
      </w:r>
      <w:r w:rsidRPr="006D0761">
        <w:rPr>
          <w:rFonts w:ascii="Times New Roman" w:hAnsi="Times New Roman"/>
          <w:color w:val="000000"/>
          <w:sz w:val="28"/>
          <w:szCs w:val="28"/>
          <w:lang w:val="es-ES"/>
        </w:rPr>
        <w:t>, para el momento de expedición de la ley d</w:t>
      </w:r>
      <w:r w:rsidRPr="006D0761">
        <w:rPr>
          <w:rFonts w:ascii="Times New Roman" w:hAnsi="Times New Roman"/>
          <w:color w:val="000000"/>
          <w:sz w:val="28"/>
          <w:szCs w:val="28"/>
          <w:lang w:val="es-ES"/>
        </w:rPr>
        <w:t>emandada, ejerció como Secretario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General del Senado de la República </w:t>
      </w:r>
      <w:r w:rsidRPr="006D0761">
        <w:rPr>
          <w:rFonts w:ascii="Times New Roman" w:hAnsi="Times New Roman"/>
          <w:color w:val="000000"/>
          <w:sz w:val="28"/>
          <w:szCs w:val="28"/>
          <w:lang w:val="es-ES"/>
        </w:rPr>
        <w:t xml:space="preserve">y participó durante el trámite legislativo. </w:t>
      </w:r>
      <w:r w:rsidRPr="006D0761">
        <w:rPr>
          <w:rFonts w:ascii="Times New Roman" w:hAnsi="Times New Roman"/>
          <w:color w:val="000000"/>
          <w:sz w:val="28"/>
          <w:szCs w:val="28"/>
          <w:lang w:val="es-ES"/>
        </w:rPr>
        <w:t>Con base en el</w:t>
      </w:r>
      <w:r w:rsidRPr="006D0761">
        <w:rPr>
          <w:rFonts w:ascii="Times New Roman" w:hAnsi="Times New Roman"/>
          <w:color w:val="000000"/>
          <w:sz w:val="28"/>
          <w:szCs w:val="28"/>
          <w:lang w:val="es-ES"/>
        </w:rPr>
        <w:t xml:space="preserve"> Auto 452 </w:t>
      </w:r>
      <w:r w:rsidRPr="006D0761">
        <w:rPr>
          <w:rFonts w:ascii="Times New Roman" w:hAnsi="Times New Roman"/>
          <w:color w:val="000000"/>
          <w:sz w:val="28"/>
          <w:szCs w:val="28"/>
          <w:lang w:val="es-ES"/>
        </w:rPr>
        <w:t>de</w:t>
      </w:r>
      <w:r w:rsidRPr="006D0761">
        <w:rPr>
          <w:rFonts w:ascii="Times New Roman" w:hAnsi="Times New Roman"/>
          <w:color w:val="000000"/>
          <w:sz w:val="28"/>
          <w:szCs w:val="28"/>
          <w:lang w:val="es-ES"/>
        </w:rPr>
        <w:t xml:space="preserve"> 2025 de la Corte Constitucional, </w:t>
      </w:r>
      <w:r w:rsidRPr="006D0761">
        <w:rPr>
          <w:rFonts w:ascii="Times New Roman" w:hAnsi="Times New Roman"/>
          <w:color w:val="000000"/>
          <w:sz w:val="28"/>
          <w:szCs w:val="28"/>
          <w:lang w:val="es-ES"/>
        </w:rPr>
        <w:t xml:space="preserve">estableció que la situación no exigía declararse impedido para </w:t>
      </w:r>
      <w:r w:rsidRPr="006D0761">
        <w:rPr>
          <w:rFonts w:ascii="Times New Roman" w:hAnsi="Times New Roman"/>
          <w:color w:val="000000"/>
          <w:sz w:val="28"/>
          <w:szCs w:val="28"/>
          <w:lang w:val="es-ES"/>
        </w:rPr>
        <w:t xml:space="preserve">conocer de la demanda, </w:t>
      </w:r>
      <w:r w:rsidRPr="006D0761">
        <w:rPr>
          <w:rFonts w:ascii="Times New Roman" w:hAnsi="Times New Roman"/>
          <w:color w:val="000000"/>
          <w:sz w:val="28"/>
          <w:szCs w:val="28"/>
          <w:lang w:val="es-ES"/>
        </w:rPr>
        <w:t xml:space="preserve">pues su actuación no había sido determinante </w:t>
      </w:r>
      <w:r w:rsidRPr="006D0761">
        <w:rPr>
          <w:rFonts w:ascii="Times New Roman" w:hAnsi="Times New Roman"/>
          <w:color w:val="000000"/>
          <w:sz w:val="28"/>
          <w:szCs w:val="28"/>
          <w:lang w:val="es-ES"/>
        </w:rPr>
        <w:t xml:space="preserve">en el trámite ni tampoco </w:t>
      </w:r>
      <w:r w:rsidRPr="006D0761">
        <w:rPr>
          <w:rFonts w:ascii="Times New Roman" w:hAnsi="Times New Roman"/>
          <w:color w:val="000000"/>
          <w:sz w:val="28"/>
          <w:szCs w:val="28"/>
          <w:lang w:val="es-ES"/>
        </w:rPr>
        <w:t>había incidido</w:t>
      </w:r>
      <w:r w:rsidRPr="006D0761">
        <w:rPr>
          <w:rFonts w:ascii="Times New Roman" w:hAnsi="Times New Roman"/>
          <w:color w:val="000000"/>
          <w:sz w:val="28"/>
          <w:szCs w:val="28"/>
          <w:lang w:val="es-ES"/>
        </w:rPr>
        <w:t xml:space="preserve"> en el asunto </w:t>
      </w:r>
      <w:r w:rsidRPr="006D0761">
        <w:rPr>
          <w:rFonts w:ascii="Times New Roman" w:hAnsi="Times New Roman"/>
          <w:color w:val="000000"/>
          <w:sz w:val="28"/>
          <w:szCs w:val="28"/>
          <w:lang w:val="es-ES"/>
        </w:rPr>
        <w:t xml:space="preserve">de fondo </w:t>
      </w:r>
      <w:r w:rsidRPr="006D0761">
        <w:rPr>
          <w:rFonts w:ascii="Times New Roman" w:hAnsi="Times New Roman"/>
          <w:color w:val="000000"/>
          <w:sz w:val="28"/>
          <w:szCs w:val="28"/>
          <w:lang w:val="es-ES"/>
        </w:rPr>
        <w:t xml:space="preserve">a resolver </w:t>
      </w:r>
      <w:r w:rsidRPr="006D0761">
        <w:rPr>
          <w:rFonts w:ascii="Times New Roman" w:hAnsi="Times New Roman"/>
          <w:color w:val="000000"/>
          <w:sz w:val="28"/>
          <w:szCs w:val="28"/>
          <w:lang w:val="es-ES"/>
        </w:rPr>
        <w:t xml:space="preserve">en el presente expediente. </w:t>
      </w:r>
    </w:p>
    <w:p w:rsidR="00547027" w:rsidRPr="006D0761" w:rsidRDefault="006D0761" w:rsidP="00330CB9">
      <w:pPr>
        <w:pStyle w:val="Prrafodelista"/>
        <w:ind w:left="0"/>
        <w:jc w:val="both"/>
        <w:rPr>
          <w:rFonts w:ascii="Times New Roman" w:hAnsi="Times New Roman"/>
          <w:color w:val="000000"/>
          <w:sz w:val="28"/>
          <w:szCs w:val="28"/>
          <w:lang w:val="es-ES"/>
        </w:rPr>
      </w:pPr>
    </w:p>
    <w:p w:rsidR="00547027"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primer lugar, abordó </w:t>
      </w:r>
      <w:r w:rsidRPr="006D0761">
        <w:rPr>
          <w:rFonts w:ascii="Times New Roman" w:hAnsi="Times New Roman"/>
          <w:color w:val="000000"/>
          <w:sz w:val="28"/>
          <w:szCs w:val="28"/>
          <w:lang w:val="es-ES"/>
        </w:rPr>
        <w:t xml:space="preserve">el fenómeno de la violencia de género en Colombia. </w:t>
      </w:r>
      <w:r w:rsidRPr="006D0761">
        <w:rPr>
          <w:rFonts w:ascii="Times New Roman" w:hAnsi="Times New Roman"/>
          <w:color w:val="000000"/>
          <w:sz w:val="28"/>
          <w:szCs w:val="28"/>
          <w:lang w:val="es-ES"/>
        </w:rPr>
        <w:t xml:space="preserve">Desarrolló </w:t>
      </w:r>
      <w:r w:rsidRPr="006D0761">
        <w:rPr>
          <w:rFonts w:ascii="Times New Roman" w:hAnsi="Times New Roman"/>
          <w:color w:val="000000"/>
          <w:sz w:val="28"/>
          <w:szCs w:val="28"/>
          <w:lang w:val="es-ES"/>
        </w:rPr>
        <w:t>las obligaciones internacionales a cargo de Colombia en virtud de la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CEDAW </w:t>
      </w:r>
      <w:r w:rsidRPr="006D0761">
        <w:rPr>
          <w:rFonts w:ascii="Times New Roman" w:hAnsi="Times New Roman"/>
          <w:color w:val="000000"/>
          <w:sz w:val="28"/>
          <w:szCs w:val="28"/>
          <w:lang w:val="es-ES"/>
        </w:rPr>
        <w:t>y la Convención</w:t>
      </w:r>
      <w:r w:rsidRPr="006D0761">
        <w:rPr>
          <w:rFonts w:ascii="Times New Roman" w:hAnsi="Times New Roman"/>
          <w:color w:val="000000"/>
          <w:sz w:val="28"/>
          <w:szCs w:val="28"/>
          <w:lang w:val="es-ES"/>
        </w:rPr>
        <w:t xml:space="preserve"> de Belém do Pará</w:t>
      </w:r>
      <w:r w:rsidRPr="006D0761">
        <w:rPr>
          <w:rFonts w:ascii="Times New Roman" w:hAnsi="Times New Roman"/>
          <w:color w:val="000000"/>
          <w:sz w:val="28"/>
          <w:szCs w:val="28"/>
          <w:lang w:val="es-ES"/>
        </w:rPr>
        <w:t xml:space="preserve">, para así explicar </w:t>
      </w:r>
      <w:r w:rsidRPr="006D0761">
        <w:rPr>
          <w:rFonts w:ascii="Times New Roman" w:hAnsi="Times New Roman"/>
          <w:color w:val="000000"/>
          <w:sz w:val="28"/>
          <w:szCs w:val="28"/>
          <w:lang w:val="es-ES"/>
        </w:rPr>
        <w:t xml:space="preserve">el artículo 13 de la Constitución Política </w:t>
      </w:r>
      <w:r w:rsidRPr="006D0761">
        <w:rPr>
          <w:rFonts w:ascii="Times New Roman" w:hAnsi="Times New Roman"/>
          <w:color w:val="000000"/>
          <w:sz w:val="28"/>
          <w:szCs w:val="28"/>
          <w:lang w:val="es-ES"/>
        </w:rPr>
        <w:t xml:space="preserve">y los mandatos </w:t>
      </w:r>
      <w:r w:rsidRPr="006D0761">
        <w:rPr>
          <w:rFonts w:ascii="Times New Roman" w:hAnsi="Times New Roman"/>
          <w:color w:val="000000"/>
          <w:sz w:val="28"/>
          <w:szCs w:val="28"/>
          <w:lang w:val="es-ES"/>
        </w:rPr>
        <w:t xml:space="preserve">de </w:t>
      </w:r>
      <w:r w:rsidRPr="006D0761">
        <w:rPr>
          <w:rFonts w:ascii="Times New Roman" w:hAnsi="Times New Roman"/>
          <w:color w:val="000000"/>
          <w:sz w:val="28"/>
          <w:szCs w:val="28"/>
          <w:lang w:val="es-ES"/>
        </w:rPr>
        <w:t xml:space="preserve">la igualdad material: (i) </w:t>
      </w:r>
      <w:r w:rsidRPr="006D0761">
        <w:rPr>
          <w:rFonts w:ascii="Times New Roman" w:hAnsi="Times New Roman"/>
          <w:color w:val="000000"/>
          <w:sz w:val="28"/>
          <w:szCs w:val="28"/>
          <w:lang w:val="es-ES"/>
        </w:rPr>
        <w:t xml:space="preserve">prohibir la discriminación, (ii) tratar igual lo que es igual y desigual lo que es desigual y (iii) adoptar medidas afirmativas para alcanzar una igualdad real y efectiva. </w:t>
      </w:r>
      <w:r w:rsidRPr="006D0761">
        <w:rPr>
          <w:rFonts w:ascii="Times New Roman" w:hAnsi="Times New Roman"/>
          <w:color w:val="000000"/>
          <w:sz w:val="28"/>
          <w:szCs w:val="28"/>
          <w:lang w:val="es-ES"/>
        </w:rPr>
        <w:t>Determinó que la creación del feminicidio, como delito autónomo, era una expresión y</w:t>
      </w:r>
      <w:r w:rsidRPr="006D0761">
        <w:rPr>
          <w:rFonts w:ascii="Times New Roman" w:hAnsi="Times New Roman"/>
          <w:color w:val="000000"/>
          <w:sz w:val="28"/>
          <w:szCs w:val="28"/>
          <w:lang w:val="es-ES"/>
        </w:rPr>
        <w:t xml:space="preserve"> cumplimiento de dichas obligaciones</w:t>
      </w:r>
      <w:r w:rsidRPr="006D0761">
        <w:rPr>
          <w:rFonts w:ascii="Times New Roman" w:hAnsi="Times New Roman"/>
          <w:color w:val="000000"/>
          <w:sz w:val="28"/>
          <w:szCs w:val="28"/>
          <w:lang w:val="es-ES"/>
        </w:rPr>
        <w:t xml:space="preserve">, representando una acción afirmativa </w:t>
      </w:r>
      <w:r w:rsidRPr="006D0761">
        <w:rPr>
          <w:rFonts w:ascii="Times New Roman" w:hAnsi="Times New Roman"/>
          <w:color w:val="000000"/>
          <w:sz w:val="28"/>
          <w:szCs w:val="28"/>
          <w:lang w:val="es-ES"/>
        </w:rPr>
        <w:t>con una finalidad legítima que, además,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es conducente y proporcional</w:t>
      </w:r>
      <w:r w:rsidRPr="006D0761">
        <w:rPr>
          <w:rFonts w:ascii="Times New Roman" w:hAnsi="Times New Roman"/>
          <w:color w:val="000000"/>
          <w:sz w:val="28"/>
          <w:szCs w:val="28"/>
          <w:lang w:val="es-ES"/>
        </w:rPr>
        <w:t xml:space="preserve"> para proteger a una p</w:t>
      </w:r>
      <w:r w:rsidRPr="006D0761">
        <w:rPr>
          <w:rFonts w:ascii="Times New Roman" w:hAnsi="Times New Roman"/>
          <w:color w:val="000000"/>
          <w:sz w:val="28"/>
          <w:szCs w:val="28"/>
          <w:lang w:val="es-ES"/>
        </w:rPr>
        <w:t xml:space="preserve">oblación históricamente </w:t>
      </w:r>
      <w:r w:rsidRPr="006D0761">
        <w:rPr>
          <w:rFonts w:ascii="Times New Roman" w:hAnsi="Times New Roman"/>
          <w:color w:val="000000"/>
          <w:sz w:val="28"/>
          <w:szCs w:val="28"/>
          <w:lang w:val="es-ES"/>
        </w:rPr>
        <w:t xml:space="preserve">marginada. </w:t>
      </w:r>
    </w:p>
    <w:p w:rsidR="00BD1C39" w:rsidRPr="006D0761" w:rsidRDefault="006D0761" w:rsidP="00330CB9">
      <w:pPr>
        <w:pStyle w:val="Prrafodelista"/>
        <w:ind w:left="0"/>
        <w:jc w:val="both"/>
        <w:rPr>
          <w:rFonts w:ascii="Times New Roman" w:hAnsi="Times New Roman"/>
          <w:color w:val="000000"/>
          <w:sz w:val="28"/>
          <w:szCs w:val="28"/>
          <w:lang w:val="es-ES"/>
        </w:rPr>
      </w:pPr>
    </w:p>
    <w:p w:rsidR="00BD1C39"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Adicionalmente</w:t>
      </w:r>
      <w:r w:rsidRPr="006D0761">
        <w:rPr>
          <w:rFonts w:ascii="Times New Roman" w:hAnsi="Times New Roman"/>
          <w:color w:val="000000"/>
          <w:sz w:val="28"/>
          <w:szCs w:val="28"/>
          <w:lang w:val="es-ES"/>
        </w:rPr>
        <w:t xml:space="preserve">, presentó </w:t>
      </w:r>
      <w:r w:rsidRPr="006D0761">
        <w:rPr>
          <w:rFonts w:ascii="Times New Roman" w:hAnsi="Times New Roman"/>
          <w:color w:val="000000"/>
          <w:sz w:val="28"/>
          <w:szCs w:val="28"/>
          <w:lang w:val="es-ES"/>
        </w:rPr>
        <w:t xml:space="preserve">datos estadísticos </w:t>
      </w:r>
      <w:r w:rsidRPr="006D0761">
        <w:rPr>
          <w:rFonts w:ascii="Times New Roman" w:hAnsi="Times New Roman"/>
          <w:color w:val="000000"/>
          <w:sz w:val="28"/>
          <w:szCs w:val="28"/>
          <w:lang w:val="es-ES"/>
        </w:rPr>
        <w:t xml:space="preserve">con base en la información recolectada del Sistema de Vigilancia en Salud Pública en el Sistema Integrado de Información de Violencias de Género entre 2018 y </w:t>
      </w:r>
      <w:r w:rsidRPr="006D0761">
        <w:rPr>
          <w:rFonts w:ascii="Times New Roman" w:hAnsi="Times New Roman"/>
          <w:color w:val="000000"/>
          <w:sz w:val="28"/>
          <w:szCs w:val="28"/>
          <w:lang w:val="es-ES"/>
        </w:rPr>
        <w:t xml:space="preserve">lo corrido del 2025. </w:t>
      </w:r>
      <w:r w:rsidRPr="006D0761">
        <w:rPr>
          <w:rFonts w:ascii="Times New Roman" w:hAnsi="Times New Roman"/>
          <w:color w:val="000000"/>
          <w:sz w:val="28"/>
          <w:szCs w:val="28"/>
          <w:lang w:val="es-ES"/>
        </w:rPr>
        <w:t xml:space="preserve">En ellas, se advierte </w:t>
      </w:r>
      <w:r w:rsidRPr="006D0761">
        <w:rPr>
          <w:rFonts w:ascii="Times New Roman" w:hAnsi="Times New Roman"/>
          <w:color w:val="000000"/>
          <w:sz w:val="28"/>
          <w:szCs w:val="28"/>
          <w:lang w:val="es-ES"/>
        </w:rPr>
        <w:t xml:space="preserve">cómo las denuncias por violencia de género </w:t>
      </w:r>
      <w:r w:rsidRPr="006D0761">
        <w:rPr>
          <w:rFonts w:ascii="Times New Roman" w:hAnsi="Times New Roman"/>
          <w:color w:val="000000"/>
          <w:sz w:val="28"/>
          <w:szCs w:val="28"/>
          <w:lang w:val="es-ES"/>
        </w:rPr>
        <w:t>por parte de</w:t>
      </w:r>
      <w:r w:rsidRPr="006D0761">
        <w:rPr>
          <w:rFonts w:ascii="Times New Roman" w:hAnsi="Times New Roman"/>
          <w:color w:val="000000"/>
          <w:sz w:val="28"/>
          <w:szCs w:val="28"/>
          <w:lang w:val="es-ES"/>
        </w:rPr>
        <w:t xml:space="preserve"> mujeres </w:t>
      </w:r>
      <w:r w:rsidRPr="006D0761">
        <w:rPr>
          <w:rFonts w:ascii="Times New Roman" w:hAnsi="Times New Roman"/>
          <w:color w:val="000000"/>
          <w:sz w:val="28"/>
          <w:szCs w:val="28"/>
          <w:lang w:val="es-ES"/>
        </w:rPr>
        <w:t xml:space="preserve">son tres </w:t>
      </w:r>
      <w:r w:rsidRPr="006D0761">
        <w:rPr>
          <w:rFonts w:ascii="Times New Roman" w:hAnsi="Times New Roman"/>
          <w:color w:val="000000"/>
          <w:sz w:val="28"/>
          <w:szCs w:val="28"/>
          <w:lang w:val="es-ES"/>
        </w:rPr>
        <w:t>veces más altas que las que realizan los hombres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Este mismo análisis se replicó en el porcentaje de </w:t>
      </w:r>
      <w:r w:rsidRPr="006D0761">
        <w:rPr>
          <w:rFonts w:ascii="Times New Roman" w:hAnsi="Times New Roman"/>
          <w:color w:val="000000"/>
          <w:sz w:val="28"/>
          <w:szCs w:val="28"/>
          <w:lang w:val="es-ES"/>
        </w:rPr>
        <w:t xml:space="preserve">mujeres </w:t>
      </w:r>
      <w:r w:rsidRPr="006D0761">
        <w:rPr>
          <w:rFonts w:ascii="Times New Roman" w:hAnsi="Times New Roman"/>
          <w:color w:val="000000"/>
          <w:sz w:val="28"/>
          <w:szCs w:val="28"/>
          <w:lang w:val="es-ES"/>
        </w:rPr>
        <w:t xml:space="preserve">y hombres </w:t>
      </w:r>
      <w:r w:rsidRPr="006D0761">
        <w:rPr>
          <w:rFonts w:ascii="Times New Roman" w:hAnsi="Times New Roman"/>
          <w:color w:val="000000"/>
          <w:sz w:val="28"/>
          <w:szCs w:val="28"/>
          <w:lang w:val="es-ES"/>
        </w:rPr>
        <w:t>que son víctimas de violencia intrafamiliar</w:t>
      </w:r>
      <w:r w:rsidRPr="006D0761">
        <w:rPr>
          <w:rFonts w:ascii="Times New Roman" w:hAnsi="Times New Roman"/>
          <w:color w:val="000000"/>
          <w:sz w:val="28"/>
          <w:szCs w:val="28"/>
          <w:lang w:val="es-ES"/>
        </w:rPr>
        <w:t xml:space="preserve">. </w:t>
      </w:r>
    </w:p>
    <w:p w:rsidR="009D52F9" w:rsidRPr="006D0761" w:rsidRDefault="006D0761" w:rsidP="00330CB9">
      <w:pPr>
        <w:pStyle w:val="Prrafodelista"/>
        <w:ind w:left="0"/>
        <w:jc w:val="both"/>
        <w:rPr>
          <w:rFonts w:ascii="Times New Roman" w:hAnsi="Times New Roman"/>
          <w:color w:val="000000"/>
          <w:sz w:val="28"/>
          <w:szCs w:val="28"/>
          <w:lang w:val="es-ES"/>
        </w:rPr>
      </w:pPr>
    </w:p>
    <w:p w:rsidR="009D52F9"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segundo lugar, </w:t>
      </w:r>
      <w:r w:rsidRPr="006D0761">
        <w:rPr>
          <w:rFonts w:ascii="Times New Roman" w:hAnsi="Times New Roman"/>
          <w:color w:val="000000"/>
          <w:sz w:val="28"/>
          <w:szCs w:val="28"/>
          <w:lang w:val="es-ES"/>
        </w:rPr>
        <w:t xml:space="preserve">estudió la naturaleza y temporalidad de las acciones afirmativas en favor de las mujeres. </w:t>
      </w:r>
      <w:r w:rsidRPr="006D0761">
        <w:rPr>
          <w:rFonts w:ascii="Times New Roman" w:hAnsi="Times New Roman"/>
          <w:color w:val="000000"/>
          <w:sz w:val="28"/>
          <w:szCs w:val="28"/>
          <w:lang w:val="es-ES"/>
        </w:rPr>
        <w:t>Explicó que las acciones afirmativas que se han consagrado en favor de las mujeres lo han sido no porque sean una minoría en términos poblacionales, sino por la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discr</w:t>
      </w:r>
      <w:r w:rsidRPr="006D0761">
        <w:rPr>
          <w:rFonts w:ascii="Times New Roman" w:hAnsi="Times New Roman"/>
          <w:color w:val="000000"/>
          <w:sz w:val="28"/>
          <w:szCs w:val="28"/>
          <w:lang w:val="es-ES"/>
        </w:rPr>
        <w:t>iminación histórica, sistemática y estructural a la cual han estado sujetas</w:t>
      </w:r>
      <w:r w:rsidRPr="006D0761">
        <w:rPr>
          <w:rFonts w:ascii="Times New Roman" w:hAnsi="Times New Roman"/>
          <w:color w:val="000000"/>
          <w:sz w:val="28"/>
          <w:szCs w:val="28"/>
          <w:lang w:val="es-ES"/>
        </w:rPr>
        <w:t xml:space="preserve"> que no solo les asigna un rol dentro de la sociedad, </w:t>
      </w:r>
      <w:r w:rsidRPr="006D0761">
        <w:rPr>
          <w:rFonts w:ascii="Times New Roman" w:hAnsi="Times New Roman"/>
          <w:color w:val="000000"/>
          <w:sz w:val="28"/>
          <w:szCs w:val="28"/>
          <w:lang w:val="es-ES"/>
        </w:rPr>
        <w:t xml:space="preserve">sino que también las priva de cualquier poder decisorio. </w:t>
      </w:r>
      <w:r w:rsidRPr="006D0761">
        <w:rPr>
          <w:rFonts w:ascii="Times New Roman" w:hAnsi="Times New Roman"/>
          <w:color w:val="000000"/>
          <w:sz w:val="28"/>
          <w:szCs w:val="28"/>
          <w:lang w:val="es-ES"/>
        </w:rPr>
        <w:t>En consecuencia</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resaltó que la violencia de género </w:t>
      </w:r>
      <w:r w:rsidRPr="006D0761">
        <w:rPr>
          <w:rFonts w:ascii="Times New Roman" w:hAnsi="Times New Roman"/>
          <w:color w:val="000000"/>
          <w:sz w:val="28"/>
          <w:szCs w:val="28"/>
          <w:lang w:val="es-ES"/>
        </w:rPr>
        <w:t xml:space="preserve">exige </w:t>
      </w:r>
      <w:r w:rsidRPr="006D0761">
        <w:rPr>
          <w:rFonts w:ascii="Times New Roman" w:hAnsi="Times New Roman"/>
          <w:color w:val="000000"/>
          <w:sz w:val="28"/>
          <w:szCs w:val="28"/>
          <w:lang w:val="es-ES"/>
        </w:rPr>
        <w:t xml:space="preserve">medidas </w:t>
      </w:r>
      <w:r w:rsidRPr="006D0761">
        <w:rPr>
          <w:rFonts w:ascii="Times New Roman" w:hAnsi="Times New Roman"/>
          <w:color w:val="000000"/>
          <w:sz w:val="28"/>
          <w:szCs w:val="28"/>
          <w:lang w:val="es-ES"/>
        </w:rPr>
        <w:t>normativas, administrativas y culturales</w:t>
      </w:r>
      <w:r w:rsidRPr="006D0761">
        <w:rPr>
          <w:rFonts w:ascii="Times New Roman" w:hAnsi="Times New Roman"/>
          <w:color w:val="000000"/>
          <w:sz w:val="28"/>
          <w:szCs w:val="28"/>
          <w:lang w:val="es-ES"/>
        </w:rPr>
        <w:t xml:space="preserve"> que, si bien </w:t>
      </w:r>
      <w:r w:rsidRPr="006D0761">
        <w:rPr>
          <w:rFonts w:ascii="Times New Roman" w:hAnsi="Times New Roman"/>
          <w:color w:val="000000"/>
          <w:sz w:val="28"/>
          <w:szCs w:val="28"/>
          <w:lang w:val="es-ES"/>
        </w:rPr>
        <w:t xml:space="preserve">se basan en el sexo como un criterio diferencial, están encaminadas a cerrar las brechas </w:t>
      </w:r>
      <w:r w:rsidRPr="006D0761">
        <w:rPr>
          <w:rFonts w:ascii="Times New Roman" w:hAnsi="Times New Roman"/>
          <w:color w:val="000000"/>
          <w:sz w:val="28"/>
          <w:szCs w:val="28"/>
          <w:lang w:val="es-ES"/>
        </w:rPr>
        <w:t>estructurales de género, no a crear m</w:t>
      </w:r>
      <w:r w:rsidRPr="006D0761">
        <w:rPr>
          <w:rFonts w:ascii="Times New Roman" w:hAnsi="Times New Roman"/>
          <w:color w:val="000000"/>
          <w:sz w:val="28"/>
          <w:szCs w:val="28"/>
          <w:lang w:val="es-ES"/>
        </w:rPr>
        <w:t xml:space="preserve">ayor discriminación. </w:t>
      </w:r>
    </w:p>
    <w:p w:rsidR="00883274" w:rsidRPr="006D0761" w:rsidRDefault="006D0761" w:rsidP="00330CB9">
      <w:pPr>
        <w:pStyle w:val="Prrafodelista"/>
        <w:ind w:left="0"/>
        <w:jc w:val="both"/>
        <w:rPr>
          <w:rFonts w:ascii="Times New Roman" w:hAnsi="Times New Roman"/>
          <w:color w:val="000000"/>
          <w:sz w:val="28"/>
          <w:szCs w:val="28"/>
          <w:lang w:val="es-ES"/>
        </w:rPr>
      </w:pPr>
    </w:p>
    <w:p w:rsidR="00883274"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Frente a la vigencia de las acciones afirmativas, </w:t>
      </w:r>
      <w:r w:rsidRPr="006D0761">
        <w:rPr>
          <w:rFonts w:ascii="Times New Roman" w:hAnsi="Times New Roman"/>
          <w:color w:val="000000"/>
          <w:sz w:val="28"/>
          <w:szCs w:val="28"/>
          <w:lang w:val="es-ES"/>
        </w:rPr>
        <w:t xml:space="preserve">sostuvo que estas </w:t>
      </w:r>
      <w:r w:rsidRPr="006D0761">
        <w:rPr>
          <w:rFonts w:ascii="Times New Roman" w:hAnsi="Times New Roman"/>
          <w:color w:val="000000"/>
          <w:sz w:val="28"/>
          <w:szCs w:val="28"/>
          <w:lang w:val="es-ES"/>
        </w:rPr>
        <w:t xml:space="preserve">están limitadas </w:t>
      </w:r>
      <w:r w:rsidRPr="006D0761">
        <w:rPr>
          <w:rFonts w:ascii="Times New Roman" w:hAnsi="Times New Roman"/>
          <w:color w:val="000000"/>
          <w:sz w:val="28"/>
          <w:szCs w:val="28"/>
          <w:lang w:val="es-ES"/>
        </w:rPr>
        <w:t xml:space="preserve">solo por el tiempo que sea necesario para lograr la </w:t>
      </w:r>
      <w:r w:rsidRPr="006D0761">
        <w:rPr>
          <w:rFonts w:ascii="Times New Roman" w:hAnsi="Times New Roman"/>
          <w:color w:val="000000"/>
          <w:sz w:val="28"/>
          <w:szCs w:val="28"/>
          <w:lang w:val="es-ES"/>
        </w:rPr>
        <w:t>igualdad material.</w:t>
      </w:r>
      <w:r w:rsidRPr="006D0761">
        <w:rPr>
          <w:rFonts w:ascii="Times New Roman" w:hAnsi="Times New Roman"/>
          <w:color w:val="000000"/>
          <w:sz w:val="28"/>
          <w:szCs w:val="28"/>
          <w:lang w:val="es-ES"/>
        </w:rPr>
        <w:t xml:space="preserve"> En respaldo de lo anterior, citó jurisprudencia de la Corte Constitucional</w:t>
      </w:r>
      <w:r w:rsidRPr="006D0761">
        <w:rPr>
          <w:rStyle w:val="Refdenotaalpie"/>
          <w:rFonts w:ascii="Times New Roman" w:hAnsi="Times New Roman"/>
          <w:color w:val="000000"/>
          <w:sz w:val="28"/>
          <w:szCs w:val="28"/>
          <w:lang w:val="es-ES"/>
        </w:rPr>
        <w:footnoteReference w:id="22"/>
      </w:r>
      <w:r w:rsidRPr="006D0761">
        <w:rPr>
          <w:rFonts w:ascii="Times New Roman" w:hAnsi="Times New Roman"/>
          <w:color w:val="000000"/>
          <w:sz w:val="28"/>
          <w:szCs w:val="28"/>
          <w:lang w:val="es-ES"/>
        </w:rPr>
        <w:t xml:space="preserve">. </w:t>
      </w:r>
    </w:p>
    <w:p w:rsidR="00640E09" w:rsidRPr="006D0761" w:rsidRDefault="006D0761" w:rsidP="00330CB9">
      <w:pPr>
        <w:pStyle w:val="Prrafodelista"/>
        <w:ind w:left="0"/>
        <w:jc w:val="both"/>
        <w:rPr>
          <w:rFonts w:ascii="Times New Roman" w:hAnsi="Times New Roman"/>
          <w:color w:val="000000"/>
          <w:sz w:val="28"/>
          <w:szCs w:val="28"/>
          <w:lang w:val="es-ES"/>
        </w:rPr>
      </w:pPr>
    </w:p>
    <w:p w:rsidR="00EB501B" w:rsidRPr="006D0761" w:rsidRDefault="006D0761" w:rsidP="00355557">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tercer lugar, </w:t>
      </w:r>
      <w:r w:rsidRPr="006D0761">
        <w:rPr>
          <w:rFonts w:ascii="Times New Roman" w:hAnsi="Times New Roman"/>
          <w:color w:val="000000"/>
          <w:sz w:val="28"/>
          <w:szCs w:val="28"/>
          <w:lang w:val="es-ES"/>
        </w:rPr>
        <w:t xml:space="preserve">sobre la finalidad de la Ley 1761 de 2015, </w:t>
      </w:r>
      <w:r w:rsidRPr="006D0761">
        <w:rPr>
          <w:rFonts w:ascii="Times New Roman" w:hAnsi="Times New Roman"/>
          <w:color w:val="000000"/>
          <w:sz w:val="28"/>
          <w:szCs w:val="28"/>
          <w:lang w:val="es-ES"/>
        </w:rPr>
        <w:t>reconoció qu</w:t>
      </w:r>
      <w:r w:rsidRPr="006D0761">
        <w:rPr>
          <w:rFonts w:ascii="Times New Roman" w:hAnsi="Times New Roman"/>
          <w:color w:val="000000"/>
          <w:sz w:val="28"/>
          <w:szCs w:val="28"/>
          <w:lang w:val="es-ES"/>
        </w:rPr>
        <w:t xml:space="preserve">e la norma </w:t>
      </w:r>
      <w:r w:rsidRPr="006D0761">
        <w:rPr>
          <w:rFonts w:ascii="Times New Roman" w:hAnsi="Times New Roman"/>
          <w:color w:val="000000"/>
          <w:sz w:val="28"/>
          <w:szCs w:val="28"/>
          <w:lang w:val="es-ES"/>
        </w:rPr>
        <w:t>tuvo como propósito visibilizar y sancionar de manera efectiva la violencia letal</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de género en contra de las mujeres</w:t>
      </w:r>
      <w:r w:rsidRPr="006D0761">
        <w:rPr>
          <w:rFonts w:ascii="Times New Roman" w:hAnsi="Times New Roman"/>
          <w:color w:val="000000"/>
          <w:sz w:val="28"/>
          <w:szCs w:val="28"/>
          <w:lang w:val="es-ES"/>
        </w:rPr>
        <w:t xml:space="preserve">, además de crear un mecanismo de acceso a la administración de justicia </w:t>
      </w:r>
      <w:r w:rsidRPr="006D0761">
        <w:rPr>
          <w:rFonts w:ascii="Times New Roman" w:hAnsi="Times New Roman"/>
          <w:color w:val="000000"/>
          <w:sz w:val="28"/>
          <w:szCs w:val="28"/>
          <w:lang w:val="es-ES"/>
        </w:rPr>
        <w:t xml:space="preserve">bajo un enfoque de género. </w:t>
      </w:r>
      <w:r w:rsidRPr="006D0761">
        <w:rPr>
          <w:rFonts w:ascii="Times New Roman" w:hAnsi="Times New Roman"/>
          <w:color w:val="000000"/>
          <w:sz w:val="28"/>
          <w:szCs w:val="28"/>
          <w:lang w:val="es-ES"/>
        </w:rPr>
        <w:t>Mencionó qu</w:t>
      </w:r>
      <w:r w:rsidRPr="006D0761">
        <w:rPr>
          <w:rFonts w:ascii="Times New Roman" w:hAnsi="Times New Roman"/>
          <w:color w:val="000000"/>
          <w:sz w:val="28"/>
          <w:szCs w:val="28"/>
          <w:lang w:val="es-ES"/>
        </w:rPr>
        <w:t xml:space="preserve">e la Corte </w:t>
      </w:r>
      <w:r w:rsidRPr="006D0761">
        <w:rPr>
          <w:rFonts w:ascii="Times New Roman" w:hAnsi="Times New Roman"/>
          <w:color w:val="000000"/>
          <w:sz w:val="28"/>
          <w:szCs w:val="28"/>
          <w:lang w:val="es-ES"/>
        </w:rPr>
        <w:t>Constitucional</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la Corte Suprema de Just</w:t>
      </w:r>
      <w:r w:rsidRPr="006D0761">
        <w:rPr>
          <w:rFonts w:ascii="Times New Roman" w:hAnsi="Times New Roman"/>
          <w:color w:val="000000"/>
          <w:sz w:val="28"/>
          <w:szCs w:val="28"/>
          <w:lang w:val="es-ES"/>
        </w:rPr>
        <w:t>icia</w:t>
      </w:r>
      <w:r w:rsidRPr="006D0761">
        <w:rPr>
          <w:rFonts w:ascii="Times New Roman" w:hAnsi="Times New Roman"/>
          <w:color w:val="000000"/>
          <w:sz w:val="28"/>
          <w:szCs w:val="28"/>
          <w:lang w:val="es-ES"/>
        </w:rPr>
        <w:t xml:space="preserve"> y la Corte Interamericana de Derechos Humanos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han res</w:t>
      </w:r>
      <w:r w:rsidRPr="006D0761">
        <w:rPr>
          <w:rFonts w:ascii="Times New Roman" w:hAnsi="Times New Roman"/>
          <w:color w:val="000000"/>
          <w:sz w:val="28"/>
          <w:szCs w:val="28"/>
          <w:lang w:val="es-ES"/>
        </w:rPr>
        <w:t>paldado la legitimidad</w:t>
      </w:r>
      <w:r w:rsidRPr="006D0761">
        <w:rPr>
          <w:rFonts w:ascii="Times New Roman" w:hAnsi="Times New Roman"/>
          <w:color w:val="000000"/>
          <w:sz w:val="28"/>
          <w:szCs w:val="28"/>
          <w:lang w:val="es-ES"/>
        </w:rPr>
        <w:t xml:space="preserve"> y necesidad </w:t>
      </w:r>
      <w:r w:rsidRPr="006D0761">
        <w:rPr>
          <w:rFonts w:ascii="Times New Roman" w:hAnsi="Times New Roman"/>
          <w:color w:val="000000"/>
          <w:sz w:val="28"/>
          <w:szCs w:val="28"/>
          <w:lang w:val="es-ES"/>
        </w:rPr>
        <w:t>de la Ley,</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reconocido</w:t>
      </w:r>
      <w:r w:rsidRPr="006D0761">
        <w:rPr>
          <w:rFonts w:ascii="Times New Roman" w:hAnsi="Times New Roman"/>
          <w:color w:val="000000"/>
          <w:sz w:val="28"/>
          <w:szCs w:val="28"/>
          <w:lang w:val="es-ES"/>
        </w:rPr>
        <w:t xml:space="preserve"> que </w:t>
      </w:r>
      <w:r w:rsidRPr="006D0761">
        <w:rPr>
          <w:rFonts w:ascii="Times New Roman" w:hAnsi="Times New Roman"/>
          <w:color w:val="000000"/>
          <w:sz w:val="28"/>
          <w:szCs w:val="28"/>
          <w:lang w:val="es-ES"/>
        </w:rPr>
        <w:t xml:space="preserve">se trata de un fenómeno que afecta la vida, la dignidad, la igualdad y la autonomía de las mujeres </w:t>
      </w:r>
      <w:r w:rsidRPr="006D0761">
        <w:rPr>
          <w:rFonts w:ascii="Times New Roman" w:hAnsi="Times New Roman"/>
          <w:color w:val="000000"/>
          <w:sz w:val="28"/>
          <w:szCs w:val="28"/>
          <w:lang w:val="es-ES"/>
        </w:rPr>
        <w:t>a partir de estereotipos</w:t>
      </w:r>
      <w:r w:rsidRPr="006D0761">
        <w:rPr>
          <w:rFonts w:ascii="Times New Roman" w:hAnsi="Times New Roman"/>
          <w:color w:val="000000"/>
          <w:sz w:val="28"/>
          <w:szCs w:val="28"/>
          <w:lang w:val="es-ES"/>
        </w:rPr>
        <w:t xml:space="preserve"> discriminatorios</w:t>
      </w:r>
      <w:r w:rsidRPr="006D0761">
        <w:rPr>
          <w:rFonts w:ascii="Times New Roman" w:hAnsi="Times New Roman"/>
          <w:color w:val="000000"/>
          <w:sz w:val="28"/>
          <w:szCs w:val="28"/>
          <w:lang w:val="es-ES"/>
        </w:rPr>
        <w:t xml:space="preserve"> y</w:t>
      </w:r>
      <w:r w:rsidRPr="006D0761">
        <w:rPr>
          <w:rFonts w:ascii="Times New Roman" w:hAnsi="Times New Roman"/>
          <w:color w:val="000000"/>
          <w:sz w:val="28"/>
          <w:szCs w:val="28"/>
          <w:lang w:val="es-ES"/>
        </w:rPr>
        <w:t xml:space="preserve"> relaciones de dominación</w:t>
      </w:r>
      <w:r w:rsidRPr="006D0761">
        <w:rPr>
          <w:rFonts w:ascii="Times New Roman" w:hAnsi="Times New Roman"/>
          <w:color w:val="000000"/>
          <w:sz w:val="28"/>
          <w:szCs w:val="28"/>
          <w:lang w:val="es-ES"/>
        </w:rPr>
        <w:t xml:space="preserve">. </w:t>
      </w:r>
    </w:p>
    <w:p w:rsidR="00047E43" w:rsidRPr="006D0761" w:rsidRDefault="006D0761" w:rsidP="00330CB9">
      <w:pPr>
        <w:pStyle w:val="Prrafodelista"/>
        <w:ind w:left="0"/>
        <w:jc w:val="both"/>
        <w:rPr>
          <w:rFonts w:ascii="Times New Roman" w:hAnsi="Times New Roman"/>
          <w:color w:val="000000"/>
          <w:sz w:val="28"/>
          <w:szCs w:val="28"/>
          <w:lang w:val="es-ES"/>
        </w:rPr>
      </w:pPr>
    </w:p>
    <w:p w:rsidR="00EB501B" w:rsidRPr="006D0761" w:rsidRDefault="006D0761" w:rsidP="00355557">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Por último, </w:t>
      </w:r>
      <w:r w:rsidRPr="006D0761">
        <w:rPr>
          <w:rFonts w:ascii="Times New Roman" w:hAnsi="Times New Roman"/>
          <w:color w:val="000000"/>
          <w:sz w:val="28"/>
          <w:szCs w:val="28"/>
          <w:lang w:val="es-ES"/>
        </w:rPr>
        <w:t>y como consecuencia de todo lo anterior</w:t>
      </w:r>
      <w:r w:rsidRPr="006D0761">
        <w:rPr>
          <w:rFonts w:ascii="Times New Roman" w:hAnsi="Times New Roman"/>
          <w:color w:val="000000"/>
          <w:sz w:val="28"/>
          <w:szCs w:val="28"/>
          <w:lang w:val="es-ES"/>
        </w:rPr>
        <w:t xml:space="preserve">, estableció que la norma acusada </w:t>
      </w:r>
      <w:r w:rsidRPr="006D0761">
        <w:rPr>
          <w:rFonts w:ascii="Times New Roman" w:hAnsi="Times New Roman"/>
          <w:color w:val="000000"/>
          <w:sz w:val="28"/>
          <w:szCs w:val="28"/>
          <w:lang w:val="es-ES"/>
        </w:rPr>
        <w:t xml:space="preserve">no </w:t>
      </w:r>
      <w:r w:rsidRPr="006D0761">
        <w:rPr>
          <w:rFonts w:ascii="Times New Roman" w:hAnsi="Times New Roman"/>
          <w:color w:val="000000"/>
          <w:sz w:val="28"/>
          <w:szCs w:val="28"/>
          <w:lang w:val="es-ES"/>
        </w:rPr>
        <w:t>vulnera la Constitución Política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particularmente sus artículos 13 y 93. Al contrario, con base en el </w:t>
      </w:r>
      <w:r w:rsidRPr="006D0761">
        <w:rPr>
          <w:rFonts w:ascii="Times New Roman" w:hAnsi="Times New Roman"/>
          <w:color w:val="000000"/>
          <w:sz w:val="28"/>
          <w:szCs w:val="28"/>
          <w:lang w:val="es-ES"/>
        </w:rPr>
        <w:t>derecho a la igualdad,</w:t>
      </w:r>
      <w:r w:rsidRPr="006D0761">
        <w:rPr>
          <w:rFonts w:ascii="Times New Roman" w:hAnsi="Times New Roman"/>
          <w:color w:val="000000"/>
          <w:sz w:val="28"/>
          <w:szCs w:val="28"/>
          <w:lang w:val="es-ES"/>
        </w:rPr>
        <w:t xml:space="preserve"> insistió en que la Ley 1761 de 2015 </w:t>
      </w:r>
      <w:r w:rsidRPr="006D0761">
        <w:rPr>
          <w:rFonts w:ascii="Times New Roman" w:hAnsi="Times New Roman"/>
          <w:color w:val="000000"/>
          <w:sz w:val="28"/>
          <w:szCs w:val="28"/>
          <w:lang w:val="es-ES"/>
        </w:rPr>
        <w:t xml:space="preserve">cumple con la prohibición de discriminación, al tiempo que </w:t>
      </w:r>
      <w:r w:rsidRPr="006D0761">
        <w:rPr>
          <w:rFonts w:ascii="Times New Roman" w:hAnsi="Times New Roman"/>
          <w:color w:val="000000"/>
          <w:sz w:val="28"/>
          <w:szCs w:val="28"/>
          <w:lang w:val="es-ES"/>
        </w:rPr>
        <w:t xml:space="preserve">representa la adopción de medidas diferenciadas </w:t>
      </w:r>
      <w:r w:rsidRPr="006D0761">
        <w:rPr>
          <w:rFonts w:ascii="Times New Roman" w:hAnsi="Times New Roman"/>
          <w:color w:val="000000"/>
          <w:sz w:val="28"/>
          <w:szCs w:val="28"/>
          <w:lang w:val="es-ES"/>
        </w:rPr>
        <w:t>que buscan garantizar el goce efectivo de los derechos de las mujeres</w:t>
      </w:r>
      <w:r w:rsidRPr="006D0761">
        <w:rPr>
          <w:rFonts w:ascii="Times New Roman" w:hAnsi="Times New Roman"/>
          <w:color w:val="000000"/>
          <w:sz w:val="28"/>
          <w:szCs w:val="28"/>
          <w:lang w:val="es-ES"/>
        </w:rPr>
        <w:t>; ambas obligaciones internacionales a cargo del Estado</w:t>
      </w:r>
      <w:r w:rsidRPr="006D0761">
        <w:rPr>
          <w:rFonts w:ascii="Times New Roman" w:hAnsi="Times New Roman"/>
          <w:color w:val="000000"/>
          <w:sz w:val="28"/>
          <w:szCs w:val="28"/>
          <w:lang w:val="es-ES"/>
        </w:rPr>
        <w:t xml:space="preserve"> que fueron atendidas por el poder legislativo. </w:t>
      </w:r>
      <w:r w:rsidRPr="006D0761">
        <w:rPr>
          <w:rFonts w:ascii="Times New Roman" w:hAnsi="Times New Roman"/>
          <w:color w:val="000000"/>
          <w:sz w:val="28"/>
          <w:szCs w:val="28"/>
          <w:lang w:val="es-ES"/>
        </w:rPr>
        <w:t>Con todo, aclaró también que la norm</w:t>
      </w:r>
      <w:r w:rsidRPr="006D0761">
        <w:rPr>
          <w:rFonts w:ascii="Times New Roman" w:hAnsi="Times New Roman"/>
          <w:color w:val="000000"/>
          <w:sz w:val="28"/>
          <w:szCs w:val="28"/>
          <w:lang w:val="es-ES"/>
        </w:rPr>
        <w:t xml:space="preserve">a </w:t>
      </w:r>
      <w:r w:rsidRPr="006D0761">
        <w:rPr>
          <w:rFonts w:ascii="Times New Roman" w:hAnsi="Times New Roman"/>
          <w:color w:val="000000"/>
          <w:sz w:val="28"/>
          <w:szCs w:val="28"/>
          <w:lang w:val="es-ES"/>
        </w:rPr>
        <w:t xml:space="preserve">no creó un privilegio en favor de las mujeres, ni tampoco excluyó </w:t>
      </w:r>
      <w:r w:rsidRPr="006D0761">
        <w:rPr>
          <w:rFonts w:ascii="Times New Roman" w:hAnsi="Times New Roman"/>
          <w:color w:val="000000"/>
          <w:sz w:val="28"/>
          <w:szCs w:val="28"/>
          <w:lang w:val="es-ES"/>
        </w:rPr>
        <w:t>a los hombres</w:t>
      </w:r>
      <w:r w:rsidRPr="006D0761">
        <w:rPr>
          <w:rFonts w:ascii="Times New Roman" w:hAnsi="Times New Roman"/>
          <w:color w:val="000000"/>
          <w:sz w:val="28"/>
          <w:szCs w:val="28"/>
          <w:lang w:val="es-ES"/>
        </w:rPr>
        <w:t xml:space="preserve"> del sistema general de protección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sino que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atendió un deber constitucional </w:t>
      </w:r>
      <w:r w:rsidRPr="006D0761">
        <w:rPr>
          <w:rFonts w:ascii="Times New Roman" w:hAnsi="Times New Roman"/>
          <w:color w:val="000000"/>
          <w:sz w:val="28"/>
          <w:szCs w:val="28"/>
          <w:lang w:val="es-ES"/>
        </w:rPr>
        <w:t xml:space="preserve">respecto de quienes sufren violencia letal basada en el género: las mujeres. </w:t>
      </w:r>
    </w:p>
    <w:p w:rsidR="00C02F4E" w:rsidRPr="006D0761" w:rsidRDefault="006D0761" w:rsidP="00EB501B">
      <w:pPr>
        <w:pStyle w:val="Ttulo1"/>
        <w:numPr>
          <w:ilvl w:val="0"/>
          <w:numId w:val="1"/>
        </w:numPr>
        <w:ind w:left="0" w:firstLine="0"/>
        <w:rPr>
          <w:rFonts w:ascii="Times New Roman" w:hAnsi="Times New Roman"/>
          <w:lang w:val="es-ES"/>
        </w:rPr>
      </w:pPr>
      <w:bookmarkStart w:id="8" w:name="_Toc220572669"/>
      <w:r w:rsidRPr="006D0761">
        <w:rPr>
          <w:rFonts w:ascii="Times New Roman" w:hAnsi="Times New Roman"/>
          <w:lang w:val="es-ES"/>
        </w:rPr>
        <w:t>CONSIDERACIONES</w:t>
      </w:r>
      <w:bookmarkEnd w:id="8"/>
    </w:p>
    <w:p w:rsidR="00C02F4E" w:rsidRPr="006D0761" w:rsidRDefault="006D0761" w:rsidP="00330CB9">
      <w:pPr>
        <w:jc w:val="both"/>
        <w:rPr>
          <w:rFonts w:ascii="Times New Roman" w:hAnsi="Times New Roman"/>
          <w:b/>
          <w:bCs/>
          <w:color w:val="000000"/>
          <w:sz w:val="28"/>
          <w:szCs w:val="28"/>
          <w:lang w:val="es-ES"/>
        </w:rPr>
      </w:pPr>
    </w:p>
    <w:p w:rsidR="00C02F4E" w:rsidRPr="006D0761" w:rsidRDefault="006D0761" w:rsidP="00EB501B">
      <w:pPr>
        <w:pStyle w:val="Ttulo2"/>
        <w:numPr>
          <w:ilvl w:val="0"/>
          <w:numId w:val="4"/>
        </w:numPr>
        <w:ind w:left="0" w:firstLine="0"/>
        <w:rPr>
          <w:rFonts w:ascii="Times New Roman" w:hAnsi="Times New Roman"/>
          <w:lang w:val="es-ES"/>
        </w:rPr>
      </w:pPr>
      <w:bookmarkStart w:id="9" w:name="_Toc220572670"/>
      <w:r w:rsidRPr="006D0761">
        <w:rPr>
          <w:rFonts w:ascii="Times New Roman" w:hAnsi="Times New Roman"/>
          <w:lang w:val="es-ES"/>
        </w:rPr>
        <w:t>Competencia</w:t>
      </w:r>
      <w:bookmarkEnd w:id="9"/>
      <w:r w:rsidRPr="006D0761">
        <w:rPr>
          <w:rFonts w:ascii="Times New Roman" w:hAnsi="Times New Roman"/>
          <w:lang w:val="es-ES"/>
        </w:rPr>
        <w:t xml:space="preserve"> </w:t>
      </w:r>
    </w:p>
    <w:p w:rsidR="00031B87" w:rsidRPr="006D0761" w:rsidRDefault="006D0761" w:rsidP="00330CB9">
      <w:pPr>
        <w:pStyle w:val="Prrafodelista"/>
        <w:ind w:left="0"/>
        <w:jc w:val="both"/>
        <w:rPr>
          <w:rFonts w:ascii="Times New Roman" w:hAnsi="Times New Roman"/>
          <w:color w:val="000000"/>
          <w:sz w:val="28"/>
          <w:szCs w:val="28"/>
          <w:lang w:val="es-ES"/>
        </w:rPr>
      </w:pPr>
    </w:p>
    <w:p w:rsidR="00C23581"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La Corte Constitucional es competente para conocer de </w:t>
      </w:r>
      <w:r w:rsidRPr="006D0761">
        <w:rPr>
          <w:rFonts w:ascii="Times New Roman" w:hAnsi="Times New Roman"/>
          <w:color w:val="000000"/>
          <w:sz w:val="28"/>
          <w:szCs w:val="28"/>
          <w:lang w:val="es-ES"/>
        </w:rPr>
        <w:t>una</w:t>
      </w:r>
      <w:r w:rsidRPr="006D0761">
        <w:rPr>
          <w:rFonts w:ascii="Times New Roman" w:hAnsi="Times New Roman"/>
          <w:color w:val="000000"/>
          <w:sz w:val="28"/>
          <w:szCs w:val="28"/>
          <w:lang w:val="es-ES"/>
        </w:rPr>
        <w:t xml:space="preserve"> demanda</w:t>
      </w:r>
      <w:r w:rsidRPr="006D0761">
        <w:rPr>
          <w:rFonts w:ascii="Times New Roman" w:hAnsi="Times New Roman"/>
          <w:color w:val="000000"/>
          <w:sz w:val="28"/>
          <w:szCs w:val="28"/>
          <w:lang w:val="es-ES"/>
        </w:rPr>
        <w:t xml:space="preserve"> contra la Ley 1761 de 2015</w:t>
      </w:r>
      <w:r w:rsidRPr="006D0761">
        <w:rPr>
          <w:rFonts w:ascii="Times New Roman" w:hAnsi="Times New Roman"/>
          <w:color w:val="000000"/>
          <w:sz w:val="28"/>
          <w:szCs w:val="28"/>
          <w:lang w:val="es-ES"/>
        </w:rPr>
        <w:t xml:space="preserve"> según lo dispuesto en el artículo 241</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numeral </w:t>
      </w:r>
      <w:r w:rsidRPr="006D0761">
        <w:rPr>
          <w:rFonts w:ascii="Times New Roman" w:hAnsi="Times New Roman"/>
          <w:color w:val="000000"/>
          <w:sz w:val="28"/>
          <w:szCs w:val="28"/>
          <w:lang w:val="es-ES"/>
        </w:rPr>
        <w:t>4º de la Constitución Política.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p>
    <w:p w:rsidR="00C23581" w:rsidRPr="006D0761" w:rsidRDefault="006D0761" w:rsidP="00330CB9">
      <w:pPr>
        <w:pStyle w:val="Prrafodelista"/>
        <w:ind w:left="0"/>
        <w:jc w:val="both"/>
        <w:rPr>
          <w:rFonts w:ascii="Times New Roman" w:hAnsi="Times New Roman"/>
          <w:color w:val="000000"/>
          <w:sz w:val="28"/>
          <w:szCs w:val="28"/>
          <w:lang w:val="es-ES"/>
        </w:rPr>
      </w:pPr>
    </w:p>
    <w:p w:rsidR="00C23581" w:rsidRPr="006D0761" w:rsidRDefault="006D0761" w:rsidP="00EB501B">
      <w:pPr>
        <w:pStyle w:val="Ttulo2"/>
        <w:numPr>
          <w:ilvl w:val="0"/>
          <w:numId w:val="4"/>
        </w:numPr>
        <w:ind w:left="0" w:firstLine="0"/>
        <w:rPr>
          <w:rFonts w:ascii="Times New Roman" w:hAnsi="Times New Roman"/>
          <w:szCs w:val="28"/>
          <w:lang w:val="es-ES"/>
        </w:rPr>
      </w:pPr>
      <w:bookmarkStart w:id="10" w:name="_Toc220572671"/>
      <w:r w:rsidRPr="006D0761">
        <w:rPr>
          <w:rFonts w:ascii="Times New Roman" w:hAnsi="Times New Roman"/>
          <w:szCs w:val="28"/>
          <w:lang w:val="es-ES"/>
        </w:rPr>
        <w:t>Examen de a</w:t>
      </w:r>
      <w:r w:rsidRPr="006D0761">
        <w:rPr>
          <w:rFonts w:ascii="Times New Roman" w:hAnsi="Times New Roman"/>
          <w:szCs w:val="28"/>
          <w:lang w:val="es-ES"/>
        </w:rPr>
        <w:t>ptitud de la demanda</w:t>
      </w:r>
      <w:bookmarkEnd w:id="10"/>
    </w:p>
    <w:p w:rsidR="00C23581" w:rsidRPr="006D0761" w:rsidRDefault="006D0761" w:rsidP="00330CB9">
      <w:pPr>
        <w:pStyle w:val="Prrafodelista"/>
        <w:ind w:left="0"/>
        <w:jc w:val="both"/>
        <w:rPr>
          <w:rFonts w:ascii="Times New Roman" w:hAnsi="Times New Roman"/>
          <w:color w:val="000000"/>
          <w:sz w:val="28"/>
          <w:szCs w:val="28"/>
          <w:lang w:val="es-ES"/>
        </w:rPr>
      </w:pPr>
    </w:p>
    <w:p w:rsidR="00EE05F8"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w:t>
      </w:r>
      <w:r w:rsidRPr="006D0761">
        <w:rPr>
          <w:rFonts w:ascii="Times New Roman" w:hAnsi="Times New Roman"/>
          <w:sz w:val="28"/>
          <w:szCs w:val="28"/>
          <w:lang w:val="es-ES"/>
        </w:rPr>
        <w:t>E</w:t>
      </w:r>
      <w:r w:rsidRPr="006D0761">
        <w:rPr>
          <w:rFonts w:ascii="Times New Roman" w:hAnsi="Times New Roman"/>
          <w:sz w:val="28"/>
          <w:szCs w:val="28"/>
          <w:lang w:val="es-ES"/>
        </w:rPr>
        <w:t>n principio, e</w:t>
      </w:r>
      <w:r w:rsidRPr="006D0761">
        <w:rPr>
          <w:rFonts w:ascii="Times New Roman" w:hAnsi="Times New Roman"/>
          <w:sz w:val="28"/>
          <w:szCs w:val="28"/>
          <w:lang w:val="es-ES"/>
        </w:rPr>
        <w:t xml:space="preserve">l </w:t>
      </w:r>
      <w:r w:rsidRPr="006D0761">
        <w:rPr>
          <w:rFonts w:ascii="Times New Roman" w:hAnsi="Times New Roman"/>
          <w:sz w:val="28"/>
          <w:szCs w:val="28"/>
          <w:lang w:val="es-ES"/>
        </w:rPr>
        <w:t xml:space="preserve">examen sobre la </w:t>
      </w:r>
      <w:r w:rsidRPr="006D0761">
        <w:rPr>
          <w:rFonts w:ascii="Times New Roman" w:hAnsi="Times New Roman"/>
          <w:sz w:val="28"/>
          <w:szCs w:val="28"/>
          <w:lang w:val="es-ES"/>
        </w:rPr>
        <w:t>aptitud de la demanda debe realizarse en la etapa de admisibilidad</w:t>
      </w:r>
      <w:r w:rsidRPr="006D0761">
        <w:rPr>
          <w:rFonts w:ascii="Times New Roman" w:hAnsi="Times New Roman"/>
          <w:sz w:val="28"/>
          <w:szCs w:val="28"/>
          <w:lang w:val="es-ES"/>
        </w:rPr>
        <w:t>.</w:t>
      </w:r>
      <w:r w:rsidRPr="006D0761">
        <w:rPr>
          <w:rFonts w:ascii="Times New Roman" w:hAnsi="Times New Roman"/>
          <w:sz w:val="28"/>
          <w:szCs w:val="28"/>
          <w:lang w:val="es-ES"/>
        </w:rPr>
        <w:t xml:space="preserve"> Sin embargo, </w:t>
      </w:r>
      <w:r w:rsidRPr="006D0761">
        <w:rPr>
          <w:rFonts w:ascii="Times New Roman" w:hAnsi="Times New Roman"/>
          <w:sz w:val="28"/>
          <w:szCs w:val="28"/>
          <w:lang w:val="es-ES"/>
        </w:rPr>
        <w:t>ello no es obstáculo para que</w:t>
      </w:r>
      <w:r w:rsidRPr="006D0761">
        <w:rPr>
          <w:rFonts w:ascii="Times New Roman" w:hAnsi="Times New Roman"/>
          <w:sz w:val="28"/>
          <w:szCs w:val="28"/>
          <w:lang w:val="es-ES"/>
        </w:rPr>
        <w:t>, en</w:t>
      </w:r>
      <w:r w:rsidRPr="006D0761">
        <w:rPr>
          <w:rFonts w:ascii="Times New Roman" w:hAnsi="Times New Roman"/>
          <w:sz w:val="28"/>
          <w:szCs w:val="28"/>
          <w:lang w:val="es-ES"/>
        </w:rPr>
        <w:t xml:space="preserve"> </w:t>
      </w:r>
      <w:r w:rsidRPr="006D0761">
        <w:rPr>
          <w:rFonts w:ascii="Times New Roman" w:hAnsi="Times New Roman"/>
          <w:sz w:val="28"/>
          <w:szCs w:val="28"/>
          <w:lang w:val="es-ES"/>
        </w:rPr>
        <w:t xml:space="preserve">el </w:t>
      </w:r>
      <w:r w:rsidRPr="006D0761">
        <w:rPr>
          <w:rFonts w:ascii="Times New Roman" w:hAnsi="Times New Roman"/>
          <w:sz w:val="28"/>
          <w:szCs w:val="28"/>
          <w:lang w:val="es-ES"/>
        </w:rPr>
        <w:t xml:space="preserve">caso de que el </w:t>
      </w:r>
      <w:r w:rsidRPr="006D0761">
        <w:rPr>
          <w:rFonts w:ascii="Times New Roman" w:hAnsi="Times New Roman"/>
          <w:sz w:val="28"/>
          <w:szCs w:val="28"/>
          <w:lang w:val="es-ES"/>
        </w:rPr>
        <w:t xml:space="preserve">incumplimiento de los requisitos formales y materiales de la acusación no se </w:t>
      </w:r>
      <w:r w:rsidRPr="006D0761">
        <w:rPr>
          <w:rFonts w:ascii="Times New Roman" w:hAnsi="Times New Roman"/>
          <w:sz w:val="28"/>
          <w:szCs w:val="28"/>
          <w:lang w:val="es-ES"/>
        </w:rPr>
        <w:t xml:space="preserve">haya </w:t>
      </w:r>
      <w:r w:rsidRPr="006D0761">
        <w:rPr>
          <w:rFonts w:ascii="Times New Roman" w:hAnsi="Times New Roman"/>
          <w:sz w:val="28"/>
          <w:szCs w:val="28"/>
          <w:lang w:val="es-ES"/>
        </w:rPr>
        <w:t>adv</w:t>
      </w:r>
      <w:r w:rsidRPr="006D0761">
        <w:rPr>
          <w:rFonts w:ascii="Times New Roman" w:hAnsi="Times New Roman"/>
          <w:sz w:val="28"/>
          <w:szCs w:val="28"/>
          <w:lang w:val="es-ES"/>
        </w:rPr>
        <w:t xml:space="preserve">ertido o de las </w:t>
      </w:r>
      <w:r w:rsidRPr="006D0761">
        <w:rPr>
          <w:rFonts w:ascii="Times New Roman" w:hAnsi="Times New Roman"/>
          <w:sz w:val="28"/>
          <w:szCs w:val="28"/>
          <w:lang w:val="es-ES"/>
        </w:rPr>
        <w:t>dudas</w:t>
      </w:r>
      <w:r w:rsidRPr="006D0761">
        <w:rPr>
          <w:rFonts w:ascii="Times New Roman" w:hAnsi="Times New Roman"/>
          <w:sz w:val="28"/>
          <w:szCs w:val="28"/>
          <w:lang w:val="es-ES"/>
        </w:rPr>
        <w:t xml:space="preserve"> sobre ellos se haya preferido dar curso a la demanda para n</w:t>
      </w:r>
      <w:r w:rsidRPr="006D0761">
        <w:rPr>
          <w:rFonts w:ascii="Times New Roman" w:hAnsi="Times New Roman"/>
          <w:sz w:val="28"/>
          <w:szCs w:val="28"/>
          <w:lang w:val="es-ES"/>
        </w:rPr>
        <w:t xml:space="preserve">o incurrir en un eventual exceso formal, </w:t>
      </w:r>
      <w:r w:rsidRPr="006D0761">
        <w:rPr>
          <w:rFonts w:ascii="Times New Roman" w:hAnsi="Times New Roman"/>
          <w:sz w:val="28"/>
          <w:szCs w:val="28"/>
          <w:lang w:val="es-ES"/>
        </w:rPr>
        <w:t>en la etapa procesal siguiente la Sala Plena pueda volver a revisarlo. E</w:t>
      </w:r>
      <w:r w:rsidRPr="006D0761">
        <w:rPr>
          <w:rFonts w:ascii="Times New Roman" w:hAnsi="Times New Roman"/>
          <w:sz w:val="28"/>
          <w:szCs w:val="28"/>
          <w:lang w:val="es-ES"/>
        </w:rPr>
        <w:t>l ordenamiento jurídico permite que este tipo de decisiones se adopten en la senten</w:t>
      </w:r>
      <w:r w:rsidRPr="006D0761">
        <w:rPr>
          <w:rFonts w:ascii="Times New Roman" w:hAnsi="Times New Roman"/>
          <w:sz w:val="28"/>
          <w:szCs w:val="28"/>
          <w:lang w:val="es-ES"/>
        </w:rPr>
        <w:t>cia</w:t>
      </w:r>
      <w:r w:rsidRPr="006D0761">
        <w:rPr>
          <w:rStyle w:val="Refdenotaalpie"/>
          <w:rFonts w:ascii="Times New Roman" w:hAnsi="Times New Roman"/>
          <w:sz w:val="28"/>
          <w:szCs w:val="28"/>
          <w:lang w:val="es-ES"/>
        </w:rPr>
        <w:footnoteReference w:id="23"/>
      </w:r>
      <w:r w:rsidRPr="006D0761">
        <w:rPr>
          <w:rFonts w:ascii="Times New Roman" w:hAnsi="Times New Roman"/>
          <w:sz w:val="28"/>
          <w:szCs w:val="28"/>
          <w:lang w:val="es-ES"/>
        </w:rPr>
        <w:t xml:space="preserve">. </w:t>
      </w:r>
    </w:p>
    <w:p w:rsidR="00EE05F8" w:rsidRPr="006D0761" w:rsidRDefault="006D0761" w:rsidP="00EB501B">
      <w:pPr>
        <w:pStyle w:val="Prrafodelista"/>
        <w:ind w:left="0"/>
        <w:jc w:val="both"/>
        <w:rPr>
          <w:rFonts w:ascii="Times New Roman" w:hAnsi="Times New Roman"/>
          <w:color w:val="000000"/>
          <w:sz w:val="28"/>
          <w:szCs w:val="28"/>
          <w:lang w:val="es-ES"/>
        </w:rPr>
      </w:pPr>
    </w:p>
    <w:p w:rsidR="00330CB9"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sz w:val="28"/>
          <w:szCs w:val="28"/>
          <w:lang w:val="es-ES"/>
        </w:rPr>
        <w:t xml:space="preserve">Al respecto, la </w:t>
      </w:r>
      <w:r w:rsidRPr="006D0761">
        <w:rPr>
          <w:rFonts w:ascii="Times New Roman" w:hAnsi="Times New Roman"/>
          <w:sz w:val="28"/>
          <w:szCs w:val="28"/>
          <w:lang w:val="es-ES"/>
        </w:rPr>
        <w:t>jurisprudencia de la Corte  ha manifestado que la decisión del ponente sobre la admisión no compromete la evaluación que, en términos de autonomía, puede realizar la Sala Plena sobre la aptitud sustancial de la demanda, ya que, a pa</w:t>
      </w:r>
      <w:r w:rsidRPr="006D0761">
        <w:rPr>
          <w:rFonts w:ascii="Times New Roman" w:hAnsi="Times New Roman"/>
          <w:sz w:val="28"/>
          <w:szCs w:val="28"/>
          <w:lang w:val="es-ES"/>
        </w:rPr>
        <w:t>rtir del desarrollo del proceso, esta autoridad tiene la posibilidad de efectuar un análisis con mayor rigor, detenimiento y profundidad sobre la acusación formulada sobre la base de las distintas intervenciones y de los conceptos que se incorporan al expe</w:t>
      </w:r>
      <w:r w:rsidRPr="006D0761">
        <w:rPr>
          <w:rFonts w:ascii="Times New Roman" w:hAnsi="Times New Roman"/>
          <w:sz w:val="28"/>
          <w:szCs w:val="28"/>
          <w:lang w:val="es-ES"/>
        </w:rPr>
        <w:t>diente</w:t>
      </w:r>
      <w:r w:rsidRPr="006D0761">
        <w:rPr>
          <w:rStyle w:val="Refdenotaalpie"/>
          <w:rFonts w:ascii="Times New Roman" w:hAnsi="Times New Roman"/>
          <w:sz w:val="28"/>
          <w:szCs w:val="28"/>
          <w:lang w:val="es-ES"/>
        </w:rPr>
        <w:footnoteReference w:id="24"/>
      </w:r>
      <w:r w:rsidRPr="006D0761">
        <w:rPr>
          <w:rFonts w:ascii="Times New Roman" w:hAnsi="Times New Roman"/>
          <w:sz w:val="28"/>
          <w:szCs w:val="28"/>
          <w:lang w:val="es-ES"/>
        </w:rPr>
        <w:t>.</w:t>
      </w:r>
    </w:p>
    <w:p w:rsidR="00330CB9" w:rsidRPr="006D0761" w:rsidRDefault="006D0761" w:rsidP="00EB501B">
      <w:pPr>
        <w:jc w:val="both"/>
        <w:rPr>
          <w:rStyle w:val="Refdenotaalpie"/>
          <w:rFonts w:ascii="Times New Roman" w:hAnsi="Times New Roman"/>
          <w:sz w:val="28"/>
          <w:szCs w:val="28"/>
          <w:lang w:val="es-ES"/>
        </w:rPr>
      </w:pPr>
    </w:p>
    <w:p w:rsidR="00EE05F8" w:rsidRPr="006D0761" w:rsidRDefault="006D0761" w:rsidP="00EB501B">
      <w:pPr>
        <w:pStyle w:val="Prrafodelista"/>
        <w:numPr>
          <w:ilvl w:val="0"/>
          <w:numId w:val="3"/>
        </w:numPr>
        <w:ind w:left="0" w:firstLine="0"/>
        <w:jc w:val="both"/>
        <w:rPr>
          <w:rFonts w:ascii="Times New Roman" w:hAnsi="Times New Roman"/>
          <w:sz w:val="28"/>
        </w:rPr>
      </w:pPr>
      <w:r w:rsidRPr="006D0761">
        <w:rPr>
          <w:rFonts w:ascii="Times New Roman" w:hAnsi="Times New Roman"/>
          <w:color w:val="000000"/>
          <w:sz w:val="28"/>
          <w:szCs w:val="28"/>
          <w:lang w:val="es-ES"/>
        </w:rPr>
        <w:t>En el asunto bajo estudio, s</w:t>
      </w:r>
      <w:r w:rsidRPr="006D0761">
        <w:rPr>
          <w:rFonts w:ascii="Times New Roman" w:hAnsi="Times New Roman"/>
          <w:color w:val="000000"/>
          <w:sz w:val="28"/>
          <w:szCs w:val="28"/>
          <w:lang w:val="es-ES"/>
        </w:rPr>
        <w:t xml:space="preserve">i bien en el </w:t>
      </w:r>
      <w:r w:rsidRPr="006D0761">
        <w:rPr>
          <w:rFonts w:ascii="Times New Roman" w:hAnsi="Times New Roman"/>
          <w:color w:val="000000"/>
          <w:sz w:val="28"/>
          <w:szCs w:val="28"/>
          <w:lang w:val="es-ES"/>
        </w:rPr>
        <w:t>a</w:t>
      </w:r>
      <w:r w:rsidRPr="006D0761">
        <w:rPr>
          <w:rFonts w:ascii="Times New Roman" w:hAnsi="Times New Roman"/>
          <w:color w:val="000000"/>
          <w:sz w:val="28"/>
          <w:szCs w:val="28"/>
          <w:lang w:val="es-ES"/>
        </w:rPr>
        <w:t>uto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por el cual se admitió la demanda la </w:t>
      </w:r>
      <w:r w:rsidRPr="006D0761">
        <w:rPr>
          <w:rFonts w:ascii="Times New Roman" w:hAnsi="Times New Roman"/>
          <w:color w:val="000000"/>
          <w:sz w:val="28"/>
          <w:szCs w:val="28"/>
          <w:lang w:val="es-ES"/>
        </w:rPr>
        <w:t xml:space="preserve">entonces </w:t>
      </w:r>
      <w:r w:rsidRPr="006D0761">
        <w:rPr>
          <w:rFonts w:ascii="Times New Roman" w:hAnsi="Times New Roman"/>
          <w:color w:val="000000"/>
          <w:sz w:val="28"/>
          <w:szCs w:val="28"/>
          <w:lang w:val="es-ES"/>
        </w:rPr>
        <w:t xml:space="preserve">Magistrada Sustanciadora consideró que la misma cumplía con </w:t>
      </w:r>
      <w:bookmarkStart w:id="12" w:name="_Hlk213663665"/>
      <w:r w:rsidRPr="006D0761">
        <w:rPr>
          <w:rFonts w:ascii="Times New Roman" w:hAnsi="Times New Roman"/>
          <w:color w:val="000000"/>
          <w:sz w:val="28"/>
          <w:szCs w:val="28"/>
          <w:lang w:val="es-ES"/>
        </w:rPr>
        <w:t xml:space="preserve">los requisitos formales y sustantivos </w:t>
      </w:r>
      <w:bookmarkEnd w:id="12"/>
      <w:r w:rsidRPr="006D0761">
        <w:rPr>
          <w:rFonts w:ascii="Times New Roman" w:hAnsi="Times New Roman"/>
          <w:color w:val="000000"/>
          <w:sz w:val="28"/>
          <w:szCs w:val="28"/>
          <w:lang w:val="es-ES"/>
        </w:rPr>
        <w:t xml:space="preserve">para dar lugar al examen de constitucionalidad de la norma impugnada, ello no es óbice para </w:t>
      </w:r>
      <w:r w:rsidRPr="006D0761">
        <w:rPr>
          <w:rFonts w:ascii="Times New Roman" w:hAnsi="Times New Roman"/>
          <w:color w:val="000000"/>
          <w:sz w:val="28"/>
          <w:szCs w:val="28"/>
          <w:lang w:val="es-ES"/>
        </w:rPr>
        <w:t>que,</w:t>
      </w:r>
      <w:r w:rsidRPr="006D0761">
        <w:rPr>
          <w:rFonts w:ascii="Times New Roman" w:hAnsi="Times New Roman"/>
          <w:color w:val="000000"/>
          <w:sz w:val="28"/>
          <w:szCs w:val="28"/>
          <w:lang w:val="es-ES"/>
        </w:rPr>
        <w:t xml:space="preserve"> en esta nueva oportunidad, la Sala Plena de la Corporación proceda a examinar la aptitud de la demanda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n particular</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cuando</w:t>
      </w:r>
      <w:r w:rsidRPr="006D0761">
        <w:rPr>
          <w:rFonts w:ascii="Times New Roman" w:hAnsi="Times New Roman"/>
          <w:color w:val="000000"/>
          <w:sz w:val="28"/>
          <w:szCs w:val="28"/>
          <w:lang w:val="es-ES"/>
        </w:rPr>
        <w:t xml:space="preserve"> dentro de los</w:t>
      </w:r>
      <w:r w:rsidRPr="006D0761">
        <w:rPr>
          <w:rFonts w:ascii="Times New Roman" w:hAnsi="Times New Roman"/>
          <w:color w:val="000000"/>
          <w:sz w:val="28"/>
          <w:szCs w:val="28"/>
          <w:lang w:val="es-ES"/>
        </w:rPr>
        <w:t xml:space="preserve"> intervinientes</w:t>
      </w:r>
      <w:r w:rsidRPr="006D0761">
        <w:rPr>
          <w:rFonts w:ascii="Times New Roman" w:hAnsi="Times New Roman"/>
          <w:color w:val="000000"/>
          <w:sz w:val="28"/>
          <w:szCs w:val="28"/>
          <w:lang w:val="es-ES"/>
        </w:rPr>
        <w:t>, alg</w:t>
      </w:r>
      <w:r w:rsidRPr="006D0761">
        <w:rPr>
          <w:rFonts w:ascii="Times New Roman" w:hAnsi="Times New Roman"/>
          <w:color w:val="000000"/>
          <w:sz w:val="28"/>
          <w:szCs w:val="28"/>
          <w:lang w:val="es-ES"/>
        </w:rPr>
        <w:t>unos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manifestaron</w:t>
      </w:r>
      <w:r w:rsidRPr="006D0761">
        <w:rPr>
          <w:rFonts w:ascii="Times New Roman" w:hAnsi="Times New Roman"/>
          <w:color w:val="000000"/>
          <w:sz w:val="28"/>
          <w:szCs w:val="28"/>
          <w:lang w:val="es-ES"/>
        </w:rPr>
        <w:t xml:space="preserve"> dudas al respecto</w:t>
      </w:r>
      <w:r w:rsidRPr="006D0761">
        <w:rPr>
          <w:rFonts w:ascii="Times New Roman" w:hAnsi="Times New Roman"/>
          <w:sz w:val="28"/>
          <w:vertAlign w:val="superscript"/>
        </w:rPr>
        <w:footnoteReference w:id="25"/>
      </w:r>
      <w:r w:rsidRPr="006D0761">
        <w:rPr>
          <w:rFonts w:ascii="Times New Roman" w:hAnsi="Times New Roman"/>
          <w:color w:val="000000"/>
          <w:sz w:val="28"/>
          <w:szCs w:val="28"/>
          <w:lang w:val="es-ES"/>
        </w:rPr>
        <w:t>.</w:t>
      </w:r>
    </w:p>
    <w:p w:rsidR="00C23581" w:rsidRPr="006D0761" w:rsidRDefault="006D0761" w:rsidP="00330CB9">
      <w:pPr>
        <w:pStyle w:val="Prrafodelista"/>
        <w:ind w:left="0"/>
        <w:jc w:val="both"/>
        <w:rPr>
          <w:rFonts w:ascii="Times New Roman" w:hAnsi="Times New Roman"/>
          <w:color w:val="000000"/>
          <w:sz w:val="28"/>
          <w:szCs w:val="28"/>
          <w:lang w:val="es-ES"/>
        </w:rPr>
      </w:pPr>
    </w:p>
    <w:p w:rsidR="00A410D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La Universidad de Caldas </w:t>
      </w:r>
      <w:r w:rsidRPr="006D0761">
        <w:rPr>
          <w:rFonts w:ascii="Times New Roman" w:hAnsi="Times New Roman"/>
          <w:color w:val="000000"/>
          <w:sz w:val="28"/>
          <w:szCs w:val="28"/>
          <w:lang w:val="es-ES"/>
        </w:rPr>
        <w:t xml:space="preserve">sostuvo </w:t>
      </w:r>
      <w:r w:rsidRPr="006D0761">
        <w:rPr>
          <w:rFonts w:ascii="Times New Roman" w:hAnsi="Times New Roman"/>
          <w:color w:val="000000"/>
          <w:sz w:val="28"/>
          <w:szCs w:val="28"/>
          <w:lang w:val="es-ES"/>
        </w:rPr>
        <w:t xml:space="preserve">que la demanda carece de aptitud en sus cargos por cuanto no tuvo en cuenta ni debatió los argumentos sobre la constitucionalidad de la norma impugnada que la Corte Constitucional ya </w:t>
      </w:r>
      <w:r w:rsidRPr="006D0761">
        <w:rPr>
          <w:rFonts w:ascii="Times New Roman" w:hAnsi="Times New Roman"/>
          <w:color w:val="000000"/>
          <w:sz w:val="28"/>
          <w:szCs w:val="28"/>
          <w:lang w:val="es-ES"/>
        </w:rPr>
        <w:t>había expuesto en</w:t>
      </w:r>
      <w:r w:rsidRPr="006D0761">
        <w:rPr>
          <w:rFonts w:ascii="Times New Roman" w:hAnsi="Times New Roman"/>
          <w:color w:val="000000"/>
          <w:sz w:val="28"/>
          <w:szCs w:val="28"/>
          <w:lang w:val="es-ES"/>
        </w:rPr>
        <w:t xml:space="preserve"> la sentencia C-297 de 2016</w:t>
      </w:r>
      <w:r w:rsidRPr="006D0761">
        <w:rPr>
          <w:rStyle w:val="Refdenotaalpie"/>
          <w:rFonts w:ascii="Times New Roman" w:hAnsi="Times New Roman"/>
          <w:color w:val="000000"/>
          <w:sz w:val="28"/>
          <w:szCs w:val="28"/>
          <w:lang w:val="es-ES"/>
        </w:rPr>
        <w:footnoteReference w:id="26"/>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Adicionalmente, </w:t>
      </w:r>
      <w:r w:rsidRPr="006D0761">
        <w:rPr>
          <w:rFonts w:ascii="Times New Roman" w:hAnsi="Times New Roman"/>
          <w:color w:val="000000"/>
          <w:sz w:val="28"/>
          <w:szCs w:val="28"/>
          <w:lang w:val="es-ES"/>
        </w:rPr>
        <w:t xml:space="preserve">señaló </w:t>
      </w:r>
      <w:r w:rsidRPr="006D0761">
        <w:rPr>
          <w:rFonts w:ascii="Times New Roman" w:hAnsi="Times New Roman"/>
          <w:color w:val="000000"/>
          <w:sz w:val="28"/>
          <w:szCs w:val="28"/>
          <w:lang w:val="es-ES"/>
        </w:rPr>
        <w:t xml:space="preserve">que la demanda desconoció lo dispuesto en el </w:t>
      </w:r>
      <w:r w:rsidRPr="006D0761">
        <w:rPr>
          <w:rFonts w:ascii="Times New Roman" w:hAnsi="Times New Roman"/>
          <w:color w:val="000000"/>
          <w:sz w:val="28"/>
          <w:szCs w:val="28"/>
          <w:lang w:val="es-ES"/>
        </w:rPr>
        <w:t>b</w:t>
      </w:r>
      <w:r w:rsidRPr="006D0761">
        <w:rPr>
          <w:rFonts w:ascii="Times New Roman" w:hAnsi="Times New Roman"/>
          <w:color w:val="000000"/>
          <w:sz w:val="28"/>
          <w:szCs w:val="28"/>
          <w:lang w:val="es-ES"/>
        </w:rPr>
        <w:t xml:space="preserve">loque de </w:t>
      </w:r>
      <w:r w:rsidRPr="006D0761">
        <w:rPr>
          <w:rFonts w:ascii="Times New Roman" w:hAnsi="Times New Roman"/>
          <w:color w:val="000000"/>
          <w:sz w:val="28"/>
          <w:szCs w:val="28"/>
          <w:lang w:val="es-ES"/>
        </w:rPr>
        <w:t>c</w:t>
      </w:r>
      <w:r w:rsidRPr="006D0761">
        <w:rPr>
          <w:rFonts w:ascii="Times New Roman" w:hAnsi="Times New Roman"/>
          <w:color w:val="000000"/>
          <w:sz w:val="28"/>
          <w:szCs w:val="28"/>
          <w:lang w:val="es-ES"/>
        </w:rPr>
        <w:t xml:space="preserve">onstitucionalidad que exige al Estado adoptar una perspectiva de género en prevención, investigación y sanción de la violencia en </w:t>
      </w:r>
      <w:r w:rsidRPr="006D0761">
        <w:rPr>
          <w:rFonts w:ascii="Times New Roman" w:hAnsi="Times New Roman"/>
          <w:color w:val="000000"/>
          <w:sz w:val="28"/>
          <w:szCs w:val="28"/>
          <w:lang w:val="es-ES"/>
        </w:rPr>
        <w:t xml:space="preserve">contra de las mujeres, así como la obligación de tomar medidas estructurales frente a la discriminación de género institucionalizada. </w:t>
      </w:r>
    </w:p>
    <w:p w:rsidR="00A410DB" w:rsidRPr="006D0761" w:rsidRDefault="006D0761" w:rsidP="00330CB9">
      <w:pPr>
        <w:pStyle w:val="Prrafodelista"/>
        <w:ind w:left="0"/>
        <w:jc w:val="both"/>
        <w:rPr>
          <w:rFonts w:ascii="Times New Roman" w:hAnsi="Times New Roman"/>
          <w:color w:val="000000"/>
          <w:sz w:val="28"/>
          <w:szCs w:val="28"/>
          <w:lang w:val="es-ES"/>
        </w:rPr>
      </w:pPr>
    </w:p>
    <w:p w:rsidR="000A5BB8"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Por su parte</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el</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ICBF</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solicitó a la Corte la inhibición por considerar que la demanda no cumple los requisitos para su examen. Señaló que el contenido argumentativo de la demanda no satisface el requisito de certeza, por cuanto la supuesta oposición con la Carta Política se sus</w:t>
      </w:r>
      <w:r w:rsidRPr="006D0761">
        <w:rPr>
          <w:rFonts w:ascii="Times New Roman" w:hAnsi="Times New Roman"/>
          <w:color w:val="000000"/>
          <w:sz w:val="28"/>
          <w:szCs w:val="28"/>
          <w:lang w:val="es-ES"/>
        </w:rPr>
        <w:t xml:space="preserve">tenta en su apreciación subjetiva sobre la igualdad, que resulta contraria a los parámetros jurisprudenciales sobre la aplicación de este principio. </w:t>
      </w:r>
      <w:r w:rsidRPr="006D0761">
        <w:rPr>
          <w:rFonts w:ascii="Times New Roman" w:hAnsi="Times New Roman"/>
          <w:color w:val="000000"/>
          <w:sz w:val="28"/>
          <w:szCs w:val="28"/>
          <w:lang w:val="es-ES"/>
        </w:rPr>
        <w:t>I</w:t>
      </w:r>
      <w:r w:rsidRPr="006D0761">
        <w:rPr>
          <w:rFonts w:ascii="Times New Roman" w:hAnsi="Times New Roman"/>
          <w:color w:val="000000"/>
          <w:sz w:val="28"/>
          <w:szCs w:val="28"/>
          <w:lang w:val="es-ES"/>
        </w:rPr>
        <w:t xml:space="preserve">ndicó que </w:t>
      </w:r>
      <w:r w:rsidRPr="006D0761">
        <w:rPr>
          <w:rFonts w:ascii="Times New Roman" w:hAnsi="Times New Roman"/>
          <w:color w:val="000000"/>
          <w:sz w:val="28"/>
          <w:szCs w:val="28"/>
          <w:lang w:val="es-ES"/>
        </w:rPr>
        <w:t>tampoco cumpliría con el requisito de especificidad pues no precisa que los componentes de la no</w:t>
      </w:r>
      <w:r w:rsidRPr="006D0761">
        <w:rPr>
          <w:rFonts w:ascii="Times New Roman" w:hAnsi="Times New Roman"/>
          <w:color w:val="000000"/>
          <w:sz w:val="28"/>
          <w:szCs w:val="28"/>
          <w:lang w:val="es-ES"/>
        </w:rPr>
        <w:t>rma demandada que involucran la transgresión de garantías constitucionales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Además, que </w:t>
      </w:r>
      <w:r w:rsidRPr="006D0761">
        <w:rPr>
          <w:rFonts w:ascii="Times New Roman" w:hAnsi="Times New Roman"/>
          <w:color w:val="000000"/>
          <w:sz w:val="28"/>
          <w:szCs w:val="28"/>
          <w:lang w:val="es-ES"/>
        </w:rPr>
        <w:t xml:space="preserve">los cargos tampoco son pertinentes, puesto que se sustentan en apreciaciones académicas que no tienen cabida en el control de constitucionalidad. </w:t>
      </w:r>
      <w:r w:rsidRPr="006D0761">
        <w:rPr>
          <w:rFonts w:ascii="Times New Roman" w:hAnsi="Times New Roman"/>
          <w:color w:val="000000"/>
          <w:sz w:val="28"/>
          <w:szCs w:val="28"/>
          <w:lang w:val="es-ES"/>
        </w:rPr>
        <w:t>Adicionalmente, señaló</w:t>
      </w:r>
      <w:r w:rsidRPr="006D0761">
        <w:rPr>
          <w:rFonts w:ascii="Times New Roman" w:hAnsi="Times New Roman"/>
          <w:color w:val="000000"/>
          <w:sz w:val="28"/>
          <w:szCs w:val="28"/>
          <w:lang w:val="es-ES"/>
        </w:rPr>
        <w:t xml:space="preserve"> que el alegato de un juicio de igualdad no cumple con los parámetros exigidos para este examen según lo indicado por la Corte en la sentencia </w:t>
      </w:r>
      <w:bookmarkStart w:id="13" w:name="_Hlk213664233"/>
      <w:r w:rsidRPr="006D0761">
        <w:rPr>
          <w:rFonts w:ascii="Times New Roman" w:hAnsi="Times New Roman"/>
          <w:color w:val="000000"/>
          <w:sz w:val="28"/>
          <w:szCs w:val="28"/>
          <w:lang w:val="es-ES"/>
        </w:rPr>
        <w:t>C-586 de 2016</w:t>
      </w:r>
      <w:bookmarkEnd w:id="13"/>
      <w:r w:rsidRPr="006D0761">
        <w:rPr>
          <w:rFonts w:ascii="Times New Roman" w:hAnsi="Times New Roman"/>
          <w:color w:val="000000"/>
          <w:sz w:val="28"/>
          <w:szCs w:val="28"/>
          <w:lang w:val="es-ES"/>
        </w:rPr>
        <w:t xml:space="preserve">. </w:t>
      </w:r>
    </w:p>
    <w:p w:rsidR="000A5BB8" w:rsidRPr="006D0761" w:rsidRDefault="006D0761" w:rsidP="00EB501B">
      <w:pPr>
        <w:pStyle w:val="Prrafodelista"/>
        <w:ind w:left="0"/>
        <w:rPr>
          <w:rFonts w:ascii="Times New Roman" w:hAnsi="Times New Roman"/>
          <w:color w:val="000000"/>
          <w:sz w:val="28"/>
          <w:szCs w:val="28"/>
          <w:lang w:val="es-ES"/>
        </w:rPr>
      </w:pPr>
    </w:p>
    <w:p w:rsidR="004656B5"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Al revisar el escrito de d</w:t>
      </w:r>
      <w:r w:rsidRPr="006D0761">
        <w:rPr>
          <w:rFonts w:ascii="Times New Roman" w:hAnsi="Times New Roman"/>
          <w:color w:val="000000"/>
          <w:sz w:val="28"/>
          <w:szCs w:val="28"/>
          <w:lang w:val="es-ES"/>
        </w:rPr>
        <w:t>emanda</w:t>
      </w:r>
      <w:r w:rsidRPr="006D0761">
        <w:rPr>
          <w:rStyle w:val="Refdenotaalpie"/>
          <w:rFonts w:ascii="Times New Roman" w:hAnsi="Times New Roman"/>
          <w:color w:val="000000"/>
          <w:sz w:val="28"/>
          <w:szCs w:val="28"/>
          <w:lang w:val="es-ES"/>
        </w:rPr>
        <w:footnoteReference w:id="27"/>
      </w:r>
      <w:r w:rsidRPr="006D0761">
        <w:rPr>
          <w:rFonts w:ascii="Times New Roman" w:hAnsi="Times New Roman"/>
          <w:color w:val="000000"/>
          <w:sz w:val="28"/>
          <w:szCs w:val="28"/>
          <w:lang w:val="es-ES"/>
        </w:rPr>
        <w:t>, se encuentra que</w:t>
      </w:r>
      <w:r w:rsidRPr="006D0761">
        <w:rPr>
          <w:rFonts w:ascii="Times New Roman" w:hAnsi="Times New Roman"/>
          <w:color w:val="000000"/>
          <w:sz w:val="28"/>
          <w:szCs w:val="28"/>
          <w:lang w:val="es-ES"/>
        </w:rPr>
        <w:t xml:space="preserve"> está estructurada a partir de un “contexto fáctico” en el que el accionante hace un recuento de hechos y reflexiones críticas sobre la evolución de la normatividad que da lugar a la norma demandada. Luego de ello, adelanta “cuestionamientos legales a la n</w:t>
      </w:r>
      <w:r w:rsidRPr="006D0761">
        <w:rPr>
          <w:rFonts w:ascii="Times New Roman" w:hAnsi="Times New Roman"/>
          <w:color w:val="000000"/>
          <w:sz w:val="28"/>
          <w:szCs w:val="28"/>
          <w:lang w:val="es-ES"/>
        </w:rPr>
        <w:t>orma demandada” en donde puntualiza los alegatos para sustentar su</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 cargo</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 Allí presenta 11 cuestionamientos, de los cuales </w:t>
      </w:r>
      <w:r w:rsidRPr="006D0761">
        <w:rPr>
          <w:rFonts w:ascii="Times New Roman" w:hAnsi="Times New Roman"/>
          <w:color w:val="000000"/>
          <w:sz w:val="28"/>
          <w:szCs w:val="28"/>
          <w:lang w:val="es-ES"/>
        </w:rPr>
        <w:t>cinco (</w:t>
      </w:r>
      <w:r w:rsidRPr="006D0761">
        <w:rPr>
          <w:rFonts w:ascii="Times New Roman" w:hAnsi="Times New Roman"/>
          <w:color w:val="000000"/>
          <w:sz w:val="28"/>
          <w:szCs w:val="28"/>
          <w:lang w:val="es-ES"/>
        </w:rPr>
        <w:t>5</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sustentan el cargo</w:t>
      </w:r>
      <w:r w:rsidRPr="006D0761">
        <w:rPr>
          <w:rFonts w:ascii="Times New Roman" w:hAnsi="Times New Roman"/>
          <w:color w:val="000000"/>
          <w:sz w:val="28"/>
          <w:szCs w:val="28"/>
          <w:lang w:val="es-ES"/>
        </w:rPr>
        <w:t xml:space="preserve"> de igualdad</w:t>
      </w:r>
      <w:r w:rsidRPr="006D0761">
        <w:rPr>
          <w:rFonts w:ascii="Times New Roman" w:hAnsi="Times New Roman"/>
          <w:color w:val="000000"/>
          <w:sz w:val="28"/>
          <w:szCs w:val="28"/>
          <w:lang w:val="es-ES"/>
        </w:rPr>
        <w:t xml:space="preserve"> contra la totalidad de la ley y otros seis (6) se dirigen puntualmente contra los artículo</w:t>
      </w:r>
      <w:r w:rsidRPr="006D0761">
        <w:rPr>
          <w:rFonts w:ascii="Times New Roman" w:hAnsi="Times New Roman"/>
          <w:color w:val="000000"/>
          <w:sz w:val="28"/>
          <w:szCs w:val="28"/>
          <w:lang w:val="es-ES"/>
        </w:rPr>
        <w:t xml:space="preserve">s 8 a 13.   </w:t>
      </w:r>
    </w:p>
    <w:p w:rsidR="004656B5" w:rsidRPr="006D0761" w:rsidRDefault="006D0761" w:rsidP="00EB501B">
      <w:pPr>
        <w:pStyle w:val="Prrafodelista"/>
        <w:ind w:left="0"/>
        <w:rPr>
          <w:rFonts w:ascii="Times New Roman" w:hAnsi="Times New Roman"/>
          <w:color w:val="000000"/>
          <w:sz w:val="28"/>
          <w:szCs w:val="28"/>
          <w:lang w:val="es-ES"/>
        </w:rPr>
      </w:pPr>
    </w:p>
    <w:p w:rsidR="005C3FA5"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El escrito </w:t>
      </w:r>
      <w:r w:rsidRPr="006D0761">
        <w:rPr>
          <w:rFonts w:ascii="Times New Roman" w:hAnsi="Times New Roman"/>
          <w:color w:val="000000"/>
          <w:sz w:val="28"/>
          <w:szCs w:val="28"/>
          <w:lang w:val="es-ES"/>
        </w:rPr>
        <w:t>bajo examen plantea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una acusación </w:t>
      </w:r>
      <w:r w:rsidRPr="006D0761">
        <w:rPr>
          <w:rFonts w:ascii="Times New Roman" w:hAnsi="Times New Roman"/>
          <w:color w:val="000000"/>
          <w:sz w:val="28"/>
          <w:szCs w:val="28"/>
          <w:lang w:val="es-ES"/>
        </w:rPr>
        <w:t>contra la ley</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en su integridad </w:t>
      </w:r>
      <w:r w:rsidRPr="006D0761">
        <w:rPr>
          <w:rFonts w:ascii="Times New Roman" w:hAnsi="Times New Roman"/>
          <w:color w:val="000000"/>
          <w:sz w:val="28"/>
          <w:szCs w:val="28"/>
          <w:lang w:val="es-ES"/>
        </w:rPr>
        <w:t>bajo el cargo de violación del derecho a la igualdad, contenido en el artículo 13 de la Carta Política y en el artículo 93 superior que establece el bloque de constit</w:t>
      </w:r>
      <w:r w:rsidRPr="006D0761">
        <w:rPr>
          <w:rFonts w:ascii="Times New Roman" w:hAnsi="Times New Roman"/>
          <w:color w:val="000000"/>
          <w:sz w:val="28"/>
          <w:szCs w:val="28"/>
          <w:lang w:val="es-ES"/>
        </w:rPr>
        <w:t>ucionalidad, del cual hace mención</w:t>
      </w:r>
      <w:r w:rsidRPr="006D0761">
        <w:rPr>
          <w:rFonts w:ascii="Times New Roman" w:hAnsi="Times New Roman"/>
          <w:color w:val="000000"/>
          <w:sz w:val="28"/>
          <w:szCs w:val="28"/>
          <w:lang w:val="es-ES"/>
        </w:rPr>
        <w:t xml:space="preserve"> sobre el </w:t>
      </w:r>
      <w:r w:rsidRPr="006D0761">
        <w:rPr>
          <w:rFonts w:ascii="Times New Roman" w:hAnsi="Times New Roman"/>
          <w:color w:val="000000"/>
          <w:sz w:val="28"/>
          <w:szCs w:val="28"/>
          <w:lang w:val="es-ES"/>
        </w:rPr>
        <w:t>artículo</w:t>
      </w:r>
      <w:r w:rsidRPr="006D0761">
        <w:rPr>
          <w:rFonts w:ascii="Times New Roman" w:hAnsi="Times New Roman"/>
          <w:color w:val="000000"/>
          <w:sz w:val="28"/>
          <w:szCs w:val="28"/>
          <w:lang w:val="es-ES"/>
        </w:rPr>
        <w:t xml:space="preserve"> 24 de la</w:t>
      </w:r>
      <w:r w:rsidRPr="006D0761">
        <w:rPr>
          <w:rFonts w:ascii="Times New Roman" w:hAnsi="Times New Roman"/>
          <w:color w:val="000000"/>
          <w:sz w:val="28"/>
          <w:szCs w:val="28"/>
          <w:lang w:val="es-ES"/>
        </w:rPr>
        <w:t xml:space="preserve"> CADH</w:t>
      </w:r>
      <w:r w:rsidRPr="006D0761">
        <w:rPr>
          <w:rFonts w:ascii="Times New Roman" w:hAnsi="Times New Roman"/>
          <w:color w:val="000000"/>
          <w:sz w:val="28"/>
          <w:szCs w:val="28"/>
          <w:lang w:val="es-ES"/>
        </w:rPr>
        <w:t xml:space="preserve">. El cargo se dirige a impugnar la norma por no incluir a los hombres dentro de la protección frente a la violencia de género. </w:t>
      </w:r>
      <w:r w:rsidRPr="006D0761">
        <w:rPr>
          <w:rFonts w:ascii="Times New Roman" w:hAnsi="Times New Roman"/>
          <w:color w:val="000000"/>
          <w:sz w:val="28"/>
          <w:szCs w:val="28"/>
          <w:lang w:val="es-ES"/>
        </w:rPr>
        <w:t xml:space="preserve">Adicionalmente, el accionante presenta </w:t>
      </w:r>
      <w:r w:rsidRPr="006D0761">
        <w:rPr>
          <w:rFonts w:ascii="Times New Roman" w:hAnsi="Times New Roman"/>
          <w:color w:val="000000"/>
          <w:sz w:val="28"/>
          <w:szCs w:val="28"/>
          <w:lang w:val="es-ES"/>
        </w:rPr>
        <w:t xml:space="preserve">un cargo por violación </w:t>
      </w:r>
      <w:r w:rsidRPr="006D0761">
        <w:rPr>
          <w:rFonts w:ascii="Times New Roman" w:hAnsi="Times New Roman"/>
          <w:color w:val="000000"/>
          <w:sz w:val="28"/>
          <w:szCs w:val="28"/>
          <w:lang w:val="es-ES"/>
        </w:rPr>
        <w:t>al artículo 4</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de la CEDAW por no haber establecido la temporalidad de la norma. El accionante realiza, además, </w:t>
      </w:r>
      <w:r w:rsidRPr="006D0761">
        <w:rPr>
          <w:rFonts w:ascii="Times New Roman" w:hAnsi="Times New Roman"/>
          <w:color w:val="000000"/>
          <w:sz w:val="28"/>
          <w:szCs w:val="28"/>
          <w:lang w:val="es-ES"/>
        </w:rPr>
        <w:t>cuestionamientos</w:t>
      </w:r>
      <w:r w:rsidRPr="006D0761">
        <w:rPr>
          <w:rFonts w:ascii="Times New Roman" w:hAnsi="Times New Roman"/>
          <w:color w:val="000000"/>
          <w:sz w:val="28"/>
          <w:szCs w:val="28"/>
          <w:lang w:val="es-ES"/>
        </w:rPr>
        <w:t xml:space="preserve"> específicos contra los artículos 8 a 1</w:t>
      </w:r>
      <w:r w:rsidRPr="006D0761">
        <w:rPr>
          <w:rFonts w:ascii="Times New Roman" w:hAnsi="Times New Roman"/>
          <w:color w:val="000000"/>
          <w:sz w:val="28"/>
          <w:szCs w:val="28"/>
          <w:lang w:val="es-ES"/>
        </w:rPr>
        <w:t>2</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que se enmarcan </w:t>
      </w:r>
      <w:r w:rsidRPr="006D0761">
        <w:rPr>
          <w:rFonts w:ascii="Times New Roman" w:hAnsi="Times New Roman"/>
          <w:color w:val="000000"/>
          <w:sz w:val="28"/>
          <w:szCs w:val="28"/>
          <w:lang w:val="es-ES"/>
        </w:rPr>
        <w:t>bajo el cargo</w:t>
      </w:r>
      <w:r w:rsidRPr="006D0761">
        <w:rPr>
          <w:rFonts w:ascii="Times New Roman" w:hAnsi="Times New Roman"/>
          <w:color w:val="000000"/>
          <w:sz w:val="28"/>
          <w:szCs w:val="28"/>
          <w:lang w:val="es-ES"/>
        </w:rPr>
        <w:t xml:space="preserve"> general</w:t>
      </w:r>
      <w:r w:rsidRPr="006D0761">
        <w:rPr>
          <w:rFonts w:ascii="Times New Roman" w:hAnsi="Times New Roman"/>
          <w:color w:val="000000"/>
          <w:sz w:val="28"/>
          <w:szCs w:val="28"/>
          <w:lang w:val="es-ES"/>
        </w:rPr>
        <w:t xml:space="preserve"> de violación del principio de igualdad</w:t>
      </w:r>
      <w:r w:rsidRPr="006D0761">
        <w:rPr>
          <w:rFonts w:ascii="Times New Roman" w:hAnsi="Times New Roman"/>
          <w:color w:val="000000"/>
          <w:sz w:val="28"/>
          <w:szCs w:val="28"/>
          <w:lang w:val="es-ES"/>
        </w:rPr>
        <w:t xml:space="preserve"> respecto </w:t>
      </w:r>
      <w:r w:rsidRPr="006D0761">
        <w:rPr>
          <w:rFonts w:ascii="Times New Roman" w:hAnsi="Times New Roman"/>
          <w:color w:val="000000"/>
          <w:sz w:val="28"/>
          <w:szCs w:val="28"/>
          <w:lang w:val="es-ES"/>
        </w:rPr>
        <w:t>de</w:t>
      </w:r>
      <w:r w:rsidRPr="006D0761">
        <w:rPr>
          <w:rFonts w:ascii="Times New Roman" w:hAnsi="Times New Roman"/>
          <w:color w:val="000000"/>
          <w:sz w:val="28"/>
          <w:szCs w:val="28"/>
          <w:lang w:val="es-ES"/>
        </w:rPr>
        <w:t xml:space="preserve"> los contenidos normativos de cada disposició</w:t>
      </w:r>
      <w:r w:rsidRPr="006D0761">
        <w:rPr>
          <w:rFonts w:ascii="Times New Roman" w:hAnsi="Times New Roman"/>
          <w:color w:val="000000"/>
          <w:sz w:val="28"/>
          <w:szCs w:val="28"/>
          <w:lang w:val="es-ES"/>
        </w:rPr>
        <w:t>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y contra el artículo 13 por el cargo de falta de temporalidad de la medida.  </w:t>
      </w:r>
    </w:p>
    <w:p w:rsidR="0054603F" w:rsidRPr="006D0761" w:rsidRDefault="006D0761" w:rsidP="00330CB9">
      <w:pPr>
        <w:pStyle w:val="Prrafodelista"/>
        <w:ind w:left="0"/>
        <w:jc w:val="both"/>
        <w:rPr>
          <w:rFonts w:ascii="Times New Roman" w:hAnsi="Times New Roman"/>
          <w:color w:val="000000"/>
          <w:sz w:val="28"/>
          <w:szCs w:val="28"/>
          <w:lang w:val="es-ES"/>
        </w:rPr>
      </w:pPr>
    </w:p>
    <w:p w:rsidR="00F233E0"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Con fundamento en sus alegatos, el demandante solicita </w:t>
      </w:r>
      <w:r w:rsidRPr="006D0761">
        <w:rPr>
          <w:rFonts w:ascii="Times New Roman" w:hAnsi="Times New Roman"/>
          <w:color w:val="000000"/>
          <w:sz w:val="28"/>
          <w:szCs w:val="28"/>
          <w:lang w:val="es-ES"/>
        </w:rPr>
        <w:t>a la Corte que modifique</w:t>
      </w:r>
      <w:r w:rsidRPr="006D0761">
        <w:rPr>
          <w:rFonts w:ascii="Times New Roman" w:hAnsi="Times New Roman"/>
          <w:color w:val="000000"/>
          <w:sz w:val="28"/>
          <w:szCs w:val="28"/>
          <w:lang w:val="es-ES"/>
        </w:rPr>
        <w:t xml:space="preserve"> distintas expresiones </w:t>
      </w:r>
      <w:r w:rsidRPr="006D0761">
        <w:rPr>
          <w:rFonts w:ascii="Times New Roman" w:hAnsi="Times New Roman"/>
          <w:color w:val="000000"/>
          <w:sz w:val="28"/>
          <w:szCs w:val="28"/>
          <w:lang w:val="es-ES"/>
        </w:rPr>
        <w:t>que identifica en el texto</w:t>
      </w:r>
      <w:r w:rsidRPr="006D0761">
        <w:rPr>
          <w:rFonts w:ascii="Times New Roman" w:hAnsi="Times New Roman"/>
          <w:color w:val="000000"/>
          <w:sz w:val="28"/>
          <w:szCs w:val="28"/>
          <w:lang w:val="es-ES"/>
        </w:rPr>
        <w:t xml:space="preserve"> de la norma</w:t>
      </w:r>
      <w:r w:rsidRPr="006D0761">
        <w:rPr>
          <w:rFonts w:ascii="Times New Roman" w:hAnsi="Times New Roman"/>
          <w:color w:val="000000"/>
          <w:sz w:val="28"/>
          <w:szCs w:val="28"/>
          <w:lang w:val="es-ES"/>
        </w:rPr>
        <w:t>. Así, pide el cam</w:t>
      </w:r>
      <w:r w:rsidRPr="006D0761">
        <w:rPr>
          <w:rFonts w:ascii="Times New Roman" w:hAnsi="Times New Roman"/>
          <w:color w:val="000000"/>
          <w:sz w:val="28"/>
          <w:szCs w:val="28"/>
          <w:lang w:val="es-ES"/>
        </w:rPr>
        <w:t>b</w:t>
      </w:r>
      <w:r w:rsidRPr="006D0761">
        <w:rPr>
          <w:rFonts w:ascii="Times New Roman" w:hAnsi="Times New Roman"/>
          <w:color w:val="000000"/>
          <w:sz w:val="28"/>
          <w:szCs w:val="28"/>
          <w:lang w:val="es-ES"/>
        </w:rPr>
        <w:t xml:space="preserve">io de las expresiones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feminicidio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por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homicidios por razones de género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o</w:t>
      </w:r>
      <w:r w:rsidRPr="006D0761">
        <w:rPr>
          <w:rFonts w:ascii="Times New Roman" w:hAnsi="Times New Roman"/>
          <w:color w:val="000000"/>
          <w:sz w:val="28"/>
          <w:szCs w:val="28"/>
          <w:lang w:val="es-ES"/>
        </w:rPr>
        <w:t xml:space="preserve"> por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feminicidio</w:t>
      </w:r>
      <w:r w:rsidRPr="006D0761">
        <w:rPr>
          <w:rFonts w:ascii="Times New Roman" w:hAnsi="Times New Roman"/>
          <w:color w:val="000000"/>
          <w:sz w:val="28"/>
          <w:szCs w:val="28"/>
          <w:lang w:val="es-ES"/>
        </w:rPr>
        <w:t xml:space="preserve"> y machicidio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mujer</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por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persona</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“violencia contra las mujeres” por “con la violencia a todos los géneros incluido el masculin</w:t>
      </w:r>
      <w:r w:rsidRPr="006D0761">
        <w:rPr>
          <w:rFonts w:ascii="Times New Roman" w:hAnsi="Times New Roman"/>
          <w:color w:val="000000"/>
          <w:sz w:val="28"/>
          <w:szCs w:val="28"/>
          <w:lang w:val="es-ES"/>
        </w:rPr>
        <w:t xml:space="preserve">o”; “enfoque de género” por “enfoque bidireccional de género”, entre otras; con el fin de que </w:t>
      </w:r>
      <w:r w:rsidRPr="006D0761">
        <w:rPr>
          <w:rFonts w:ascii="Times New Roman" w:hAnsi="Times New Roman"/>
          <w:color w:val="000000"/>
          <w:sz w:val="28"/>
          <w:szCs w:val="28"/>
          <w:lang w:val="es-ES"/>
        </w:rPr>
        <w:t>las medidas de protección contra la violencia basada en género incluyan también</w:t>
      </w:r>
      <w:r w:rsidRPr="006D0761">
        <w:rPr>
          <w:rFonts w:ascii="Times New Roman" w:hAnsi="Times New Roman"/>
          <w:color w:val="000000"/>
          <w:sz w:val="28"/>
          <w:szCs w:val="28"/>
          <w:lang w:val="es-ES"/>
        </w:rPr>
        <w:t xml:space="preserve"> a los hombres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A</w:t>
      </w:r>
      <w:r w:rsidRPr="006D0761">
        <w:rPr>
          <w:rFonts w:ascii="Times New Roman" w:hAnsi="Times New Roman"/>
          <w:color w:val="000000"/>
          <w:sz w:val="28"/>
          <w:szCs w:val="28"/>
          <w:lang w:val="es-ES"/>
        </w:rPr>
        <w:t xml:space="preserve">sí mismo, </w:t>
      </w:r>
      <w:r w:rsidRPr="006D0761">
        <w:rPr>
          <w:rFonts w:ascii="Times New Roman" w:hAnsi="Times New Roman"/>
          <w:color w:val="000000"/>
          <w:sz w:val="28"/>
          <w:szCs w:val="28"/>
          <w:lang w:val="es-ES"/>
        </w:rPr>
        <w:t xml:space="preserve">pidió </w:t>
      </w:r>
      <w:r w:rsidRPr="006D0761">
        <w:rPr>
          <w:rFonts w:ascii="Times New Roman" w:hAnsi="Times New Roman"/>
          <w:color w:val="000000"/>
          <w:sz w:val="28"/>
          <w:szCs w:val="28"/>
          <w:lang w:val="es-ES"/>
        </w:rPr>
        <w:t>que establezca la naturaleza transitoria de la nor</w:t>
      </w:r>
      <w:r w:rsidRPr="006D0761">
        <w:rPr>
          <w:rFonts w:ascii="Times New Roman" w:hAnsi="Times New Roman"/>
          <w:color w:val="000000"/>
          <w:sz w:val="28"/>
          <w:szCs w:val="28"/>
          <w:lang w:val="es-ES"/>
        </w:rPr>
        <w:t>ma.</w:t>
      </w:r>
    </w:p>
    <w:p w:rsidR="00F233E0" w:rsidRPr="006D0761" w:rsidRDefault="006D0761" w:rsidP="6D224379">
      <w:pPr>
        <w:pStyle w:val="Prrafodelista"/>
        <w:ind w:left="0"/>
        <w:jc w:val="both"/>
        <w:rPr>
          <w:rFonts w:ascii="Times New Roman" w:hAnsi="Times New Roman"/>
          <w:color w:val="000000"/>
          <w:sz w:val="28"/>
          <w:szCs w:val="28"/>
          <w:lang w:val="es-ES"/>
        </w:rPr>
      </w:pPr>
    </w:p>
    <w:p w:rsidR="00F233E0" w:rsidRPr="006D0761" w:rsidRDefault="006D0761" w:rsidP="00EB501B">
      <w:pPr>
        <w:pStyle w:val="Ttulo3"/>
        <w:numPr>
          <w:ilvl w:val="1"/>
          <w:numId w:val="4"/>
        </w:numPr>
        <w:ind w:left="0" w:firstLine="0"/>
        <w:rPr>
          <w:rFonts w:ascii="Times New Roman" w:hAnsi="Times New Roman"/>
          <w:b w:val="0"/>
          <w:sz w:val="28"/>
          <w:szCs w:val="28"/>
          <w:lang w:val="es-ES"/>
        </w:rPr>
      </w:pPr>
      <w:bookmarkStart w:id="14" w:name="_Toc220572672"/>
      <w:r w:rsidRPr="006D0761">
        <w:rPr>
          <w:rFonts w:ascii="Times New Roman" w:hAnsi="Times New Roman"/>
          <w:sz w:val="28"/>
          <w:szCs w:val="28"/>
          <w:lang w:val="es-ES"/>
        </w:rPr>
        <w:t>La carga argumentativa exigida a una demanda contra una medida de acción afirmativa en materia de género</w:t>
      </w:r>
      <w:bookmarkEnd w:id="14"/>
    </w:p>
    <w:p w:rsidR="00F233E0" w:rsidRPr="006D0761" w:rsidRDefault="006D0761" w:rsidP="00330CB9">
      <w:pPr>
        <w:pStyle w:val="Prrafodelista"/>
        <w:ind w:left="0"/>
        <w:jc w:val="both"/>
        <w:rPr>
          <w:rFonts w:ascii="Times New Roman" w:hAnsi="Times New Roman"/>
          <w:color w:val="000000"/>
          <w:sz w:val="28"/>
          <w:szCs w:val="28"/>
          <w:lang w:val="es-ES"/>
        </w:rPr>
      </w:pPr>
    </w:p>
    <w:p w:rsidR="00F233E0"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 xml:space="preserve">n cuanto a la aptitud de los cargos señalados en una demanda de inconstitucionalidad, la Corte Constitucional ha evidenciado la necesidad de que las razones expuestas para sustentar la censura sean al menos, </w:t>
      </w:r>
      <w:r w:rsidRPr="006D0761">
        <w:rPr>
          <w:rFonts w:ascii="Times New Roman" w:hAnsi="Times New Roman"/>
          <w:i/>
          <w:iCs/>
          <w:color w:val="000000"/>
          <w:sz w:val="28"/>
          <w:szCs w:val="28"/>
          <w:lang w:val="es-ES"/>
        </w:rPr>
        <w:t>“claras, ciertas, específicas, pertinentes y suf</w:t>
      </w:r>
      <w:r w:rsidRPr="006D0761">
        <w:rPr>
          <w:rFonts w:ascii="Times New Roman" w:hAnsi="Times New Roman"/>
          <w:i/>
          <w:iCs/>
          <w:color w:val="000000"/>
          <w:sz w:val="28"/>
          <w:szCs w:val="28"/>
          <w:lang w:val="es-ES"/>
        </w:rPr>
        <w:t>icientes”</w:t>
      </w:r>
      <w:r w:rsidRPr="006D0761">
        <w:rPr>
          <w:rFonts w:ascii="Times New Roman" w:hAnsi="Times New Roman"/>
          <w:color w:val="000000"/>
          <w:sz w:val="28"/>
          <w:szCs w:val="28"/>
          <w:vertAlign w:val="superscript"/>
          <w:lang w:val="es-ES"/>
        </w:rPr>
        <w:footnoteReference w:id="28"/>
      </w:r>
      <w:r w:rsidRPr="006D0761">
        <w:rPr>
          <w:rFonts w:ascii="Times New Roman" w:hAnsi="Times New Roman"/>
          <w:i/>
          <w:iCs/>
          <w:color w:val="000000"/>
          <w:sz w:val="28"/>
          <w:szCs w:val="28"/>
          <w:lang w:val="es-ES"/>
        </w:rPr>
        <w:t>.</w:t>
      </w:r>
      <w:r w:rsidRPr="006D0761">
        <w:rPr>
          <w:rFonts w:ascii="Times New Roman" w:hAnsi="Times New Roman"/>
          <w:color w:val="000000"/>
          <w:sz w:val="28"/>
          <w:szCs w:val="28"/>
          <w:lang w:val="es-ES"/>
        </w:rPr>
        <w:t xml:space="preserve"> </w:t>
      </w:r>
    </w:p>
    <w:p w:rsidR="00F233E0" w:rsidRPr="006D0761" w:rsidRDefault="006D0761" w:rsidP="00330CB9">
      <w:pPr>
        <w:pStyle w:val="Prrafodelista"/>
        <w:ind w:left="0"/>
        <w:jc w:val="both"/>
        <w:rPr>
          <w:rFonts w:ascii="Times New Roman" w:hAnsi="Times New Roman"/>
          <w:color w:val="000000"/>
          <w:sz w:val="28"/>
          <w:szCs w:val="28"/>
          <w:lang w:val="es-ES"/>
        </w:rPr>
      </w:pPr>
    </w:p>
    <w:p w:rsidR="00F233E0"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L</w:t>
      </w:r>
      <w:r w:rsidRPr="006D0761">
        <w:rPr>
          <w:rFonts w:ascii="Times New Roman" w:hAnsi="Times New Roman"/>
          <w:color w:val="000000"/>
          <w:sz w:val="28"/>
          <w:szCs w:val="28"/>
          <w:lang w:val="es-ES"/>
        </w:rPr>
        <w:t>a C</w:t>
      </w:r>
      <w:r w:rsidRPr="006D0761">
        <w:rPr>
          <w:rFonts w:ascii="Times New Roman" w:hAnsi="Times New Roman"/>
          <w:color w:val="000000"/>
          <w:sz w:val="28"/>
          <w:szCs w:val="28"/>
          <w:lang w:val="es-ES"/>
        </w:rPr>
        <w:t>orporación</w:t>
      </w:r>
      <w:r w:rsidRPr="006D0761">
        <w:rPr>
          <w:rFonts w:ascii="Times New Roman" w:hAnsi="Times New Roman"/>
          <w:color w:val="000000"/>
          <w:sz w:val="28"/>
          <w:szCs w:val="28"/>
          <w:lang w:val="es-ES"/>
        </w:rPr>
        <w:t xml:space="preserve"> se ha encarg</w:t>
      </w:r>
      <w:r w:rsidRPr="006D0761">
        <w:rPr>
          <w:rFonts w:ascii="Times New Roman" w:hAnsi="Times New Roman"/>
          <w:color w:val="000000"/>
          <w:sz w:val="28"/>
          <w:szCs w:val="28"/>
          <w:lang w:val="es-ES"/>
        </w:rPr>
        <w:t>ad</w:t>
      </w:r>
      <w:r w:rsidRPr="006D0761">
        <w:rPr>
          <w:rFonts w:ascii="Times New Roman" w:hAnsi="Times New Roman"/>
          <w:color w:val="000000"/>
          <w:sz w:val="28"/>
          <w:szCs w:val="28"/>
          <w:lang w:val="es-ES"/>
        </w:rPr>
        <w:t>o de definir cada uno de estos requisitos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 xml:space="preserve">n cuanto a la </w:t>
      </w:r>
      <w:r w:rsidRPr="006D0761">
        <w:rPr>
          <w:rFonts w:ascii="Times New Roman" w:hAnsi="Times New Roman"/>
          <w:i/>
          <w:iCs/>
          <w:color w:val="000000"/>
          <w:sz w:val="28"/>
          <w:szCs w:val="28"/>
          <w:lang w:val="es-ES"/>
        </w:rPr>
        <w:t>claridad</w:t>
      </w:r>
      <w:r w:rsidRPr="006D0761">
        <w:rPr>
          <w:rFonts w:ascii="Times New Roman" w:hAnsi="Times New Roman"/>
          <w:color w:val="000000"/>
          <w:sz w:val="28"/>
          <w:szCs w:val="28"/>
          <w:lang w:val="es-ES"/>
        </w:rPr>
        <w:t>, es indispensable la existencia de un hilo conductor en el escrito, que permita comprender el significado de los argumentos</w:t>
      </w:r>
      <w:r w:rsidRPr="006D0761">
        <w:rPr>
          <w:rFonts w:ascii="Times New Roman" w:hAnsi="Times New Roman"/>
          <w:color w:val="000000"/>
          <w:sz w:val="28"/>
          <w:szCs w:val="28"/>
          <w:lang w:val="es-ES"/>
        </w:rPr>
        <w:t>. L</w:t>
      </w:r>
      <w:r w:rsidRPr="006D0761">
        <w:rPr>
          <w:rFonts w:ascii="Times New Roman" w:hAnsi="Times New Roman"/>
          <w:color w:val="000000"/>
          <w:sz w:val="28"/>
          <w:szCs w:val="28"/>
          <w:lang w:val="es-ES"/>
        </w:rPr>
        <w:t xml:space="preserve">a </w:t>
      </w:r>
      <w:r w:rsidRPr="006D0761">
        <w:rPr>
          <w:rFonts w:ascii="Times New Roman" w:hAnsi="Times New Roman"/>
          <w:i/>
          <w:iCs/>
          <w:color w:val="000000"/>
          <w:sz w:val="28"/>
          <w:szCs w:val="28"/>
          <w:lang w:val="es-ES"/>
        </w:rPr>
        <w:t>certeza</w:t>
      </w:r>
      <w:r w:rsidRPr="006D0761">
        <w:rPr>
          <w:rFonts w:ascii="Times New Roman" w:hAnsi="Times New Roman"/>
          <w:color w:val="000000"/>
          <w:sz w:val="28"/>
          <w:szCs w:val="28"/>
          <w:lang w:val="es-ES"/>
        </w:rPr>
        <w:t xml:space="preserve"> por su parte exige que “la demanda recaiga sobre una proposición jurídica real y existente” cuyo contenido sea verificable y no sobre deducciones, supuestos o proposiciones hechos por el demandante mas no por el legislador</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L</w:t>
      </w:r>
      <w:r w:rsidRPr="006D0761">
        <w:rPr>
          <w:rFonts w:ascii="Times New Roman" w:hAnsi="Times New Roman"/>
          <w:color w:val="000000"/>
          <w:sz w:val="28"/>
          <w:szCs w:val="28"/>
          <w:lang w:val="es-ES"/>
        </w:rPr>
        <w:t xml:space="preserve">a </w:t>
      </w:r>
      <w:r w:rsidRPr="006D0761">
        <w:rPr>
          <w:rFonts w:ascii="Times New Roman" w:hAnsi="Times New Roman"/>
          <w:i/>
          <w:iCs/>
          <w:color w:val="000000"/>
          <w:sz w:val="28"/>
          <w:szCs w:val="28"/>
          <w:lang w:val="es-ES"/>
        </w:rPr>
        <w:t>especificidad</w:t>
      </w:r>
      <w:r w:rsidRPr="006D0761">
        <w:rPr>
          <w:rFonts w:ascii="Times New Roman" w:hAnsi="Times New Roman"/>
          <w:color w:val="000000"/>
          <w:sz w:val="28"/>
          <w:szCs w:val="28"/>
          <w:lang w:val="es-ES"/>
        </w:rPr>
        <w:t xml:space="preserve"> se predica de </w:t>
      </w:r>
      <w:r w:rsidRPr="006D0761">
        <w:rPr>
          <w:rFonts w:ascii="Times New Roman" w:hAnsi="Times New Roman"/>
          <w:color w:val="000000"/>
          <w:sz w:val="28"/>
          <w:szCs w:val="28"/>
          <w:lang w:val="es-ES"/>
        </w:rPr>
        <w:t xml:space="preserve">aquellas razones que </w:t>
      </w:r>
      <w:r w:rsidRPr="006D0761">
        <w:rPr>
          <w:rFonts w:ascii="Times New Roman" w:hAnsi="Times New Roman"/>
          <w:i/>
          <w:iCs/>
          <w:color w:val="000000"/>
          <w:sz w:val="28"/>
          <w:szCs w:val="28"/>
          <w:lang w:val="es-ES"/>
        </w:rPr>
        <w:t>“</w:t>
      </w:r>
      <w:r w:rsidRPr="006D0761">
        <w:rPr>
          <w:rFonts w:ascii="Times New Roman" w:hAnsi="Times New Roman"/>
          <w:color w:val="000000"/>
          <w:sz w:val="28"/>
          <w:szCs w:val="28"/>
          <w:lang w:val="es-ES"/>
        </w:rPr>
        <w:t>definen con claridad la manera como la disposición acusada desconoce o vulnera la Carta Política”, formulando por lo menos un “cargo constitucional concreto contra la norma demandada”</w:t>
      </w:r>
      <w:r w:rsidRPr="006D0761">
        <w:rPr>
          <w:rFonts w:ascii="Times New Roman" w:hAnsi="Times New Roman"/>
          <w:color w:val="000000"/>
          <w:sz w:val="28"/>
          <w:szCs w:val="28"/>
          <w:vertAlign w:val="superscript"/>
          <w:lang w:val="es-ES"/>
        </w:rPr>
        <w:footnoteReference w:id="29"/>
      </w:r>
      <w:r w:rsidRPr="006D0761">
        <w:rPr>
          <w:rFonts w:ascii="Times New Roman" w:hAnsi="Times New Roman"/>
          <w:color w:val="000000"/>
          <w:sz w:val="28"/>
          <w:szCs w:val="28"/>
          <w:lang w:val="es-ES"/>
        </w:rPr>
        <w:t xml:space="preserve"> para que sea posible determinar si se presenta un</w:t>
      </w:r>
      <w:r w:rsidRPr="006D0761">
        <w:rPr>
          <w:rFonts w:ascii="Times New Roman" w:hAnsi="Times New Roman"/>
          <w:color w:val="000000"/>
          <w:sz w:val="28"/>
          <w:szCs w:val="28"/>
          <w:lang w:val="es-ES"/>
        </w:rPr>
        <w:t>a confrontación real, objetiva y verificable, dejando de lado argumentos “vagos, indeterminados, indirectos, abstractos y globales”</w:t>
      </w:r>
      <w:r w:rsidRPr="006D0761">
        <w:rPr>
          <w:rFonts w:ascii="Times New Roman" w:hAnsi="Times New Roman"/>
          <w:i/>
          <w:iCs/>
          <w:color w:val="000000"/>
          <w:sz w:val="28"/>
          <w:szCs w:val="28"/>
          <w:lang w:val="es-ES"/>
        </w:rPr>
        <w:t>.</w:t>
      </w:r>
      <w:r w:rsidRPr="006D0761">
        <w:rPr>
          <w:rFonts w:ascii="Times New Roman" w:hAnsi="Times New Roman"/>
          <w:color w:val="000000"/>
          <w:sz w:val="28"/>
          <w:szCs w:val="28"/>
          <w:vertAlign w:val="superscript"/>
          <w:lang w:val="es-ES"/>
        </w:rPr>
        <w:footnoteReference w:id="30"/>
      </w:r>
      <w:r w:rsidRPr="006D0761">
        <w:rPr>
          <w:rFonts w:ascii="Times New Roman" w:hAnsi="Times New Roman"/>
          <w:color w:val="000000"/>
          <w:sz w:val="28"/>
          <w:szCs w:val="28"/>
          <w:lang w:val="es-ES"/>
        </w:rPr>
        <w:t xml:space="preserve"> La </w:t>
      </w:r>
      <w:r w:rsidRPr="006D0761">
        <w:rPr>
          <w:rFonts w:ascii="Times New Roman" w:hAnsi="Times New Roman"/>
          <w:i/>
          <w:iCs/>
          <w:color w:val="000000"/>
          <w:sz w:val="28"/>
          <w:szCs w:val="28"/>
          <w:lang w:val="es-ES"/>
        </w:rPr>
        <w:t>pertinencia,</w:t>
      </w:r>
      <w:r w:rsidRPr="006D0761">
        <w:rPr>
          <w:rFonts w:ascii="Times New Roman" w:hAnsi="Times New Roman"/>
          <w:color w:val="000000"/>
          <w:sz w:val="28"/>
          <w:szCs w:val="28"/>
          <w:lang w:val="es-ES"/>
        </w:rPr>
        <w:t xml:space="preserve"> como atributo esencial de las razones expuestas al demandar una norma por inconstitucional, indica que “el</w:t>
      </w:r>
      <w:r w:rsidRPr="006D0761">
        <w:rPr>
          <w:rFonts w:ascii="Times New Roman" w:hAnsi="Times New Roman"/>
          <w:color w:val="000000"/>
          <w:sz w:val="28"/>
          <w:szCs w:val="28"/>
          <w:lang w:val="es-ES"/>
        </w:rPr>
        <w:t xml:space="preserve"> reproche formulado por el peticionario debe ser de naturaleza constitucional”, esto es, basado en la evaluación del contenido de una norma superior frente al de la disposición demandada, apartándose de sustentos “puramente legales y doctrinarios”</w:t>
      </w:r>
      <w:r w:rsidRPr="006D0761">
        <w:rPr>
          <w:rFonts w:ascii="Times New Roman" w:hAnsi="Times New Roman"/>
          <w:color w:val="000000"/>
          <w:sz w:val="28"/>
          <w:szCs w:val="28"/>
          <w:vertAlign w:val="superscript"/>
          <w:lang w:val="es-ES"/>
        </w:rPr>
        <w:footnoteReference w:id="31"/>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o simpl</w:t>
      </w:r>
      <w:r w:rsidRPr="006D0761">
        <w:rPr>
          <w:rFonts w:ascii="Times New Roman" w:hAnsi="Times New Roman"/>
          <w:color w:val="000000"/>
          <w:sz w:val="28"/>
          <w:szCs w:val="28"/>
          <w:lang w:val="es-ES"/>
        </w:rPr>
        <w:t xml:space="preserve">es puntos de vista del actor buscando un análisis conveniente y parcial de sus efectos. Finalmente, la </w:t>
      </w:r>
      <w:r w:rsidRPr="006D0761">
        <w:rPr>
          <w:rFonts w:ascii="Times New Roman" w:hAnsi="Times New Roman"/>
          <w:i/>
          <w:iCs/>
          <w:color w:val="000000"/>
          <w:sz w:val="28"/>
          <w:szCs w:val="28"/>
          <w:lang w:val="es-ES"/>
        </w:rPr>
        <w:t>suficiencia</w:t>
      </w:r>
      <w:r w:rsidRPr="006D0761">
        <w:rPr>
          <w:rFonts w:ascii="Times New Roman" w:hAnsi="Times New Roman"/>
          <w:color w:val="000000"/>
          <w:sz w:val="28"/>
          <w:szCs w:val="28"/>
          <w:lang w:val="es-ES"/>
        </w:rPr>
        <w:t xml:space="preserve"> se refiere, por una parte, a “la exposición de todos los elementos de juicio (argumentativos y probatorios) necesarios para iniciar el estudi</w:t>
      </w:r>
      <w:r w:rsidRPr="006D0761">
        <w:rPr>
          <w:rFonts w:ascii="Times New Roman" w:hAnsi="Times New Roman"/>
          <w:color w:val="000000"/>
          <w:sz w:val="28"/>
          <w:szCs w:val="28"/>
          <w:lang w:val="es-ES"/>
        </w:rPr>
        <w:t>o de constitucionalidad respecto del precepto objeto de reproche”, y por otra, a la exposición de argumentos que logren despertar “una duda mínima sobre la constitucionalidad de la norma impugnada” que haga necesario un pronunciamiento de la Corte</w:t>
      </w:r>
      <w:r w:rsidRPr="006D0761">
        <w:rPr>
          <w:rFonts w:ascii="Times New Roman" w:hAnsi="Times New Roman"/>
          <w:color w:val="000000"/>
          <w:sz w:val="28"/>
          <w:szCs w:val="28"/>
          <w:vertAlign w:val="superscript"/>
          <w:lang w:val="es-ES"/>
        </w:rPr>
        <w:footnoteReference w:id="32"/>
      </w:r>
      <w:r w:rsidRPr="006D0761">
        <w:rPr>
          <w:rFonts w:ascii="Times New Roman" w:hAnsi="Times New Roman"/>
          <w:color w:val="000000"/>
          <w:sz w:val="28"/>
          <w:szCs w:val="28"/>
          <w:lang w:val="es-ES"/>
        </w:rPr>
        <w:t>.</w:t>
      </w:r>
    </w:p>
    <w:p w:rsidR="6D224379" w:rsidRPr="006D0761" w:rsidRDefault="006D0761" w:rsidP="00330CB9">
      <w:pPr>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El requisito de especificidad </w:t>
      </w:r>
      <w:r w:rsidRPr="006D0761">
        <w:rPr>
          <w:rFonts w:ascii="Times New Roman" w:hAnsi="Times New Roman"/>
          <w:color w:val="000000"/>
          <w:sz w:val="28"/>
          <w:szCs w:val="28"/>
          <w:lang w:val="es-ES"/>
        </w:rPr>
        <w:t xml:space="preserve">cobra una especial relevancia cuando se trata de un cargo por igualdad, pues </w:t>
      </w:r>
      <w:r w:rsidRPr="006D0761">
        <w:rPr>
          <w:rFonts w:ascii="Times New Roman" w:hAnsi="Times New Roman"/>
          <w:color w:val="000000"/>
          <w:sz w:val="28"/>
          <w:szCs w:val="28"/>
          <w:lang w:val="es-ES"/>
        </w:rPr>
        <w:t xml:space="preserve">exige que se determine con precisión </w:t>
      </w:r>
      <w:r w:rsidRPr="006D0761">
        <w:rPr>
          <w:rFonts w:ascii="Times New Roman" w:hAnsi="Times New Roman"/>
          <w:color w:val="000000"/>
          <w:sz w:val="28"/>
          <w:szCs w:val="28"/>
          <w:lang w:val="es-ES"/>
        </w:rPr>
        <w:t xml:space="preserve">la forma en que la norma confronta </w:t>
      </w:r>
      <w:r w:rsidRPr="006D0761">
        <w:rPr>
          <w:rFonts w:ascii="Times New Roman" w:hAnsi="Times New Roman"/>
          <w:color w:val="000000"/>
          <w:sz w:val="28"/>
          <w:szCs w:val="28"/>
          <w:lang w:val="es-ES"/>
        </w:rPr>
        <w:t xml:space="preserve">el mandato constitucional </w:t>
      </w:r>
      <w:r w:rsidRPr="006D0761">
        <w:rPr>
          <w:rFonts w:ascii="Times New Roman" w:hAnsi="Times New Roman"/>
          <w:color w:val="000000"/>
          <w:sz w:val="28"/>
          <w:szCs w:val="28"/>
          <w:lang w:val="es-ES"/>
        </w:rPr>
        <w:t xml:space="preserve">supuestamente </w:t>
      </w:r>
      <w:r w:rsidRPr="006D0761">
        <w:rPr>
          <w:rFonts w:ascii="Times New Roman" w:hAnsi="Times New Roman"/>
          <w:color w:val="000000"/>
          <w:sz w:val="28"/>
          <w:szCs w:val="28"/>
          <w:lang w:val="es-ES"/>
        </w:rPr>
        <w:t xml:space="preserve">afectado. </w:t>
      </w:r>
      <w:r w:rsidRPr="006D0761">
        <w:rPr>
          <w:rFonts w:ascii="Times New Roman" w:hAnsi="Times New Roman"/>
          <w:color w:val="000000"/>
          <w:sz w:val="28"/>
          <w:szCs w:val="28"/>
          <w:lang w:val="es-ES"/>
        </w:rPr>
        <w:t>El artículo 13 superior imp</w:t>
      </w:r>
      <w:r w:rsidRPr="006D0761">
        <w:rPr>
          <w:rFonts w:ascii="Times New Roman" w:hAnsi="Times New Roman"/>
          <w:color w:val="000000"/>
          <w:sz w:val="28"/>
          <w:szCs w:val="28"/>
          <w:lang w:val="es-ES"/>
        </w:rPr>
        <w:t xml:space="preserve">lica, como lo reconoce el accionante, que el Estado tiene la obligación de tratar como iguales a los iguales y como desiguales a los desiguales. </w:t>
      </w: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 xml:space="preserve">sto </w:t>
      </w:r>
      <w:r w:rsidRPr="006D0761">
        <w:rPr>
          <w:rFonts w:ascii="Times New Roman" w:hAnsi="Times New Roman"/>
          <w:color w:val="000000"/>
          <w:sz w:val="28"/>
          <w:szCs w:val="28"/>
          <w:lang w:val="es-ES"/>
        </w:rPr>
        <w:t xml:space="preserve">conlleva </w:t>
      </w:r>
      <w:r w:rsidRPr="006D0761">
        <w:rPr>
          <w:rFonts w:ascii="Times New Roman" w:hAnsi="Times New Roman"/>
          <w:color w:val="000000"/>
          <w:sz w:val="28"/>
          <w:szCs w:val="28"/>
          <w:lang w:val="es-ES"/>
        </w:rPr>
        <w:t>sustentar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cuál de las dos dimensiones de los deberes estatales frente a la igualdad se ve afectad</w:t>
      </w:r>
      <w:r w:rsidRPr="006D0761">
        <w:rPr>
          <w:rFonts w:ascii="Times New Roman" w:hAnsi="Times New Roman"/>
          <w:color w:val="000000"/>
          <w:sz w:val="28"/>
          <w:szCs w:val="28"/>
          <w:lang w:val="es-ES"/>
        </w:rPr>
        <w:t>o</w:t>
      </w:r>
      <w:r w:rsidRPr="006D0761">
        <w:rPr>
          <w:rFonts w:ascii="Times New Roman" w:hAnsi="Times New Roman"/>
          <w:color w:val="000000"/>
          <w:sz w:val="28"/>
          <w:szCs w:val="28"/>
          <w:lang w:val="es-ES"/>
        </w:rPr>
        <w:t>: (i)</w:t>
      </w:r>
      <w:r w:rsidRPr="006D0761">
        <w:rPr>
          <w:rFonts w:ascii="Times New Roman" w:hAnsi="Times New Roman"/>
          <w:color w:val="000000"/>
          <w:sz w:val="28"/>
          <w:szCs w:val="28"/>
          <w:lang w:val="es-ES"/>
        </w:rPr>
        <w:t xml:space="preserve"> tratar como igual a los iguales o</w:t>
      </w:r>
      <w:r w:rsidRPr="006D0761">
        <w:rPr>
          <w:rFonts w:ascii="Times New Roman" w:hAnsi="Times New Roman"/>
          <w:color w:val="000000"/>
          <w:sz w:val="28"/>
          <w:szCs w:val="28"/>
          <w:lang w:val="es-ES"/>
        </w:rPr>
        <w:t xml:space="preserve"> (ii)</w:t>
      </w:r>
      <w:r w:rsidRPr="006D0761">
        <w:rPr>
          <w:rFonts w:ascii="Times New Roman" w:hAnsi="Times New Roman"/>
          <w:color w:val="000000"/>
          <w:sz w:val="28"/>
          <w:szCs w:val="28"/>
          <w:lang w:val="es-ES"/>
        </w:rPr>
        <w:t xml:space="preserve"> la dimensión de tratar diferente a los desiguales</w:t>
      </w:r>
      <w:r w:rsidRPr="006D0761">
        <w:rPr>
          <w:rFonts w:ascii="Times New Roman" w:hAnsi="Times New Roman"/>
          <w:color w:val="000000"/>
          <w:sz w:val="28"/>
          <w:szCs w:val="28"/>
          <w:lang w:val="es-ES"/>
        </w:rPr>
        <w:t xml:space="preserve">. </w:t>
      </w:r>
    </w:p>
    <w:p w:rsidR="005F169C" w:rsidRPr="006D0761" w:rsidRDefault="006D0761" w:rsidP="00330CB9">
      <w:pPr>
        <w:pStyle w:val="NormalWeb"/>
        <w:spacing w:before="0" w:beforeAutospacing="0" w:after="0" w:afterAutospacing="0"/>
        <w:jc w:val="both"/>
        <w:rPr>
          <w:rFonts w:ascii="Times New Roman" w:hAnsi="Times New Roman"/>
          <w:color w:val="000000"/>
          <w:sz w:val="28"/>
          <w:szCs w:val="28"/>
          <w:lang w:val="es-ES"/>
        </w:rPr>
      </w:pPr>
    </w:p>
    <w:p w:rsidR="00CD2FD1"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A la exigencia del </w:t>
      </w:r>
      <w:r w:rsidRPr="006D0761">
        <w:rPr>
          <w:rFonts w:ascii="Times New Roman" w:hAnsi="Times New Roman"/>
          <w:color w:val="000000"/>
          <w:sz w:val="28"/>
          <w:szCs w:val="28"/>
          <w:lang w:val="es-ES"/>
        </w:rPr>
        <w:t xml:space="preserve">requisito de especificidad se suma una </w:t>
      </w:r>
      <w:r w:rsidRPr="006D0761">
        <w:rPr>
          <w:rFonts w:ascii="Times New Roman" w:hAnsi="Times New Roman"/>
          <w:color w:val="000000"/>
          <w:sz w:val="28"/>
          <w:szCs w:val="28"/>
          <w:lang w:val="es-ES"/>
        </w:rPr>
        <w:t xml:space="preserve">carga </w:t>
      </w:r>
      <w:r w:rsidRPr="006D0761">
        <w:rPr>
          <w:rFonts w:ascii="Times New Roman" w:hAnsi="Times New Roman"/>
          <w:color w:val="000000"/>
          <w:sz w:val="28"/>
          <w:szCs w:val="28"/>
          <w:lang w:val="es-ES"/>
        </w:rPr>
        <w:t xml:space="preserve">particular, </w:t>
      </w:r>
      <w:r w:rsidRPr="006D0761">
        <w:rPr>
          <w:rFonts w:ascii="Times New Roman" w:hAnsi="Times New Roman"/>
          <w:color w:val="000000"/>
          <w:sz w:val="28"/>
          <w:szCs w:val="28"/>
          <w:lang w:val="es-ES"/>
        </w:rPr>
        <w:t>consistente en</w:t>
      </w:r>
      <w:r w:rsidRPr="006D0761">
        <w:rPr>
          <w:rFonts w:ascii="Times New Roman" w:hAnsi="Times New Roman"/>
          <w:color w:val="000000"/>
          <w:sz w:val="28"/>
          <w:szCs w:val="28"/>
          <w:lang w:val="es-ES"/>
        </w:rPr>
        <w:t xml:space="preserve"> argumentar</w:t>
      </w:r>
      <w:r w:rsidRPr="006D0761">
        <w:rPr>
          <w:rFonts w:ascii="Times New Roman" w:hAnsi="Times New Roman"/>
          <w:color w:val="000000"/>
          <w:sz w:val="28"/>
          <w:szCs w:val="28"/>
          <w:lang w:val="es-ES"/>
        </w:rPr>
        <w:t xml:space="preserve"> por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una medida que genera un trato diferenciado puede representar una</w:t>
      </w:r>
      <w:r w:rsidRPr="006D0761">
        <w:rPr>
          <w:rFonts w:ascii="Times New Roman" w:hAnsi="Times New Roman"/>
          <w:color w:val="000000"/>
          <w:sz w:val="28"/>
          <w:szCs w:val="28"/>
          <w:lang w:val="es-ES"/>
        </w:rPr>
        <w:t xml:space="preserve"> violación del derecho a la igualdad</w:t>
      </w:r>
      <w:r w:rsidRPr="006D0761">
        <w:rPr>
          <w:rFonts w:ascii="Times New Roman" w:hAnsi="Times New Roman"/>
          <w:color w:val="000000"/>
          <w:sz w:val="28"/>
          <w:szCs w:val="28"/>
          <w:lang w:val="es-ES"/>
        </w:rPr>
        <w:t>. Esto cobra especial relevancia cuando se trata de una medida destinada a contrarrestar las desigualdades generadas por la perpetuación de patrones de de</w:t>
      </w:r>
      <w:r w:rsidRPr="006D0761">
        <w:rPr>
          <w:rFonts w:ascii="Times New Roman" w:hAnsi="Times New Roman"/>
          <w:color w:val="000000"/>
          <w:sz w:val="28"/>
          <w:szCs w:val="28"/>
          <w:lang w:val="es-ES"/>
        </w:rPr>
        <w:t xml:space="preserve">sigualdad y violencia en contra de la mujer. </w:t>
      </w:r>
    </w:p>
    <w:p w:rsidR="00CD2FD1" w:rsidRPr="006D0761" w:rsidRDefault="006D0761" w:rsidP="00EC589D">
      <w:pPr>
        <w:pStyle w:val="Prrafodelista"/>
        <w:ind w:left="0"/>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 xml:space="preserve">especificidad </w:t>
      </w:r>
      <w:r w:rsidRPr="006D0761">
        <w:rPr>
          <w:rFonts w:ascii="Times New Roman" w:hAnsi="Times New Roman"/>
          <w:color w:val="000000"/>
          <w:sz w:val="28"/>
          <w:szCs w:val="28"/>
          <w:lang w:val="es-ES"/>
        </w:rPr>
        <w:t>de los argumentos debe entonces</w:t>
      </w:r>
      <w:r w:rsidRPr="006D0761">
        <w:rPr>
          <w:rFonts w:ascii="Times New Roman" w:hAnsi="Times New Roman"/>
          <w:color w:val="000000"/>
          <w:sz w:val="28"/>
          <w:szCs w:val="28"/>
          <w:lang w:val="es-ES"/>
        </w:rPr>
        <w:t xml:space="preserve"> estructurarse a partir de l</w:t>
      </w:r>
      <w:r w:rsidRPr="006D0761">
        <w:rPr>
          <w:rFonts w:ascii="Times New Roman" w:hAnsi="Times New Roman"/>
          <w:color w:val="000000"/>
          <w:sz w:val="28"/>
          <w:szCs w:val="28"/>
          <w:lang w:val="es-ES"/>
        </w:rPr>
        <w:t xml:space="preserve">as exigencias que </w:t>
      </w:r>
      <w:r w:rsidRPr="006D0761">
        <w:rPr>
          <w:rFonts w:ascii="Times New Roman" w:hAnsi="Times New Roman"/>
          <w:color w:val="000000"/>
          <w:sz w:val="28"/>
          <w:szCs w:val="28"/>
          <w:lang w:val="es-ES"/>
        </w:rPr>
        <w:t xml:space="preserve">la Corte Constitucional ha establecido para identificar la validez constitucional de aquellas normas </w:t>
      </w:r>
      <w:r w:rsidRPr="006D0761">
        <w:rPr>
          <w:rFonts w:ascii="Times New Roman" w:hAnsi="Times New Roman"/>
          <w:color w:val="000000"/>
          <w:sz w:val="28"/>
          <w:szCs w:val="28"/>
          <w:lang w:val="es-ES"/>
        </w:rPr>
        <w:t>que generen un</w:t>
      </w:r>
      <w:r w:rsidRPr="006D0761">
        <w:rPr>
          <w:rFonts w:ascii="Times New Roman" w:hAnsi="Times New Roman"/>
          <w:color w:val="000000"/>
          <w:sz w:val="28"/>
          <w:szCs w:val="28"/>
          <w:lang w:val="es-ES"/>
        </w:rPr>
        <w:t xml:space="preserve"> trato diferenciado, </w:t>
      </w:r>
      <w:r w:rsidRPr="006D0761">
        <w:rPr>
          <w:rFonts w:ascii="Times New Roman" w:hAnsi="Times New Roman"/>
          <w:color w:val="000000"/>
          <w:sz w:val="28"/>
          <w:szCs w:val="28"/>
          <w:lang w:val="es-ES"/>
        </w:rPr>
        <w:t xml:space="preserve">de forma que sea posible </w:t>
      </w:r>
      <w:r w:rsidRPr="006D0761">
        <w:rPr>
          <w:rFonts w:ascii="Times New Roman" w:hAnsi="Times New Roman"/>
          <w:color w:val="000000"/>
          <w:sz w:val="28"/>
          <w:szCs w:val="28"/>
          <w:lang w:val="es-ES"/>
        </w:rPr>
        <w:t>determinar si dicho efecto está justificado en el contenido d</w:t>
      </w:r>
      <w:r w:rsidRPr="006D0761">
        <w:rPr>
          <w:rFonts w:ascii="Times New Roman" w:hAnsi="Times New Roman"/>
          <w:color w:val="000000"/>
          <w:sz w:val="28"/>
          <w:szCs w:val="28"/>
          <w:lang w:val="es-ES"/>
        </w:rPr>
        <w:t xml:space="preserve">el segundo inciso del artículo 13 </w:t>
      </w:r>
      <w:r w:rsidRPr="006D0761">
        <w:rPr>
          <w:rFonts w:ascii="Times New Roman" w:hAnsi="Times New Roman"/>
          <w:color w:val="000000"/>
          <w:sz w:val="28"/>
          <w:szCs w:val="28"/>
          <w:lang w:val="es-ES"/>
        </w:rPr>
        <w:t>superior según el cual:</w:t>
      </w:r>
      <w:r w:rsidRPr="006D0761">
        <w:rPr>
          <w:rFonts w:ascii="Times New Roman" w:hAnsi="Times New Roman"/>
          <w:color w:val="000000"/>
          <w:sz w:val="28"/>
          <w:szCs w:val="28"/>
          <w:lang w:val="es-ES"/>
        </w:rPr>
        <w:t xml:space="preserve"> “El Estado promoverá las condiciones para que la igualdad sea real y efectiva y adoptará me</w:t>
      </w:r>
      <w:r w:rsidRPr="006D0761">
        <w:rPr>
          <w:rFonts w:ascii="Times New Roman" w:hAnsi="Times New Roman"/>
          <w:color w:val="000000"/>
          <w:sz w:val="28"/>
          <w:szCs w:val="28"/>
          <w:lang w:val="es-ES"/>
        </w:rPr>
        <w:t>didas en favor de grupos discriminados o marginados”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Por su parte, </w:t>
      </w:r>
      <w:r w:rsidRPr="006D0761">
        <w:rPr>
          <w:rFonts w:ascii="Times New Roman" w:hAnsi="Times New Roman"/>
          <w:color w:val="000000"/>
          <w:sz w:val="28"/>
          <w:szCs w:val="28"/>
          <w:lang w:val="es-ES"/>
        </w:rPr>
        <w:t>la pertinencia de los argumentos implica que deben referirse a consideraciones con asidero constitucional.</w:t>
      </w:r>
    </w:p>
    <w:p w:rsidR="0039215C" w:rsidRPr="006D0761" w:rsidRDefault="006D0761" w:rsidP="00EB501B">
      <w:pPr>
        <w:pStyle w:val="Prrafodelista"/>
        <w:ind w:left="0"/>
        <w:rPr>
          <w:rFonts w:ascii="Times New Roman" w:hAnsi="Times New Roman"/>
          <w:color w:val="000000"/>
          <w:sz w:val="28"/>
          <w:szCs w:val="28"/>
          <w:lang w:val="es-ES"/>
        </w:rPr>
      </w:pPr>
    </w:p>
    <w:p w:rsidR="00EE19E7"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Al respecto, p</w:t>
      </w:r>
      <w:r w:rsidRPr="006D0761">
        <w:rPr>
          <w:rFonts w:ascii="Times New Roman" w:hAnsi="Times New Roman"/>
          <w:color w:val="000000"/>
          <w:sz w:val="28"/>
          <w:szCs w:val="28"/>
          <w:lang w:val="es-ES"/>
        </w:rPr>
        <w:t xml:space="preserve">ara poder formular válidamente un cargo por violación del derecho a la igualdad, </w:t>
      </w:r>
      <w:r w:rsidRPr="006D0761">
        <w:rPr>
          <w:rFonts w:ascii="Times New Roman" w:hAnsi="Times New Roman"/>
          <w:color w:val="000000"/>
          <w:sz w:val="28"/>
          <w:szCs w:val="28"/>
          <w:lang w:val="es-ES"/>
        </w:rPr>
        <w:t>le corresponde al accionante cumplir con la carga argumentativa que la jurisprudencia ha establecido para tal fin</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p>
    <w:p w:rsidR="00EE19E7" w:rsidRPr="006D0761" w:rsidRDefault="006D0761" w:rsidP="003F0F3D">
      <w:pPr>
        <w:pStyle w:val="Prrafodelista"/>
        <w:ind w:left="0"/>
        <w:rPr>
          <w:rFonts w:ascii="Times New Roman" w:hAnsi="Times New Roman"/>
          <w:color w:val="000000"/>
          <w:sz w:val="28"/>
          <w:szCs w:val="28"/>
          <w:lang w:val="es-ES"/>
        </w:rPr>
      </w:pPr>
    </w:p>
    <w:p w:rsidR="00E63F51"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efecto, la Carta Política reconoce y ampara ampliamente la igualdad, por ello del primer inciso del artículo 13, al establecer que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todas las personas nacen libres e iguales ante la ley</w:t>
      </w:r>
      <w:r w:rsidRPr="006D0761">
        <w:rPr>
          <w:rFonts w:ascii="Times New Roman" w:hAnsi="Times New Roman"/>
          <w:color w:val="000000"/>
          <w:sz w:val="28"/>
          <w:szCs w:val="28"/>
          <w:lang w:val="es-ES"/>
        </w:rPr>
        <w:t>”</w:t>
      </w:r>
      <w:r w:rsidRPr="006D0761">
        <w:rPr>
          <w:rStyle w:val="Refdenotaalpie"/>
          <w:rFonts w:ascii="Times New Roman" w:hAnsi="Times New Roman"/>
          <w:color w:val="000000"/>
          <w:sz w:val="28"/>
          <w:szCs w:val="28"/>
          <w:lang w:val="es-ES"/>
        </w:rPr>
        <w:footnoteReference w:id="33"/>
      </w:r>
      <w:r w:rsidRPr="006D0761">
        <w:rPr>
          <w:rStyle w:val="Refdenotaalpie"/>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y prohibir cualquier discriminación por razones de sexo, raza, </w:t>
      </w:r>
      <w:r w:rsidRPr="006D0761">
        <w:rPr>
          <w:rFonts w:ascii="Times New Roman" w:hAnsi="Times New Roman"/>
          <w:color w:val="000000"/>
          <w:sz w:val="28"/>
          <w:szCs w:val="28"/>
          <w:lang w:val="es-ES"/>
        </w:rPr>
        <w:t>origen nacional o familiar, lengua, religión, opinión política o filosófica</w:t>
      </w:r>
      <w:r w:rsidRPr="006D0761">
        <w:rPr>
          <w:rFonts w:ascii="Times New Roman" w:hAnsi="Times New Roman"/>
          <w:color w:val="000000"/>
          <w:sz w:val="28"/>
          <w:szCs w:val="28"/>
          <w:lang w:val="es-ES"/>
        </w:rPr>
        <w:t>, prohíbe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al </w:t>
      </w:r>
      <w:r w:rsidRPr="006D0761">
        <w:rPr>
          <w:rFonts w:ascii="Times New Roman" w:hAnsi="Times New Roman"/>
          <w:color w:val="000000"/>
          <w:sz w:val="28"/>
          <w:szCs w:val="28"/>
          <w:lang w:val="es-ES"/>
        </w:rPr>
        <w:t>legislado</w:t>
      </w:r>
      <w:r w:rsidRPr="006D0761">
        <w:rPr>
          <w:rFonts w:ascii="Times New Roman" w:hAnsi="Times New Roman"/>
          <w:color w:val="000000"/>
          <w:sz w:val="28"/>
          <w:szCs w:val="28"/>
          <w:lang w:val="es-ES"/>
        </w:rPr>
        <w:t>r</w:t>
      </w:r>
      <w:r w:rsidRPr="006D0761">
        <w:rPr>
          <w:rFonts w:ascii="Times New Roman" w:hAnsi="Times New Roman"/>
          <w:color w:val="000000"/>
          <w:sz w:val="28"/>
          <w:szCs w:val="28"/>
          <w:lang w:val="es-ES"/>
        </w:rPr>
        <w:t xml:space="preserve"> establecer tratos diferenciados entre las personas o grupos de personas, a menos que existan razones suficientes para ello. </w:t>
      </w:r>
    </w:p>
    <w:p w:rsidR="0039215C" w:rsidRPr="006D0761" w:rsidRDefault="006D0761" w:rsidP="00330CB9">
      <w:pPr>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Este</w:t>
      </w:r>
      <w:r w:rsidRPr="006D0761">
        <w:rPr>
          <w:rFonts w:ascii="Times New Roman" w:hAnsi="Times New Roman"/>
          <w:color w:val="000000"/>
          <w:sz w:val="28"/>
          <w:szCs w:val="28"/>
          <w:lang w:val="es-ES"/>
        </w:rPr>
        <w:t xml:space="preserve"> es el</w:t>
      </w:r>
      <w:r w:rsidRPr="006D0761">
        <w:rPr>
          <w:rFonts w:ascii="Times New Roman" w:hAnsi="Times New Roman"/>
          <w:color w:val="000000"/>
          <w:sz w:val="28"/>
          <w:szCs w:val="28"/>
          <w:lang w:val="es-ES"/>
        </w:rPr>
        <w:t xml:space="preserve"> punto de partida</w:t>
      </w:r>
      <w:r w:rsidRPr="006D0761">
        <w:rPr>
          <w:rFonts w:ascii="Times New Roman" w:hAnsi="Times New Roman"/>
          <w:color w:val="000000"/>
          <w:sz w:val="28"/>
          <w:szCs w:val="28"/>
          <w:lang w:val="es-ES"/>
        </w:rPr>
        <w:t xml:space="preserve"> del</w:t>
      </w:r>
      <w:r w:rsidRPr="006D0761">
        <w:rPr>
          <w:rFonts w:ascii="Times New Roman" w:hAnsi="Times New Roman"/>
          <w:color w:val="000000"/>
          <w:sz w:val="28"/>
          <w:szCs w:val="28"/>
          <w:lang w:val="es-ES"/>
        </w:rPr>
        <w:t xml:space="preserve"> derecho a la </w:t>
      </w:r>
      <w:r w:rsidRPr="006D0761">
        <w:rPr>
          <w:rFonts w:ascii="Times New Roman" w:hAnsi="Times New Roman"/>
          <w:color w:val="000000"/>
          <w:sz w:val="28"/>
          <w:szCs w:val="28"/>
          <w:lang w:val="es-ES"/>
        </w:rPr>
        <w:t>igualdad, que su</w:t>
      </w:r>
      <w:r w:rsidRPr="006D0761">
        <w:rPr>
          <w:rFonts w:ascii="Times New Roman" w:hAnsi="Times New Roman"/>
          <w:color w:val="000000"/>
          <w:sz w:val="28"/>
          <w:szCs w:val="28"/>
          <w:lang w:val="es-ES"/>
        </w:rPr>
        <w:t xml:space="preserve">pone que existe una preferencia </w:t>
      </w:r>
      <w:r w:rsidRPr="006D0761">
        <w:rPr>
          <w:rFonts w:ascii="Times New Roman" w:hAnsi="Times New Roman"/>
          <w:i/>
          <w:iCs/>
          <w:color w:val="000000"/>
          <w:sz w:val="28"/>
          <w:szCs w:val="28"/>
          <w:lang w:val="es-ES"/>
        </w:rPr>
        <w:t>prima facie</w:t>
      </w:r>
      <w:r w:rsidRPr="006D0761">
        <w:rPr>
          <w:rFonts w:ascii="Times New Roman" w:hAnsi="Times New Roman"/>
          <w:color w:val="000000"/>
          <w:sz w:val="28"/>
          <w:szCs w:val="28"/>
          <w:lang w:val="es-ES"/>
        </w:rPr>
        <w:t xml:space="preserve"> a favor de la igualdad</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n esa medida, la constitucionalidad de un trato diverso depende de la posibilidad de demostrar (a) que existen diferencias fácticas entre las personas, grupo</w:t>
      </w:r>
      <w:r w:rsidRPr="006D0761">
        <w:rPr>
          <w:rFonts w:ascii="Times New Roman" w:hAnsi="Times New Roman"/>
          <w:color w:val="000000"/>
          <w:sz w:val="28"/>
          <w:szCs w:val="28"/>
          <w:lang w:val="es-ES"/>
        </w:rPr>
        <w:t>s o supuestos a los cuales la regulación se refiere o (b) que es posible aducir razones constitucionales que permitan u ordenen, a pesar de la similitud, que el legislador introduzca tratos diferenciados</w:t>
      </w:r>
      <w:r w:rsidRPr="006D0761">
        <w:rPr>
          <w:rStyle w:val="Refdenotaalpie"/>
          <w:rFonts w:ascii="Times New Roman" w:hAnsi="Times New Roman"/>
          <w:color w:val="000000"/>
          <w:sz w:val="28"/>
          <w:szCs w:val="28"/>
          <w:lang w:val="es-ES"/>
        </w:rPr>
        <w:footnoteReference w:id="34"/>
      </w:r>
      <w:r w:rsidRPr="006D0761">
        <w:rPr>
          <w:rFonts w:ascii="Times New Roman" w:hAnsi="Times New Roman"/>
          <w:color w:val="000000"/>
          <w:sz w:val="28"/>
          <w:szCs w:val="28"/>
          <w:lang w:val="es-ES"/>
        </w:rPr>
        <w:t>.</w:t>
      </w:r>
    </w:p>
    <w:p w:rsidR="0039215C" w:rsidRPr="006D0761" w:rsidRDefault="006D0761" w:rsidP="006D0761">
      <w:pPr>
        <w:shd w:val="clear" w:color="auto" w:fill="FFFFFF"/>
        <w:jc w:val="both"/>
        <w:textAlignment w:val="baseline"/>
        <w:rPr>
          <w:rFonts w:ascii="Times New Roman" w:hAnsi="Times New Roman"/>
          <w:color w:val="000000"/>
          <w:sz w:val="28"/>
          <w:szCs w:val="28"/>
          <w:lang w:val="es-ES"/>
        </w:rPr>
      </w:pPr>
    </w:p>
    <w:p w:rsidR="0039215C" w:rsidRPr="006D0761" w:rsidRDefault="006D0761" w:rsidP="006D0761">
      <w:pPr>
        <w:pStyle w:val="Prrafodelista"/>
        <w:numPr>
          <w:ilvl w:val="0"/>
          <w:numId w:val="3"/>
        </w:numPr>
        <w:shd w:val="clear" w:color="auto" w:fill="FFFFFF"/>
        <w:ind w:left="0" w:firstLine="0"/>
        <w:jc w:val="both"/>
        <w:textAlignment w:val="baseline"/>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Por otra parte, </w:t>
      </w:r>
      <w:r w:rsidRPr="006D0761">
        <w:rPr>
          <w:rFonts w:ascii="Times New Roman" w:hAnsi="Times New Roman"/>
          <w:color w:val="000000"/>
          <w:sz w:val="28"/>
          <w:szCs w:val="28"/>
          <w:lang w:val="es-ES"/>
        </w:rPr>
        <w:t xml:space="preserve">la Constitución </w:t>
      </w:r>
      <w:r w:rsidRPr="006D0761">
        <w:rPr>
          <w:rFonts w:ascii="Times New Roman" w:hAnsi="Times New Roman"/>
          <w:color w:val="000000"/>
          <w:sz w:val="28"/>
          <w:szCs w:val="28"/>
          <w:lang w:val="es-ES"/>
        </w:rPr>
        <w:t xml:space="preserve">también estableció el mandato de trato especial en </w:t>
      </w:r>
      <w:r w:rsidRPr="006D0761">
        <w:rPr>
          <w:rFonts w:ascii="Times New Roman" w:hAnsi="Times New Roman"/>
          <w:color w:val="000000"/>
          <w:sz w:val="28"/>
          <w:szCs w:val="28"/>
          <w:lang w:val="es-ES"/>
        </w:rPr>
        <w:t xml:space="preserve">los incisos segundo y tercero </w:t>
      </w:r>
      <w:r w:rsidRPr="006D0761">
        <w:rPr>
          <w:rFonts w:ascii="Times New Roman" w:hAnsi="Times New Roman"/>
          <w:color w:val="000000"/>
          <w:sz w:val="28"/>
          <w:szCs w:val="28"/>
          <w:lang w:val="es-ES"/>
        </w:rPr>
        <w:t>del</w:t>
      </w:r>
      <w:r w:rsidRPr="006D0761">
        <w:rPr>
          <w:rFonts w:ascii="Times New Roman" w:hAnsi="Times New Roman"/>
          <w:color w:val="000000"/>
          <w:sz w:val="28"/>
          <w:szCs w:val="28"/>
          <w:lang w:val="es-ES"/>
        </w:rPr>
        <w:t xml:space="preserve"> artículo 13</w:t>
      </w:r>
      <w:r w:rsidRPr="006D0761">
        <w:rPr>
          <w:rFonts w:ascii="Times New Roman" w:hAnsi="Times New Roman"/>
          <w:color w:val="000000"/>
          <w:sz w:val="28"/>
          <w:szCs w:val="28"/>
          <w:lang w:val="es-ES"/>
        </w:rPr>
        <w:t xml:space="preserve">, en la denominada </w:t>
      </w:r>
      <w:r w:rsidRPr="006D0761">
        <w:rPr>
          <w:rFonts w:ascii="Times New Roman" w:hAnsi="Times New Roman"/>
          <w:i/>
          <w:iCs/>
          <w:color w:val="000000"/>
          <w:sz w:val="28"/>
          <w:szCs w:val="28"/>
          <w:lang w:val="es-ES"/>
        </w:rPr>
        <w:t>cláusula de erradicación de las injusticias presentes</w:t>
      </w:r>
      <w:r w:rsidRPr="006D0761">
        <w:rPr>
          <w:rStyle w:val="Refdenotaalpie"/>
          <w:rFonts w:ascii="Times New Roman" w:hAnsi="Times New Roman"/>
          <w:color w:val="000000"/>
          <w:sz w:val="28"/>
          <w:szCs w:val="28"/>
          <w:lang w:val="es-ES"/>
        </w:rPr>
        <w:footnoteReference w:id="35"/>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Ello implica que frente a sujetos que se encuentran en situación de debilidad o que h</w:t>
      </w:r>
      <w:r w:rsidRPr="006D0761">
        <w:rPr>
          <w:rFonts w:ascii="Times New Roman" w:hAnsi="Times New Roman"/>
          <w:color w:val="000000"/>
          <w:sz w:val="28"/>
          <w:szCs w:val="28"/>
          <w:lang w:val="es-ES"/>
        </w:rPr>
        <w:t xml:space="preserve">an sido discriminados o marginados, </w:t>
      </w:r>
      <w:r w:rsidRPr="006D0761">
        <w:rPr>
          <w:rFonts w:ascii="Times New Roman" w:hAnsi="Times New Roman"/>
          <w:color w:val="000000"/>
          <w:sz w:val="28"/>
          <w:szCs w:val="28"/>
          <w:lang w:val="es-ES"/>
        </w:rPr>
        <w:t xml:space="preserve">la Constitución </w:t>
      </w:r>
      <w:r w:rsidRPr="006D0761">
        <w:rPr>
          <w:rFonts w:ascii="Times New Roman" w:hAnsi="Times New Roman"/>
          <w:color w:val="000000"/>
          <w:sz w:val="28"/>
          <w:szCs w:val="28"/>
          <w:lang w:val="es-ES"/>
        </w:rPr>
        <w:t xml:space="preserve">activa una obligación particular </w:t>
      </w:r>
      <w:r w:rsidRPr="006D0761">
        <w:rPr>
          <w:rFonts w:ascii="Times New Roman" w:hAnsi="Times New Roman"/>
          <w:color w:val="000000"/>
          <w:sz w:val="28"/>
          <w:szCs w:val="28"/>
          <w:lang w:val="es-ES"/>
        </w:rPr>
        <w:t xml:space="preserve">para el Estado consistente en </w:t>
      </w:r>
      <w:r w:rsidRPr="006D0761">
        <w:rPr>
          <w:rFonts w:ascii="Times New Roman" w:hAnsi="Times New Roman"/>
          <w:color w:val="000000"/>
          <w:sz w:val="28"/>
          <w:szCs w:val="28"/>
          <w:lang w:val="es-ES"/>
        </w:rPr>
        <w:t>adoptar medidas especiales para asegurar su protección</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así como la igualdad real y efectiva</w:t>
      </w:r>
      <w:r w:rsidRPr="006D0761">
        <w:rPr>
          <w:rStyle w:val="Refdenotaalpie"/>
          <w:rFonts w:ascii="Times New Roman" w:hAnsi="Times New Roman"/>
          <w:color w:val="000000"/>
          <w:sz w:val="28"/>
          <w:szCs w:val="28"/>
          <w:lang w:val="es-ES"/>
        </w:rPr>
        <w:footnoteReference w:id="36"/>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En esos casos, las premisas de análisis enunci</w:t>
      </w:r>
      <w:r w:rsidRPr="006D0761">
        <w:rPr>
          <w:rFonts w:ascii="Times New Roman" w:hAnsi="Times New Roman"/>
          <w:color w:val="000000"/>
          <w:sz w:val="28"/>
          <w:szCs w:val="28"/>
          <w:lang w:val="es-ES"/>
        </w:rPr>
        <w:t>adas anteriormente pueden sufrir modificaciones dado que, tratándose de este tipo de sujetos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existe una carga a favor del trato especial.  </w:t>
      </w:r>
    </w:p>
    <w:p w:rsidR="0039215C" w:rsidRPr="006D0761" w:rsidRDefault="006D0761" w:rsidP="00EB501B">
      <w:pPr>
        <w:pStyle w:val="Prrafodelista"/>
        <w:ind w:left="0"/>
        <w:rPr>
          <w:rFonts w:ascii="Times New Roman" w:hAnsi="Times New Roman"/>
          <w:color w:val="000000"/>
          <w:sz w:val="28"/>
          <w:szCs w:val="28"/>
          <w:lang w:val="es-ES"/>
        </w:rPr>
      </w:pPr>
    </w:p>
    <w:p w:rsidR="009873D6" w:rsidRPr="006D0761" w:rsidRDefault="006D0761" w:rsidP="006D0761">
      <w:pPr>
        <w:pStyle w:val="Prrafodelista"/>
        <w:numPr>
          <w:ilvl w:val="0"/>
          <w:numId w:val="3"/>
        </w:numPr>
        <w:shd w:val="clear" w:color="auto" w:fill="FFFFFF"/>
        <w:ind w:left="0" w:firstLine="0"/>
        <w:jc w:val="both"/>
        <w:textAlignment w:val="baseline"/>
        <w:rPr>
          <w:rFonts w:ascii="Times New Roman" w:hAnsi="Times New Roman"/>
          <w:color w:val="000000"/>
          <w:sz w:val="28"/>
          <w:szCs w:val="28"/>
          <w:lang w:val="es-ES"/>
        </w:rPr>
      </w:pPr>
      <w:r w:rsidRPr="006D0761">
        <w:rPr>
          <w:rFonts w:ascii="Times New Roman" w:hAnsi="Times New Roman"/>
          <w:color w:val="000000"/>
          <w:sz w:val="28"/>
          <w:szCs w:val="28"/>
          <w:lang w:val="es-ES"/>
        </w:rPr>
        <w:t>El control de constitucionalidad de normas impugnadas por desconocer el mandato constitucional de igualdad ante la ley plantea, en general, problemas complejos. En efecto, la igualdad es un concepto relacional que, en general y salvo las obligaciones de pr</w:t>
      </w:r>
      <w:r w:rsidRPr="006D0761">
        <w:rPr>
          <w:rFonts w:ascii="Times New Roman" w:hAnsi="Times New Roman"/>
          <w:color w:val="000000"/>
          <w:sz w:val="28"/>
          <w:szCs w:val="28"/>
          <w:lang w:val="es-ES"/>
        </w:rPr>
        <w:t xml:space="preserve">otección especial, no tiene un contenido unívoco. Su concreción depende, en buena medida, de dar respuesta a preguntas relativas </w:t>
      </w:r>
      <w:r w:rsidRPr="006D0761">
        <w:rPr>
          <w:rFonts w:ascii="Times New Roman" w:hAnsi="Times New Roman"/>
          <w:color w:val="000000"/>
          <w:sz w:val="28"/>
          <w:szCs w:val="28"/>
          <w:lang w:val="es-ES"/>
        </w:rPr>
        <w:t xml:space="preserve">sobre </w:t>
      </w:r>
      <w:r w:rsidRPr="006D0761">
        <w:rPr>
          <w:rFonts w:ascii="Times New Roman" w:hAnsi="Times New Roman"/>
          <w:color w:val="000000"/>
          <w:sz w:val="28"/>
          <w:szCs w:val="28"/>
          <w:lang w:val="es-ES"/>
        </w:rPr>
        <w:t>(i) los sujetos o grupos que se comparan, (ii)</w:t>
      </w:r>
      <w:r w:rsidRPr="006D0761">
        <w:rPr>
          <w:rFonts w:ascii="Times New Roman" w:hAnsi="Times New Roman"/>
          <w:color w:val="000000"/>
          <w:sz w:val="28"/>
          <w:szCs w:val="28"/>
          <w:lang w:val="es-ES"/>
        </w:rPr>
        <w:t xml:space="preserve"> el</w:t>
      </w:r>
      <w:r w:rsidRPr="006D0761">
        <w:rPr>
          <w:rFonts w:ascii="Times New Roman" w:hAnsi="Times New Roman"/>
          <w:color w:val="000000"/>
          <w:sz w:val="28"/>
          <w:szCs w:val="28"/>
          <w:lang w:val="es-ES"/>
        </w:rPr>
        <w:t xml:space="preserve"> criterio para determinar si son iguales o diferentes y (iii) </w:t>
      </w:r>
      <w:r w:rsidRPr="006D0761">
        <w:rPr>
          <w:rFonts w:ascii="Times New Roman" w:hAnsi="Times New Roman"/>
          <w:color w:val="000000"/>
          <w:sz w:val="28"/>
          <w:szCs w:val="28"/>
          <w:lang w:val="es-ES"/>
        </w:rPr>
        <w:t>el</w:t>
      </w:r>
      <w:r w:rsidRPr="006D0761">
        <w:rPr>
          <w:rFonts w:ascii="Times New Roman" w:hAnsi="Times New Roman"/>
          <w:color w:val="000000"/>
          <w:sz w:val="28"/>
          <w:szCs w:val="28"/>
          <w:lang w:val="es-ES"/>
        </w:rPr>
        <w:t xml:space="preserve"> tipo de</w:t>
      </w:r>
      <w:r w:rsidRPr="006D0761">
        <w:rPr>
          <w:rFonts w:ascii="Times New Roman" w:hAnsi="Times New Roman"/>
          <w:color w:val="000000"/>
          <w:sz w:val="28"/>
          <w:szCs w:val="28"/>
          <w:lang w:val="es-ES"/>
        </w:rPr>
        <w:t xml:space="preserve"> trato conferido. </w:t>
      </w:r>
      <w:r w:rsidRPr="006D0761">
        <w:rPr>
          <w:rFonts w:ascii="Times New Roman" w:hAnsi="Times New Roman"/>
          <w:color w:val="000000"/>
          <w:sz w:val="28"/>
          <w:szCs w:val="28"/>
          <w:lang w:val="es-ES"/>
        </w:rPr>
        <w:t xml:space="preserve"> </w:t>
      </w:r>
    </w:p>
    <w:p w:rsidR="009873D6" w:rsidRPr="006D0761" w:rsidRDefault="006D0761" w:rsidP="00EB501B">
      <w:pPr>
        <w:pStyle w:val="Prrafodelista"/>
        <w:ind w:left="0"/>
        <w:rPr>
          <w:rFonts w:ascii="Times New Roman" w:hAnsi="Times New Roman"/>
          <w:color w:val="000000"/>
          <w:sz w:val="28"/>
          <w:szCs w:val="28"/>
          <w:lang w:val="es-ES"/>
        </w:rPr>
      </w:pPr>
    </w:p>
    <w:p w:rsidR="0039215C" w:rsidRPr="006D0761" w:rsidRDefault="006D0761" w:rsidP="006D0761">
      <w:pPr>
        <w:pStyle w:val="Prrafodelista"/>
        <w:numPr>
          <w:ilvl w:val="0"/>
          <w:numId w:val="3"/>
        </w:numPr>
        <w:shd w:val="clear" w:color="auto" w:fill="FFFFFF"/>
        <w:ind w:left="0" w:firstLine="0"/>
        <w:jc w:val="both"/>
        <w:textAlignment w:val="baseline"/>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Es por ello que este Tribunal, desde sus primeras providencias ha indicado: </w:t>
      </w:r>
    </w:p>
    <w:p w:rsidR="0039215C" w:rsidRPr="006D0761" w:rsidRDefault="006D0761" w:rsidP="6D224379">
      <w:pPr>
        <w:ind w:right="-46"/>
        <w:jc w:val="both"/>
        <w:rPr>
          <w:rFonts w:ascii="Times New Roman" w:hAnsi="Times New Roman"/>
          <w:color w:val="000000"/>
          <w:sz w:val="28"/>
          <w:szCs w:val="28"/>
          <w:lang w:val="es-ES"/>
        </w:rPr>
      </w:pPr>
    </w:p>
    <w:p w:rsidR="0039215C" w:rsidRPr="006D0761" w:rsidRDefault="006D0761" w:rsidP="00EB501B">
      <w:pPr>
        <w:ind w:left="567" w:right="567"/>
        <w:jc w:val="both"/>
        <w:rPr>
          <w:rFonts w:ascii="Times New Roman" w:hAnsi="Times New Roman"/>
          <w:color w:val="000000"/>
          <w:sz w:val="28"/>
          <w:lang w:val="es-ES"/>
        </w:rPr>
      </w:pPr>
      <w:r w:rsidRPr="006D0761">
        <w:rPr>
          <w:rFonts w:ascii="Times New Roman" w:hAnsi="Times New Roman"/>
          <w:color w:val="000000"/>
          <w:sz w:val="28"/>
          <w:lang w:val="es-ES"/>
        </w:rPr>
        <w:t>“</w:t>
      </w:r>
      <w:r w:rsidRPr="006D0761">
        <w:rPr>
          <w:rFonts w:ascii="Times New Roman" w:hAnsi="Times New Roman"/>
          <w:color w:val="000000"/>
          <w:sz w:val="28"/>
          <w:shd w:val="clear" w:color="auto" w:fill="FFFFFF"/>
          <w:lang w:val="es-ES"/>
        </w:rPr>
        <w:t>(…) hablar de igualdad o desigualdad, siguiendo alguna variante de la fórmula clásica (como la contenida en el artículo 13 de la Constitución Política), tie</w:t>
      </w:r>
      <w:r w:rsidRPr="006D0761">
        <w:rPr>
          <w:rFonts w:ascii="Times New Roman" w:hAnsi="Times New Roman"/>
          <w:color w:val="000000"/>
          <w:sz w:val="28"/>
          <w:shd w:val="clear" w:color="auto" w:fill="FFFFFF"/>
          <w:lang w:val="es-ES"/>
        </w:rPr>
        <w:t xml:space="preserve">ne sentido sólo en la medida en que se respondan las siguientes tres preguntas: ¿igualdad entre quiénes?, ¿igualdad en qué?, ¿igualdad con base en qué </w:t>
      </w:r>
      <w:r w:rsidRPr="006D0761">
        <w:rPr>
          <w:rFonts w:ascii="Times New Roman" w:hAnsi="Times New Roman"/>
          <w:color w:val="000000"/>
          <w:sz w:val="28"/>
          <w:shd w:val="clear" w:color="auto" w:fill="FFFFFF"/>
          <w:lang w:val="es-ES"/>
        </w:rPr>
        <w:t>criterio?</w:t>
      </w:r>
      <w:r w:rsidRPr="006D0761">
        <w:rPr>
          <w:rFonts w:ascii="Times New Roman" w:hAnsi="Times New Roman"/>
          <w:color w:val="000000"/>
          <w:sz w:val="28"/>
          <w:shd w:val="clear" w:color="auto" w:fill="FFFFFF"/>
          <w:lang w:val="es-ES"/>
        </w:rPr>
        <w:t>”</w:t>
      </w:r>
      <w:r w:rsidRPr="006D0761">
        <w:rPr>
          <w:rStyle w:val="Refdenotaalpie"/>
          <w:rFonts w:ascii="Times New Roman" w:hAnsi="Times New Roman"/>
          <w:color w:val="000000"/>
          <w:sz w:val="28"/>
          <w:shd w:val="clear" w:color="auto" w:fill="FFFFFF"/>
          <w:lang w:val="es-ES"/>
        </w:rPr>
        <w:footnoteReference w:id="37"/>
      </w:r>
      <w:r w:rsidRPr="006D0761">
        <w:rPr>
          <w:rFonts w:ascii="Times New Roman" w:hAnsi="Times New Roman"/>
          <w:color w:val="000000"/>
          <w:sz w:val="28"/>
          <w:lang w:val="es-ES"/>
        </w:rPr>
        <w:t>.</w:t>
      </w:r>
    </w:p>
    <w:p w:rsidR="00290747" w:rsidRPr="006D0761" w:rsidRDefault="006D0761" w:rsidP="6D224379">
      <w:pPr>
        <w:ind w:right="335"/>
        <w:jc w:val="both"/>
        <w:rPr>
          <w:rFonts w:ascii="Times New Roman" w:hAnsi="Times New Roman"/>
          <w:color w:val="000000"/>
          <w:sz w:val="28"/>
          <w:szCs w:val="28"/>
          <w:lang w:val="es-ES"/>
        </w:rPr>
      </w:pPr>
    </w:p>
    <w:p w:rsidR="00290747" w:rsidRPr="006D0761" w:rsidRDefault="006D0761" w:rsidP="00EB501B">
      <w:pPr>
        <w:pStyle w:val="Ttulo3"/>
        <w:numPr>
          <w:ilvl w:val="1"/>
          <w:numId w:val="4"/>
        </w:numPr>
        <w:ind w:left="0" w:firstLine="0"/>
        <w:rPr>
          <w:rFonts w:ascii="Times New Roman" w:hAnsi="Times New Roman"/>
          <w:sz w:val="28"/>
          <w:szCs w:val="28"/>
          <w:lang w:val="es-ES"/>
        </w:rPr>
      </w:pPr>
      <w:bookmarkStart w:id="15" w:name="_Toc220572673"/>
      <w:r w:rsidRPr="006D0761">
        <w:rPr>
          <w:rFonts w:ascii="Times New Roman" w:hAnsi="Times New Roman"/>
          <w:sz w:val="28"/>
          <w:szCs w:val="28"/>
          <w:lang w:val="es-ES"/>
        </w:rPr>
        <w:t xml:space="preserve">Requerimientos particulares cuando se alega la violación del </w:t>
      </w:r>
      <w:r w:rsidRPr="006D0761">
        <w:rPr>
          <w:rFonts w:ascii="Times New Roman" w:hAnsi="Times New Roman"/>
          <w:i/>
          <w:iCs/>
          <w:sz w:val="28"/>
          <w:szCs w:val="28"/>
          <w:lang w:val="es-ES"/>
        </w:rPr>
        <w:t>mandato de trato igual</w:t>
      </w:r>
      <w:bookmarkEnd w:id="15"/>
    </w:p>
    <w:p w:rsidR="0039215C" w:rsidRPr="006D0761" w:rsidRDefault="006D0761" w:rsidP="00EB501B">
      <w:pPr>
        <w:pStyle w:val="Prrafodelista"/>
        <w:ind w:left="0"/>
        <w:rPr>
          <w:rFonts w:ascii="Times New Roman" w:hAnsi="Times New Roman"/>
          <w:color w:val="000000"/>
          <w:sz w:val="28"/>
          <w:szCs w:val="28"/>
          <w:lang w:val="es-ES"/>
        </w:rPr>
      </w:pPr>
    </w:p>
    <w:p w:rsidR="00B03215"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esta oportunidad la Corte reitera la jurisprudencia sostenida a partir de la Sentencia </w:t>
      </w:r>
      <w:bookmarkStart w:id="16" w:name="_Hlk213666015"/>
      <w:r w:rsidRPr="006D0761">
        <w:rPr>
          <w:rFonts w:ascii="Times New Roman" w:hAnsi="Times New Roman"/>
          <w:color w:val="000000"/>
          <w:sz w:val="28"/>
          <w:szCs w:val="28"/>
          <w:lang w:val="es-ES"/>
        </w:rPr>
        <w:t>C-536 de 2016</w:t>
      </w:r>
      <w:bookmarkEnd w:id="16"/>
      <w:r w:rsidRPr="006D0761">
        <w:rPr>
          <w:rFonts w:ascii="Times New Roman" w:hAnsi="Times New Roman"/>
          <w:color w:val="000000"/>
          <w:sz w:val="28"/>
          <w:szCs w:val="28"/>
          <w:lang w:val="es-ES"/>
        </w:rPr>
        <w:t xml:space="preserve">, en la cual se resumieron los elementos del </w:t>
      </w:r>
      <w:r w:rsidRPr="006D0761">
        <w:rPr>
          <w:rFonts w:ascii="Times New Roman" w:hAnsi="Times New Roman"/>
          <w:color w:val="000000"/>
          <w:sz w:val="28"/>
          <w:szCs w:val="28"/>
          <w:lang w:val="es-ES"/>
        </w:rPr>
        <w:t xml:space="preserve">examen de </w:t>
      </w:r>
      <w:r w:rsidRPr="006D0761">
        <w:rPr>
          <w:rFonts w:ascii="Times New Roman" w:hAnsi="Times New Roman"/>
          <w:color w:val="000000"/>
          <w:sz w:val="28"/>
          <w:szCs w:val="28"/>
          <w:lang w:val="es-ES"/>
        </w:rPr>
        <w:t>igualdad</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exigibles para cumplir con la aptitud de un cargo por violación de</w:t>
      </w:r>
      <w:r w:rsidRPr="006D0761">
        <w:rPr>
          <w:rFonts w:ascii="Times New Roman" w:hAnsi="Times New Roman"/>
          <w:color w:val="000000"/>
          <w:sz w:val="28"/>
          <w:szCs w:val="28"/>
          <w:lang w:val="es-ES"/>
        </w:rPr>
        <w:t xml:space="preserve"> ese</w:t>
      </w:r>
      <w:r w:rsidRPr="006D0761">
        <w:rPr>
          <w:rFonts w:ascii="Times New Roman" w:hAnsi="Times New Roman"/>
          <w:color w:val="000000"/>
          <w:sz w:val="28"/>
          <w:szCs w:val="28"/>
          <w:lang w:val="es-ES"/>
        </w:rPr>
        <w:t xml:space="preserve"> derecho.</w:t>
      </w:r>
    </w:p>
    <w:p w:rsidR="00B03215" w:rsidRPr="006D0761" w:rsidRDefault="006D0761" w:rsidP="003F0F3D">
      <w:pPr>
        <w:pStyle w:val="NormalWeb"/>
        <w:spacing w:before="0" w:beforeAutospacing="0" w:after="0" w:afterAutospacing="0"/>
        <w:jc w:val="both"/>
        <w:rPr>
          <w:rFonts w:ascii="Times New Roman" w:hAnsi="Times New Roman"/>
          <w:color w:val="000000"/>
          <w:sz w:val="28"/>
          <w:szCs w:val="28"/>
          <w:lang w:val="es-ES"/>
        </w:rPr>
      </w:pPr>
    </w:p>
    <w:p w:rsidR="0039215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Bajo ese</w:t>
      </w:r>
      <w:r w:rsidRPr="006D0761">
        <w:rPr>
          <w:rFonts w:ascii="Times New Roman" w:hAnsi="Times New Roman"/>
          <w:color w:val="000000"/>
          <w:sz w:val="28"/>
          <w:szCs w:val="28"/>
          <w:lang w:val="es-ES"/>
        </w:rPr>
        <w:t xml:space="preserve"> entendido, c</w:t>
      </w:r>
      <w:r w:rsidRPr="006D0761">
        <w:rPr>
          <w:rFonts w:ascii="Times New Roman" w:hAnsi="Times New Roman"/>
          <w:color w:val="000000"/>
          <w:sz w:val="28"/>
          <w:szCs w:val="28"/>
          <w:lang w:val="es-ES"/>
        </w:rPr>
        <w:t xml:space="preserve">uatro son las exigencias imprescindibles de cualquier acusación por violación de la igualdad. </w:t>
      </w:r>
      <w:r w:rsidRPr="006D0761">
        <w:rPr>
          <w:rFonts w:ascii="Times New Roman" w:hAnsi="Times New Roman"/>
          <w:color w:val="000000"/>
          <w:sz w:val="28"/>
          <w:szCs w:val="28"/>
          <w:lang w:val="es-ES"/>
        </w:rPr>
        <w:t>Primero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el demandante debe dirigirla en contra de una disposición que establezca, en realidad, un tratamiento diferente o igual a determinadas personas o grupos. </w:t>
      </w:r>
      <w:r w:rsidRPr="006D0761">
        <w:rPr>
          <w:rFonts w:ascii="Times New Roman" w:hAnsi="Times New Roman"/>
          <w:color w:val="000000"/>
          <w:sz w:val="28"/>
          <w:szCs w:val="28"/>
          <w:lang w:val="es-ES"/>
        </w:rPr>
        <w:t>Segundo,</w:t>
      </w:r>
      <w:r w:rsidRPr="006D0761">
        <w:rPr>
          <w:rFonts w:ascii="Times New Roman" w:hAnsi="Times New Roman"/>
          <w:color w:val="000000"/>
          <w:sz w:val="28"/>
          <w:szCs w:val="28"/>
          <w:lang w:val="es-ES"/>
        </w:rPr>
        <w:t xml:space="preserve"> deberá identificar los sujetos, grupos o supuestos que deben ser comparados de manera que se</w:t>
      </w:r>
      <w:r w:rsidRPr="006D0761">
        <w:rPr>
          <w:rFonts w:ascii="Times New Roman" w:hAnsi="Times New Roman"/>
          <w:color w:val="000000"/>
          <w:sz w:val="28"/>
          <w:szCs w:val="28"/>
          <w:lang w:val="es-ES"/>
        </w:rPr>
        <w:t xml:space="preserve">a posible establecer con precisión los extremos de la contrastación. Dada la libertad de configuración del Congreso, no basta con identificar uno de los extremos de manera precisa y referir de forma general “todos los demás” o el universo restante. </w:t>
      </w:r>
      <w:r w:rsidRPr="006D0761">
        <w:rPr>
          <w:rFonts w:ascii="Times New Roman" w:hAnsi="Times New Roman"/>
          <w:color w:val="000000"/>
          <w:sz w:val="28"/>
          <w:szCs w:val="28"/>
          <w:lang w:val="es-ES"/>
        </w:rPr>
        <w:t>Tercero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la impugnación debe señalar el criterio con fundamento en el cual debe hacerse la comparación o, de otra forma dicho, el rasgo o cualidad que permite afirmar que los </w:t>
      </w:r>
      <w:r w:rsidRPr="006D0761">
        <w:rPr>
          <w:rFonts w:ascii="Times New Roman" w:hAnsi="Times New Roman"/>
          <w:color w:val="000000"/>
          <w:sz w:val="28"/>
          <w:szCs w:val="28"/>
          <w:lang w:val="es-ES"/>
        </w:rPr>
        <w:t xml:space="preserve">sujetos </w:t>
      </w:r>
      <w:r w:rsidRPr="006D0761">
        <w:rPr>
          <w:rFonts w:ascii="Times New Roman" w:hAnsi="Times New Roman"/>
          <w:color w:val="000000"/>
          <w:sz w:val="28"/>
          <w:szCs w:val="28"/>
          <w:lang w:val="es-ES"/>
        </w:rPr>
        <w:t>comparados son iguales o diferentes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según se invoque la violación de los mandat</w:t>
      </w:r>
      <w:r w:rsidRPr="006D0761">
        <w:rPr>
          <w:rFonts w:ascii="Times New Roman" w:hAnsi="Times New Roman"/>
          <w:color w:val="000000"/>
          <w:sz w:val="28"/>
          <w:szCs w:val="28"/>
          <w:lang w:val="es-ES"/>
        </w:rPr>
        <w:t xml:space="preserve">os de trato igual o de trato diferente. </w:t>
      </w:r>
      <w:r w:rsidRPr="006D0761">
        <w:rPr>
          <w:rFonts w:ascii="Times New Roman" w:hAnsi="Times New Roman"/>
          <w:color w:val="000000"/>
          <w:sz w:val="28"/>
          <w:szCs w:val="28"/>
          <w:lang w:val="es-ES"/>
        </w:rPr>
        <w:t>Cuarto,</w:t>
      </w:r>
      <w:r w:rsidRPr="006D0761">
        <w:rPr>
          <w:rFonts w:ascii="Times New Roman" w:hAnsi="Times New Roman"/>
          <w:color w:val="000000"/>
          <w:sz w:val="28"/>
          <w:szCs w:val="28"/>
          <w:lang w:val="es-ES"/>
        </w:rPr>
        <w:t xml:space="preserve"> existe la obligación de indicar las razones que hacen que el trato diferente o igual -que cuestiona- carece de fundamento en la Carta</w:t>
      </w:r>
      <w:r w:rsidRPr="006D0761">
        <w:rPr>
          <w:rFonts w:ascii="Times New Roman" w:hAnsi="Times New Roman"/>
          <w:color w:val="000000"/>
          <w:sz w:val="28"/>
          <w:szCs w:val="28"/>
          <w:lang w:val="es-ES"/>
        </w:rPr>
        <w:t xml:space="preserve"> y resulta irrazonable o desproporcionado</w:t>
      </w:r>
      <w:r w:rsidRPr="006D0761">
        <w:rPr>
          <w:rFonts w:ascii="Times New Roman" w:hAnsi="Times New Roman"/>
          <w:color w:val="000000"/>
          <w:sz w:val="28"/>
          <w:szCs w:val="28"/>
          <w:lang w:val="es-ES"/>
        </w:rPr>
        <w:t>.</w:t>
      </w:r>
      <w:r w:rsidRPr="006D0761">
        <w:rPr>
          <w:rStyle w:val="Refdenotaalpie"/>
          <w:rFonts w:ascii="Times New Roman" w:hAnsi="Times New Roman"/>
          <w:color w:val="000000"/>
          <w:sz w:val="28"/>
          <w:szCs w:val="28"/>
          <w:lang w:val="es-ES"/>
        </w:rPr>
        <w:footnoteReference w:id="38"/>
      </w:r>
      <w:r w:rsidRPr="006D0761">
        <w:rPr>
          <w:rFonts w:ascii="Times New Roman" w:hAnsi="Times New Roman"/>
          <w:color w:val="000000"/>
          <w:sz w:val="28"/>
          <w:szCs w:val="28"/>
          <w:lang w:val="es-ES"/>
        </w:rPr>
        <w:t>    </w:t>
      </w:r>
    </w:p>
    <w:p w:rsidR="0054603F" w:rsidRPr="006D0761" w:rsidRDefault="006D0761" w:rsidP="003F0F3D">
      <w:pPr>
        <w:rPr>
          <w:rFonts w:ascii="Times New Roman" w:hAnsi="Times New Roman"/>
          <w:color w:val="000000"/>
          <w:sz w:val="28"/>
          <w:szCs w:val="28"/>
          <w:lang w:val="es-ES"/>
        </w:rPr>
      </w:pPr>
    </w:p>
    <w:p w:rsidR="00EE19E7"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Cuando se invoca la violación del </w:t>
      </w:r>
      <w:r w:rsidRPr="006D0761">
        <w:rPr>
          <w:rFonts w:ascii="Times New Roman" w:hAnsi="Times New Roman"/>
          <w:i/>
          <w:iCs/>
          <w:color w:val="000000"/>
          <w:sz w:val="28"/>
          <w:szCs w:val="28"/>
          <w:lang w:val="es-ES"/>
        </w:rPr>
        <w:t>mandato de trato igual</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el demandante debe identificar precisamente los sujetos o grupos que son objeto del trato diferenciado que </w:t>
      </w:r>
      <w:r w:rsidRPr="006D0761">
        <w:rPr>
          <w:rFonts w:ascii="Times New Roman" w:hAnsi="Times New Roman"/>
          <w:color w:val="000000"/>
          <w:sz w:val="28"/>
          <w:szCs w:val="28"/>
          <w:lang w:val="es-ES"/>
        </w:rPr>
        <w:t>estima contraria</w:t>
      </w:r>
      <w:r w:rsidRPr="006D0761">
        <w:rPr>
          <w:rFonts w:ascii="Times New Roman" w:hAnsi="Times New Roman"/>
          <w:color w:val="000000"/>
          <w:sz w:val="28"/>
          <w:szCs w:val="28"/>
          <w:lang w:val="es-ES"/>
        </w:rPr>
        <w:t xml:space="preserve"> a la Constitución. Luego de ello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debe aportar el criterio que, desde una </w:t>
      </w:r>
      <w:r w:rsidRPr="006D0761">
        <w:rPr>
          <w:rFonts w:ascii="Times New Roman" w:hAnsi="Times New Roman"/>
          <w:color w:val="000000"/>
          <w:sz w:val="28"/>
          <w:szCs w:val="28"/>
          <w:lang w:val="es-ES"/>
        </w:rPr>
        <w:t>perspectiva fáctica o jurídica</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hace iguales a </w:t>
      </w:r>
      <w:r w:rsidRPr="006D0761">
        <w:rPr>
          <w:rFonts w:ascii="Times New Roman" w:hAnsi="Times New Roman"/>
          <w:color w:val="000000"/>
          <w:sz w:val="28"/>
          <w:szCs w:val="28"/>
          <w:lang w:val="es-ES"/>
        </w:rPr>
        <w:t>esos</w:t>
      </w:r>
      <w:r w:rsidRPr="006D0761">
        <w:rPr>
          <w:rFonts w:ascii="Times New Roman" w:hAnsi="Times New Roman"/>
          <w:color w:val="000000"/>
          <w:sz w:val="28"/>
          <w:szCs w:val="28"/>
          <w:lang w:val="es-ES"/>
        </w:rPr>
        <w:t xml:space="preserve"> sujetos o grupos. </w:t>
      </w:r>
      <w:r w:rsidRPr="006D0761">
        <w:rPr>
          <w:rFonts w:ascii="Times New Roman" w:hAnsi="Times New Roman"/>
          <w:color w:val="000000"/>
          <w:sz w:val="28"/>
          <w:szCs w:val="28"/>
          <w:lang w:val="es-ES"/>
        </w:rPr>
        <w:t xml:space="preserve">Este se convierte en un requisito indispensable para poder sustentar el cargo. </w:t>
      </w:r>
      <w:r w:rsidRPr="006D0761">
        <w:rPr>
          <w:rFonts w:ascii="Times New Roman" w:hAnsi="Times New Roman"/>
          <w:color w:val="000000"/>
          <w:sz w:val="28"/>
          <w:szCs w:val="28"/>
          <w:lang w:val="es-ES"/>
        </w:rPr>
        <w:t>Finalmente, es necesario que presente las razones por las cuales el trato diferente carece de fundamento co</w:t>
      </w:r>
      <w:r w:rsidRPr="006D0761">
        <w:rPr>
          <w:rFonts w:ascii="Times New Roman" w:hAnsi="Times New Roman"/>
          <w:color w:val="000000"/>
          <w:sz w:val="28"/>
          <w:szCs w:val="28"/>
          <w:lang w:val="es-ES"/>
        </w:rPr>
        <w:t xml:space="preserve">nstitucional. </w:t>
      </w:r>
    </w:p>
    <w:p w:rsidR="00EE19E7" w:rsidRPr="006D0761" w:rsidRDefault="006D0761" w:rsidP="00EB501B">
      <w:pPr>
        <w:pStyle w:val="Prrafodelista"/>
        <w:ind w:left="0"/>
        <w:rPr>
          <w:rFonts w:ascii="Times New Roman" w:hAnsi="Times New Roman"/>
          <w:color w:val="000000"/>
          <w:sz w:val="28"/>
          <w:szCs w:val="28"/>
          <w:lang w:val="es-ES"/>
        </w:rPr>
      </w:pPr>
    </w:p>
    <w:p w:rsidR="008D7DD8"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En suma, debido a la existencia de una carga a favor de la igualdad, la impugnación por violación del mandato de trato igual debe concentrarse, en particular, en mostrar que los sujetos o grupos son iguales de cara al trato que el legislado</w:t>
      </w:r>
      <w:r w:rsidRPr="006D0761">
        <w:rPr>
          <w:rFonts w:ascii="Times New Roman" w:hAnsi="Times New Roman"/>
          <w:color w:val="000000"/>
          <w:sz w:val="28"/>
          <w:szCs w:val="28"/>
          <w:lang w:val="es-ES"/>
        </w:rPr>
        <w:t xml:space="preserve">r ha establecido. </w:t>
      </w:r>
      <w:r w:rsidRPr="006D0761">
        <w:rPr>
          <w:rFonts w:ascii="Times New Roman" w:hAnsi="Times New Roman"/>
          <w:color w:val="000000"/>
          <w:sz w:val="28"/>
          <w:szCs w:val="28"/>
          <w:lang w:val="es-ES"/>
        </w:rPr>
        <w:t xml:space="preserve"> </w:t>
      </w:r>
    </w:p>
    <w:p w:rsidR="008D7DD8" w:rsidRPr="006D0761" w:rsidRDefault="006D0761" w:rsidP="00EB501B">
      <w:pPr>
        <w:pStyle w:val="Prrafodelista"/>
        <w:ind w:left="0"/>
        <w:rPr>
          <w:rFonts w:ascii="Times New Roman" w:hAnsi="Times New Roman"/>
          <w:color w:val="000000"/>
          <w:sz w:val="28"/>
          <w:szCs w:val="28"/>
          <w:lang w:val="es-ES"/>
        </w:rPr>
      </w:pPr>
    </w:p>
    <w:p w:rsidR="00962C4B"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Finalmente, e</w:t>
      </w:r>
      <w:r w:rsidRPr="006D0761">
        <w:rPr>
          <w:rFonts w:ascii="Times New Roman" w:hAnsi="Times New Roman"/>
          <w:color w:val="000000"/>
          <w:sz w:val="28"/>
          <w:szCs w:val="28"/>
          <w:lang w:val="es-ES"/>
        </w:rPr>
        <w:t>l principio de igualdad no significa que e</w:t>
      </w:r>
      <w:r w:rsidRPr="006D0761">
        <w:rPr>
          <w:rFonts w:ascii="Times New Roman" w:hAnsi="Times New Roman"/>
          <w:color w:val="000000"/>
          <w:sz w:val="28"/>
          <w:szCs w:val="28"/>
          <w:lang w:val="es-ES"/>
        </w:rPr>
        <w:t>l demandante se encuentre relevado de mostrar por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el trato diferente carece de una justificación constitucionalmente admisible. </w:t>
      </w:r>
      <w:r w:rsidRPr="006D0761">
        <w:rPr>
          <w:rFonts w:ascii="Times New Roman" w:hAnsi="Times New Roman"/>
          <w:color w:val="000000"/>
          <w:sz w:val="28"/>
          <w:szCs w:val="28"/>
          <w:lang w:val="es-ES"/>
        </w:rPr>
        <w:t xml:space="preserve">Por el </w:t>
      </w:r>
      <w:r w:rsidRPr="006D0761">
        <w:rPr>
          <w:rFonts w:ascii="Times New Roman" w:hAnsi="Times New Roman"/>
          <w:color w:val="000000"/>
          <w:sz w:val="28"/>
          <w:szCs w:val="28"/>
          <w:lang w:val="es-ES"/>
        </w:rPr>
        <w:t>contrario,</w:t>
      </w:r>
      <w:r w:rsidRPr="006D0761">
        <w:rPr>
          <w:rFonts w:ascii="Times New Roman" w:hAnsi="Times New Roman"/>
          <w:color w:val="000000"/>
          <w:sz w:val="28"/>
          <w:szCs w:val="28"/>
          <w:lang w:val="es-ES"/>
        </w:rPr>
        <w:t xml:space="preserve"> y en particular frente a aquellas medidas que surjan del mandato constitucional que se deriva del segundo inciso del artículo 13, le corresponde al accionante argumentar </w:t>
      </w:r>
      <w:r w:rsidRPr="006D0761">
        <w:rPr>
          <w:rFonts w:ascii="Times New Roman" w:hAnsi="Times New Roman"/>
          <w:color w:val="000000"/>
          <w:sz w:val="28"/>
          <w:szCs w:val="28"/>
          <w:lang w:val="es-ES"/>
        </w:rPr>
        <w:t xml:space="preserve">el motivo por el cual </w:t>
      </w:r>
      <w:r w:rsidRPr="006D0761">
        <w:rPr>
          <w:rFonts w:ascii="Times New Roman" w:hAnsi="Times New Roman"/>
          <w:color w:val="000000"/>
          <w:sz w:val="28"/>
          <w:szCs w:val="28"/>
          <w:lang w:val="es-ES"/>
        </w:rPr>
        <w:t xml:space="preserve">las razones que sustentan una medida que genera una diferencia </w:t>
      </w:r>
      <w:r w:rsidRPr="006D0761">
        <w:rPr>
          <w:rFonts w:ascii="Times New Roman" w:hAnsi="Times New Roman"/>
          <w:color w:val="000000"/>
          <w:sz w:val="28"/>
          <w:szCs w:val="28"/>
          <w:lang w:val="es-ES"/>
        </w:rPr>
        <w:t>a favor de un grupo marginado o discriminado, resultan insuficientes para justificarlas</w:t>
      </w:r>
      <w:r w:rsidRPr="006D0761">
        <w:rPr>
          <w:rFonts w:ascii="Times New Roman" w:hAnsi="Times New Roman"/>
          <w:color w:val="000000"/>
          <w:sz w:val="28"/>
          <w:szCs w:val="28"/>
          <w:lang w:val="es-ES"/>
        </w:rPr>
        <w:t> </w:t>
      </w:r>
      <w:r w:rsidRPr="006D0761">
        <w:rPr>
          <w:rFonts w:ascii="Times New Roman" w:hAnsi="Times New Roman"/>
          <w:color w:val="000000"/>
          <w:sz w:val="28"/>
          <w:szCs w:val="28"/>
          <w:lang w:val="es-ES"/>
        </w:rPr>
        <w:t>constitucionalmente.</w:t>
      </w:r>
    </w:p>
    <w:p w:rsidR="00744AFF" w:rsidRPr="006D0761" w:rsidRDefault="006D0761" w:rsidP="003F0F3D">
      <w:pPr>
        <w:pStyle w:val="Prrafodelista"/>
        <w:ind w:left="0"/>
        <w:jc w:val="both"/>
        <w:rPr>
          <w:rFonts w:ascii="Times New Roman" w:hAnsi="Times New Roman"/>
          <w:color w:val="000000"/>
          <w:sz w:val="28"/>
          <w:szCs w:val="28"/>
          <w:lang w:val="es-ES"/>
        </w:rPr>
      </w:pPr>
    </w:p>
    <w:p w:rsidR="00744AF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Esto implica que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el accionante </w:t>
      </w:r>
      <w:r w:rsidRPr="006D0761">
        <w:rPr>
          <w:rFonts w:ascii="Times New Roman" w:hAnsi="Times New Roman"/>
          <w:color w:val="000000"/>
          <w:sz w:val="28"/>
          <w:szCs w:val="28"/>
          <w:lang w:val="es-ES"/>
        </w:rPr>
        <w:t>que presenta un cargo por violación del derecho a la igualdad debe construir su alegato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estableciendo el término de</w:t>
      </w:r>
      <w:r w:rsidRPr="006D0761">
        <w:rPr>
          <w:rFonts w:ascii="Times New Roman" w:hAnsi="Times New Roman"/>
          <w:color w:val="000000"/>
          <w:sz w:val="28"/>
          <w:szCs w:val="28"/>
          <w:lang w:val="es-ES"/>
        </w:rPr>
        <w:t xml:space="preserve"> comparación entre sujetos comparables, y, en caso de que exista un tra</w:t>
      </w:r>
      <w:r w:rsidRPr="006D0761">
        <w:rPr>
          <w:rFonts w:ascii="Times New Roman" w:hAnsi="Times New Roman"/>
          <w:color w:val="000000"/>
          <w:sz w:val="28"/>
          <w:szCs w:val="28"/>
          <w:lang w:val="es-ES"/>
        </w:rPr>
        <w:t>t</w:t>
      </w:r>
      <w:r w:rsidRPr="006D0761">
        <w:rPr>
          <w:rFonts w:ascii="Times New Roman" w:hAnsi="Times New Roman"/>
          <w:color w:val="000000"/>
          <w:sz w:val="28"/>
          <w:szCs w:val="28"/>
          <w:lang w:val="es-ES"/>
        </w:rPr>
        <w:t>o diferenciado, explicando por qué dicho trato no tiene una justificación constitucional</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Para el caso concreto, n</w:t>
      </w:r>
      <w:r w:rsidRPr="006D0761">
        <w:rPr>
          <w:rFonts w:ascii="Times New Roman" w:hAnsi="Times New Roman"/>
          <w:color w:val="000000"/>
          <w:sz w:val="28"/>
          <w:szCs w:val="28"/>
          <w:lang w:val="es-ES"/>
        </w:rPr>
        <w:t xml:space="preserve">o es suficiente con demostrar que existe un trato diferenciado, </w:t>
      </w:r>
      <w:r w:rsidRPr="006D0761">
        <w:rPr>
          <w:rFonts w:ascii="Times New Roman" w:hAnsi="Times New Roman"/>
          <w:color w:val="000000"/>
          <w:sz w:val="28"/>
          <w:szCs w:val="28"/>
          <w:lang w:val="es-ES"/>
        </w:rPr>
        <w:t>sino q</w:t>
      </w:r>
      <w:r w:rsidRPr="006D0761">
        <w:rPr>
          <w:rFonts w:ascii="Times New Roman" w:hAnsi="Times New Roman"/>
          <w:color w:val="000000"/>
          <w:sz w:val="28"/>
          <w:szCs w:val="28"/>
          <w:lang w:val="es-ES"/>
        </w:rPr>
        <w:t>ue</w:t>
      </w:r>
      <w:r w:rsidRPr="006D0761">
        <w:rPr>
          <w:rFonts w:ascii="Times New Roman" w:hAnsi="Times New Roman"/>
          <w:color w:val="000000"/>
          <w:sz w:val="28"/>
          <w:szCs w:val="28"/>
          <w:lang w:val="es-ES"/>
        </w:rPr>
        <w:t xml:space="preserve"> le corresponde al accionante argumentar por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prevenir, investigar, juzgar y sancionar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 xml:space="preserve">violencia de género contra la mujer </w:t>
      </w:r>
      <w:r w:rsidRPr="006D0761">
        <w:rPr>
          <w:rFonts w:ascii="Times New Roman" w:hAnsi="Times New Roman"/>
          <w:color w:val="000000"/>
          <w:sz w:val="28"/>
          <w:szCs w:val="28"/>
          <w:lang w:val="es-ES"/>
        </w:rPr>
        <w:t>en su mayor intensidad es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una medida </w:t>
      </w:r>
      <w:r w:rsidRPr="006D0761">
        <w:rPr>
          <w:rFonts w:ascii="Times New Roman" w:hAnsi="Times New Roman"/>
          <w:color w:val="000000"/>
          <w:sz w:val="28"/>
          <w:szCs w:val="28"/>
          <w:lang w:val="es-ES"/>
        </w:rPr>
        <w:t xml:space="preserve">que carece de </w:t>
      </w:r>
      <w:r w:rsidRPr="006D0761">
        <w:rPr>
          <w:rFonts w:ascii="Times New Roman" w:hAnsi="Times New Roman"/>
          <w:color w:val="000000"/>
          <w:sz w:val="28"/>
          <w:szCs w:val="28"/>
          <w:lang w:val="es-ES"/>
        </w:rPr>
        <w:t>justific</w:t>
      </w:r>
      <w:r w:rsidRPr="006D0761">
        <w:rPr>
          <w:rFonts w:ascii="Times New Roman" w:hAnsi="Times New Roman"/>
          <w:color w:val="000000"/>
          <w:sz w:val="28"/>
          <w:szCs w:val="28"/>
          <w:lang w:val="es-ES"/>
        </w:rPr>
        <w:t>ación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constitucional</w:t>
      </w:r>
      <w:r w:rsidRPr="006D0761">
        <w:rPr>
          <w:rFonts w:ascii="Times New Roman" w:hAnsi="Times New Roman"/>
          <w:color w:val="000000"/>
          <w:sz w:val="28"/>
          <w:szCs w:val="28"/>
          <w:lang w:val="es-ES"/>
        </w:rPr>
        <w:t>.</w:t>
      </w:r>
    </w:p>
    <w:p w:rsidR="00744AFF" w:rsidRPr="006D0761" w:rsidRDefault="006D0761" w:rsidP="003F0F3D">
      <w:pPr>
        <w:pStyle w:val="Prrafodelista"/>
        <w:ind w:left="0"/>
        <w:jc w:val="both"/>
        <w:rPr>
          <w:rFonts w:ascii="Times New Roman" w:hAnsi="Times New Roman"/>
          <w:color w:val="000000"/>
          <w:sz w:val="28"/>
          <w:szCs w:val="28"/>
          <w:lang w:val="es-ES"/>
        </w:rPr>
      </w:pPr>
    </w:p>
    <w:p w:rsidR="00744AF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Tratándose de un asunto que ha sido objeto de un amplio y profundo desarrollo normativo y jurisprudencial, </w:t>
      </w:r>
      <w:r w:rsidRPr="006D0761">
        <w:rPr>
          <w:rFonts w:ascii="Times New Roman" w:hAnsi="Times New Roman"/>
          <w:color w:val="000000"/>
          <w:sz w:val="28"/>
          <w:szCs w:val="28"/>
          <w:lang w:val="es-ES"/>
        </w:rPr>
        <w:t xml:space="preserve">es fundamental que el demandante explique las razones por las cuales el supuesto trato diferenciado carece de justificación constitucional </w:t>
      </w:r>
      <w:r w:rsidRPr="006D0761">
        <w:rPr>
          <w:rFonts w:ascii="Times New Roman" w:hAnsi="Times New Roman"/>
          <w:color w:val="000000"/>
          <w:sz w:val="28"/>
          <w:szCs w:val="28"/>
          <w:lang w:val="es-ES"/>
        </w:rPr>
        <w:t>a fin de c</w:t>
      </w:r>
      <w:r w:rsidRPr="006D0761">
        <w:rPr>
          <w:rFonts w:ascii="Times New Roman" w:hAnsi="Times New Roman"/>
          <w:color w:val="000000"/>
          <w:sz w:val="28"/>
          <w:szCs w:val="28"/>
          <w:lang w:val="es-ES"/>
        </w:rPr>
        <w:t xml:space="preserve">umplir con </w:t>
      </w:r>
      <w:r w:rsidRPr="006D0761">
        <w:rPr>
          <w:rFonts w:ascii="Times New Roman" w:hAnsi="Times New Roman"/>
          <w:color w:val="000000"/>
          <w:sz w:val="28"/>
          <w:szCs w:val="28"/>
          <w:lang w:val="es-ES"/>
        </w:rPr>
        <w:t xml:space="preserve">los </w:t>
      </w:r>
      <w:r w:rsidRPr="006D0761">
        <w:rPr>
          <w:rFonts w:ascii="Times New Roman" w:hAnsi="Times New Roman"/>
          <w:color w:val="000000"/>
          <w:sz w:val="28"/>
          <w:szCs w:val="28"/>
          <w:lang w:val="es-ES"/>
        </w:rPr>
        <w:t>requisito</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 de </w:t>
      </w:r>
      <w:r w:rsidRPr="006D0761">
        <w:rPr>
          <w:rFonts w:ascii="Times New Roman" w:hAnsi="Times New Roman"/>
          <w:color w:val="000000"/>
          <w:sz w:val="28"/>
          <w:szCs w:val="28"/>
          <w:lang w:val="es-ES"/>
        </w:rPr>
        <w:t>especificidad y pertinencia</w:t>
      </w:r>
      <w:r w:rsidRPr="006D0761">
        <w:rPr>
          <w:rFonts w:ascii="Times New Roman" w:hAnsi="Times New Roman"/>
          <w:color w:val="000000"/>
          <w:sz w:val="28"/>
          <w:szCs w:val="28"/>
          <w:lang w:val="es-ES"/>
        </w:rPr>
        <w:t xml:space="preserve">, de otra forma el accionante estaría sustentado su cargo </w:t>
      </w:r>
      <w:r w:rsidRPr="006D0761">
        <w:rPr>
          <w:rFonts w:ascii="Times New Roman" w:hAnsi="Times New Roman"/>
          <w:color w:val="000000"/>
          <w:sz w:val="28"/>
          <w:szCs w:val="28"/>
          <w:lang w:val="es-ES"/>
        </w:rPr>
        <w:t xml:space="preserve">con </w:t>
      </w:r>
      <w:r w:rsidRPr="006D0761">
        <w:rPr>
          <w:rFonts w:ascii="Times New Roman" w:hAnsi="Times New Roman"/>
          <w:color w:val="000000"/>
          <w:sz w:val="28"/>
          <w:szCs w:val="28"/>
          <w:lang w:val="es-ES"/>
        </w:rPr>
        <w:t xml:space="preserve">un análisis parcializado e incompleto </w:t>
      </w:r>
      <w:r w:rsidRPr="006D0761">
        <w:rPr>
          <w:rFonts w:ascii="Times New Roman" w:hAnsi="Times New Roman"/>
          <w:color w:val="000000"/>
          <w:sz w:val="28"/>
          <w:szCs w:val="28"/>
          <w:lang w:val="es-ES"/>
        </w:rPr>
        <w:t>sobre el parámetro de constitucionalidad aplicable</w:t>
      </w:r>
      <w:r w:rsidRPr="006D0761">
        <w:rPr>
          <w:rFonts w:ascii="Times New Roman" w:hAnsi="Times New Roman"/>
          <w:color w:val="000000"/>
          <w:sz w:val="28"/>
          <w:szCs w:val="28"/>
          <w:lang w:val="es-ES"/>
        </w:rPr>
        <w:t>.</w:t>
      </w:r>
    </w:p>
    <w:p w:rsidR="0054603F" w:rsidRPr="006D0761" w:rsidRDefault="006D0761" w:rsidP="003F0F3D">
      <w:pPr>
        <w:rPr>
          <w:rFonts w:ascii="Times New Roman" w:hAnsi="Times New Roman"/>
          <w:color w:val="000000"/>
          <w:sz w:val="28"/>
          <w:szCs w:val="28"/>
          <w:lang w:val="es-ES"/>
        </w:rPr>
      </w:pPr>
    </w:p>
    <w:p w:rsidR="0054603F"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Dada la relevancia que en materia constituciona</w:t>
      </w:r>
      <w:r w:rsidRPr="006D0761">
        <w:rPr>
          <w:rFonts w:ascii="Times New Roman" w:hAnsi="Times New Roman"/>
          <w:color w:val="000000"/>
          <w:sz w:val="28"/>
          <w:szCs w:val="28"/>
          <w:lang w:val="es-ES"/>
        </w:rPr>
        <w:t>l tiene el asunto sobre el cual versa la medida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la Corte considera oportuno recordar algunos de los elementos que sustentan</w:t>
      </w:r>
      <w:r w:rsidRPr="006D0761">
        <w:rPr>
          <w:rFonts w:ascii="Times New Roman" w:hAnsi="Times New Roman"/>
          <w:color w:val="000000"/>
          <w:sz w:val="28"/>
          <w:szCs w:val="28"/>
          <w:lang w:val="es-ES"/>
        </w:rPr>
        <w:t xml:space="preserve"> la justificación constitucional de</w:t>
      </w:r>
      <w:r w:rsidRPr="006D0761">
        <w:rPr>
          <w:rFonts w:ascii="Times New Roman" w:hAnsi="Times New Roman"/>
          <w:color w:val="000000"/>
          <w:sz w:val="28"/>
          <w:szCs w:val="28"/>
          <w:lang w:val="es-ES"/>
        </w:rPr>
        <w:t xml:space="preserve"> este asunto, </w:t>
      </w:r>
      <w:r w:rsidRPr="006D0761">
        <w:rPr>
          <w:rFonts w:ascii="Times New Roman" w:hAnsi="Times New Roman"/>
          <w:color w:val="000000"/>
          <w:sz w:val="28"/>
          <w:szCs w:val="28"/>
          <w:lang w:val="es-ES"/>
        </w:rPr>
        <w:t xml:space="preserve">en particular </w:t>
      </w:r>
      <w:r w:rsidRPr="006D0761">
        <w:rPr>
          <w:rFonts w:ascii="Times New Roman" w:hAnsi="Times New Roman"/>
          <w:color w:val="000000"/>
          <w:sz w:val="28"/>
          <w:szCs w:val="28"/>
          <w:lang w:val="es-ES"/>
        </w:rPr>
        <w:t xml:space="preserve">i) que procurar garantizar a las mujeres una vida libre de violencia </w:t>
      </w:r>
      <w:r w:rsidRPr="006D0761">
        <w:rPr>
          <w:rFonts w:ascii="Times New Roman" w:hAnsi="Times New Roman"/>
          <w:color w:val="000000"/>
          <w:sz w:val="28"/>
          <w:szCs w:val="28"/>
          <w:lang w:val="es-ES"/>
        </w:rPr>
        <w:t>responde a obligaciones internacionales del Estado;</w:t>
      </w:r>
      <w:r w:rsidRPr="006D0761">
        <w:rPr>
          <w:rFonts w:ascii="Times New Roman" w:hAnsi="Times New Roman"/>
          <w:color w:val="000000"/>
          <w:sz w:val="28"/>
          <w:szCs w:val="28"/>
          <w:lang w:val="es-ES"/>
        </w:rPr>
        <w:t xml:space="preserve"> y, </w:t>
      </w:r>
      <w:r w:rsidRPr="006D0761">
        <w:rPr>
          <w:rFonts w:ascii="Times New Roman" w:hAnsi="Times New Roman"/>
          <w:color w:val="000000"/>
          <w:sz w:val="28"/>
          <w:szCs w:val="28"/>
          <w:lang w:val="es-ES"/>
        </w:rPr>
        <w:t xml:space="preserve">ii) que, como lo establece la Universidad de Caldas en su intervención, en este caso, el análisis constitucional sobre la pertinencia de la tipificación del feminicidio ya </w:t>
      </w:r>
      <w:r w:rsidRPr="006D0761">
        <w:rPr>
          <w:rFonts w:ascii="Times New Roman" w:hAnsi="Times New Roman"/>
          <w:color w:val="000000"/>
          <w:sz w:val="28"/>
          <w:szCs w:val="28"/>
          <w:lang w:val="es-ES"/>
        </w:rPr>
        <w:t>ha sido</w:t>
      </w:r>
      <w:r w:rsidRPr="006D0761">
        <w:rPr>
          <w:rFonts w:ascii="Times New Roman" w:hAnsi="Times New Roman"/>
          <w:color w:val="000000"/>
          <w:sz w:val="28"/>
          <w:szCs w:val="28"/>
          <w:lang w:val="es-ES"/>
        </w:rPr>
        <w:t xml:space="preserve"> razonado por esta Cor</w:t>
      </w:r>
      <w:r w:rsidRPr="006D0761">
        <w:rPr>
          <w:rFonts w:ascii="Times New Roman" w:hAnsi="Times New Roman"/>
          <w:color w:val="000000"/>
          <w:sz w:val="28"/>
          <w:szCs w:val="28"/>
          <w:lang w:val="es-ES"/>
        </w:rPr>
        <w:t>poración</w:t>
      </w:r>
      <w:r w:rsidRPr="006D0761">
        <w:rPr>
          <w:rFonts w:ascii="Times New Roman" w:hAnsi="Times New Roman"/>
          <w:color w:val="000000"/>
          <w:sz w:val="28"/>
          <w:szCs w:val="28"/>
          <w:lang w:val="es-ES"/>
        </w:rPr>
        <w:t>.</w:t>
      </w:r>
    </w:p>
    <w:p w:rsidR="0054603F" w:rsidRPr="006D0761" w:rsidRDefault="006D0761" w:rsidP="003F0F3D">
      <w:pPr>
        <w:rPr>
          <w:rFonts w:ascii="Times New Roman" w:hAnsi="Times New Roman"/>
          <w:color w:val="000000"/>
          <w:sz w:val="28"/>
          <w:szCs w:val="28"/>
          <w:lang w:val="es-ES"/>
        </w:rPr>
      </w:pPr>
    </w:p>
    <w:p w:rsidR="0039215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En el ámbito internacional, el deber de proteger a las mujeres frente a la violencia se fundamenta tanto en normas generales que garantizan derechos humanos como en disposiciones específicas que prohíben la discriminación por razón de sexo y establecen obl</w:t>
      </w:r>
      <w:r w:rsidRPr="006D0761">
        <w:rPr>
          <w:rFonts w:ascii="Times New Roman" w:hAnsi="Times New Roman"/>
          <w:color w:val="000000"/>
          <w:sz w:val="28"/>
          <w:szCs w:val="28"/>
          <w:lang w:val="es-ES"/>
        </w:rPr>
        <w:t xml:space="preserve">igaciones claras para prevenir, investigar y sancionar la violencia contra la mujer. </w:t>
      </w:r>
      <w:r w:rsidRPr="006D0761">
        <w:rPr>
          <w:rFonts w:ascii="Times New Roman" w:hAnsi="Times New Roman"/>
          <w:color w:val="000000"/>
          <w:sz w:val="28"/>
          <w:szCs w:val="28"/>
          <w:lang w:val="es-ES"/>
        </w:rPr>
        <w:t xml:space="preserve">Se </w:t>
      </w:r>
      <w:r w:rsidRPr="006D0761">
        <w:rPr>
          <w:rFonts w:ascii="Times New Roman" w:hAnsi="Times New Roman"/>
          <w:color w:val="000000"/>
          <w:sz w:val="28"/>
          <w:szCs w:val="28"/>
          <w:lang w:val="es-ES"/>
        </w:rPr>
        <w:t xml:space="preserve">trata de </w:t>
      </w:r>
      <w:r w:rsidRPr="006D0761">
        <w:rPr>
          <w:rFonts w:ascii="Times New Roman" w:hAnsi="Times New Roman"/>
          <w:color w:val="000000"/>
          <w:sz w:val="28"/>
          <w:szCs w:val="28"/>
          <w:lang w:val="es-ES"/>
        </w:rPr>
        <w:t>obligaciones estatales derivadas de instrumentos internacionales claves como la Convención Americana de Derechos Humanos, la Convención de Belem do Pará, la CE</w:t>
      </w:r>
      <w:r w:rsidRPr="006D0761">
        <w:rPr>
          <w:rFonts w:ascii="Times New Roman" w:hAnsi="Times New Roman"/>
          <w:color w:val="000000"/>
          <w:sz w:val="28"/>
          <w:szCs w:val="28"/>
          <w:lang w:val="es-ES"/>
        </w:rPr>
        <w:t>DAW o la Convención de Derechos de los niños y las niñas</w:t>
      </w:r>
      <w:r w:rsidRPr="006D0761">
        <w:rPr>
          <w:rStyle w:val="Refdenotaalpie"/>
          <w:rFonts w:ascii="Times New Roman" w:hAnsi="Times New Roman"/>
          <w:color w:val="000000"/>
          <w:sz w:val="28"/>
          <w:szCs w:val="28"/>
          <w:lang w:val="es-ES"/>
        </w:rPr>
        <w:footnoteReference w:id="39"/>
      </w:r>
      <w:r w:rsidRPr="006D0761">
        <w:rPr>
          <w:rStyle w:val="Refdenotaalpie"/>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p>
    <w:p w:rsidR="6D224379" w:rsidRPr="006D0761" w:rsidRDefault="006D0761" w:rsidP="00EB501B">
      <w:pPr>
        <w:pStyle w:val="Prrafodelista"/>
        <w:ind w:left="0"/>
        <w:jc w:val="both"/>
        <w:rPr>
          <w:rFonts w:ascii="Times New Roman" w:hAnsi="Times New Roman"/>
          <w:color w:val="000000"/>
          <w:sz w:val="28"/>
          <w:szCs w:val="28"/>
          <w:lang w:val="es-ES"/>
        </w:rPr>
      </w:pPr>
    </w:p>
    <w:p w:rsidR="0039215C" w:rsidRPr="006D0761" w:rsidRDefault="006D0761" w:rsidP="00EB501B">
      <w:pPr>
        <w:pStyle w:val="Prrafodelista"/>
        <w:numPr>
          <w:ilvl w:val="0"/>
          <w:numId w:val="3"/>
        </w:numPr>
        <w:ind w:left="0" w:firstLine="0"/>
        <w:jc w:val="both"/>
        <w:rPr>
          <w:rFonts w:ascii="Times New Roman" w:hAnsi="Times New Roman"/>
          <w:sz w:val="28"/>
          <w:szCs w:val="28"/>
          <w:lang w:val="es-ES"/>
        </w:rPr>
      </w:pPr>
      <w:r w:rsidRPr="006D0761">
        <w:rPr>
          <w:rFonts w:ascii="Times New Roman" w:hAnsi="Times New Roman"/>
          <w:color w:val="000000"/>
          <w:sz w:val="28"/>
          <w:szCs w:val="28"/>
          <w:lang w:val="es-ES"/>
        </w:rPr>
        <w:t xml:space="preserve">Al respecto, </w:t>
      </w:r>
      <w:r w:rsidRPr="006D0761">
        <w:rPr>
          <w:rFonts w:ascii="Times New Roman" w:hAnsi="Times New Roman"/>
          <w:sz w:val="28"/>
          <w:szCs w:val="28"/>
          <w:lang w:val="es-ES"/>
        </w:rPr>
        <w:t>existen múltiples</w:t>
      </w:r>
      <w:r w:rsidRPr="006D0761">
        <w:rPr>
          <w:rFonts w:ascii="Times New Roman" w:hAnsi="Times New Roman"/>
          <w:sz w:val="28"/>
          <w:szCs w:val="28"/>
          <w:lang w:val="es-ES"/>
        </w:rPr>
        <w:t xml:space="preserve"> </w:t>
      </w:r>
      <w:r w:rsidRPr="006D0761">
        <w:rPr>
          <w:rFonts w:ascii="Times New Roman" w:hAnsi="Times New Roman"/>
          <w:sz w:val="28"/>
          <w:szCs w:val="28"/>
          <w:lang w:val="es-ES"/>
        </w:rPr>
        <w:t>pronunciamientos internacionales</w:t>
      </w:r>
      <w:r w:rsidRPr="006D0761">
        <w:rPr>
          <w:rFonts w:ascii="Times New Roman" w:hAnsi="Times New Roman"/>
          <w:sz w:val="28"/>
          <w:szCs w:val="28"/>
          <w:lang w:val="es-ES"/>
        </w:rPr>
        <w:t>, algunos de los cuales</w:t>
      </w:r>
      <w:r w:rsidRPr="006D0761">
        <w:rPr>
          <w:rFonts w:ascii="Times New Roman" w:hAnsi="Times New Roman"/>
          <w:sz w:val="28"/>
          <w:szCs w:val="28"/>
          <w:lang w:val="es-ES"/>
        </w:rPr>
        <w:t xml:space="preserve"> han sido valorados por la Corte Constitucional</w:t>
      </w:r>
      <w:r w:rsidRPr="006D0761">
        <w:rPr>
          <w:rFonts w:ascii="Times New Roman" w:hAnsi="Times New Roman"/>
          <w:sz w:val="28"/>
          <w:szCs w:val="28"/>
          <w:lang w:val="es-ES"/>
        </w:rPr>
        <w:t xml:space="preserve">, </w:t>
      </w:r>
      <w:r w:rsidRPr="006D0761">
        <w:rPr>
          <w:rFonts w:ascii="Times New Roman" w:hAnsi="Times New Roman"/>
          <w:sz w:val="28"/>
          <w:szCs w:val="28"/>
          <w:lang w:val="es-ES"/>
        </w:rPr>
        <w:t>a la hora de fijar el parámetro de control de normas sobre v</w:t>
      </w:r>
      <w:r w:rsidRPr="006D0761">
        <w:rPr>
          <w:rFonts w:ascii="Times New Roman" w:hAnsi="Times New Roman"/>
          <w:sz w:val="28"/>
          <w:szCs w:val="28"/>
          <w:lang w:val="es-ES"/>
        </w:rPr>
        <w:t>iolencia de género</w:t>
      </w:r>
      <w:r w:rsidRPr="006D0761">
        <w:rPr>
          <w:rStyle w:val="Refdenotaalpie"/>
          <w:rFonts w:ascii="Times New Roman" w:hAnsi="Times New Roman"/>
          <w:sz w:val="28"/>
          <w:szCs w:val="28"/>
          <w:lang w:val="es-ES"/>
        </w:rPr>
        <w:footnoteReference w:id="40"/>
      </w:r>
      <w:r w:rsidRPr="006D0761">
        <w:rPr>
          <w:rFonts w:ascii="Times New Roman" w:hAnsi="Times New Roman"/>
          <w:sz w:val="28"/>
          <w:szCs w:val="28"/>
          <w:lang w:val="es-ES"/>
        </w:rPr>
        <w:t xml:space="preserve">. </w:t>
      </w:r>
      <w:r w:rsidRPr="006D0761">
        <w:rPr>
          <w:rFonts w:ascii="Times New Roman" w:hAnsi="Times New Roman"/>
          <w:sz w:val="28"/>
          <w:szCs w:val="28"/>
          <w:lang w:val="es-ES"/>
        </w:rPr>
        <w:t xml:space="preserve">Así, </w:t>
      </w:r>
      <w:r w:rsidRPr="006D0761">
        <w:rPr>
          <w:rFonts w:ascii="Times New Roman" w:hAnsi="Times New Roman"/>
          <w:sz w:val="28"/>
          <w:szCs w:val="28"/>
          <w:lang w:val="es-ES"/>
        </w:rPr>
        <w:t xml:space="preserve">por ejemplo, </w:t>
      </w:r>
      <w:r w:rsidRPr="006D0761">
        <w:rPr>
          <w:rFonts w:ascii="Times New Roman" w:hAnsi="Times New Roman"/>
          <w:sz w:val="28"/>
          <w:szCs w:val="28"/>
          <w:lang w:val="es-ES"/>
        </w:rPr>
        <w:t xml:space="preserve">en la </w:t>
      </w:r>
      <w:r w:rsidRPr="006D0761">
        <w:rPr>
          <w:rFonts w:ascii="Times New Roman" w:hAnsi="Times New Roman"/>
          <w:sz w:val="28"/>
          <w:szCs w:val="28"/>
          <w:lang w:val="es-ES"/>
        </w:rPr>
        <w:t>d</w:t>
      </w:r>
      <w:r w:rsidRPr="006D0761">
        <w:rPr>
          <w:rFonts w:ascii="Times New Roman" w:hAnsi="Times New Roman"/>
          <w:sz w:val="28"/>
          <w:szCs w:val="28"/>
          <w:lang w:val="es-ES"/>
        </w:rPr>
        <w:t>ecisión de la Corte Interamericana frente al caso González y otras (Campo Algodonero) vs México</w:t>
      </w:r>
      <w:r w:rsidRPr="006D0761">
        <w:rPr>
          <w:rStyle w:val="Refdenotaalpie"/>
          <w:rFonts w:ascii="Times New Roman" w:hAnsi="Times New Roman"/>
          <w:sz w:val="28"/>
          <w:szCs w:val="28"/>
          <w:lang w:val="es-ES"/>
        </w:rPr>
        <w:footnoteReference w:id="41"/>
      </w:r>
      <w:r w:rsidRPr="006D0761">
        <w:rPr>
          <w:rFonts w:ascii="Times New Roman" w:hAnsi="Times New Roman"/>
          <w:sz w:val="28"/>
          <w:szCs w:val="28"/>
          <w:lang w:val="es-ES"/>
        </w:rPr>
        <w:t>,</w:t>
      </w:r>
      <w:r w:rsidRPr="006D0761">
        <w:rPr>
          <w:rFonts w:ascii="Times New Roman" w:hAnsi="Times New Roman"/>
          <w:sz w:val="28"/>
          <w:szCs w:val="28"/>
          <w:lang w:val="es-ES"/>
        </w:rPr>
        <w:t xml:space="preserve"> la Corte </w:t>
      </w:r>
      <w:r w:rsidRPr="006D0761">
        <w:rPr>
          <w:rFonts w:ascii="Times New Roman" w:hAnsi="Times New Roman"/>
          <w:sz w:val="28"/>
          <w:szCs w:val="28"/>
          <w:lang w:val="es-ES"/>
        </w:rPr>
        <w:t xml:space="preserve">IDH </w:t>
      </w:r>
      <w:r w:rsidRPr="006D0761">
        <w:rPr>
          <w:rFonts w:ascii="Times New Roman" w:hAnsi="Times New Roman"/>
          <w:sz w:val="28"/>
          <w:szCs w:val="28"/>
          <w:lang w:val="es-ES"/>
        </w:rPr>
        <w:t>encontró que el Estado violó los derechos a la vida, a la integridad personal, a la libertad personal en relación con su obligación de adoptar disposiciones para garantizar esos derechos, así como sus deberes de debida diligencia en la investigación de los</w:t>
      </w:r>
      <w:r w:rsidRPr="006D0761">
        <w:rPr>
          <w:rFonts w:ascii="Times New Roman" w:hAnsi="Times New Roman"/>
          <w:sz w:val="28"/>
          <w:szCs w:val="28"/>
          <w:lang w:val="es-ES"/>
        </w:rPr>
        <w:t xml:space="preserve"> hechos, lo que a su vez violó los derechos de acceso a la justicia y las garantías judiciales, </w:t>
      </w:r>
      <w:r w:rsidRPr="006D0761">
        <w:rPr>
          <w:rFonts w:ascii="Times New Roman" w:hAnsi="Times New Roman"/>
          <w:sz w:val="28"/>
          <w:szCs w:val="28"/>
          <w:lang w:val="es-ES"/>
        </w:rPr>
        <w:t>frente a una serie de homicidios de mujeres cometidos por razones de género.</w:t>
      </w:r>
    </w:p>
    <w:p w:rsidR="002E7DE7" w:rsidRPr="006D0761" w:rsidRDefault="006D0761" w:rsidP="003F0F3D">
      <w:pPr>
        <w:pStyle w:val="Prrafodelista"/>
        <w:ind w:left="0"/>
        <w:jc w:val="both"/>
        <w:rPr>
          <w:rFonts w:ascii="Times New Roman" w:hAnsi="Times New Roman"/>
          <w:sz w:val="28"/>
          <w:szCs w:val="28"/>
          <w:lang w:val="es-ES"/>
        </w:rPr>
      </w:pPr>
    </w:p>
    <w:p w:rsidR="0039215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sz w:val="28"/>
          <w:szCs w:val="28"/>
          <w:lang w:val="es-ES"/>
        </w:rPr>
        <w:t>Por su parte, la Relatora Especial de Naciones Unidas sobre la Violencia contra la</w:t>
      </w:r>
      <w:r w:rsidRPr="006D0761">
        <w:rPr>
          <w:rFonts w:ascii="Times New Roman" w:hAnsi="Times New Roman"/>
          <w:sz w:val="28"/>
          <w:szCs w:val="28"/>
          <w:lang w:val="es-ES"/>
        </w:rPr>
        <w:t xml:space="preserve"> Mujer sus causas y consecuencias, en su reporte del 2012 a la Asamblea General de las Naciones Unidas</w:t>
      </w:r>
      <w:r w:rsidRPr="006D0761">
        <w:rPr>
          <w:rFonts w:ascii="Times New Roman" w:hAnsi="Times New Roman"/>
          <w:sz w:val="28"/>
          <w:szCs w:val="28"/>
          <w:lang w:val="es-ES"/>
        </w:rPr>
        <w:t>,</w:t>
      </w:r>
      <w:r w:rsidRPr="006D0761">
        <w:rPr>
          <w:rFonts w:ascii="Times New Roman" w:hAnsi="Times New Roman"/>
          <w:sz w:val="28"/>
          <w:szCs w:val="28"/>
          <w:lang w:val="es-ES"/>
        </w:rPr>
        <w:t xml:space="preserve"> señaló que los asesinatos relacionados con el género representan la manifestación de formas existentes de violencia contra la mujer y los Estados tienen</w:t>
      </w:r>
      <w:r w:rsidRPr="006D0761">
        <w:rPr>
          <w:rFonts w:ascii="Times New Roman" w:hAnsi="Times New Roman"/>
          <w:sz w:val="28"/>
          <w:szCs w:val="28"/>
          <w:lang w:val="es-ES"/>
        </w:rPr>
        <w:t xml:space="preserve"> el deber de actuar bajo los deberes de debida diligencia en la protección y prevención de esta violencia. </w:t>
      </w:r>
      <w:r w:rsidRPr="006D0761">
        <w:rPr>
          <w:rFonts w:ascii="Times New Roman" w:hAnsi="Times New Roman"/>
          <w:sz w:val="28"/>
          <w:szCs w:val="28"/>
          <w:lang w:val="es-ES"/>
        </w:rPr>
        <w:t>Adicionalmente,</w:t>
      </w:r>
      <w:r w:rsidRPr="006D0761">
        <w:rPr>
          <w:rFonts w:ascii="Times New Roman" w:hAnsi="Times New Roman"/>
          <w:sz w:val="28"/>
          <w:szCs w:val="28"/>
          <w:lang w:val="es-ES"/>
        </w:rPr>
        <w:t xml:space="preserve"> indicó que este tipo de homicidios no son accidentales o inesperados, sino </w:t>
      </w:r>
      <w:r w:rsidRPr="006D0761">
        <w:rPr>
          <w:rFonts w:ascii="Times New Roman" w:hAnsi="Times New Roman"/>
          <w:sz w:val="28"/>
          <w:szCs w:val="28"/>
          <w:lang w:val="es-ES"/>
        </w:rPr>
        <w:t xml:space="preserve">que </w:t>
      </w:r>
      <w:r w:rsidRPr="006D0761">
        <w:rPr>
          <w:rFonts w:ascii="Times New Roman" w:hAnsi="Times New Roman"/>
          <w:sz w:val="28"/>
          <w:szCs w:val="28"/>
          <w:lang w:val="es-ES"/>
        </w:rPr>
        <w:t xml:space="preserve">constituyen el último acto que se experimenta en un </w:t>
      </w:r>
      <w:r w:rsidRPr="006D0761">
        <w:rPr>
          <w:rFonts w:ascii="Times New Roman" w:hAnsi="Times New Roman"/>
          <w:i/>
          <w:iCs/>
          <w:sz w:val="28"/>
          <w:szCs w:val="28"/>
          <w:lang w:val="es-ES"/>
        </w:rPr>
        <w:t>co</w:t>
      </w:r>
      <w:r w:rsidRPr="006D0761">
        <w:rPr>
          <w:rFonts w:ascii="Times New Roman" w:hAnsi="Times New Roman"/>
          <w:i/>
          <w:iCs/>
          <w:sz w:val="28"/>
          <w:szCs w:val="28"/>
          <w:lang w:val="es-ES"/>
        </w:rPr>
        <w:t>ntinuum</w:t>
      </w:r>
      <w:r w:rsidRPr="006D0761">
        <w:rPr>
          <w:rFonts w:ascii="Times New Roman" w:hAnsi="Times New Roman"/>
          <w:sz w:val="28"/>
          <w:szCs w:val="28"/>
          <w:lang w:val="es-ES"/>
        </w:rPr>
        <w:t xml:space="preserve"> de violencia</w:t>
      </w:r>
      <w:r w:rsidRPr="006D0761">
        <w:rPr>
          <w:rStyle w:val="Refdenotaalpie"/>
          <w:rFonts w:ascii="Times New Roman" w:hAnsi="Times New Roman"/>
          <w:sz w:val="28"/>
          <w:szCs w:val="28"/>
          <w:lang w:val="es-ES"/>
        </w:rPr>
        <w:footnoteReference w:id="42"/>
      </w:r>
      <w:r w:rsidRPr="006D0761">
        <w:rPr>
          <w:rFonts w:ascii="Times New Roman" w:hAnsi="Times New Roman"/>
          <w:sz w:val="28"/>
          <w:szCs w:val="28"/>
          <w:lang w:val="es-ES"/>
        </w:rPr>
        <w:t>.</w:t>
      </w:r>
    </w:p>
    <w:p w:rsidR="0039215C" w:rsidRPr="006D0761" w:rsidRDefault="006D0761" w:rsidP="003F0F3D">
      <w:pPr>
        <w:rPr>
          <w:rFonts w:ascii="Times New Roman" w:hAnsi="Times New Roman"/>
          <w:sz w:val="28"/>
          <w:szCs w:val="28"/>
          <w:lang w:val="es-ES"/>
        </w:rPr>
      </w:pPr>
    </w:p>
    <w:p w:rsidR="0039215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sz w:val="28"/>
          <w:szCs w:val="28"/>
          <w:lang w:val="es-ES"/>
        </w:rPr>
        <w:t xml:space="preserve">De esta forma, </w:t>
      </w:r>
      <w:r w:rsidRPr="006D0761">
        <w:rPr>
          <w:rFonts w:ascii="Times New Roman" w:hAnsi="Times New Roman"/>
          <w:sz w:val="28"/>
          <w:szCs w:val="28"/>
          <w:lang w:val="es-ES"/>
        </w:rPr>
        <w:t>la tipificación del feminicidio</w:t>
      </w:r>
      <w:r w:rsidRPr="006D0761">
        <w:rPr>
          <w:rFonts w:ascii="Times New Roman" w:hAnsi="Times New Roman"/>
          <w:sz w:val="28"/>
          <w:szCs w:val="28"/>
          <w:lang w:val="es-ES"/>
        </w:rPr>
        <w:t xml:space="preserve"> se fundamenta</w:t>
      </w:r>
      <w:r w:rsidRPr="006D0761">
        <w:rPr>
          <w:rFonts w:ascii="Times New Roman" w:hAnsi="Times New Roman"/>
          <w:sz w:val="28"/>
          <w:szCs w:val="28"/>
          <w:lang w:val="es-ES"/>
        </w:rPr>
        <w:t xml:space="preserve"> en las obligaciones de debida diligencia de los Estados en la  erradicación, prevención, investigación, sanción de todo tipo de violencia contra la Mujer que se desprenden particularmente de la Convención de Belém do Pará y que también han sido plasmados </w:t>
      </w:r>
      <w:r w:rsidRPr="006D0761">
        <w:rPr>
          <w:rFonts w:ascii="Times New Roman" w:hAnsi="Times New Roman"/>
          <w:sz w:val="28"/>
          <w:szCs w:val="28"/>
          <w:lang w:val="es-ES"/>
        </w:rPr>
        <w:t>en la Declaración de las Naciones Unidas sobre la Eliminación de la Violencia contra la Mujer y en la Recomendación General No. 19 del Comité que monitore</w:t>
      </w:r>
      <w:r w:rsidRPr="006D0761">
        <w:rPr>
          <w:rFonts w:ascii="Times New Roman" w:hAnsi="Times New Roman"/>
          <w:sz w:val="28"/>
          <w:szCs w:val="28"/>
          <w:lang w:val="es-ES"/>
        </w:rPr>
        <w:t>a</w:t>
      </w:r>
      <w:r w:rsidRPr="006D0761">
        <w:rPr>
          <w:rFonts w:ascii="Times New Roman" w:hAnsi="Times New Roman"/>
          <w:sz w:val="28"/>
          <w:szCs w:val="28"/>
          <w:lang w:val="es-ES"/>
        </w:rPr>
        <w:t xml:space="preserve"> la Convención para la Eliminación de Todas las Formas de Discriminación contra la Mujer (Comité CEDA</w:t>
      </w:r>
      <w:r w:rsidRPr="006D0761">
        <w:rPr>
          <w:rFonts w:ascii="Times New Roman" w:hAnsi="Times New Roman"/>
          <w:sz w:val="28"/>
          <w:szCs w:val="28"/>
          <w:lang w:val="es-ES"/>
        </w:rPr>
        <w:t xml:space="preserve">W). </w:t>
      </w:r>
    </w:p>
    <w:p w:rsidR="0039215C" w:rsidRPr="006D0761" w:rsidRDefault="006D0761" w:rsidP="00EB501B">
      <w:pPr>
        <w:pStyle w:val="Prrafodelista"/>
        <w:ind w:left="0"/>
        <w:rPr>
          <w:rFonts w:ascii="Times New Roman" w:hAnsi="Times New Roman"/>
          <w:color w:val="000000"/>
          <w:sz w:val="28"/>
          <w:szCs w:val="28"/>
          <w:lang w:val="es-ES"/>
        </w:rPr>
      </w:pPr>
    </w:p>
    <w:p w:rsidR="00EB501B" w:rsidRPr="006D0761" w:rsidRDefault="006D0761" w:rsidP="007E7063">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ese marco, también resulta indicativo </w:t>
      </w:r>
      <w:r w:rsidRPr="006D0761">
        <w:rPr>
          <w:rFonts w:ascii="Times New Roman" w:hAnsi="Times New Roman"/>
          <w:color w:val="000000"/>
          <w:sz w:val="28"/>
          <w:szCs w:val="28"/>
          <w:lang w:val="es-ES"/>
        </w:rPr>
        <w:t>el abordaje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continental</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homogéneo</w:t>
      </w:r>
      <w:r w:rsidRPr="006D0761">
        <w:rPr>
          <w:rFonts w:ascii="Times New Roman" w:hAnsi="Times New Roman"/>
          <w:color w:val="000000"/>
          <w:sz w:val="28"/>
          <w:szCs w:val="28"/>
          <w:lang w:val="es-ES"/>
        </w:rPr>
        <w:t xml:space="preserve"> que ha tenido l</w:t>
      </w:r>
      <w:r w:rsidRPr="006D0761">
        <w:rPr>
          <w:rFonts w:ascii="Times New Roman" w:hAnsi="Times New Roman"/>
          <w:color w:val="000000"/>
          <w:sz w:val="28"/>
          <w:szCs w:val="28"/>
          <w:lang w:val="es-ES"/>
        </w:rPr>
        <w:t>a medida para contrarrestar la desigualdad estructural que afecta el derecho a una vida libre de violencias para las mujeres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al punto que </w:t>
      </w:r>
      <w:r w:rsidRPr="006D0761">
        <w:rPr>
          <w:rFonts w:ascii="Times New Roman" w:hAnsi="Times New Roman"/>
          <w:color w:val="000000"/>
          <w:sz w:val="28"/>
          <w:szCs w:val="28"/>
          <w:lang w:val="es-ES"/>
        </w:rPr>
        <w:t xml:space="preserve">hace parte de una </w:t>
      </w:r>
      <w:r w:rsidRPr="006D0761">
        <w:rPr>
          <w:rFonts w:ascii="Times New Roman" w:hAnsi="Times New Roman"/>
          <w:color w:val="000000"/>
          <w:sz w:val="28"/>
          <w:szCs w:val="28"/>
          <w:lang w:val="es-ES"/>
        </w:rPr>
        <w:t>perspectiva</w:t>
      </w:r>
      <w:r w:rsidRPr="006D0761">
        <w:rPr>
          <w:rFonts w:ascii="Times New Roman" w:hAnsi="Times New Roman"/>
          <w:color w:val="000000"/>
          <w:sz w:val="28"/>
          <w:szCs w:val="28"/>
          <w:lang w:val="es-ES"/>
        </w:rPr>
        <w:t xml:space="preserve"> común</w:t>
      </w:r>
      <w:r w:rsidRPr="006D0761">
        <w:rPr>
          <w:rFonts w:ascii="Times New Roman" w:hAnsi="Times New Roman"/>
          <w:color w:val="000000"/>
          <w:sz w:val="28"/>
          <w:szCs w:val="28"/>
          <w:lang w:val="es-ES"/>
        </w:rPr>
        <w:t xml:space="preserve"> del derecho a la igualdad </w:t>
      </w:r>
      <w:r w:rsidRPr="006D0761">
        <w:rPr>
          <w:rFonts w:ascii="Times New Roman" w:hAnsi="Times New Roman"/>
          <w:color w:val="000000"/>
          <w:sz w:val="28"/>
          <w:szCs w:val="28"/>
          <w:lang w:val="es-ES"/>
        </w:rPr>
        <w:t>en la región.</w:t>
      </w:r>
    </w:p>
    <w:p w:rsidR="0039215C" w:rsidRPr="006D0761" w:rsidRDefault="006D0761" w:rsidP="00EB501B">
      <w:pPr>
        <w:pStyle w:val="Prrafodelista"/>
        <w:ind w:left="0"/>
        <w:rPr>
          <w:rFonts w:ascii="Times New Roman" w:hAnsi="Times New Roman"/>
          <w:sz w:val="28"/>
          <w:szCs w:val="28"/>
          <w:lang w:val="es-ES"/>
        </w:rPr>
      </w:pPr>
    </w:p>
    <w:p w:rsidR="005D6D72"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sz w:val="28"/>
          <w:szCs w:val="28"/>
          <w:lang w:val="es-ES"/>
        </w:rPr>
        <w:t>Un breve examen de derecho comparado muestra que son variadas las legislaciones en América Latina que han aprobado leyes que penalizan el feminicidio. A saber, Argentina, Bolivia, Brasil, Chile, Co</w:t>
      </w:r>
      <w:r w:rsidRPr="006D0761">
        <w:rPr>
          <w:rFonts w:ascii="Times New Roman" w:hAnsi="Times New Roman"/>
          <w:sz w:val="28"/>
          <w:szCs w:val="28"/>
          <w:lang w:val="es-ES"/>
        </w:rPr>
        <w:t>sta Rica, Ecuador, El Salvador, Guatemala, Honduras, México, Nicaragua, Panamá, Paraguay, Perú República Dominicana, Uruguay y Venezuela. No obstante, conforme lo ha registrado ONU Mujeres</w:t>
      </w:r>
      <w:r w:rsidRPr="006D0761">
        <w:rPr>
          <w:rStyle w:val="Refdenotaalpie"/>
          <w:rFonts w:ascii="Times New Roman" w:hAnsi="Times New Roman"/>
          <w:sz w:val="28"/>
          <w:szCs w:val="28"/>
          <w:lang w:val="es-ES"/>
        </w:rPr>
        <w:footnoteReference w:id="43"/>
      </w:r>
      <w:r w:rsidRPr="006D0761">
        <w:rPr>
          <w:rFonts w:ascii="Times New Roman" w:hAnsi="Times New Roman"/>
          <w:sz w:val="28"/>
          <w:szCs w:val="28"/>
          <w:lang w:val="es-ES"/>
        </w:rPr>
        <w:t>, la forma en cómo lo han abordado ha sido diferente. Países como A</w:t>
      </w:r>
      <w:r w:rsidRPr="006D0761">
        <w:rPr>
          <w:rFonts w:ascii="Times New Roman" w:hAnsi="Times New Roman"/>
          <w:sz w:val="28"/>
          <w:szCs w:val="28"/>
          <w:lang w:val="es-ES"/>
        </w:rPr>
        <w:t>rgentina</w:t>
      </w:r>
      <w:r w:rsidRPr="006D0761">
        <w:rPr>
          <w:rStyle w:val="Refdenotaalpie"/>
          <w:rFonts w:ascii="Times New Roman" w:hAnsi="Times New Roman"/>
          <w:sz w:val="28"/>
          <w:szCs w:val="28"/>
          <w:lang w:val="es-ES"/>
        </w:rPr>
        <w:footnoteReference w:id="44"/>
      </w:r>
      <w:r w:rsidRPr="006D0761">
        <w:rPr>
          <w:rFonts w:ascii="Times New Roman" w:hAnsi="Times New Roman"/>
          <w:sz w:val="28"/>
          <w:szCs w:val="28"/>
          <w:lang w:val="es-ES"/>
        </w:rPr>
        <w:t>, Bolivia</w:t>
      </w:r>
      <w:r w:rsidRPr="006D0761">
        <w:rPr>
          <w:rStyle w:val="Refdenotaalpie"/>
          <w:rFonts w:ascii="Times New Roman" w:hAnsi="Times New Roman"/>
          <w:sz w:val="28"/>
          <w:szCs w:val="28"/>
          <w:lang w:val="es-ES"/>
        </w:rPr>
        <w:footnoteReference w:id="45"/>
      </w:r>
      <w:r w:rsidRPr="006D0761">
        <w:rPr>
          <w:rFonts w:ascii="Times New Roman" w:hAnsi="Times New Roman"/>
          <w:sz w:val="28"/>
          <w:szCs w:val="28"/>
          <w:lang w:val="es-ES"/>
        </w:rPr>
        <w:t>, Ecuador</w:t>
      </w:r>
      <w:r w:rsidRPr="006D0761">
        <w:rPr>
          <w:rStyle w:val="Refdenotaalpie"/>
          <w:rFonts w:ascii="Times New Roman" w:hAnsi="Times New Roman"/>
          <w:sz w:val="28"/>
          <w:szCs w:val="28"/>
          <w:lang w:val="es-ES"/>
        </w:rPr>
        <w:footnoteReference w:id="46"/>
      </w:r>
      <w:r w:rsidRPr="006D0761">
        <w:rPr>
          <w:rFonts w:ascii="Times New Roman" w:hAnsi="Times New Roman"/>
          <w:sz w:val="28"/>
          <w:szCs w:val="28"/>
          <w:lang w:val="es-ES"/>
        </w:rPr>
        <w:t>, El Salvador</w:t>
      </w:r>
      <w:r w:rsidRPr="006D0761">
        <w:rPr>
          <w:rStyle w:val="Refdenotaalpie"/>
          <w:rFonts w:ascii="Times New Roman" w:hAnsi="Times New Roman"/>
          <w:sz w:val="28"/>
          <w:szCs w:val="28"/>
          <w:lang w:val="es-ES"/>
        </w:rPr>
        <w:footnoteReference w:id="47"/>
      </w:r>
      <w:r w:rsidRPr="006D0761">
        <w:rPr>
          <w:rFonts w:ascii="Times New Roman" w:hAnsi="Times New Roman"/>
          <w:sz w:val="28"/>
          <w:szCs w:val="28"/>
          <w:lang w:val="es-ES"/>
        </w:rPr>
        <w:t>, Guatemala</w:t>
      </w:r>
      <w:r w:rsidRPr="006D0761">
        <w:rPr>
          <w:rStyle w:val="Refdenotaalpie"/>
          <w:rFonts w:ascii="Times New Roman" w:hAnsi="Times New Roman"/>
          <w:sz w:val="28"/>
          <w:szCs w:val="28"/>
          <w:lang w:val="es-ES"/>
        </w:rPr>
        <w:footnoteReference w:id="48"/>
      </w:r>
      <w:r w:rsidRPr="006D0761">
        <w:rPr>
          <w:rFonts w:ascii="Times New Roman" w:hAnsi="Times New Roman"/>
          <w:sz w:val="28"/>
          <w:szCs w:val="28"/>
          <w:lang w:val="es-ES"/>
        </w:rPr>
        <w:t>,</w:t>
      </w:r>
      <w:r w:rsidRPr="006D0761">
        <w:rPr>
          <w:rFonts w:ascii="Times New Roman" w:hAnsi="Times New Roman"/>
          <w:sz w:val="28"/>
          <w:szCs w:val="28"/>
          <w:lang w:val="es-ES"/>
        </w:rPr>
        <w:t xml:space="preserve"> Uru</w:t>
      </w:r>
      <w:r w:rsidRPr="006D0761">
        <w:rPr>
          <w:rFonts w:ascii="Times New Roman" w:hAnsi="Times New Roman"/>
          <w:sz w:val="28"/>
          <w:szCs w:val="28"/>
          <w:lang w:val="es-ES"/>
        </w:rPr>
        <w:t>guay</w:t>
      </w:r>
      <w:r w:rsidRPr="006D0761">
        <w:rPr>
          <w:rStyle w:val="Refdenotaalpie"/>
          <w:rFonts w:ascii="Times New Roman" w:hAnsi="Times New Roman"/>
          <w:sz w:val="28"/>
          <w:szCs w:val="28"/>
          <w:lang w:val="es-ES"/>
        </w:rPr>
        <w:footnoteReference w:id="49"/>
      </w:r>
      <w:r w:rsidRPr="006D0761">
        <w:rPr>
          <w:rFonts w:ascii="Times New Roman" w:hAnsi="Times New Roman"/>
          <w:sz w:val="28"/>
          <w:szCs w:val="28"/>
          <w:lang w:val="es-ES"/>
        </w:rPr>
        <w:t>, México</w:t>
      </w:r>
      <w:r w:rsidRPr="006D0761">
        <w:rPr>
          <w:rStyle w:val="Refdenotaalpie"/>
          <w:rFonts w:ascii="Times New Roman" w:hAnsi="Times New Roman"/>
          <w:sz w:val="28"/>
          <w:szCs w:val="28"/>
          <w:lang w:val="es-ES"/>
        </w:rPr>
        <w:footnoteReference w:id="50"/>
      </w:r>
      <w:r w:rsidRPr="006D0761">
        <w:rPr>
          <w:rFonts w:ascii="Times New Roman" w:hAnsi="Times New Roman"/>
          <w:sz w:val="28"/>
          <w:szCs w:val="28"/>
          <w:lang w:val="es-ES"/>
        </w:rPr>
        <w:t>, Nicaragua</w:t>
      </w:r>
      <w:r w:rsidRPr="006D0761">
        <w:rPr>
          <w:rStyle w:val="Refdenotaalpie"/>
          <w:rFonts w:ascii="Times New Roman" w:hAnsi="Times New Roman"/>
          <w:sz w:val="28"/>
          <w:szCs w:val="28"/>
          <w:lang w:val="es-ES"/>
        </w:rPr>
        <w:footnoteReference w:id="51"/>
      </w:r>
      <w:r w:rsidRPr="006D0761">
        <w:rPr>
          <w:rFonts w:ascii="Times New Roman" w:hAnsi="Times New Roman"/>
          <w:sz w:val="28"/>
          <w:szCs w:val="28"/>
          <w:lang w:val="es-ES"/>
        </w:rPr>
        <w:t>, Panamá</w:t>
      </w:r>
      <w:r w:rsidRPr="006D0761">
        <w:rPr>
          <w:rStyle w:val="Refdenotaalpie"/>
          <w:rFonts w:ascii="Times New Roman" w:hAnsi="Times New Roman"/>
          <w:sz w:val="28"/>
          <w:szCs w:val="28"/>
          <w:lang w:val="es-ES"/>
        </w:rPr>
        <w:footnoteReference w:id="52"/>
      </w:r>
      <w:r w:rsidRPr="006D0761">
        <w:rPr>
          <w:rFonts w:ascii="Times New Roman" w:hAnsi="Times New Roman"/>
          <w:sz w:val="28"/>
          <w:szCs w:val="28"/>
          <w:lang w:val="es-ES"/>
        </w:rPr>
        <w:t xml:space="preserve"> y Venezuela</w:t>
      </w:r>
      <w:r w:rsidRPr="006D0761">
        <w:rPr>
          <w:rStyle w:val="Refdenotaalpie"/>
          <w:rFonts w:ascii="Times New Roman" w:hAnsi="Times New Roman"/>
          <w:sz w:val="28"/>
          <w:szCs w:val="28"/>
          <w:lang w:val="es-ES"/>
        </w:rPr>
        <w:footnoteReference w:id="53"/>
      </w:r>
      <w:r w:rsidRPr="006D0761">
        <w:rPr>
          <w:rFonts w:ascii="Times New Roman" w:hAnsi="Times New Roman"/>
          <w:sz w:val="28"/>
          <w:szCs w:val="28"/>
          <w:lang w:val="es-ES"/>
        </w:rPr>
        <w:t xml:space="preserve"> cuentan con leyes integrales contra todas las formas de violencia de género en las que, además de tipificar el feminicidio como un delito autónomo,</w:t>
      </w:r>
      <w:r w:rsidRPr="006D0761">
        <w:rPr>
          <w:rFonts w:ascii="Times New Roman" w:hAnsi="Times New Roman"/>
          <w:sz w:val="28"/>
          <w:szCs w:val="28"/>
          <w:lang w:val="es-ES"/>
        </w:rPr>
        <w:t xml:space="preserve"> cuentan con herramientas para la prevención, protección, investigación y reparación de víctimas. De ellos, Bolivia, Ecuador, Panamá y México</w:t>
      </w:r>
      <w:r w:rsidRPr="006D0761">
        <w:rPr>
          <w:rStyle w:val="Refdenotaalpie"/>
          <w:rFonts w:ascii="Times New Roman" w:hAnsi="Times New Roman"/>
          <w:sz w:val="28"/>
          <w:szCs w:val="28"/>
          <w:lang w:val="es-ES"/>
        </w:rPr>
        <w:footnoteReference w:id="54"/>
      </w:r>
      <w:r w:rsidRPr="006D0761">
        <w:rPr>
          <w:rFonts w:ascii="Times New Roman" w:hAnsi="Times New Roman"/>
          <w:sz w:val="28"/>
          <w:szCs w:val="28"/>
          <w:lang w:val="es-ES"/>
        </w:rPr>
        <w:t xml:space="preserve"> integraron el tipo penal en sus códigos penales, mientras que Argentina</w:t>
      </w:r>
      <w:r w:rsidRPr="006D0761">
        <w:rPr>
          <w:rStyle w:val="Refdenotaalpie"/>
          <w:rFonts w:ascii="Times New Roman" w:hAnsi="Times New Roman"/>
          <w:sz w:val="28"/>
          <w:szCs w:val="28"/>
          <w:lang w:val="es-ES"/>
        </w:rPr>
        <w:footnoteReference w:id="55"/>
      </w:r>
      <w:r w:rsidRPr="006D0761">
        <w:rPr>
          <w:rFonts w:ascii="Times New Roman" w:hAnsi="Times New Roman"/>
          <w:sz w:val="28"/>
          <w:szCs w:val="28"/>
          <w:lang w:val="es-ES"/>
        </w:rPr>
        <w:t xml:space="preserve"> optó por incluirlo simplemente como un a</w:t>
      </w:r>
      <w:r w:rsidRPr="006D0761">
        <w:rPr>
          <w:rFonts w:ascii="Times New Roman" w:hAnsi="Times New Roman"/>
          <w:sz w:val="28"/>
          <w:szCs w:val="28"/>
          <w:lang w:val="es-ES"/>
        </w:rPr>
        <w:t>gravante del delito de homicidio común. En el caso de Guatemala, Paraguay</w:t>
      </w:r>
      <w:r w:rsidRPr="006D0761">
        <w:rPr>
          <w:rStyle w:val="Refdenotaalpie"/>
          <w:rFonts w:ascii="Times New Roman" w:hAnsi="Times New Roman"/>
          <w:sz w:val="28"/>
          <w:szCs w:val="28"/>
          <w:lang w:val="es-ES"/>
        </w:rPr>
        <w:footnoteReference w:id="56"/>
      </w:r>
      <w:r w:rsidRPr="006D0761">
        <w:rPr>
          <w:rFonts w:ascii="Times New Roman" w:hAnsi="Times New Roman"/>
          <w:sz w:val="28"/>
          <w:szCs w:val="28"/>
          <w:lang w:val="es-ES"/>
        </w:rPr>
        <w:t>, Nicaragua y Venezuela simplemente consagraron el delito dentro de las leyes integrales, pero no reformaron sus códigos penales.</w:t>
      </w:r>
    </w:p>
    <w:p w:rsidR="005D6D72" w:rsidRPr="006D0761" w:rsidRDefault="006D0761" w:rsidP="00EB501B">
      <w:pPr>
        <w:pStyle w:val="Prrafodelista"/>
        <w:ind w:left="0"/>
        <w:jc w:val="both"/>
        <w:rPr>
          <w:rFonts w:ascii="Times New Roman" w:hAnsi="Times New Roman"/>
          <w:color w:val="000000"/>
          <w:sz w:val="28"/>
          <w:szCs w:val="28"/>
          <w:lang w:val="es-ES"/>
        </w:rPr>
      </w:pPr>
    </w:p>
    <w:p w:rsidR="00EB501B" w:rsidRPr="006D0761" w:rsidRDefault="006D0761" w:rsidP="007E7063">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sz w:val="28"/>
          <w:szCs w:val="28"/>
          <w:lang w:val="es-ES"/>
        </w:rPr>
        <w:t>Finalmente, Brasil</w:t>
      </w:r>
      <w:r w:rsidRPr="006D0761">
        <w:rPr>
          <w:rStyle w:val="Refdenotaalpie"/>
          <w:rFonts w:ascii="Times New Roman" w:hAnsi="Times New Roman"/>
          <w:sz w:val="28"/>
          <w:szCs w:val="28"/>
          <w:lang w:val="es-ES"/>
        </w:rPr>
        <w:footnoteReference w:id="57"/>
      </w:r>
      <w:r w:rsidRPr="006D0761">
        <w:rPr>
          <w:rFonts w:ascii="Times New Roman" w:hAnsi="Times New Roman"/>
          <w:sz w:val="28"/>
          <w:szCs w:val="28"/>
          <w:lang w:val="es-ES"/>
        </w:rPr>
        <w:t>, Chile</w:t>
      </w:r>
      <w:r w:rsidRPr="006D0761">
        <w:rPr>
          <w:rStyle w:val="Refdenotaalpie"/>
          <w:rFonts w:ascii="Times New Roman" w:hAnsi="Times New Roman"/>
          <w:sz w:val="28"/>
          <w:szCs w:val="28"/>
          <w:lang w:val="es-ES"/>
        </w:rPr>
        <w:footnoteReference w:id="58"/>
      </w:r>
      <w:r w:rsidRPr="006D0761">
        <w:rPr>
          <w:rFonts w:ascii="Times New Roman" w:hAnsi="Times New Roman"/>
          <w:sz w:val="28"/>
          <w:szCs w:val="28"/>
          <w:lang w:val="es-ES"/>
        </w:rPr>
        <w:t>, Costa Rica</w:t>
      </w:r>
      <w:r w:rsidRPr="006D0761">
        <w:rPr>
          <w:rStyle w:val="Refdenotaalpie"/>
          <w:rFonts w:ascii="Times New Roman" w:hAnsi="Times New Roman"/>
          <w:sz w:val="28"/>
          <w:szCs w:val="28"/>
          <w:lang w:val="es-ES"/>
        </w:rPr>
        <w:footnoteReference w:id="59"/>
      </w:r>
      <w:r w:rsidRPr="006D0761">
        <w:rPr>
          <w:rFonts w:ascii="Times New Roman" w:hAnsi="Times New Roman"/>
          <w:sz w:val="28"/>
          <w:szCs w:val="28"/>
          <w:lang w:val="es-ES"/>
        </w:rPr>
        <w:t>, Honduras</w:t>
      </w:r>
      <w:r w:rsidRPr="006D0761">
        <w:rPr>
          <w:rStyle w:val="Refdenotaalpie"/>
          <w:rFonts w:ascii="Times New Roman" w:hAnsi="Times New Roman"/>
          <w:sz w:val="28"/>
          <w:szCs w:val="28"/>
          <w:lang w:val="es-ES"/>
        </w:rPr>
        <w:footnoteReference w:id="60"/>
      </w:r>
      <w:r w:rsidRPr="006D0761">
        <w:rPr>
          <w:rFonts w:ascii="Times New Roman" w:hAnsi="Times New Roman"/>
          <w:sz w:val="28"/>
          <w:szCs w:val="28"/>
          <w:lang w:val="es-ES"/>
        </w:rPr>
        <w:t>, Perú</w:t>
      </w:r>
      <w:r w:rsidRPr="006D0761">
        <w:rPr>
          <w:rStyle w:val="Refdenotaalpie"/>
          <w:rFonts w:ascii="Times New Roman" w:hAnsi="Times New Roman"/>
          <w:sz w:val="28"/>
          <w:szCs w:val="28"/>
          <w:lang w:val="es-ES"/>
        </w:rPr>
        <w:footnoteReference w:id="61"/>
      </w:r>
      <w:r w:rsidRPr="006D0761">
        <w:rPr>
          <w:rFonts w:ascii="Times New Roman" w:hAnsi="Times New Roman"/>
          <w:sz w:val="28"/>
          <w:szCs w:val="28"/>
          <w:lang w:val="es-ES"/>
        </w:rPr>
        <w:t>, República Dominicana</w:t>
      </w:r>
      <w:r w:rsidRPr="006D0761">
        <w:rPr>
          <w:rStyle w:val="Refdenotaalpie"/>
          <w:rFonts w:ascii="Times New Roman" w:hAnsi="Times New Roman"/>
          <w:sz w:val="28"/>
          <w:szCs w:val="28"/>
          <w:lang w:val="es-ES"/>
        </w:rPr>
        <w:footnoteReference w:id="62"/>
      </w:r>
      <w:r w:rsidRPr="006D0761">
        <w:rPr>
          <w:rFonts w:ascii="Times New Roman" w:hAnsi="Times New Roman"/>
          <w:sz w:val="28"/>
          <w:szCs w:val="28"/>
          <w:lang w:val="es-ES"/>
        </w:rPr>
        <w:t xml:space="preserve"> y Uruguay</w:t>
      </w:r>
      <w:r w:rsidRPr="006D0761">
        <w:rPr>
          <w:rStyle w:val="Refdenotaalpie"/>
          <w:rFonts w:ascii="Times New Roman" w:hAnsi="Times New Roman"/>
          <w:sz w:val="28"/>
          <w:szCs w:val="28"/>
          <w:lang w:val="es-ES"/>
        </w:rPr>
        <w:footnoteReference w:id="63"/>
      </w:r>
      <w:r w:rsidRPr="006D0761">
        <w:rPr>
          <w:rFonts w:ascii="Times New Roman" w:hAnsi="Times New Roman"/>
          <w:sz w:val="28"/>
          <w:szCs w:val="28"/>
          <w:lang w:val="es-ES"/>
        </w:rPr>
        <w:t xml:space="preserve"> cuentan con disposiciones legales que reprochan la violencia de género en contra de las mujeres. Bien sea a través de reformas legislativas o bien sea a través de leyes específicas, los primeros seis países crearon</w:t>
      </w:r>
      <w:r w:rsidRPr="006D0761">
        <w:rPr>
          <w:rFonts w:ascii="Times New Roman" w:hAnsi="Times New Roman"/>
          <w:sz w:val="28"/>
          <w:szCs w:val="28"/>
          <w:lang w:val="es-ES"/>
        </w:rPr>
        <w:t xml:space="preserve"> el delito de feminicidio o femicidio, mientras que Uruguay acogió este tipo de violencia letal como un agravante del delito de homicidio. </w:t>
      </w:r>
    </w:p>
    <w:p w:rsidR="0039215C" w:rsidRPr="006D0761" w:rsidRDefault="006D0761" w:rsidP="00EB501B">
      <w:pPr>
        <w:pStyle w:val="Prrafodelista"/>
        <w:ind w:left="0"/>
        <w:rPr>
          <w:rFonts w:ascii="Times New Roman" w:hAnsi="Times New Roman"/>
          <w:sz w:val="28"/>
          <w:szCs w:val="28"/>
          <w:lang w:val="es-ES"/>
        </w:rPr>
      </w:pPr>
    </w:p>
    <w:p w:rsidR="0039215C" w:rsidRPr="006D0761" w:rsidRDefault="006D0761" w:rsidP="00EB501B">
      <w:pPr>
        <w:pStyle w:val="Prrafodelista"/>
        <w:numPr>
          <w:ilvl w:val="0"/>
          <w:numId w:val="3"/>
        </w:numPr>
        <w:ind w:left="0" w:firstLine="0"/>
        <w:jc w:val="both"/>
        <w:rPr>
          <w:rStyle w:val="Refdenotaalpie"/>
          <w:rFonts w:ascii="Times New Roman" w:hAnsi="Times New Roman"/>
          <w:sz w:val="28"/>
          <w:szCs w:val="28"/>
          <w:lang w:val="es-ES"/>
        </w:rPr>
      </w:pPr>
      <w:r w:rsidRPr="006D0761">
        <w:rPr>
          <w:rFonts w:ascii="Times New Roman" w:hAnsi="Times New Roman"/>
          <w:sz w:val="28"/>
          <w:szCs w:val="28"/>
          <w:lang w:val="es-ES"/>
        </w:rPr>
        <w:t>Según ONU Mujeres, México y Colombia son los países que cuentan con el marco legal más robusto para luchar en contr</w:t>
      </w:r>
      <w:r w:rsidRPr="006D0761">
        <w:rPr>
          <w:rFonts w:ascii="Times New Roman" w:hAnsi="Times New Roman"/>
          <w:sz w:val="28"/>
          <w:szCs w:val="28"/>
          <w:lang w:val="es-ES"/>
        </w:rPr>
        <w:t>a de la violencia de género contra las mujeres y, en particular, la violencia letal que resulta ser el feminicidio</w:t>
      </w:r>
      <w:r w:rsidRPr="006D0761">
        <w:rPr>
          <w:rStyle w:val="Refdenotaalpie"/>
          <w:rFonts w:ascii="Times New Roman" w:hAnsi="Times New Roman"/>
          <w:sz w:val="28"/>
          <w:szCs w:val="28"/>
          <w:lang w:val="es-ES"/>
        </w:rPr>
        <w:footnoteReference w:id="64"/>
      </w:r>
      <w:r w:rsidRPr="006D0761">
        <w:rPr>
          <w:rFonts w:ascii="Times New Roman" w:hAnsi="Times New Roman"/>
          <w:sz w:val="28"/>
          <w:szCs w:val="28"/>
          <w:lang w:val="es-ES"/>
        </w:rPr>
        <w:t>.</w:t>
      </w:r>
    </w:p>
    <w:p w:rsidR="0039215C" w:rsidRPr="006D0761" w:rsidRDefault="006D0761" w:rsidP="003F0F3D">
      <w:pPr>
        <w:pStyle w:val="Prrafodelista"/>
        <w:ind w:left="0"/>
        <w:jc w:val="both"/>
        <w:rPr>
          <w:rFonts w:ascii="Times New Roman" w:hAnsi="Times New Roman"/>
          <w:sz w:val="28"/>
          <w:szCs w:val="28"/>
          <w:lang w:val="es-ES"/>
        </w:rPr>
      </w:pPr>
    </w:p>
    <w:p w:rsidR="0039215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sz w:val="28"/>
          <w:szCs w:val="28"/>
          <w:lang w:val="es-ES"/>
        </w:rPr>
        <w:t xml:space="preserve">Todo ello da cuenta de que existe una postura generalizada en el continente que aborda la tipificación del feminicidio como </w:t>
      </w:r>
      <w:r w:rsidRPr="006D0761">
        <w:rPr>
          <w:rFonts w:ascii="Times New Roman" w:hAnsi="Times New Roman"/>
          <w:sz w:val="28"/>
          <w:szCs w:val="28"/>
          <w:lang w:val="es-ES"/>
        </w:rPr>
        <w:t>una</w:t>
      </w:r>
      <w:r w:rsidRPr="006D0761">
        <w:rPr>
          <w:rFonts w:ascii="Times New Roman" w:hAnsi="Times New Roman"/>
          <w:sz w:val="28"/>
          <w:szCs w:val="28"/>
          <w:lang w:val="es-ES"/>
        </w:rPr>
        <w:t xml:space="preserve"> respuesta </w:t>
      </w:r>
      <w:r w:rsidRPr="006D0761">
        <w:rPr>
          <w:rFonts w:ascii="Times New Roman" w:hAnsi="Times New Roman"/>
          <w:sz w:val="28"/>
          <w:szCs w:val="28"/>
          <w:lang w:val="es-ES"/>
        </w:rPr>
        <w:t xml:space="preserve">al compromiso estatal frente a la debida diligencia en la prevención, investigación y sanción de la violencia contra la mujer. </w:t>
      </w:r>
      <w:r w:rsidRPr="006D0761">
        <w:rPr>
          <w:rFonts w:ascii="Times New Roman" w:hAnsi="Times New Roman"/>
          <w:sz w:val="28"/>
          <w:szCs w:val="28"/>
          <w:lang w:val="es-ES"/>
        </w:rPr>
        <w:t xml:space="preserve">Por su parte, en ninguno de los países del continente existe un tipo penal enfocado en castigar el homicidio de un hombre </w:t>
      </w:r>
      <w:r w:rsidRPr="006D0761">
        <w:rPr>
          <w:rFonts w:ascii="Times New Roman" w:hAnsi="Times New Roman"/>
          <w:sz w:val="28"/>
          <w:szCs w:val="28"/>
          <w:lang w:val="es-ES"/>
        </w:rPr>
        <w:t xml:space="preserve">debido </w:t>
      </w:r>
      <w:r w:rsidRPr="006D0761">
        <w:rPr>
          <w:rFonts w:ascii="Times New Roman" w:hAnsi="Times New Roman"/>
          <w:sz w:val="28"/>
          <w:szCs w:val="28"/>
          <w:lang w:val="es-ES"/>
        </w:rPr>
        <w:t>a</w:t>
      </w:r>
      <w:r w:rsidRPr="006D0761">
        <w:rPr>
          <w:rFonts w:ascii="Times New Roman" w:hAnsi="Times New Roman"/>
          <w:sz w:val="28"/>
          <w:szCs w:val="28"/>
          <w:lang w:val="es-ES"/>
        </w:rPr>
        <w:t xml:space="preserve"> su género.    </w:t>
      </w:r>
    </w:p>
    <w:p w:rsidR="00EE25C6" w:rsidRPr="006D0761" w:rsidRDefault="006D0761" w:rsidP="00EB501B">
      <w:pPr>
        <w:pStyle w:val="Prrafodelista"/>
        <w:ind w:left="0"/>
        <w:rPr>
          <w:rFonts w:ascii="Times New Roman" w:hAnsi="Times New Roman"/>
          <w:color w:val="000000"/>
          <w:sz w:val="28"/>
          <w:szCs w:val="28"/>
          <w:lang w:val="es-ES"/>
        </w:rPr>
      </w:pPr>
    </w:p>
    <w:p w:rsidR="00EE25C6"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Por otro lado, y puntualmente</w:t>
      </w:r>
      <w:r w:rsidRPr="006D0761">
        <w:rPr>
          <w:rFonts w:ascii="Times New Roman" w:hAnsi="Times New Roman"/>
          <w:color w:val="000000"/>
          <w:sz w:val="28"/>
          <w:szCs w:val="28"/>
          <w:lang w:val="es-ES"/>
        </w:rPr>
        <w:t xml:space="preserve"> sobre la Ley 1761 de 2015, la Corte Constitucional</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en la </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entencia C-297 de 2016</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abordó </w:t>
      </w:r>
      <w:r w:rsidRPr="006D0761">
        <w:rPr>
          <w:rFonts w:ascii="Times New Roman" w:hAnsi="Times New Roman"/>
          <w:color w:val="000000"/>
          <w:sz w:val="28"/>
          <w:szCs w:val="28"/>
          <w:lang w:val="es-ES"/>
        </w:rPr>
        <w:t xml:space="preserve">la medida </w:t>
      </w:r>
      <w:r w:rsidRPr="006D0761">
        <w:rPr>
          <w:rFonts w:ascii="Times New Roman" w:hAnsi="Times New Roman"/>
          <w:color w:val="000000"/>
          <w:sz w:val="28"/>
          <w:szCs w:val="28"/>
          <w:lang w:val="es-ES"/>
        </w:rPr>
        <w:t>c</w:t>
      </w:r>
      <w:r w:rsidRPr="006D0761">
        <w:rPr>
          <w:rFonts w:ascii="Times New Roman" w:hAnsi="Times New Roman"/>
          <w:color w:val="000000"/>
          <w:sz w:val="28"/>
          <w:szCs w:val="28"/>
          <w:lang w:val="es-ES"/>
        </w:rPr>
        <w:t>ó</w:t>
      </w:r>
      <w:r w:rsidRPr="006D0761">
        <w:rPr>
          <w:rFonts w:ascii="Times New Roman" w:hAnsi="Times New Roman"/>
          <w:color w:val="000000"/>
          <w:sz w:val="28"/>
          <w:szCs w:val="28"/>
          <w:lang w:val="es-ES"/>
        </w:rPr>
        <w:t xml:space="preserve">mo el cumplimiento de una obligación del Estado frente al derecho de las mujeres a estar libres de violencia y los correlativos deberes para el Estado, </w:t>
      </w:r>
      <w:r w:rsidRPr="006D0761">
        <w:rPr>
          <w:rFonts w:ascii="Times New Roman" w:hAnsi="Times New Roman"/>
          <w:color w:val="000000"/>
          <w:sz w:val="28"/>
          <w:szCs w:val="28"/>
          <w:lang w:val="es-ES"/>
        </w:rPr>
        <w:t>lo cual</w:t>
      </w:r>
      <w:r w:rsidRPr="006D0761">
        <w:rPr>
          <w:rFonts w:ascii="Times New Roman" w:hAnsi="Times New Roman"/>
          <w:color w:val="000000"/>
          <w:sz w:val="28"/>
          <w:szCs w:val="28"/>
          <w:lang w:val="es-ES"/>
        </w:rPr>
        <w:t xml:space="preserve"> tiene su fundamento en la Constitución y en instrumentos del </w:t>
      </w:r>
      <w:r w:rsidRPr="006D0761">
        <w:rPr>
          <w:rFonts w:ascii="Times New Roman" w:hAnsi="Times New Roman"/>
          <w:color w:val="000000"/>
          <w:sz w:val="28"/>
          <w:szCs w:val="28"/>
          <w:lang w:val="es-ES"/>
        </w:rPr>
        <w:t>b</w:t>
      </w:r>
      <w:r w:rsidRPr="006D0761">
        <w:rPr>
          <w:rFonts w:ascii="Times New Roman" w:hAnsi="Times New Roman"/>
          <w:color w:val="000000"/>
          <w:sz w:val="28"/>
          <w:szCs w:val="28"/>
          <w:lang w:val="es-ES"/>
        </w:rPr>
        <w:t xml:space="preserve">loque de </w:t>
      </w:r>
      <w:r w:rsidRPr="006D0761">
        <w:rPr>
          <w:rFonts w:ascii="Times New Roman" w:hAnsi="Times New Roman"/>
          <w:color w:val="000000"/>
          <w:sz w:val="28"/>
          <w:szCs w:val="28"/>
          <w:lang w:val="es-ES"/>
        </w:rPr>
        <w:t>c</w:t>
      </w:r>
      <w:r w:rsidRPr="006D0761">
        <w:rPr>
          <w:rFonts w:ascii="Times New Roman" w:hAnsi="Times New Roman"/>
          <w:color w:val="000000"/>
          <w:sz w:val="28"/>
          <w:szCs w:val="28"/>
          <w:lang w:val="es-ES"/>
        </w:rPr>
        <w:t xml:space="preserve">onstitucionalidad. </w:t>
      </w:r>
      <w:r w:rsidRPr="006D0761">
        <w:rPr>
          <w:rFonts w:ascii="Times New Roman" w:hAnsi="Times New Roman"/>
          <w:color w:val="000000"/>
          <w:sz w:val="28"/>
          <w:szCs w:val="28"/>
          <w:lang w:val="es-ES"/>
        </w:rPr>
        <w:t>En es</w:t>
      </w:r>
      <w:r w:rsidRPr="006D0761">
        <w:rPr>
          <w:rFonts w:ascii="Times New Roman" w:hAnsi="Times New Roman"/>
          <w:color w:val="000000"/>
          <w:sz w:val="28"/>
          <w:szCs w:val="28"/>
          <w:lang w:val="es-ES"/>
        </w:rPr>
        <w:t>a oportunidad,</w:t>
      </w:r>
      <w:r w:rsidRPr="006D0761">
        <w:rPr>
          <w:rFonts w:ascii="Times New Roman" w:hAnsi="Times New Roman"/>
          <w:color w:val="000000"/>
          <w:sz w:val="28"/>
          <w:szCs w:val="28"/>
          <w:lang w:val="es-ES"/>
        </w:rPr>
        <w:t xml:space="preserve"> concluyó que</w:t>
      </w:r>
      <w:r w:rsidRPr="006D0761">
        <w:rPr>
          <w:rStyle w:val="Refdenotaalpie"/>
          <w:rFonts w:ascii="Times New Roman" w:hAnsi="Times New Roman"/>
          <w:color w:val="000000"/>
          <w:sz w:val="28"/>
          <w:szCs w:val="28"/>
          <w:lang w:val="es-ES"/>
        </w:rPr>
        <w:footnoteReference w:id="65"/>
      </w:r>
      <w:r w:rsidRPr="006D0761">
        <w:rPr>
          <w:rFonts w:ascii="Times New Roman" w:hAnsi="Times New Roman"/>
          <w:color w:val="000000"/>
          <w:sz w:val="28"/>
          <w:szCs w:val="28"/>
          <w:lang w:val="es-ES"/>
        </w:rPr>
        <w:t>:</w:t>
      </w:r>
    </w:p>
    <w:p w:rsidR="00EE25C6" w:rsidRPr="006D0761" w:rsidRDefault="006D0761" w:rsidP="6D224379">
      <w:pPr>
        <w:jc w:val="both"/>
        <w:rPr>
          <w:rFonts w:ascii="Times New Roman" w:hAnsi="Times New Roman"/>
          <w:color w:val="000000"/>
          <w:sz w:val="28"/>
          <w:szCs w:val="28"/>
          <w:lang w:val="es-ES"/>
        </w:rPr>
      </w:pPr>
    </w:p>
    <w:p w:rsidR="00EE25C6" w:rsidRPr="006D0761" w:rsidRDefault="006D0761" w:rsidP="00EB501B">
      <w:pPr>
        <w:ind w:left="567" w:right="567"/>
        <w:jc w:val="both"/>
        <w:rPr>
          <w:rFonts w:ascii="Times New Roman" w:hAnsi="Times New Roman"/>
          <w:color w:val="000000"/>
          <w:sz w:val="28"/>
          <w:lang w:val="es-ES"/>
        </w:rPr>
      </w:pPr>
      <w:r w:rsidRPr="006D0761">
        <w:rPr>
          <w:rFonts w:ascii="Times New Roman" w:hAnsi="Times New Roman"/>
          <w:color w:val="000000"/>
          <w:sz w:val="28"/>
          <w:lang w:val="es-ES"/>
        </w:rPr>
        <w:t>“</w:t>
      </w:r>
      <w:r w:rsidRPr="006D0761">
        <w:rPr>
          <w:rFonts w:ascii="Times New Roman" w:hAnsi="Times New Roman"/>
          <w:color w:val="000000"/>
          <w:sz w:val="28"/>
          <w:lang w:val="es-ES"/>
        </w:rPr>
        <w:t>(i) la violencia de género es un fenómeno social vigente que se fundamenta en la discriminación de la mujer y tiene serias consecuencias para el goce de sus derechos fundamentales; (ii) a partir de las disposiciones constitucionales y del bloque de constit</w:t>
      </w:r>
      <w:r w:rsidRPr="006D0761">
        <w:rPr>
          <w:rFonts w:ascii="Times New Roman" w:hAnsi="Times New Roman"/>
          <w:color w:val="000000"/>
          <w:sz w:val="28"/>
          <w:lang w:val="es-ES"/>
        </w:rPr>
        <w:t xml:space="preserve">ucionalidad se ha reconocido el derecho fundamental de las mujeres a estar libres de violencia, que a su vez comporta el deber estatal de adoptar todas las medidas para protegerlas de la violencia y atender de forma integral a sus sobrevivientes; (iii) el </w:t>
      </w:r>
      <w:r w:rsidRPr="006D0761">
        <w:rPr>
          <w:rFonts w:ascii="Times New Roman" w:hAnsi="Times New Roman"/>
          <w:color w:val="000000"/>
          <w:sz w:val="28"/>
          <w:lang w:val="es-ES"/>
        </w:rPr>
        <w:t>mismo marco impone la obligación de debida diligencia de prevenir, atender, investigar y sancionar la violencia contra la mujer; (iv) a su vez, este deber no se limita a la obligación de adoptar medidas de tipo penal sino también debe contemplar medidas so</w:t>
      </w:r>
      <w:r w:rsidRPr="006D0761">
        <w:rPr>
          <w:rFonts w:ascii="Times New Roman" w:hAnsi="Times New Roman"/>
          <w:color w:val="000000"/>
          <w:sz w:val="28"/>
          <w:lang w:val="es-ES"/>
        </w:rPr>
        <w:t>ciales y educativas, entre otras, que contribuyan de forma efectiva a revertir las condiciones sociales que fomentan los estereotipos negativos de género y  precluyen el goce de la igualdad sustantiva, particularmente en el ámbito de la administración de j</w:t>
      </w:r>
      <w:r w:rsidRPr="006D0761">
        <w:rPr>
          <w:rFonts w:ascii="Times New Roman" w:hAnsi="Times New Roman"/>
          <w:color w:val="000000"/>
          <w:sz w:val="28"/>
          <w:lang w:val="es-ES"/>
        </w:rPr>
        <w:t xml:space="preserve">usticia. </w:t>
      </w:r>
    </w:p>
    <w:p w:rsidR="00EE25C6" w:rsidRPr="006D0761" w:rsidRDefault="006D0761" w:rsidP="00EB501B">
      <w:pPr>
        <w:ind w:left="567" w:right="567"/>
        <w:jc w:val="both"/>
        <w:rPr>
          <w:rFonts w:ascii="Times New Roman" w:hAnsi="Times New Roman"/>
          <w:color w:val="000000"/>
          <w:sz w:val="28"/>
          <w:lang w:val="es-ES"/>
        </w:rPr>
      </w:pPr>
      <w:r w:rsidRPr="006D0761">
        <w:rPr>
          <w:rFonts w:ascii="Times New Roman" w:hAnsi="Times New Roman"/>
          <w:b/>
          <w:bCs/>
          <w:color w:val="000000"/>
          <w:sz w:val="28"/>
          <w:lang w:val="es-ES"/>
        </w:rPr>
        <w:t> </w:t>
      </w:r>
    </w:p>
    <w:p w:rsidR="00EE25C6" w:rsidRPr="006D0761" w:rsidRDefault="006D0761" w:rsidP="00EB501B">
      <w:pPr>
        <w:ind w:left="567" w:right="567"/>
        <w:jc w:val="both"/>
        <w:rPr>
          <w:rFonts w:ascii="Times New Roman" w:hAnsi="Times New Roman"/>
          <w:color w:val="000000"/>
          <w:sz w:val="28"/>
          <w:lang w:val="es-ES"/>
        </w:rPr>
      </w:pPr>
      <w:r w:rsidRPr="006D0761">
        <w:rPr>
          <w:rFonts w:ascii="Times New Roman" w:hAnsi="Times New Roman"/>
          <w:color w:val="000000"/>
          <w:sz w:val="28"/>
          <w:lang w:val="es-ES"/>
        </w:rPr>
        <w:t>En este contexto, esta Corporación ha considerado deber del Estado adoptar: (i) acciones afirmativas para proteger a las mujeres de los riesgos y</w:t>
      </w:r>
      <w:r w:rsidRPr="006D0761">
        <w:rPr>
          <w:rFonts w:ascii="Times New Roman" w:hAnsi="Times New Roman"/>
          <w:b/>
          <w:bCs/>
          <w:color w:val="000000"/>
          <w:sz w:val="28"/>
          <w:lang w:val="es-ES"/>
        </w:rPr>
        <w:t xml:space="preserve"> </w:t>
      </w:r>
      <w:r w:rsidRPr="006D0761">
        <w:rPr>
          <w:rFonts w:ascii="Times New Roman" w:hAnsi="Times New Roman"/>
          <w:color w:val="000000"/>
          <w:sz w:val="28"/>
          <w:lang w:val="es-ES"/>
        </w:rPr>
        <w:t>amenazas desproporcionados de violencia en el contexto del conflicto armado, particularmente aquel</w:t>
      </w:r>
      <w:r w:rsidRPr="006D0761">
        <w:rPr>
          <w:rFonts w:ascii="Times New Roman" w:hAnsi="Times New Roman"/>
          <w:color w:val="000000"/>
          <w:sz w:val="28"/>
          <w:lang w:val="es-ES"/>
        </w:rPr>
        <w:t>los de abuso sexual; (ii) protocolos de atención integral en salud y psicosociales para las víctimas de cualquier tipo de violencia, como un mínimo constitucional; (iii) un enfoque diferencial en los programas de testigos en el marco del acceso a la justic</w:t>
      </w:r>
      <w:r w:rsidRPr="006D0761">
        <w:rPr>
          <w:rFonts w:ascii="Times New Roman" w:hAnsi="Times New Roman"/>
          <w:color w:val="000000"/>
          <w:sz w:val="28"/>
          <w:lang w:val="es-ES"/>
        </w:rPr>
        <w:t xml:space="preserve">ia en el conflicto armado; (iv) políticas para eliminar los estereotipos de género en la administración de justicia, particularmente los que revictimizan a las mujeres y (iv) medidas, más allá de las punitivas, para erradicar la violencia contra la mujer, </w:t>
      </w:r>
      <w:r w:rsidRPr="006D0761">
        <w:rPr>
          <w:rFonts w:ascii="Times New Roman" w:hAnsi="Times New Roman"/>
          <w:color w:val="000000"/>
          <w:sz w:val="28"/>
          <w:lang w:val="es-ES"/>
        </w:rPr>
        <w:t>como la sanción social.</w:t>
      </w:r>
    </w:p>
    <w:p w:rsidR="00EE25C6" w:rsidRPr="006D0761" w:rsidRDefault="006D0761" w:rsidP="00EB501B">
      <w:pPr>
        <w:ind w:left="567" w:right="567"/>
        <w:jc w:val="both"/>
        <w:rPr>
          <w:rFonts w:ascii="Times New Roman" w:hAnsi="Times New Roman"/>
          <w:color w:val="000000"/>
          <w:sz w:val="28"/>
          <w:lang w:val="es-ES"/>
        </w:rPr>
      </w:pPr>
      <w:r w:rsidRPr="006D0761">
        <w:rPr>
          <w:rFonts w:ascii="Times New Roman" w:hAnsi="Times New Roman"/>
          <w:color w:val="000000"/>
          <w:sz w:val="28"/>
          <w:lang w:val="es-ES"/>
        </w:rPr>
        <w:t> </w:t>
      </w:r>
    </w:p>
    <w:p w:rsidR="00EE25C6" w:rsidRPr="006D0761" w:rsidRDefault="006D0761" w:rsidP="00EB501B">
      <w:pPr>
        <w:ind w:left="567" w:right="567"/>
        <w:jc w:val="both"/>
        <w:rPr>
          <w:rFonts w:ascii="Times New Roman" w:hAnsi="Times New Roman"/>
          <w:b/>
          <w:bCs/>
          <w:color w:val="000000"/>
          <w:sz w:val="28"/>
          <w:szCs w:val="28"/>
          <w:lang w:val="es-ES"/>
        </w:rPr>
      </w:pPr>
      <w:r w:rsidRPr="006D0761">
        <w:rPr>
          <w:rFonts w:ascii="Times New Roman" w:hAnsi="Times New Roman"/>
          <w:b/>
          <w:bCs/>
          <w:color w:val="000000"/>
          <w:sz w:val="28"/>
          <w:lang w:val="es-ES"/>
        </w:rPr>
        <w:t>Así pues,</w:t>
      </w:r>
      <w:r w:rsidRPr="006D0761">
        <w:rPr>
          <w:rFonts w:ascii="Times New Roman" w:hAnsi="Times New Roman"/>
          <w:color w:val="000000"/>
          <w:sz w:val="28"/>
          <w:lang w:val="es-ES"/>
        </w:rPr>
        <w:t xml:space="preserve"> </w:t>
      </w:r>
      <w:r w:rsidRPr="006D0761">
        <w:rPr>
          <w:rFonts w:ascii="Times New Roman" w:hAnsi="Times New Roman"/>
          <w:b/>
          <w:bCs/>
          <w:color w:val="000000"/>
          <w:sz w:val="28"/>
          <w:lang w:val="es-ES"/>
        </w:rPr>
        <w:t>el deber de debida diligencia en la prevención, atención investigación y sanción de la violencia contra la mujer impone al Estado la carga de adoptar una perspectiva de género en la investigación de estos delitos y viola</w:t>
      </w:r>
      <w:r w:rsidRPr="006D0761">
        <w:rPr>
          <w:rFonts w:ascii="Times New Roman" w:hAnsi="Times New Roman"/>
          <w:b/>
          <w:bCs/>
          <w:color w:val="000000"/>
          <w:sz w:val="28"/>
          <w:lang w:val="es-ES"/>
        </w:rPr>
        <w:t xml:space="preserve">ciones de derechos humanos. </w:t>
      </w:r>
      <w:r w:rsidRPr="006D0761">
        <w:rPr>
          <w:rFonts w:ascii="Times New Roman" w:hAnsi="Times New Roman"/>
          <w:color w:val="000000"/>
          <w:sz w:val="28"/>
          <w:lang w:val="es-ES"/>
        </w:rPr>
        <w:t>Lo anterior, para contrarrestar el hecho de que el derecho</w:t>
      </w:r>
      <w:r w:rsidRPr="006D0761">
        <w:rPr>
          <w:rFonts w:ascii="Times New Roman" w:hAnsi="Times New Roman"/>
          <w:b/>
          <w:bCs/>
          <w:color w:val="000000"/>
          <w:sz w:val="28"/>
          <w:lang w:val="es-ES"/>
        </w:rPr>
        <w:t xml:space="preserve"> </w:t>
      </w:r>
      <w:r w:rsidRPr="006D0761">
        <w:rPr>
          <w:rFonts w:ascii="Times New Roman" w:hAnsi="Times New Roman"/>
          <w:color w:val="000000"/>
          <w:sz w:val="28"/>
          <w:lang w:val="es-ES"/>
        </w:rPr>
        <w:t>fue creado desde una perspectiva masculina que no ha tenido en cuenta las desigualdades de género y, por lo tanto, no ha integrado formas de superarlas a la administraci</w:t>
      </w:r>
      <w:r w:rsidRPr="006D0761">
        <w:rPr>
          <w:rFonts w:ascii="Times New Roman" w:hAnsi="Times New Roman"/>
          <w:color w:val="000000"/>
          <w:sz w:val="28"/>
          <w:lang w:val="es-ES"/>
        </w:rPr>
        <w:t xml:space="preserve">ón de justicia. Así, </w:t>
      </w:r>
      <w:r w:rsidRPr="006D0761">
        <w:rPr>
          <w:rFonts w:ascii="Times New Roman" w:hAnsi="Times New Roman"/>
          <w:b/>
          <w:bCs/>
          <w:color w:val="000000"/>
          <w:sz w:val="28"/>
          <w:lang w:val="es-ES"/>
        </w:rPr>
        <w:t>para abordar una investigación desde esta perspectiva, es necesario: (i) tener en cuenta la desigualdad sistemática que ha sufrido la mujer y su condición social como factores que la ponen en una situación de riesgo y amenaza de violen</w:t>
      </w:r>
      <w:r w:rsidRPr="006D0761">
        <w:rPr>
          <w:rFonts w:ascii="Times New Roman" w:hAnsi="Times New Roman"/>
          <w:b/>
          <w:bCs/>
          <w:color w:val="000000"/>
          <w:sz w:val="28"/>
          <w:lang w:val="es-ES"/>
        </w:rPr>
        <w:t>cia; y (ii) abstenerse de revictimizar a las mujeres con fundamento en estereotipos de género negativos</w:t>
      </w:r>
      <w:r w:rsidRPr="006D0761">
        <w:rPr>
          <w:rFonts w:ascii="Times New Roman" w:hAnsi="Times New Roman"/>
          <w:color w:val="000000"/>
          <w:sz w:val="28"/>
          <w:lang w:val="es-ES"/>
        </w:rPr>
        <w:t>”</w:t>
      </w:r>
      <w:r w:rsidRPr="006D0761">
        <w:rPr>
          <w:rFonts w:ascii="Times New Roman" w:hAnsi="Times New Roman"/>
          <w:color w:val="000000"/>
          <w:sz w:val="28"/>
          <w:lang w:val="es-ES"/>
        </w:rPr>
        <w:t>.</w:t>
      </w:r>
      <w:r w:rsidRPr="006D0761">
        <w:rPr>
          <w:rFonts w:ascii="Times New Roman" w:hAnsi="Times New Roman"/>
          <w:color w:val="000000"/>
          <w:sz w:val="28"/>
          <w:lang w:val="es-ES"/>
        </w:rPr>
        <w:t xml:space="preserve"> </w:t>
      </w:r>
      <w:r w:rsidRPr="006D0761">
        <w:rPr>
          <w:rFonts w:ascii="Times New Roman" w:hAnsi="Times New Roman"/>
          <w:color w:val="000000"/>
          <w:sz w:val="28"/>
          <w:szCs w:val="28"/>
          <w:lang w:val="es-ES"/>
        </w:rPr>
        <w:t>(Resaltado propio.)</w:t>
      </w:r>
    </w:p>
    <w:p w:rsidR="0039215C" w:rsidRPr="006D0761" w:rsidRDefault="006D0761" w:rsidP="00D45991">
      <w:pPr>
        <w:rPr>
          <w:rFonts w:ascii="Times New Roman" w:hAnsi="Times New Roman"/>
          <w:color w:val="000000"/>
          <w:sz w:val="28"/>
          <w:szCs w:val="28"/>
          <w:lang w:val="es-ES"/>
        </w:rPr>
      </w:pPr>
    </w:p>
    <w:p w:rsidR="00854AA7"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Todos e</w:t>
      </w:r>
      <w:r w:rsidRPr="006D0761">
        <w:rPr>
          <w:rFonts w:ascii="Times New Roman" w:hAnsi="Times New Roman"/>
          <w:color w:val="000000"/>
          <w:sz w:val="28"/>
          <w:szCs w:val="28"/>
          <w:lang w:val="es-ES"/>
        </w:rPr>
        <w:t>stos elementos, dan cuenta de la</w:t>
      </w:r>
      <w:r w:rsidRPr="006D0761">
        <w:rPr>
          <w:rFonts w:ascii="Times New Roman" w:hAnsi="Times New Roman"/>
          <w:color w:val="000000"/>
          <w:sz w:val="28"/>
          <w:szCs w:val="28"/>
          <w:lang w:val="es-ES"/>
        </w:rPr>
        <w:t xml:space="preserve"> importancia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constitucional </w:t>
      </w:r>
      <w:r w:rsidRPr="006D0761">
        <w:rPr>
          <w:rFonts w:ascii="Times New Roman" w:hAnsi="Times New Roman"/>
          <w:color w:val="000000"/>
          <w:sz w:val="28"/>
          <w:szCs w:val="28"/>
          <w:lang w:val="es-ES"/>
        </w:rPr>
        <w:t>que tiene</w:t>
      </w:r>
      <w:r w:rsidRPr="006D0761">
        <w:rPr>
          <w:rFonts w:ascii="Times New Roman" w:hAnsi="Times New Roman"/>
          <w:color w:val="000000"/>
          <w:sz w:val="28"/>
          <w:szCs w:val="28"/>
          <w:lang w:val="es-ES"/>
        </w:rPr>
        <w:t xml:space="preserve"> el fin perseguido con las medidas dirigidas a prevenir y sancionar </w:t>
      </w:r>
      <w:r w:rsidRPr="006D0761">
        <w:rPr>
          <w:rFonts w:ascii="Times New Roman" w:hAnsi="Times New Roman"/>
          <w:color w:val="000000"/>
          <w:sz w:val="28"/>
          <w:szCs w:val="28"/>
          <w:lang w:val="es-ES"/>
        </w:rPr>
        <w:t xml:space="preserve">la violencia de género contra la mujer y </w:t>
      </w:r>
      <w:r w:rsidRPr="006D0761">
        <w:rPr>
          <w:rFonts w:ascii="Times New Roman" w:hAnsi="Times New Roman"/>
          <w:color w:val="000000"/>
          <w:sz w:val="28"/>
          <w:szCs w:val="28"/>
          <w:lang w:val="es-ES"/>
        </w:rPr>
        <w:t xml:space="preserve">en consecuencia, la importancia de que el accionante explique debidamente, por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 no resulta suficiente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la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justificación </w:t>
      </w:r>
      <w:r w:rsidRPr="006D0761">
        <w:rPr>
          <w:rFonts w:ascii="Times New Roman" w:hAnsi="Times New Roman"/>
          <w:color w:val="000000"/>
          <w:sz w:val="28"/>
          <w:szCs w:val="28"/>
          <w:lang w:val="es-ES"/>
        </w:rPr>
        <w:t xml:space="preserve">constitucional </w:t>
      </w:r>
      <w:r w:rsidRPr="006D0761">
        <w:rPr>
          <w:rFonts w:ascii="Times New Roman" w:hAnsi="Times New Roman"/>
          <w:color w:val="000000"/>
          <w:sz w:val="28"/>
          <w:szCs w:val="28"/>
          <w:lang w:val="es-ES"/>
        </w:rPr>
        <w:t xml:space="preserve">de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medi</w:t>
      </w:r>
      <w:r w:rsidRPr="006D0761">
        <w:rPr>
          <w:rFonts w:ascii="Times New Roman" w:hAnsi="Times New Roman"/>
          <w:color w:val="000000"/>
          <w:sz w:val="28"/>
          <w:szCs w:val="28"/>
          <w:lang w:val="es-ES"/>
        </w:rPr>
        <w:t xml:space="preserve">da dispuesta en la </w:t>
      </w:r>
      <w:r w:rsidRPr="006D0761">
        <w:rPr>
          <w:rFonts w:ascii="Times New Roman" w:hAnsi="Times New Roman"/>
          <w:color w:val="000000"/>
          <w:sz w:val="28"/>
          <w:szCs w:val="28"/>
          <w:lang w:val="es-ES"/>
        </w:rPr>
        <w:t>Ley 1761 de 2015.</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p>
    <w:p w:rsidR="00854AA7" w:rsidRPr="006D0761" w:rsidRDefault="006D0761" w:rsidP="6D224379">
      <w:pPr>
        <w:pStyle w:val="Prrafodelista"/>
        <w:rPr>
          <w:rFonts w:ascii="Times New Roman" w:hAnsi="Times New Roman"/>
          <w:b/>
          <w:bCs/>
          <w:color w:val="000000"/>
          <w:sz w:val="28"/>
          <w:szCs w:val="28"/>
          <w:lang w:val="es-ES"/>
        </w:rPr>
      </w:pPr>
    </w:p>
    <w:p w:rsidR="00330CB9" w:rsidRPr="006D0761" w:rsidRDefault="006D0761" w:rsidP="6D224379">
      <w:pPr>
        <w:pStyle w:val="Ttulo2"/>
        <w:numPr>
          <w:ilvl w:val="0"/>
          <w:numId w:val="4"/>
        </w:numPr>
        <w:ind w:left="0" w:firstLine="0"/>
        <w:rPr>
          <w:rFonts w:ascii="Times New Roman" w:hAnsi="Times New Roman"/>
          <w:lang w:val="es-ES"/>
        </w:rPr>
      </w:pPr>
      <w:bookmarkStart w:id="17" w:name="_Toc220572674"/>
      <w:r w:rsidRPr="006D0761">
        <w:rPr>
          <w:rFonts w:ascii="Times New Roman" w:hAnsi="Times New Roman"/>
          <w:lang w:val="es-ES"/>
        </w:rPr>
        <w:t>Examen de aptitud de los cargos presentados en la demanda</w:t>
      </w:r>
      <w:bookmarkEnd w:id="17"/>
    </w:p>
    <w:p w:rsidR="00B77A41" w:rsidRPr="006D0761" w:rsidRDefault="006D0761" w:rsidP="00B77A41">
      <w:pPr>
        <w:rPr>
          <w:rFonts w:ascii="Times New Roman" w:hAnsi="Times New Roman"/>
          <w:sz w:val="28"/>
          <w:lang w:val="es-ES"/>
        </w:rPr>
      </w:pPr>
    </w:p>
    <w:p w:rsidR="00EE19E7" w:rsidRPr="006D0761" w:rsidRDefault="006D0761" w:rsidP="00EB501B">
      <w:pPr>
        <w:pStyle w:val="Ttulo3"/>
        <w:numPr>
          <w:ilvl w:val="1"/>
          <w:numId w:val="4"/>
        </w:numPr>
        <w:ind w:left="0" w:firstLine="0"/>
        <w:rPr>
          <w:rFonts w:ascii="Times New Roman" w:hAnsi="Times New Roman"/>
          <w:b w:val="0"/>
          <w:bCs/>
          <w:sz w:val="28"/>
          <w:szCs w:val="28"/>
          <w:lang w:val="es-ES"/>
        </w:rPr>
      </w:pPr>
      <w:bookmarkStart w:id="18" w:name="_Toc213955895"/>
      <w:bookmarkStart w:id="19" w:name="_Toc220572675"/>
      <w:bookmarkEnd w:id="18"/>
      <w:r w:rsidRPr="006D0761">
        <w:rPr>
          <w:rFonts w:ascii="Times New Roman" w:hAnsi="Times New Roman"/>
          <w:bCs/>
          <w:sz w:val="28"/>
          <w:szCs w:val="28"/>
          <w:lang w:val="es-ES"/>
        </w:rPr>
        <w:t>Primer cargo: violación al derecho a la igualdad</w:t>
      </w:r>
      <w:bookmarkEnd w:id="19"/>
    </w:p>
    <w:p w:rsidR="00EE19E7" w:rsidRPr="006D0761" w:rsidRDefault="006D0761" w:rsidP="6D224379">
      <w:pPr>
        <w:pStyle w:val="Prrafodelista"/>
        <w:ind w:left="0"/>
        <w:jc w:val="both"/>
        <w:rPr>
          <w:rFonts w:ascii="Times New Roman" w:hAnsi="Times New Roman"/>
          <w:b/>
          <w:bCs/>
          <w:color w:val="000000"/>
          <w:sz w:val="28"/>
          <w:szCs w:val="28"/>
          <w:lang w:val="es-ES"/>
        </w:rPr>
      </w:pPr>
    </w:p>
    <w:p w:rsidR="0039215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 cargo por violación al derecho a la igualdad se plantea a partir de un a</w:t>
      </w:r>
      <w:r w:rsidRPr="006D0761">
        <w:rPr>
          <w:rFonts w:ascii="Times New Roman" w:hAnsi="Times New Roman"/>
          <w:color w:val="000000"/>
          <w:sz w:val="28"/>
          <w:szCs w:val="28"/>
          <w:lang w:val="es-ES"/>
        </w:rPr>
        <w:t>legato</w:t>
      </w:r>
      <w:r w:rsidRPr="006D0761">
        <w:rPr>
          <w:rFonts w:ascii="Times New Roman" w:hAnsi="Times New Roman"/>
          <w:color w:val="000000"/>
          <w:sz w:val="28"/>
          <w:szCs w:val="28"/>
          <w:lang w:val="es-ES"/>
        </w:rPr>
        <w:t xml:space="preserve"> c</w:t>
      </w:r>
      <w:r w:rsidRPr="006D0761">
        <w:rPr>
          <w:rFonts w:ascii="Times New Roman" w:hAnsi="Times New Roman"/>
          <w:color w:val="000000"/>
          <w:sz w:val="28"/>
          <w:szCs w:val="28"/>
          <w:lang w:val="es-ES"/>
        </w:rPr>
        <w:t xml:space="preserve">ontra la totalidad de la Ley 1761 de 2015 </w:t>
      </w:r>
      <w:r w:rsidRPr="006D0761">
        <w:rPr>
          <w:rFonts w:ascii="Times New Roman" w:hAnsi="Times New Roman"/>
          <w:color w:val="000000"/>
          <w:sz w:val="28"/>
          <w:szCs w:val="28"/>
          <w:lang w:val="es-ES"/>
        </w:rPr>
        <w:t xml:space="preserve">y </w:t>
      </w:r>
      <w:r w:rsidRPr="006D0761">
        <w:rPr>
          <w:rFonts w:ascii="Times New Roman" w:hAnsi="Times New Roman"/>
          <w:color w:val="000000"/>
          <w:sz w:val="28"/>
          <w:szCs w:val="28"/>
          <w:lang w:val="es-ES"/>
        </w:rPr>
        <w:t xml:space="preserve">con alegatos específicos </w:t>
      </w:r>
      <w:r w:rsidRPr="006D0761">
        <w:rPr>
          <w:rFonts w:ascii="Times New Roman" w:hAnsi="Times New Roman"/>
          <w:color w:val="000000"/>
          <w:sz w:val="28"/>
          <w:szCs w:val="28"/>
          <w:lang w:val="es-ES"/>
        </w:rPr>
        <w:t>contra los artículos 8 al 1</w:t>
      </w:r>
      <w:r w:rsidRPr="006D0761">
        <w:rPr>
          <w:rFonts w:ascii="Times New Roman" w:hAnsi="Times New Roman"/>
          <w:color w:val="000000"/>
          <w:sz w:val="28"/>
          <w:szCs w:val="28"/>
          <w:lang w:val="es-ES"/>
        </w:rPr>
        <w:t>3</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por </w:t>
      </w:r>
      <w:r w:rsidRPr="006D0761">
        <w:rPr>
          <w:rFonts w:ascii="Times New Roman" w:hAnsi="Times New Roman"/>
          <w:color w:val="000000"/>
          <w:sz w:val="28"/>
          <w:szCs w:val="28"/>
          <w:lang w:val="es-ES"/>
        </w:rPr>
        <w:t xml:space="preserve">la supuesta </w:t>
      </w:r>
      <w:r w:rsidRPr="006D0761">
        <w:rPr>
          <w:rFonts w:ascii="Times New Roman" w:hAnsi="Times New Roman"/>
          <w:color w:val="000000"/>
          <w:sz w:val="28"/>
          <w:szCs w:val="28"/>
          <w:lang w:val="es-ES"/>
        </w:rPr>
        <w:t>violación del derecho a la igualdad en contra de los varones</w:t>
      </w:r>
      <w:r w:rsidRPr="006D0761">
        <w:rPr>
          <w:rFonts w:ascii="Times New Roman" w:hAnsi="Times New Roman"/>
          <w:color w:val="000000"/>
          <w:sz w:val="28"/>
          <w:szCs w:val="28"/>
          <w:lang w:val="es-ES"/>
        </w:rPr>
        <w:t xml:space="preserve"> al no incluirlos dentro de la protección que genera la medida frente a la violenc</w:t>
      </w:r>
      <w:r w:rsidRPr="006D0761">
        <w:rPr>
          <w:rFonts w:ascii="Times New Roman" w:hAnsi="Times New Roman"/>
          <w:color w:val="000000"/>
          <w:sz w:val="28"/>
          <w:szCs w:val="28"/>
          <w:lang w:val="es-ES"/>
        </w:rPr>
        <w:t>ia de género</w:t>
      </w:r>
      <w:r w:rsidRPr="006D0761">
        <w:rPr>
          <w:rFonts w:ascii="Times New Roman" w:hAnsi="Times New Roman"/>
          <w:color w:val="000000"/>
          <w:sz w:val="28"/>
          <w:szCs w:val="28"/>
          <w:lang w:val="es-ES"/>
        </w:rPr>
        <w:t xml:space="preserve">.  </w:t>
      </w:r>
    </w:p>
    <w:p w:rsidR="0039215C" w:rsidRPr="006D0761" w:rsidRDefault="006D0761" w:rsidP="6D224379">
      <w:pPr>
        <w:pStyle w:val="NormalWeb"/>
        <w:spacing w:before="0" w:beforeAutospacing="0" w:after="0" w:afterAutospacing="0"/>
        <w:jc w:val="both"/>
        <w:rPr>
          <w:rFonts w:ascii="Times New Roman" w:hAnsi="Times New Roman"/>
          <w:b/>
          <w:bCs/>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w:t>
      </w:r>
      <w:r w:rsidRPr="006D0761">
        <w:rPr>
          <w:rFonts w:ascii="Times New Roman" w:hAnsi="Times New Roman"/>
          <w:b/>
          <w:bCs/>
          <w:color w:val="000000"/>
          <w:sz w:val="28"/>
          <w:szCs w:val="28"/>
          <w:lang w:val="es-ES"/>
        </w:rPr>
        <w:t xml:space="preserve">El </w:t>
      </w:r>
      <w:r w:rsidRPr="006D0761">
        <w:rPr>
          <w:rFonts w:ascii="Times New Roman" w:hAnsi="Times New Roman"/>
          <w:b/>
          <w:bCs/>
          <w:color w:val="000000"/>
          <w:sz w:val="28"/>
          <w:szCs w:val="28"/>
          <w:lang w:val="es-ES"/>
        </w:rPr>
        <w:t xml:space="preserve">alegato </w:t>
      </w:r>
      <w:r w:rsidRPr="006D0761">
        <w:rPr>
          <w:rFonts w:ascii="Times New Roman" w:hAnsi="Times New Roman"/>
          <w:b/>
          <w:bCs/>
          <w:color w:val="000000"/>
          <w:sz w:val="28"/>
          <w:szCs w:val="28"/>
          <w:lang w:val="es-ES"/>
        </w:rPr>
        <w:t>contra la totalidad de la Ley 1761 de 2015</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se plantea como una vulneración al derecho a la igualdad por cuanto, la norma que tipifica el feminicidio como un homicidio de mujeres basado en género, excluye de su protección a los </w:t>
      </w:r>
      <w:r w:rsidRPr="006D0761">
        <w:rPr>
          <w:rFonts w:ascii="Times New Roman" w:hAnsi="Times New Roman"/>
          <w:color w:val="000000"/>
          <w:sz w:val="28"/>
          <w:szCs w:val="28"/>
          <w:lang w:val="es-ES"/>
        </w:rPr>
        <w:t>hombres y, en conclusión, los hombres están desprotegidos frente a ese tipo de violencia. El accionante considera que la ley, al establecer el feminicidio como un delito autónomo que desprotege a los varones en similares circunstancias, constituye “una for</w:t>
      </w:r>
      <w:r w:rsidRPr="006D0761">
        <w:rPr>
          <w:rFonts w:ascii="Times New Roman" w:hAnsi="Times New Roman"/>
          <w:color w:val="000000"/>
          <w:sz w:val="28"/>
          <w:szCs w:val="28"/>
          <w:lang w:val="es-ES"/>
        </w:rPr>
        <w:t>ma de discriminación que ofende el derecho de igualdad ante la Ley como derecho universal, americano y colombiano y con la cual se deshumaniza a los varones como sujetos de derechos”</w:t>
      </w:r>
      <w:r w:rsidRPr="006D0761">
        <w:rPr>
          <w:rStyle w:val="Refdenotaalpie"/>
          <w:rFonts w:ascii="Times New Roman" w:hAnsi="Times New Roman"/>
          <w:color w:val="000000"/>
          <w:sz w:val="28"/>
          <w:szCs w:val="28"/>
          <w:lang w:val="es-ES"/>
        </w:rPr>
        <w:footnoteReference w:id="66"/>
      </w:r>
      <w:r w:rsidRPr="006D0761">
        <w:rPr>
          <w:rFonts w:ascii="Times New Roman" w:hAnsi="Times New Roman"/>
          <w:color w:val="000000"/>
          <w:sz w:val="28"/>
          <w:szCs w:val="28"/>
          <w:lang w:val="es-ES"/>
        </w:rPr>
        <w:t>.</w:t>
      </w:r>
    </w:p>
    <w:p w:rsidR="0039215C"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Sobre ese argumento, que es el principal en la demanda, el accionante </w:t>
      </w:r>
      <w:r w:rsidRPr="006D0761">
        <w:rPr>
          <w:rFonts w:ascii="Times New Roman" w:hAnsi="Times New Roman"/>
          <w:color w:val="000000"/>
          <w:sz w:val="28"/>
          <w:szCs w:val="28"/>
          <w:lang w:val="es-ES"/>
        </w:rPr>
        <w:t xml:space="preserve">inicia indicando que con la norma se afectan también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el </w:t>
      </w:r>
      <w:r w:rsidRPr="006D0761">
        <w:rPr>
          <w:rFonts w:ascii="Times New Roman" w:hAnsi="Times New Roman"/>
          <w:color w:val="000000"/>
          <w:sz w:val="28"/>
          <w:szCs w:val="28"/>
          <w:lang w:val="es-ES"/>
        </w:rPr>
        <w:t>Código</w:t>
      </w:r>
      <w:r w:rsidRPr="006D0761">
        <w:rPr>
          <w:rFonts w:ascii="Times New Roman" w:hAnsi="Times New Roman"/>
          <w:color w:val="000000"/>
          <w:sz w:val="28"/>
          <w:szCs w:val="28"/>
          <w:lang w:val="es-ES"/>
        </w:rPr>
        <w:t xml:space="preserve"> Penal -Ley 599 de 2000 se afectan en los art 119 y 104 A y104B</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Luego menciona que existen “Defectos fácticos”</w:t>
      </w:r>
      <w:r w:rsidRPr="006D0761">
        <w:rPr>
          <w:rFonts w:ascii="Times New Roman" w:hAnsi="Times New Roman"/>
          <w:i/>
          <w:iCs/>
          <w:color w:val="000000"/>
          <w:sz w:val="28"/>
          <w:szCs w:val="28"/>
          <w:lang w:val="es-ES"/>
        </w:rPr>
        <w:t xml:space="preserve"> y</w:t>
      </w:r>
      <w:r w:rsidRPr="006D0761">
        <w:rPr>
          <w:rFonts w:ascii="Times New Roman" w:hAnsi="Times New Roman"/>
          <w:color w:val="000000"/>
          <w:sz w:val="28"/>
          <w:szCs w:val="28"/>
          <w:lang w:val="es-ES"/>
        </w:rPr>
        <w:t xml:space="preserve"> hace una narración de lo que, desde su perspectiva ha sido la evolución del feminismo, refiriéndose a las mujeres como </w:t>
      </w:r>
      <w:r w:rsidRPr="006D0761">
        <w:rPr>
          <w:rFonts w:ascii="Times New Roman" w:hAnsi="Times New Roman"/>
          <w:i/>
          <w:iCs/>
          <w:color w:val="000000"/>
          <w:sz w:val="28"/>
          <w:szCs w:val="28"/>
          <w:lang w:val="es-ES"/>
        </w:rPr>
        <w:t>el grupo mayoritario</w:t>
      </w:r>
      <w:r w:rsidRPr="006D0761">
        <w:rPr>
          <w:rFonts w:ascii="Times New Roman" w:hAnsi="Times New Roman"/>
          <w:color w:val="000000"/>
          <w:sz w:val="28"/>
          <w:szCs w:val="28"/>
          <w:lang w:val="es-ES"/>
        </w:rPr>
        <w:t xml:space="preserve"> y estableciendo que paulatinamente han logrado establecer un sistema legal que las favorece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de tal manera que su d</w:t>
      </w:r>
      <w:r w:rsidRPr="006D0761">
        <w:rPr>
          <w:rFonts w:ascii="Times New Roman" w:hAnsi="Times New Roman"/>
          <w:color w:val="000000"/>
          <w:sz w:val="28"/>
          <w:szCs w:val="28"/>
          <w:lang w:val="es-ES"/>
        </w:rPr>
        <w:t>ominio en todas las áreas perpet</w:t>
      </w:r>
      <w:r w:rsidRPr="006D0761">
        <w:rPr>
          <w:rFonts w:ascii="Times New Roman" w:hAnsi="Times New Roman"/>
          <w:color w:val="000000"/>
          <w:sz w:val="28"/>
          <w:szCs w:val="28"/>
          <w:lang w:val="es-ES"/>
        </w:rPr>
        <w:t>ú</w:t>
      </w:r>
      <w:r w:rsidRPr="006D0761">
        <w:rPr>
          <w:rFonts w:ascii="Times New Roman" w:hAnsi="Times New Roman"/>
          <w:color w:val="000000"/>
          <w:sz w:val="28"/>
          <w:szCs w:val="28"/>
          <w:lang w:val="es-ES"/>
        </w:rPr>
        <w:t>a sus privilegios y “</w:t>
      </w:r>
      <w:r w:rsidRPr="006D0761">
        <w:rPr>
          <w:rFonts w:ascii="Times New Roman" w:hAnsi="Times New Roman"/>
          <w:color w:val="000000"/>
          <w:sz w:val="28"/>
          <w:szCs w:val="28"/>
          <w:lang w:val="es-ES"/>
        </w:rPr>
        <w:t>[p]</w:t>
      </w:r>
      <w:r w:rsidRPr="006D0761">
        <w:rPr>
          <w:rFonts w:ascii="Times New Roman" w:hAnsi="Times New Roman"/>
          <w:color w:val="000000"/>
          <w:sz w:val="28"/>
          <w:szCs w:val="28"/>
          <w:lang w:val="es-ES"/>
        </w:rPr>
        <w:t>ese a que ya han logrado corregir varias de las diferencias e incluso inclinar la balanza al revés, siguen buscando con lupa cualquier asimetría para seguir acaparando todos los recursos de las polít</w:t>
      </w:r>
      <w:r w:rsidRPr="006D0761">
        <w:rPr>
          <w:rFonts w:ascii="Times New Roman" w:hAnsi="Times New Roman"/>
          <w:color w:val="000000"/>
          <w:sz w:val="28"/>
          <w:szCs w:val="28"/>
          <w:lang w:val="es-ES"/>
        </w:rPr>
        <w:t>icas sobre estos dos grupos”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Style w:val="Refdenotaalpie"/>
          <w:rFonts w:ascii="Times New Roman" w:hAnsi="Times New Roman"/>
          <w:sz w:val="28"/>
        </w:rPr>
        <w:footnoteReference w:id="67"/>
      </w:r>
      <w:r w:rsidRPr="006D0761">
        <w:rPr>
          <w:rFonts w:ascii="Times New Roman" w:hAnsi="Times New Roman"/>
          <w:color w:val="000000"/>
          <w:sz w:val="28"/>
          <w:szCs w:val="28"/>
          <w:lang w:val="es-ES"/>
        </w:rPr>
        <w:t xml:space="preserve"> </w:t>
      </w:r>
    </w:p>
    <w:p w:rsidR="0039215C" w:rsidRPr="006D0761" w:rsidRDefault="006D0761" w:rsidP="6D224379">
      <w:pPr>
        <w:pStyle w:val="Prrafodelista"/>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sz w:val="28"/>
        </w:rPr>
      </w:pPr>
      <w:r w:rsidRPr="006D0761">
        <w:rPr>
          <w:rFonts w:ascii="Times New Roman" w:hAnsi="Times New Roman"/>
          <w:color w:val="000000"/>
          <w:sz w:val="28"/>
          <w:szCs w:val="28"/>
          <w:lang w:val="es-ES"/>
        </w:rPr>
        <w:t>En el capítulo que denomina “algo de estadísticas para entender la magnitud de la violencia de género contra el varón”, se refiere a las cifras con las que sustenta que los hombres también son víctimas de violencia de géne</w:t>
      </w:r>
      <w:r w:rsidRPr="006D0761">
        <w:rPr>
          <w:rFonts w:ascii="Times New Roman" w:hAnsi="Times New Roman"/>
          <w:color w:val="000000"/>
          <w:sz w:val="28"/>
          <w:szCs w:val="28"/>
          <w:lang w:val="es-ES"/>
        </w:rPr>
        <w:t xml:space="preserve">ro y </w:t>
      </w:r>
      <w:r w:rsidRPr="006D0761">
        <w:rPr>
          <w:rFonts w:ascii="Times New Roman" w:hAnsi="Times New Roman"/>
          <w:color w:val="000000"/>
          <w:sz w:val="28"/>
          <w:szCs w:val="28"/>
          <w:lang w:val="es-ES"/>
        </w:rPr>
        <w:t>que,</w:t>
      </w:r>
      <w:r w:rsidRPr="006D0761">
        <w:rPr>
          <w:rFonts w:ascii="Times New Roman" w:hAnsi="Times New Roman"/>
          <w:color w:val="000000"/>
          <w:sz w:val="28"/>
          <w:szCs w:val="28"/>
          <w:lang w:val="es-ES"/>
        </w:rPr>
        <w:t xml:space="preserve"> en realidad, son muy esca</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as las fuentes que analizan ese fenómeno. </w:t>
      </w:r>
      <w:r w:rsidRPr="006D0761">
        <w:rPr>
          <w:rFonts w:ascii="Times New Roman" w:hAnsi="Times New Roman"/>
          <w:color w:val="000000"/>
          <w:sz w:val="28"/>
          <w:szCs w:val="28"/>
          <w:lang w:val="es-ES"/>
        </w:rPr>
        <w:t>Adicionalmente,</w:t>
      </w:r>
      <w:r w:rsidRPr="006D0761">
        <w:rPr>
          <w:rFonts w:ascii="Times New Roman" w:hAnsi="Times New Roman"/>
          <w:color w:val="000000"/>
          <w:sz w:val="28"/>
          <w:szCs w:val="28"/>
          <w:lang w:val="es-ES"/>
        </w:rPr>
        <w:t xml:space="preserve"> sostiene que la Ley </w:t>
      </w:r>
      <w:r w:rsidRPr="006D0761">
        <w:rPr>
          <w:rFonts w:ascii="Times New Roman" w:hAnsi="Times New Roman"/>
          <w:color w:val="000000"/>
          <w:sz w:val="28"/>
          <w:szCs w:val="28"/>
          <w:lang w:val="es-ES"/>
        </w:rPr>
        <w:t xml:space="preserve">demandada </w:t>
      </w:r>
      <w:r w:rsidRPr="006D0761">
        <w:rPr>
          <w:rFonts w:ascii="Times New Roman" w:hAnsi="Times New Roman"/>
          <w:color w:val="000000"/>
          <w:sz w:val="28"/>
          <w:szCs w:val="28"/>
          <w:lang w:val="es-ES"/>
        </w:rPr>
        <w:t xml:space="preserve">se basó en el repudio al agresor en un caso </w:t>
      </w:r>
      <w:r w:rsidRPr="006D0761">
        <w:rPr>
          <w:rFonts w:ascii="Times New Roman" w:hAnsi="Times New Roman"/>
          <w:color w:val="000000"/>
          <w:sz w:val="28"/>
          <w:szCs w:val="28"/>
          <w:lang w:val="es-ES"/>
        </w:rPr>
        <w:t>concreto,</w:t>
      </w:r>
      <w:r w:rsidRPr="006D0761">
        <w:rPr>
          <w:rFonts w:ascii="Times New Roman" w:hAnsi="Times New Roman"/>
          <w:color w:val="000000"/>
          <w:sz w:val="28"/>
          <w:szCs w:val="28"/>
          <w:lang w:val="es-ES"/>
        </w:rPr>
        <w:t xml:space="preserve"> pero no analizó la situación de los hombres que son víctimas de violencia de género, por lo que no era posible fundamentar la supuesta desigualdad entre víctimas que justifique un trato diferente por la ley</w:t>
      </w:r>
      <w:r w:rsidRPr="006D0761">
        <w:rPr>
          <w:rFonts w:ascii="Times New Roman" w:hAnsi="Times New Roman"/>
          <w:sz w:val="28"/>
          <w:szCs w:val="28"/>
          <w:vertAlign w:val="superscript"/>
        </w:rPr>
        <w:footnoteReference w:id="68"/>
      </w:r>
      <w:r w:rsidRPr="006D0761">
        <w:rPr>
          <w:rFonts w:ascii="Times New Roman" w:hAnsi="Times New Roman"/>
          <w:color w:val="000000"/>
          <w:sz w:val="28"/>
          <w:szCs w:val="28"/>
          <w:lang w:val="es-ES"/>
        </w:rPr>
        <w:t>.</w:t>
      </w:r>
    </w:p>
    <w:p w:rsidR="0039215C" w:rsidRPr="006D0761" w:rsidRDefault="006D0761" w:rsidP="6D224379">
      <w:pPr>
        <w:pStyle w:val="Prrafodelista"/>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Sostiene que este marco legal perpetua la fal</w:t>
      </w:r>
      <w:r w:rsidRPr="006D0761">
        <w:rPr>
          <w:rFonts w:ascii="Times New Roman" w:hAnsi="Times New Roman"/>
          <w:color w:val="000000"/>
          <w:sz w:val="28"/>
          <w:szCs w:val="28"/>
          <w:lang w:val="es-ES"/>
        </w:rPr>
        <w:t xml:space="preserve">ta de denuncia de los hombres, </w:t>
      </w:r>
      <w:r w:rsidRPr="006D0761">
        <w:rPr>
          <w:rFonts w:ascii="Times New Roman" w:hAnsi="Times New Roman"/>
          <w:color w:val="000000"/>
          <w:sz w:val="28"/>
          <w:szCs w:val="28"/>
          <w:lang w:val="es-ES"/>
        </w:rPr>
        <w:t xml:space="preserve">quienes </w:t>
      </w:r>
      <w:r w:rsidRPr="006D0761">
        <w:rPr>
          <w:rFonts w:ascii="Times New Roman" w:hAnsi="Times New Roman"/>
          <w:color w:val="000000"/>
          <w:sz w:val="28"/>
          <w:szCs w:val="28"/>
          <w:lang w:val="es-ES"/>
        </w:rPr>
        <w:t xml:space="preserve">encuentran barreras en el acceso a la justicia y actualmente presentan mayores suicidios (4 a 1) que las mujeres. Señala que: </w:t>
      </w:r>
    </w:p>
    <w:p w:rsidR="0039215C"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39215C" w:rsidRPr="006D0761" w:rsidRDefault="006D0761" w:rsidP="00EB501B">
      <w:pPr>
        <w:pStyle w:val="NormalWeb"/>
        <w:spacing w:before="0" w:beforeAutospacing="0" w:after="0" w:afterAutospacing="0"/>
        <w:ind w:left="567" w:right="567"/>
        <w:jc w:val="both"/>
        <w:rPr>
          <w:rFonts w:ascii="Times New Roman" w:hAnsi="Times New Roman"/>
          <w:color w:val="000000"/>
          <w:sz w:val="28"/>
          <w:lang w:val="es-ES"/>
        </w:rPr>
      </w:pPr>
      <w:r w:rsidRPr="006D0761">
        <w:rPr>
          <w:rFonts w:ascii="Times New Roman" w:hAnsi="Times New Roman"/>
          <w:color w:val="000000"/>
          <w:sz w:val="28"/>
          <w:lang w:val="es-ES" w:eastAsia="es-ES"/>
        </w:rPr>
        <w:t>“</w:t>
      </w:r>
      <w:r w:rsidRPr="006D0761">
        <w:rPr>
          <w:rFonts w:ascii="Times New Roman" w:hAnsi="Times New Roman"/>
          <w:color w:val="000000"/>
          <w:sz w:val="28"/>
          <w:lang w:val="es-ES" w:eastAsia="es-ES"/>
        </w:rPr>
        <w:t xml:space="preserve">De esta manera, al presentar el homicidio por razones de </w:t>
      </w:r>
      <w:r w:rsidRPr="006D0761">
        <w:rPr>
          <w:rFonts w:ascii="Times New Roman" w:hAnsi="Times New Roman"/>
          <w:color w:val="000000"/>
          <w:sz w:val="28"/>
          <w:lang w:val="es-ES" w:eastAsia="es-ES"/>
        </w:rPr>
        <w:t>género</w:t>
      </w:r>
      <w:r w:rsidRPr="006D0761">
        <w:rPr>
          <w:rFonts w:ascii="Times New Roman" w:hAnsi="Times New Roman"/>
          <w:color w:val="000000"/>
          <w:sz w:val="28"/>
          <w:lang w:val="es-ES" w:eastAsia="es-ES"/>
        </w:rPr>
        <w:t xml:space="preserve"> como un delito que solo </w:t>
      </w:r>
      <w:r w:rsidRPr="006D0761">
        <w:rPr>
          <w:rFonts w:ascii="Times New Roman" w:hAnsi="Times New Roman"/>
          <w:color w:val="000000"/>
          <w:sz w:val="28"/>
          <w:lang w:val="es-ES" w:eastAsia="es-ES"/>
        </w:rPr>
        <w:t xml:space="preserve">importa cuando se comete contra la mujer dejando al </w:t>
      </w:r>
      <w:r w:rsidRPr="006D0761">
        <w:rPr>
          <w:rFonts w:ascii="Times New Roman" w:hAnsi="Times New Roman"/>
          <w:color w:val="000000"/>
          <w:sz w:val="28"/>
          <w:lang w:val="es-ES" w:eastAsia="es-ES"/>
        </w:rPr>
        <w:t>varón</w:t>
      </w:r>
      <w:r w:rsidRPr="006D0761">
        <w:rPr>
          <w:rFonts w:ascii="Times New Roman" w:hAnsi="Times New Roman"/>
          <w:color w:val="000000"/>
          <w:sz w:val="28"/>
          <w:lang w:val="es-ES" w:eastAsia="es-ES"/>
        </w:rPr>
        <w:t xml:space="preserve"> solo con el rol de sujeto activo acaparando para ella el rol pasivo e invisibilizando que en el 25% de los casos cuando esos roles se invierten. Es </w:t>
      </w:r>
      <w:r w:rsidRPr="006D0761">
        <w:rPr>
          <w:rFonts w:ascii="Times New Roman" w:hAnsi="Times New Roman"/>
          <w:color w:val="000000"/>
          <w:sz w:val="28"/>
          <w:lang w:val="es-ES" w:eastAsia="es-ES"/>
        </w:rPr>
        <w:t>así</w:t>
      </w:r>
      <w:r w:rsidRPr="006D0761">
        <w:rPr>
          <w:rFonts w:ascii="Times New Roman" w:hAnsi="Times New Roman"/>
          <w:color w:val="000000"/>
          <w:sz w:val="28"/>
          <w:lang w:val="es-ES" w:eastAsia="es-ES"/>
        </w:rPr>
        <w:t xml:space="preserve"> como la Ley cuestionada y sus consecuencias </w:t>
      </w:r>
      <w:r w:rsidRPr="006D0761">
        <w:rPr>
          <w:rFonts w:ascii="Times New Roman" w:hAnsi="Times New Roman"/>
          <w:color w:val="000000"/>
          <w:sz w:val="28"/>
          <w:lang w:val="es-ES" w:eastAsia="es-ES"/>
        </w:rPr>
        <w:t>fá</w:t>
      </w:r>
      <w:r w:rsidRPr="006D0761">
        <w:rPr>
          <w:rFonts w:ascii="Times New Roman" w:hAnsi="Times New Roman"/>
          <w:color w:val="000000"/>
          <w:sz w:val="28"/>
          <w:lang w:val="es-ES" w:eastAsia="es-ES"/>
        </w:rPr>
        <w:t>cticas</w:t>
      </w:r>
      <w:r w:rsidRPr="006D0761">
        <w:rPr>
          <w:rFonts w:ascii="Times New Roman" w:hAnsi="Times New Roman"/>
          <w:color w:val="000000"/>
          <w:sz w:val="28"/>
          <w:lang w:val="es-ES" w:eastAsia="es-ES"/>
        </w:rPr>
        <w:t xml:space="preserve">, puede ser analizadas como una forma de hostigamiento moral al </w:t>
      </w:r>
      <w:r w:rsidRPr="006D0761">
        <w:rPr>
          <w:rFonts w:ascii="Times New Roman" w:hAnsi="Times New Roman"/>
          <w:color w:val="000000"/>
          <w:sz w:val="28"/>
          <w:lang w:val="es-ES" w:eastAsia="es-ES"/>
        </w:rPr>
        <w:t>varón</w:t>
      </w:r>
      <w:r w:rsidRPr="006D0761">
        <w:rPr>
          <w:rFonts w:ascii="Times New Roman" w:hAnsi="Times New Roman"/>
          <w:color w:val="000000"/>
          <w:sz w:val="28"/>
          <w:lang w:val="es-ES" w:eastAsia="es-ES"/>
        </w:rPr>
        <w:t xml:space="preserve">, pues la </w:t>
      </w:r>
      <w:r w:rsidRPr="006D0761">
        <w:rPr>
          <w:rFonts w:ascii="Times New Roman" w:hAnsi="Times New Roman"/>
          <w:color w:val="000000"/>
          <w:sz w:val="28"/>
          <w:lang w:val="es-ES" w:eastAsia="es-ES"/>
        </w:rPr>
        <w:t>invisibilizarían</w:t>
      </w:r>
      <w:r w:rsidRPr="006D0761">
        <w:rPr>
          <w:rFonts w:ascii="Times New Roman" w:hAnsi="Times New Roman"/>
          <w:color w:val="000000"/>
          <w:sz w:val="28"/>
          <w:lang w:val="es-ES" w:eastAsia="es-ES"/>
        </w:rPr>
        <w:t xml:space="preserve"> del </w:t>
      </w:r>
      <w:r w:rsidRPr="006D0761">
        <w:rPr>
          <w:rFonts w:ascii="Times New Roman" w:hAnsi="Times New Roman"/>
          <w:color w:val="000000"/>
          <w:sz w:val="28"/>
          <w:lang w:val="es-ES" w:eastAsia="es-ES"/>
        </w:rPr>
        <w:t>varón</w:t>
      </w:r>
      <w:r w:rsidRPr="006D0761">
        <w:rPr>
          <w:rFonts w:ascii="Times New Roman" w:hAnsi="Times New Roman"/>
          <w:color w:val="000000"/>
          <w:sz w:val="28"/>
          <w:lang w:val="es-ES" w:eastAsia="es-ES"/>
        </w:rPr>
        <w:t xml:space="preserve"> como </w:t>
      </w:r>
      <w:r w:rsidRPr="006D0761">
        <w:rPr>
          <w:rFonts w:ascii="Times New Roman" w:hAnsi="Times New Roman"/>
          <w:color w:val="000000"/>
          <w:sz w:val="28"/>
          <w:lang w:val="es-ES" w:eastAsia="es-ES"/>
        </w:rPr>
        <w:t>víctima</w:t>
      </w:r>
      <w:r w:rsidRPr="006D0761">
        <w:rPr>
          <w:rFonts w:ascii="Times New Roman" w:hAnsi="Times New Roman"/>
          <w:color w:val="000000"/>
          <w:sz w:val="28"/>
          <w:lang w:val="es-ES" w:eastAsia="es-ES"/>
        </w:rPr>
        <w:t xml:space="preserve"> y a la mujer como agresora es </w:t>
      </w:r>
      <w:r w:rsidRPr="006D0761">
        <w:rPr>
          <w:rFonts w:ascii="Times New Roman" w:hAnsi="Times New Roman"/>
          <w:color w:val="000000"/>
          <w:sz w:val="28"/>
          <w:lang w:val="es-ES" w:eastAsia="es-ES"/>
        </w:rPr>
        <w:t>también</w:t>
      </w:r>
      <w:r w:rsidRPr="006D0761">
        <w:rPr>
          <w:rFonts w:ascii="Times New Roman" w:hAnsi="Times New Roman"/>
          <w:color w:val="000000"/>
          <w:sz w:val="28"/>
          <w:lang w:val="es-ES" w:eastAsia="es-ES"/>
        </w:rPr>
        <w:t xml:space="preserve"> un acto orientado a causarle </w:t>
      </w:r>
      <w:r w:rsidRPr="006D0761">
        <w:rPr>
          <w:rFonts w:ascii="Times New Roman" w:hAnsi="Times New Roman"/>
          <w:color w:val="000000"/>
          <w:sz w:val="28"/>
          <w:lang w:val="es-ES" w:eastAsia="es-ES"/>
        </w:rPr>
        <w:t>daño</w:t>
      </w:r>
      <w:r w:rsidRPr="006D0761">
        <w:rPr>
          <w:rFonts w:ascii="Times New Roman" w:hAnsi="Times New Roman"/>
          <w:color w:val="000000"/>
          <w:sz w:val="28"/>
          <w:lang w:val="es-ES" w:eastAsia="es-ES"/>
        </w:rPr>
        <w:t xml:space="preserve"> moral al grupo de los varones por </w:t>
      </w:r>
      <w:r w:rsidRPr="006D0761">
        <w:rPr>
          <w:rFonts w:ascii="Times New Roman" w:hAnsi="Times New Roman"/>
          <w:color w:val="000000"/>
          <w:sz w:val="28"/>
          <w:lang w:val="es-ES" w:eastAsia="es-ES"/>
        </w:rPr>
        <w:t>razón</w:t>
      </w:r>
      <w:r w:rsidRPr="006D0761">
        <w:rPr>
          <w:rFonts w:ascii="Times New Roman" w:hAnsi="Times New Roman"/>
          <w:color w:val="000000"/>
          <w:sz w:val="28"/>
          <w:lang w:val="es-ES" w:eastAsia="es-ES"/>
        </w:rPr>
        <w:t xml:space="preserve"> de su sexo. Es la </w:t>
      </w:r>
      <w:r w:rsidRPr="006D0761">
        <w:rPr>
          <w:rFonts w:ascii="Times New Roman" w:hAnsi="Times New Roman"/>
          <w:color w:val="000000"/>
          <w:sz w:val="28"/>
          <w:lang w:val="es-ES" w:eastAsia="es-ES"/>
        </w:rPr>
        <w:t>deshumanización</w:t>
      </w:r>
      <w:r w:rsidRPr="006D0761">
        <w:rPr>
          <w:rFonts w:ascii="Times New Roman" w:hAnsi="Times New Roman"/>
          <w:color w:val="000000"/>
          <w:sz w:val="28"/>
          <w:lang w:val="es-ES" w:eastAsia="es-ES"/>
        </w:rPr>
        <w:t xml:space="preserve"> del </w:t>
      </w:r>
      <w:r w:rsidRPr="006D0761">
        <w:rPr>
          <w:rFonts w:ascii="Times New Roman" w:hAnsi="Times New Roman"/>
          <w:color w:val="000000"/>
          <w:sz w:val="28"/>
          <w:lang w:val="es-ES" w:eastAsia="es-ES"/>
        </w:rPr>
        <w:t>varón</w:t>
      </w:r>
      <w:r w:rsidRPr="006D0761">
        <w:rPr>
          <w:rFonts w:ascii="Times New Roman" w:hAnsi="Times New Roman"/>
          <w:color w:val="000000"/>
          <w:sz w:val="28"/>
          <w:lang w:val="es-ES" w:eastAsia="es-ES"/>
        </w:rPr>
        <w:t xml:space="preserve"> como sujeto de derechos</w:t>
      </w:r>
      <w:r w:rsidRPr="006D0761">
        <w:rPr>
          <w:rFonts w:ascii="Times New Roman" w:hAnsi="Times New Roman"/>
          <w:color w:val="000000"/>
          <w:sz w:val="28"/>
          <w:lang w:val="es-ES" w:eastAsia="es-ES"/>
        </w:rPr>
        <w:t>”</w:t>
      </w:r>
      <w:r w:rsidRPr="006D0761">
        <w:rPr>
          <w:rStyle w:val="Refdenotaalpie"/>
          <w:rFonts w:ascii="Times New Roman" w:hAnsi="Times New Roman"/>
          <w:color w:val="000000"/>
          <w:sz w:val="28"/>
          <w:lang w:val="es-ES"/>
        </w:rPr>
        <w:footnoteReference w:id="69"/>
      </w:r>
      <w:r w:rsidRPr="006D0761">
        <w:rPr>
          <w:rFonts w:ascii="Times New Roman" w:hAnsi="Times New Roman"/>
          <w:color w:val="000000"/>
          <w:sz w:val="28"/>
          <w:lang w:val="es-ES"/>
        </w:rPr>
        <w:t>.</w:t>
      </w:r>
    </w:p>
    <w:p w:rsidR="0039215C"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E</w:t>
      </w:r>
      <w:r w:rsidRPr="006D0761">
        <w:rPr>
          <w:rFonts w:ascii="Times New Roman" w:hAnsi="Times New Roman"/>
          <w:color w:val="000000"/>
          <w:sz w:val="28"/>
          <w:szCs w:val="28"/>
          <w:lang w:val="es-ES"/>
        </w:rPr>
        <w:t>l</w:t>
      </w:r>
      <w:r w:rsidRPr="006D0761">
        <w:rPr>
          <w:rFonts w:ascii="Times New Roman" w:hAnsi="Times New Roman"/>
          <w:color w:val="000000"/>
          <w:sz w:val="28"/>
          <w:szCs w:val="28"/>
          <w:lang w:val="es-ES"/>
        </w:rPr>
        <w:t xml:space="preserve"> accionante señala que “</w:t>
      </w:r>
      <w:r w:rsidRPr="006D0761">
        <w:rPr>
          <w:rFonts w:ascii="Times New Roman" w:hAnsi="Times New Roman"/>
          <w:color w:val="000000"/>
          <w:sz w:val="28"/>
          <w:szCs w:val="28"/>
          <w:lang w:val="es-ES"/>
        </w:rPr>
        <w:t>[l]</w:t>
      </w:r>
      <w:r w:rsidRPr="006D0761">
        <w:rPr>
          <w:rFonts w:ascii="Times New Roman" w:hAnsi="Times New Roman"/>
          <w:color w:val="000000"/>
          <w:sz w:val="28"/>
          <w:szCs w:val="28"/>
          <w:lang w:val="es-ES"/>
        </w:rPr>
        <w:t xml:space="preserve">a </w:t>
      </w:r>
      <w:r w:rsidRPr="006D0761">
        <w:rPr>
          <w:rFonts w:ascii="Times New Roman" w:hAnsi="Times New Roman"/>
          <w:color w:val="000000"/>
          <w:sz w:val="28"/>
          <w:szCs w:val="28"/>
          <w:lang w:val="es-ES"/>
        </w:rPr>
        <w:t>exclusión</w:t>
      </w:r>
      <w:r w:rsidRPr="006D0761">
        <w:rPr>
          <w:rFonts w:ascii="Times New Roman" w:hAnsi="Times New Roman"/>
          <w:color w:val="000000"/>
          <w:sz w:val="28"/>
          <w:szCs w:val="28"/>
          <w:lang w:val="es-ES"/>
        </w:rPr>
        <w:t xml:space="preserve"> del </w:t>
      </w:r>
      <w:r w:rsidRPr="006D0761">
        <w:rPr>
          <w:rFonts w:ascii="Times New Roman" w:hAnsi="Times New Roman"/>
          <w:color w:val="000000"/>
          <w:sz w:val="28"/>
          <w:szCs w:val="28"/>
          <w:lang w:val="es-ES"/>
        </w:rPr>
        <w:t>varón</w:t>
      </w:r>
      <w:r w:rsidRPr="006D0761">
        <w:rPr>
          <w:rFonts w:ascii="Times New Roman" w:hAnsi="Times New Roman"/>
          <w:color w:val="000000"/>
          <w:sz w:val="28"/>
          <w:szCs w:val="28"/>
          <w:lang w:val="es-ES"/>
        </w:rPr>
        <w:t xml:space="preserve"> de la norma cuestionada</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y de todo lo que se deriva de este hecho lo coloca en una doble vulnerabilidad; por un lado, se ha generado un ambiente </w:t>
      </w:r>
      <w:r w:rsidRPr="006D0761">
        <w:rPr>
          <w:rFonts w:ascii="Times New Roman" w:hAnsi="Times New Roman"/>
          <w:color w:val="000000"/>
          <w:sz w:val="28"/>
          <w:szCs w:val="28"/>
          <w:lang w:val="es-ES"/>
        </w:rPr>
        <w:t>misándrico</w:t>
      </w:r>
      <w:r w:rsidRPr="006D0761">
        <w:rPr>
          <w:rFonts w:ascii="Times New Roman" w:hAnsi="Times New Roman"/>
          <w:color w:val="000000"/>
          <w:sz w:val="28"/>
          <w:szCs w:val="28"/>
          <w:lang w:val="es-ES"/>
        </w:rPr>
        <w:t xml:space="preserve"> por cuenta de que los observatorios invisibilizan el machicidio y por otro lado su </w:t>
      </w:r>
      <w:r w:rsidRPr="006D0761">
        <w:rPr>
          <w:rFonts w:ascii="Times New Roman" w:hAnsi="Times New Roman"/>
          <w:color w:val="000000"/>
          <w:sz w:val="28"/>
          <w:szCs w:val="28"/>
          <w:lang w:val="es-ES"/>
        </w:rPr>
        <w:t>presunción</w:t>
      </w:r>
      <w:r w:rsidRPr="006D0761">
        <w:rPr>
          <w:rFonts w:ascii="Times New Roman" w:hAnsi="Times New Roman"/>
          <w:color w:val="000000"/>
          <w:sz w:val="28"/>
          <w:szCs w:val="28"/>
          <w:lang w:val="es-ES"/>
        </w:rPr>
        <w:t xml:space="preserve"> de culpabilidad”.</w:t>
      </w:r>
      <w:r w:rsidRPr="006D0761">
        <w:rPr>
          <w:rStyle w:val="Refdenotaalpie"/>
          <w:rFonts w:ascii="Times New Roman" w:hAnsi="Times New Roman"/>
          <w:color w:val="000000"/>
          <w:sz w:val="28"/>
          <w:szCs w:val="28"/>
          <w:lang w:val="es-ES"/>
        </w:rPr>
        <w:t xml:space="preserve"> </w:t>
      </w:r>
      <w:r w:rsidRPr="006D0761">
        <w:rPr>
          <w:rStyle w:val="Refdenotaalpie"/>
          <w:rFonts w:ascii="Times New Roman" w:hAnsi="Times New Roman"/>
          <w:color w:val="000000"/>
          <w:sz w:val="28"/>
          <w:szCs w:val="28"/>
          <w:lang w:val="es-ES"/>
        </w:rPr>
        <w:footnoteReference w:id="70"/>
      </w:r>
      <w:r w:rsidRPr="006D0761">
        <w:rPr>
          <w:rFonts w:ascii="Times New Roman" w:hAnsi="Times New Roman"/>
          <w:color w:val="000000"/>
          <w:sz w:val="28"/>
          <w:szCs w:val="28"/>
          <w:lang w:val="es-ES"/>
        </w:rPr>
        <w:t xml:space="preserve">  </w:t>
      </w:r>
    </w:p>
    <w:p w:rsidR="0039215C"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Por otro lado, afirmó</w:t>
      </w:r>
      <w:r w:rsidRPr="006D0761">
        <w:rPr>
          <w:rFonts w:ascii="Times New Roman" w:hAnsi="Times New Roman"/>
          <w:color w:val="000000"/>
          <w:sz w:val="28"/>
          <w:szCs w:val="28"/>
          <w:lang w:val="es-ES"/>
        </w:rPr>
        <w:t xml:space="preserve"> que la ley cuestionada deshumaniza al varón víctima de “machicidio”, mientras el feminicidio ha sido promo</w:t>
      </w:r>
      <w:r w:rsidRPr="006D0761">
        <w:rPr>
          <w:rFonts w:ascii="Times New Roman" w:hAnsi="Times New Roman"/>
          <w:color w:val="000000"/>
          <w:sz w:val="28"/>
          <w:szCs w:val="28"/>
          <w:lang w:val="es-ES"/>
        </w:rPr>
        <w:t xml:space="preserve">vido socialmente como uno de los más repudiables delitos que se pueden cometer. </w:t>
      </w:r>
      <w:r w:rsidRPr="006D0761">
        <w:rPr>
          <w:rFonts w:ascii="Times New Roman" w:hAnsi="Times New Roman"/>
          <w:color w:val="000000"/>
          <w:sz w:val="28"/>
          <w:szCs w:val="28"/>
          <w:lang w:val="es-ES"/>
        </w:rPr>
        <w:t xml:space="preserve">Aseguró </w:t>
      </w:r>
      <w:r w:rsidRPr="006D0761">
        <w:rPr>
          <w:rFonts w:ascii="Times New Roman" w:hAnsi="Times New Roman"/>
          <w:color w:val="000000"/>
          <w:sz w:val="28"/>
          <w:szCs w:val="28"/>
          <w:lang w:val="es-ES"/>
        </w:rPr>
        <w:t>que hoy nadie estudia la violencia contra el varón</w:t>
      </w:r>
      <w:r w:rsidRPr="006D0761">
        <w:rPr>
          <w:rFonts w:ascii="Times New Roman" w:hAnsi="Times New Roman"/>
          <w:color w:val="000000"/>
          <w:sz w:val="28"/>
          <w:szCs w:val="28"/>
          <w:lang w:val="es-ES"/>
        </w:rPr>
        <w:t xml:space="preserve"> y que</w:t>
      </w:r>
      <w:r w:rsidRPr="006D0761">
        <w:rPr>
          <w:rFonts w:ascii="Times New Roman" w:hAnsi="Times New Roman"/>
          <w:color w:val="000000"/>
          <w:sz w:val="28"/>
          <w:szCs w:val="28"/>
          <w:lang w:val="es-ES"/>
        </w:rPr>
        <w:t xml:space="preserve"> no hay cifras sobre los “machicidios”. </w:t>
      </w:r>
    </w:p>
    <w:p w:rsidR="0039215C" w:rsidRPr="006D0761" w:rsidRDefault="006D0761" w:rsidP="6D224379">
      <w:pPr>
        <w:pStyle w:val="Prrafodelista"/>
        <w:rPr>
          <w:rFonts w:ascii="Times New Roman" w:hAnsi="Times New Roman"/>
          <w:color w:val="000000"/>
          <w:sz w:val="28"/>
          <w:szCs w:val="28"/>
          <w:lang w:val="es-ES"/>
        </w:rPr>
      </w:pPr>
    </w:p>
    <w:p w:rsidR="0039215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los argumentos presentados contra la </w:t>
      </w:r>
      <w:r w:rsidRPr="006D0761">
        <w:rPr>
          <w:rFonts w:ascii="Times New Roman" w:hAnsi="Times New Roman"/>
          <w:color w:val="000000"/>
          <w:sz w:val="28"/>
          <w:szCs w:val="28"/>
          <w:lang w:val="es-ES"/>
        </w:rPr>
        <w:t>L</w:t>
      </w:r>
      <w:r w:rsidRPr="006D0761">
        <w:rPr>
          <w:rFonts w:ascii="Times New Roman" w:hAnsi="Times New Roman"/>
          <w:color w:val="000000"/>
          <w:sz w:val="28"/>
          <w:szCs w:val="28"/>
          <w:lang w:val="es-ES"/>
        </w:rPr>
        <w:t xml:space="preserve">ey, </w:t>
      </w:r>
      <w:r w:rsidRPr="006D0761">
        <w:rPr>
          <w:rFonts w:ascii="Times New Roman" w:hAnsi="Times New Roman"/>
          <w:color w:val="000000"/>
          <w:sz w:val="28"/>
          <w:szCs w:val="28"/>
          <w:lang w:val="es-ES"/>
        </w:rPr>
        <w:t xml:space="preserve">la Sala encuentra que </w:t>
      </w:r>
      <w:r w:rsidRPr="006D0761">
        <w:rPr>
          <w:rFonts w:ascii="Times New Roman" w:hAnsi="Times New Roman"/>
          <w:color w:val="000000"/>
          <w:sz w:val="28"/>
          <w:szCs w:val="28"/>
          <w:lang w:val="es-ES"/>
        </w:rPr>
        <w:t xml:space="preserve">no </w:t>
      </w:r>
      <w:r w:rsidRPr="006D0761">
        <w:rPr>
          <w:rFonts w:ascii="Times New Roman" w:hAnsi="Times New Roman"/>
          <w:color w:val="000000"/>
          <w:sz w:val="28"/>
          <w:szCs w:val="28"/>
          <w:lang w:val="es-ES"/>
        </w:rPr>
        <w:t>se present</w:t>
      </w:r>
      <w:r w:rsidRPr="006D0761">
        <w:rPr>
          <w:rFonts w:ascii="Times New Roman" w:hAnsi="Times New Roman"/>
          <w:color w:val="000000"/>
          <w:sz w:val="28"/>
          <w:szCs w:val="28"/>
          <w:lang w:val="es-ES"/>
        </w:rPr>
        <w:t>aron</w:t>
      </w:r>
      <w:r w:rsidRPr="006D0761">
        <w:rPr>
          <w:rFonts w:ascii="Times New Roman" w:hAnsi="Times New Roman"/>
          <w:color w:val="000000"/>
          <w:sz w:val="28"/>
          <w:szCs w:val="28"/>
          <w:lang w:val="es-ES"/>
        </w:rPr>
        <w:t xml:space="preserve"> análisis constitucionales fundados en la jurisprudencia de esta </w:t>
      </w:r>
      <w:r w:rsidRPr="006D0761">
        <w:rPr>
          <w:rFonts w:ascii="Times New Roman" w:hAnsi="Times New Roman"/>
          <w:color w:val="000000"/>
          <w:sz w:val="28"/>
          <w:szCs w:val="28"/>
          <w:lang w:val="es-ES"/>
        </w:rPr>
        <w:t>C</w:t>
      </w:r>
      <w:r w:rsidRPr="006D0761">
        <w:rPr>
          <w:rFonts w:ascii="Times New Roman" w:hAnsi="Times New Roman"/>
          <w:color w:val="000000"/>
          <w:sz w:val="28"/>
          <w:szCs w:val="28"/>
          <w:lang w:val="es-ES"/>
        </w:rPr>
        <w:t>orporación o en interpretaciones de órganos internacionales, sino que los alegatos se sustentan en argumentos subjetivos y algunos textos de doctrina.</w:t>
      </w:r>
    </w:p>
    <w:p w:rsidR="0039215C" w:rsidRPr="006D0761" w:rsidRDefault="006D0761" w:rsidP="6D224379">
      <w:pPr>
        <w:pStyle w:val="Prrafodelista"/>
        <w:rPr>
          <w:rFonts w:ascii="Times New Roman" w:hAnsi="Times New Roman"/>
          <w:color w:val="000000"/>
          <w:sz w:val="28"/>
          <w:szCs w:val="28"/>
          <w:lang w:val="es-ES"/>
        </w:rPr>
      </w:pPr>
    </w:p>
    <w:p w:rsidR="00D20B16" w:rsidRPr="006D0761" w:rsidRDefault="006D0761" w:rsidP="00D20B16">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Según el accionante, la </w:t>
      </w:r>
      <w:r w:rsidRPr="006D0761">
        <w:rPr>
          <w:rFonts w:ascii="Times New Roman" w:hAnsi="Times New Roman"/>
          <w:color w:val="000000"/>
          <w:sz w:val="28"/>
          <w:szCs w:val="28"/>
          <w:lang w:val="es-ES"/>
        </w:rPr>
        <w:t>norma implica un trato diferente, que favorece a un grupo “mayoritario” y excluye completamente al grupo poblacional minoritario que para el caso son los hombres, influyendo con ello a una desvaloración de la vida de los hombres, sin que existan razones qu</w:t>
      </w:r>
      <w:r w:rsidRPr="006D0761">
        <w:rPr>
          <w:rFonts w:ascii="Times New Roman" w:hAnsi="Times New Roman"/>
          <w:color w:val="000000"/>
          <w:sz w:val="28"/>
          <w:szCs w:val="28"/>
          <w:lang w:val="es-ES"/>
        </w:rPr>
        <w:t xml:space="preserve">e lo justifique. </w:t>
      </w:r>
    </w:p>
    <w:p w:rsidR="00D20B16" w:rsidRPr="006D0761" w:rsidRDefault="006D0761" w:rsidP="00D20B16">
      <w:pPr>
        <w:pStyle w:val="Prrafodelista"/>
        <w:rPr>
          <w:rFonts w:ascii="Times New Roman" w:hAnsi="Times New Roman"/>
          <w:color w:val="000000"/>
          <w:sz w:val="28"/>
          <w:szCs w:val="28"/>
          <w:lang w:val="es-ES"/>
        </w:rPr>
      </w:pPr>
    </w:p>
    <w:p w:rsidR="00A12647" w:rsidRPr="006D0761" w:rsidRDefault="006D0761" w:rsidP="009E10D0">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Procede la Corte a evaluar </w:t>
      </w:r>
      <w:r w:rsidRPr="006D0761">
        <w:rPr>
          <w:rFonts w:ascii="Times New Roman" w:hAnsi="Times New Roman"/>
          <w:color w:val="000000"/>
          <w:sz w:val="28"/>
          <w:szCs w:val="28"/>
          <w:lang w:val="es-ES"/>
        </w:rPr>
        <w:t>los requisitos d</w:t>
      </w:r>
      <w:r w:rsidRPr="006D0761">
        <w:rPr>
          <w:rFonts w:ascii="Times New Roman" w:hAnsi="Times New Roman"/>
          <w:color w:val="000000"/>
          <w:sz w:val="28"/>
          <w:szCs w:val="28"/>
          <w:lang w:val="es-ES"/>
        </w:rPr>
        <w:t>el cargo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en primer lugar, en cuanto al requisito de claridad, peses a la extensión del escrito y a la multiplicidad de argumentos, es posible sustraer un hil</w:t>
      </w:r>
      <w:r w:rsidRPr="006D0761">
        <w:rPr>
          <w:rFonts w:ascii="Times New Roman" w:hAnsi="Times New Roman"/>
          <w:color w:val="000000"/>
          <w:sz w:val="28"/>
          <w:szCs w:val="28"/>
          <w:lang w:val="es-ES"/>
        </w:rPr>
        <w:t>o</w:t>
      </w:r>
      <w:r w:rsidRPr="006D0761">
        <w:rPr>
          <w:rFonts w:ascii="Times New Roman" w:hAnsi="Times New Roman"/>
          <w:color w:val="000000"/>
          <w:sz w:val="28"/>
          <w:szCs w:val="28"/>
          <w:lang w:val="es-ES"/>
        </w:rPr>
        <w:t xml:space="preserve"> lógico del texto que permite comprender el argumento de la demanda, por lo que cumple con el requisito de claridad.</w:t>
      </w:r>
    </w:p>
    <w:p w:rsidR="00D20B16" w:rsidRPr="006D0761" w:rsidRDefault="006D0761" w:rsidP="00D20B16">
      <w:pPr>
        <w:pStyle w:val="NormalWeb"/>
        <w:spacing w:before="0" w:beforeAutospacing="0" w:after="0" w:afterAutospacing="0"/>
        <w:jc w:val="both"/>
        <w:rPr>
          <w:rFonts w:ascii="Times New Roman" w:hAnsi="Times New Roman"/>
          <w:color w:val="000000"/>
          <w:sz w:val="28"/>
          <w:szCs w:val="28"/>
          <w:lang w:val="es-ES"/>
        </w:rPr>
      </w:pPr>
    </w:p>
    <w:p w:rsidR="00EE19E7" w:rsidRPr="006D0761" w:rsidRDefault="006D0761" w:rsidP="005E0A7E">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n cuanto al requisito de certeza, e</w:t>
      </w:r>
      <w:r w:rsidRPr="006D0761">
        <w:rPr>
          <w:rFonts w:ascii="Times New Roman" w:hAnsi="Times New Roman"/>
          <w:color w:val="000000"/>
          <w:sz w:val="28"/>
          <w:szCs w:val="28"/>
          <w:lang w:val="es-ES"/>
        </w:rPr>
        <w:t xml:space="preserve">l </w:t>
      </w:r>
      <w:r w:rsidRPr="006D0761">
        <w:rPr>
          <w:rFonts w:ascii="Times New Roman" w:hAnsi="Times New Roman"/>
          <w:color w:val="000000"/>
          <w:sz w:val="28"/>
          <w:szCs w:val="28"/>
          <w:lang w:val="es-ES"/>
        </w:rPr>
        <w:t xml:space="preserve">accionante </w:t>
      </w:r>
      <w:r w:rsidRPr="006D0761">
        <w:rPr>
          <w:rFonts w:ascii="Times New Roman" w:hAnsi="Times New Roman"/>
          <w:color w:val="000000"/>
          <w:sz w:val="28"/>
          <w:szCs w:val="28"/>
          <w:lang w:val="es-ES"/>
        </w:rPr>
        <w:t xml:space="preserve">hace diferentes afirmaciones sobre el sentido de </w:t>
      </w:r>
      <w:r w:rsidRPr="006D0761">
        <w:rPr>
          <w:rFonts w:ascii="Times New Roman" w:hAnsi="Times New Roman"/>
          <w:color w:val="000000"/>
          <w:sz w:val="28"/>
          <w:szCs w:val="28"/>
          <w:lang w:val="es-ES"/>
        </w:rPr>
        <w:t>la norma</w:t>
      </w:r>
      <w:r w:rsidRPr="006D0761">
        <w:rPr>
          <w:rFonts w:ascii="Times New Roman" w:hAnsi="Times New Roman"/>
          <w:color w:val="000000"/>
          <w:sz w:val="28"/>
          <w:szCs w:val="28"/>
          <w:lang w:val="es-ES"/>
        </w:rPr>
        <w:t xml:space="preserve">, en primer lugar, que </w:t>
      </w:r>
      <w:r w:rsidRPr="006D0761">
        <w:rPr>
          <w:rFonts w:ascii="Times New Roman" w:hAnsi="Times New Roman"/>
          <w:color w:val="000000"/>
          <w:sz w:val="28"/>
          <w:szCs w:val="28"/>
          <w:lang w:val="es-ES"/>
        </w:rPr>
        <w:t xml:space="preserve">genera una diferencia de trato entre </w:t>
      </w:r>
      <w:r w:rsidRPr="006D0761">
        <w:rPr>
          <w:rFonts w:ascii="Times New Roman" w:hAnsi="Times New Roman"/>
          <w:color w:val="000000"/>
          <w:sz w:val="28"/>
          <w:szCs w:val="28"/>
          <w:lang w:val="es-ES"/>
        </w:rPr>
        <w:t>las mujeres que son objeto de protección y los hombres que son excluidos, y en segundo lugar que dicha diferencia genera un trato favorable a un “grupo mayoritario”, que perpet</w:t>
      </w:r>
      <w:r w:rsidRPr="006D0761">
        <w:rPr>
          <w:rFonts w:ascii="Times New Roman" w:hAnsi="Times New Roman"/>
          <w:color w:val="000000"/>
          <w:sz w:val="28"/>
          <w:szCs w:val="28"/>
          <w:lang w:val="es-ES"/>
        </w:rPr>
        <w:t>ú</w:t>
      </w:r>
      <w:r w:rsidRPr="006D0761">
        <w:rPr>
          <w:rFonts w:ascii="Times New Roman" w:hAnsi="Times New Roman"/>
          <w:color w:val="000000"/>
          <w:sz w:val="28"/>
          <w:szCs w:val="28"/>
          <w:lang w:val="es-ES"/>
        </w:rPr>
        <w:t>a privilegios para las mujeres e incentiva</w:t>
      </w:r>
      <w:r w:rsidRPr="006D0761">
        <w:rPr>
          <w:rFonts w:ascii="Times New Roman" w:hAnsi="Times New Roman"/>
          <w:color w:val="000000"/>
          <w:sz w:val="28"/>
          <w:szCs w:val="28"/>
          <w:lang w:val="es-ES"/>
        </w:rPr>
        <w:t xml:space="preserve"> un ambiente misándrico.  Para la Corte resulta claro que el cargo solo es cierto en </w:t>
      </w:r>
      <w:r w:rsidRPr="006D0761">
        <w:rPr>
          <w:rFonts w:ascii="Times New Roman" w:hAnsi="Times New Roman"/>
          <w:color w:val="000000"/>
          <w:sz w:val="28"/>
          <w:szCs w:val="28"/>
          <w:lang w:val="es-ES"/>
        </w:rPr>
        <w:t xml:space="preserve">la afirmación de que </w:t>
      </w:r>
      <w:r w:rsidRPr="006D0761">
        <w:rPr>
          <w:rFonts w:ascii="Times New Roman" w:hAnsi="Times New Roman"/>
          <w:color w:val="000000"/>
          <w:sz w:val="28"/>
          <w:szCs w:val="28"/>
          <w:lang w:val="es-ES"/>
        </w:rPr>
        <w:t>la norma no incluye a los hombres en la protección frente al feminicidio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w:t>
      </w:r>
      <w:r w:rsidRPr="006D0761">
        <w:rPr>
          <w:rFonts w:ascii="Times New Roman" w:hAnsi="Times New Roman"/>
          <w:color w:val="000000"/>
          <w:sz w:val="28"/>
          <w:szCs w:val="28"/>
          <w:lang w:val="es-ES"/>
        </w:rPr>
        <w:t xml:space="preserve">or el contrario, </w:t>
      </w:r>
      <w:r w:rsidRPr="006D0761">
        <w:rPr>
          <w:rFonts w:ascii="Times New Roman" w:hAnsi="Times New Roman"/>
          <w:color w:val="000000"/>
          <w:sz w:val="28"/>
          <w:szCs w:val="28"/>
          <w:lang w:val="es-ES"/>
        </w:rPr>
        <w:t>No es cierto que la disposición sea una fuente de privileg</w:t>
      </w:r>
      <w:r w:rsidRPr="006D0761">
        <w:rPr>
          <w:rFonts w:ascii="Times New Roman" w:hAnsi="Times New Roman"/>
          <w:color w:val="000000"/>
          <w:sz w:val="28"/>
          <w:szCs w:val="28"/>
          <w:lang w:val="es-ES"/>
        </w:rPr>
        <w:t xml:space="preserve">ios para las mujeres. Esa </w:t>
      </w:r>
      <w:r w:rsidRPr="006D0761">
        <w:rPr>
          <w:rFonts w:ascii="Times New Roman" w:hAnsi="Times New Roman"/>
          <w:color w:val="000000"/>
          <w:sz w:val="28"/>
          <w:szCs w:val="28"/>
          <w:lang w:val="es-ES"/>
        </w:rPr>
        <w:t>interpretaci</w:t>
      </w:r>
      <w:r w:rsidRPr="006D0761">
        <w:rPr>
          <w:rFonts w:ascii="Times New Roman" w:hAnsi="Times New Roman"/>
          <w:color w:val="000000"/>
          <w:sz w:val="28"/>
          <w:szCs w:val="28"/>
          <w:lang w:val="es-ES"/>
        </w:rPr>
        <w:t xml:space="preserve">ón </w:t>
      </w:r>
      <w:r w:rsidRPr="006D0761">
        <w:rPr>
          <w:rFonts w:ascii="Times New Roman" w:hAnsi="Times New Roman"/>
          <w:color w:val="000000"/>
          <w:sz w:val="28"/>
          <w:szCs w:val="28"/>
          <w:lang w:val="es-ES"/>
        </w:rPr>
        <w:t>que realiza el accionante</w:t>
      </w:r>
      <w:r w:rsidRPr="006D0761">
        <w:rPr>
          <w:rFonts w:ascii="Times New Roman" w:hAnsi="Times New Roman"/>
          <w:color w:val="000000"/>
          <w:sz w:val="28"/>
          <w:szCs w:val="28"/>
          <w:lang w:val="es-ES"/>
        </w:rPr>
        <w:t xml:space="preserve"> de forma subjetiva</w:t>
      </w:r>
      <w:r w:rsidRPr="006D0761">
        <w:rPr>
          <w:rFonts w:ascii="Times New Roman" w:hAnsi="Times New Roman"/>
          <w:color w:val="000000"/>
          <w:sz w:val="28"/>
          <w:szCs w:val="28"/>
          <w:lang w:val="es-ES"/>
        </w:rPr>
        <w:t xml:space="preserve">, no solo carece de </w:t>
      </w:r>
      <w:r w:rsidRPr="006D0761">
        <w:rPr>
          <w:rFonts w:ascii="Times New Roman" w:hAnsi="Times New Roman"/>
          <w:color w:val="000000"/>
          <w:sz w:val="28"/>
          <w:szCs w:val="28"/>
          <w:lang w:val="es-ES"/>
        </w:rPr>
        <w:t>certeza,</w:t>
      </w:r>
      <w:r w:rsidRPr="006D0761">
        <w:rPr>
          <w:rFonts w:ascii="Times New Roman" w:hAnsi="Times New Roman"/>
          <w:color w:val="000000"/>
          <w:sz w:val="28"/>
          <w:szCs w:val="28"/>
          <w:lang w:val="es-ES"/>
        </w:rPr>
        <w:t xml:space="preserve"> sino </w:t>
      </w:r>
      <w:r w:rsidRPr="006D0761">
        <w:rPr>
          <w:rFonts w:ascii="Times New Roman" w:hAnsi="Times New Roman"/>
          <w:color w:val="000000"/>
          <w:sz w:val="28"/>
          <w:szCs w:val="28"/>
          <w:lang w:val="es-ES"/>
        </w:rPr>
        <w:t>que resulta de una interpretación que desconoce completamente el contexto que motivó la creación de la norma y que incluso resulta direct</w:t>
      </w:r>
      <w:r w:rsidRPr="006D0761">
        <w:rPr>
          <w:rFonts w:ascii="Times New Roman" w:hAnsi="Times New Roman"/>
          <w:color w:val="000000"/>
          <w:sz w:val="28"/>
          <w:szCs w:val="28"/>
          <w:lang w:val="es-ES"/>
        </w:rPr>
        <w:t xml:space="preserve">amente contraria al fin constitucional que se persigue con la disposición. </w:t>
      </w:r>
    </w:p>
    <w:p w:rsidR="00DA7931" w:rsidRPr="006D0761" w:rsidRDefault="006D0761" w:rsidP="00DA7931">
      <w:pPr>
        <w:pStyle w:val="NormalWeb"/>
        <w:spacing w:before="0" w:beforeAutospacing="0" w:after="0" w:afterAutospacing="0"/>
        <w:jc w:val="both"/>
        <w:rPr>
          <w:rFonts w:ascii="Times New Roman" w:hAnsi="Times New Roman"/>
          <w:color w:val="000000"/>
          <w:sz w:val="28"/>
          <w:szCs w:val="28"/>
          <w:lang w:val="es-ES"/>
        </w:rPr>
      </w:pPr>
    </w:p>
    <w:p w:rsidR="00EE25C6"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cuanto a la especificidad del cargo, el accionante </w:t>
      </w:r>
      <w:r w:rsidRPr="006D0761">
        <w:rPr>
          <w:rFonts w:ascii="Times New Roman" w:hAnsi="Times New Roman"/>
          <w:color w:val="000000"/>
          <w:sz w:val="28"/>
          <w:szCs w:val="28"/>
          <w:lang w:val="es-ES"/>
        </w:rPr>
        <w:t>no logra argumentar i) por qué estos sujetos, es decir mujeres y hombres, resultan iguales frente al término de comparación q</w:t>
      </w:r>
      <w:r w:rsidRPr="006D0761">
        <w:rPr>
          <w:rFonts w:ascii="Times New Roman" w:hAnsi="Times New Roman"/>
          <w:color w:val="000000"/>
          <w:sz w:val="28"/>
          <w:szCs w:val="28"/>
          <w:lang w:val="es-ES"/>
        </w:rPr>
        <w:t xml:space="preserve">ue es, para el asunto, la afectación de su derecho a una vida por la violencia de género. </w:t>
      </w:r>
      <w:r w:rsidRPr="006D0761">
        <w:rPr>
          <w:rFonts w:ascii="Times New Roman" w:hAnsi="Times New Roman"/>
          <w:color w:val="000000"/>
          <w:sz w:val="28"/>
          <w:szCs w:val="28"/>
          <w:lang w:val="es-ES"/>
        </w:rPr>
        <w:t>El demandante n</w:t>
      </w:r>
      <w:r w:rsidRPr="006D0761">
        <w:rPr>
          <w:rFonts w:ascii="Times New Roman" w:hAnsi="Times New Roman"/>
          <w:color w:val="000000"/>
          <w:sz w:val="28"/>
          <w:szCs w:val="28"/>
          <w:lang w:val="es-ES"/>
        </w:rPr>
        <w:t>o establece por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pese toda la información disponible y que ha servido de sustento a la norma sobre la afectación agravada y diferenciada que la </w:t>
      </w:r>
      <w:r w:rsidRPr="006D0761">
        <w:rPr>
          <w:rFonts w:ascii="Times New Roman" w:hAnsi="Times New Roman"/>
          <w:color w:val="000000"/>
          <w:sz w:val="28"/>
          <w:szCs w:val="28"/>
          <w:lang w:val="es-ES"/>
        </w:rPr>
        <w:t>violencia de g</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nero implica para las </w:t>
      </w:r>
      <w:r w:rsidRPr="006D0761">
        <w:rPr>
          <w:rFonts w:ascii="Times New Roman" w:hAnsi="Times New Roman"/>
          <w:color w:val="000000"/>
          <w:sz w:val="28"/>
          <w:szCs w:val="28"/>
          <w:lang w:val="es-ES"/>
        </w:rPr>
        <w:t>mujeres, en</w:t>
      </w:r>
      <w:r w:rsidRPr="006D0761">
        <w:rPr>
          <w:rFonts w:ascii="Times New Roman" w:hAnsi="Times New Roman"/>
          <w:color w:val="000000"/>
          <w:sz w:val="28"/>
          <w:szCs w:val="28"/>
          <w:lang w:val="es-ES"/>
        </w:rPr>
        <w:t xml:space="preserve"> esta ocasión se debería considerar que los hombres y las mujeres son sujetos</w:t>
      </w:r>
      <w:r w:rsidRPr="006D0761">
        <w:rPr>
          <w:rFonts w:ascii="Times New Roman" w:hAnsi="Times New Roman"/>
          <w:color w:val="000000"/>
          <w:sz w:val="28"/>
          <w:szCs w:val="28"/>
          <w:lang w:val="es-ES"/>
        </w:rPr>
        <w:t xml:space="preserve"> que se encuentran en plano de</w:t>
      </w:r>
      <w:r w:rsidRPr="006D0761">
        <w:rPr>
          <w:rFonts w:ascii="Times New Roman" w:hAnsi="Times New Roman"/>
          <w:color w:val="000000"/>
          <w:sz w:val="28"/>
          <w:szCs w:val="28"/>
          <w:lang w:val="es-ES"/>
        </w:rPr>
        <w:t xml:space="preserve"> igual</w:t>
      </w:r>
      <w:r w:rsidRPr="006D0761">
        <w:rPr>
          <w:rFonts w:ascii="Times New Roman" w:hAnsi="Times New Roman"/>
          <w:color w:val="000000"/>
          <w:sz w:val="28"/>
          <w:szCs w:val="28"/>
          <w:lang w:val="es-ES"/>
        </w:rPr>
        <w:t>dad</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Únicamente </w:t>
      </w:r>
      <w:r w:rsidRPr="006D0761">
        <w:rPr>
          <w:rFonts w:ascii="Times New Roman" w:hAnsi="Times New Roman"/>
          <w:color w:val="000000"/>
          <w:sz w:val="28"/>
          <w:szCs w:val="28"/>
          <w:lang w:val="es-ES"/>
        </w:rPr>
        <w:t xml:space="preserve">afirma </w:t>
      </w:r>
      <w:r w:rsidRPr="006D0761">
        <w:rPr>
          <w:rFonts w:ascii="Times New Roman" w:hAnsi="Times New Roman"/>
          <w:color w:val="000000"/>
          <w:sz w:val="28"/>
          <w:szCs w:val="28"/>
          <w:lang w:val="es-ES"/>
        </w:rPr>
        <w:t xml:space="preserve">que los hombres también son víctimas de violencia y homicidio basado en </w:t>
      </w:r>
      <w:r w:rsidRPr="006D0761">
        <w:rPr>
          <w:rFonts w:ascii="Times New Roman" w:hAnsi="Times New Roman"/>
          <w:color w:val="000000"/>
          <w:sz w:val="28"/>
          <w:szCs w:val="28"/>
          <w:lang w:val="es-ES"/>
        </w:rPr>
        <w:t xml:space="preserve">género, aunque reconoce </w:t>
      </w:r>
      <w:r w:rsidRPr="006D0761">
        <w:rPr>
          <w:rFonts w:ascii="Times New Roman" w:hAnsi="Times New Roman"/>
          <w:color w:val="000000"/>
          <w:sz w:val="28"/>
          <w:szCs w:val="28"/>
          <w:lang w:val="es-ES"/>
        </w:rPr>
        <w:t xml:space="preserve">la insuficiente </w:t>
      </w:r>
      <w:r w:rsidRPr="006D0761">
        <w:rPr>
          <w:rFonts w:ascii="Times New Roman" w:hAnsi="Times New Roman"/>
          <w:color w:val="000000"/>
          <w:sz w:val="28"/>
          <w:szCs w:val="28"/>
          <w:lang w:val="es-ES"/>
        </w:rPr>
        <w:t>información sobre casos que afect</w:t>
      </w:r>
      <w:r w:rsidRPr="006D0761">
        <w:rPr>
          <w:rFonts w:ascii="Times New Roman" w:hAnsi="Times New Roman"/>
          <w:color w:val="000000"/>
          <w:sz w:val="28"/>
          <w:szCs w:val="28"/>
          <w:lang w:val="es-ES"/>
        </w:rPr>
        <w:t>a</w:t>
      </w:r>
      <w:r w:rsidRPr="006D0761">
        <w:rPr>
          <w:rFonts w:ascii="Times New Roman" w:hAnsi="Times New Roman"/>
          <w:color w:val="000000"/>
          <w:sz w:val="28"/>
          <w:szCs w:val="28"/>
          <w:lang w:val="es-ES"/>
        </w:rPr>
        <w:t>n a los hombres.</w:t>
      </w:r>
    </w:p>
    <w:p w:rsidR="00EE25C6" w:rsidRPr="006D0761" w:rsidRDefault="006D0761" w:rsidP="6D224379">
      <w:pPr>
        <w:pStyle w:val="Prrafodelista"/>
        <w:rPr>
          <w:rFonts w:ascii="Times New Roman" w:hAnsi="Times New Roman"/>
          <w:color w:val="000000"/>
          <w:sz w:val="28"/>
          <w:szCs w:val="28"/>
          <w:lang w:val="es-ES"/>
        </w:rPr>
      </w:pPr>
    </w:p>
    <w:p w:rsidR="006D4E11"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Al respecto </w:t>
      </w:r>
      <w:r w:rsidRPr="006D0761">
        <w:rPr>
          <w:rFonts w:ascii="Times New Roman" w:hAnsi="Times New Roman"/>
          <w:color w:val="000000"/>
          <w:sz w:val="28"/>
          <w:szCs w:val="28"/>
          <w:lang w:val="es-ES"/>
        </w:rPr>
        <w:t xml:space="preserve">presenta </w:t>
      </w:r>
      <w:r w:rsidRPr="006D0761">
        <w:rPr>
          <w:rFonts w:ascii="Times New Roman" w:hAnsi="Times New Roman"/>
          <w:color w:val="000000"/>
          <w:sz w:val="28"/>
          <w:szCs w:val="28"/>
          <w:lang w:val="es-ES"/>
        </w:rPr>
        <w:t>cifras</w:t>
      </w:r>
      <w:r w:rsidRPr="006D0761">
        <w:rPr>
          <w:rFonts w:ascii="Times New Roman" w:hAnsi="Times New Roman"/>
          <w:color w:val="000000"/>
          <w:sz w:val="28"/>
          <w:szCs w:val="28"/>
          <w:lang w:val="es-ES"/>
        </w:rPr>
        <w:t xml:space="preserve"> sobre los índices de violencia estructural y política que afecta a los hombres; </w:t>
      </w:r>
      <w:r w:rsidRPr="006D0761">
        <w:rPr>
          <w:rFonts w:ascii="Times New Roman" w:hAnsi="Times New Roman"/>
          <w:color w:val="000000"/>
          <w:sz w:val="28"/>
          <w:szCs w:val="28"/>
          <w:lang w:val="es-ES"/>
        </w:rPr>
        <w:t>pero no</w:t>
      </w:r>
      <w:r w:rsidRPr="006D0761">
        <w:rPr>
          <w:rFonts w:ascii="Times New Roman" w:hAnsi="Times New Roman"/>
          <w:color w:val="000000"/>
          <w:sz w:val="28"/>
          <w:szCs w:val="28"/>
          <w:lang w:val="es-ES"/>
        </w:rPr>
        <w:t xml:space="preserve"> aporta evidencia empírica o conceptual sobre víctimas masculinas de crímenes motivados por género</w:t>
      </w:r>
      <w:r w:rsidRPr="006D0761">
        <w:rPr>
          <w:rFonts w:ascii="Times New Roman" w:hAnsi="Times New Roman"/>
          <w:color w:val="000000"/>
          <w:sz w:val="28"/>
          <w:szCs w:val="28"/>
          <w:lang w:val="es-ES"/>
        </w:rPr>
        <w:t xml:space="preserve"> con las que sustente que hombres y mujeres se encuentran en pie de igualdad</w:t>
      </w:r>
      <w:r w:rsidRPr="006D0761">
        <w:rPr>
          <w:rFonts w:ascii="Times New Roman" w:hAnsi="Times New Roman"/>
          <w:color w:val="000000"/>
          <w:sz w:val="28"/>
          <w:szCs w:val="28"/>
          <w:lang w:val="es-ES"/>
        </w:rPr>
        <w:t xml:space="preserve"> respecto del término de comparación del presente asunto</w:t>
      </w:r>
      <w:r w:rsidRPr="006D0761">
        <w:rPr>
          <w:rFonts w:ascii="Times New Roman" w:hAnsi="Times New Roman"/>
          <w:color w:val="000000"/>
          <w:sz w:val="28"/>
          <w:szCs w:val="28"/>
          <w:lang w:val="es-ES"/>
        </w:rPr>
        <w:t>, ni explica por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las m</w:t>
      </w:r>
      <w:r w:rsidRPr="006D0761">
        <w:rPr>
          <w:rFonts w:ascii="Times New Roman" w:hAnsi="Times New Roman"/>
          <w:color w:val="000000"/>
          <w:sz w:val="28"/>
          <w:szCs w:val="28"/>
          <w:lang w:val="es-ES"/>
        </w:rPr>
        <w:t xml:space="preserve">edidas ordinarias dispuestas en el ordenamiento jurídico nacional resultan insuficientes para atender estas situaciones. </w:t>
      </w:r>
      <w:r w:rsidRPr="006D0761">
        <w:rPr>
          <w:rFonts w:ascii="Times New Roman" w:hAnsi="Times New Roman"/>
          <w:color w:val="000000"/>
          <w:sz w:val="28"/>
          <w:szCs w:val="28"/>
          <w:lang w:val="es-ES"/>
        </w:rPr>
        <w:t>En este punto, el cargo resulta insuficiente</w:t>
      </w:r>
      <w:r w:rsidRPr="006D0761">
        <w:rPr>
          <w:rFonts w:ascii="Times New Roman" w:hAnsi="Times New Roman"/>
          <w:color w:val="000000"/>
          <w:sz w:val="28"/>
          <w:szCs w:val="28"/>
          <w:lang w:val="es-ES"/>
        </w:rPr>
        <w:t xml:space="preserve"> por no lograr argumentar el plano de igualdad en que se encontrarían hombres y mujeres fre</w:t>
      </w:r>
      <w:r w:rsidRPr="006D0761">
        <w:rPr>
          <w:rFonts w:ascii="Times New Roman" w:hAnsi="Times New Roman"/>
          <w:color w:val="000000"/>
          <w:sz w:val="28"/>
          <w:szCs w:val="28"/>
          <w:lang w:val="es-ES"/>
        </w:rPr>
        <w:t>nte al t</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rmino de comparación que es la afectación que la violencia de género y la insuficiente respuesta institucional implican frente a su derecho a una vida libre de violencia en Colombia</w:t>
      </w:r>
      <w:r w:rsidRPr="006D0761">
        <w:rPr>
          <w:rFonts w:ascii="Times New Roman" w:hAnsi="Times New Roman"/>
          <w:color w:val="000000"/>
          <w:sz w:val="28"/>
          <w:szCs w:val="28"/>
          <w:lang w:val="es-ES"/>
        </w:rPr>
        <w:t>.</w:t>
      </w:r>
    </w:p>
    <w:p w:rsidR="00264E76" w:rsidRPr="006D0761" w:rsidRDefault="006D0761" w:rsidP="6D224379">
      <w:pPr>
        <w:pStyle w:val="Prrafodelista"/>
        <w:rPr>
          <w:rFonts w:ascii="Times New Roman" w:hAnsi="Times New Roman"/>
          <w:color w:val="000000"/>
          <w:sz w:val="28"/>
          <w:szCs w:val="28"/>
          <w:lang w:val="es-ES"/>
        </w:rPr>
      </w:pPr>
    </w:p>
    <w:p w:rsidR="00EE19E7" w:rsidRPr="006D0761" w:rsidRDefault="006D0761" w:rsidP="00C25466">
      <w:pPr>
        <w:pStyle w:val="Prrafodelista"/>
        <w:numPr>
          <w:ilvl w:val="0"/>
          <w:numId w:val="3"/>
        </w:numPr>
        <w:ind w:left="0" w:firstLine="0"/>
        <w:jc w:val="both"/>
        <w:rPr>
          <w:rFonts w:ascii="Times New Roman" w:hAnsi="Times New Roman"/>
          <w:sz w:val="28"/>
          <w:szCs w:val="28"/>
          <w:lang w:val="es-ES"/>
        </w:rPr>
      </w:pPr>
      <w:r w:rsidRPr="006D0761">
        <w:rPr>
          <w:rFonts w:ascii="Times New Roman" w:hAnsi="Times New Roman"/>
          <w:color w:val="000000"/>
          <w:sz w:val="28"/>
          <w:szCs w:val="28"/>
          <w:lang w:val="es-ES"/>
        </w:rPr>
        <w:t>Adicionalmente</w:t>
      </w:r>
      <w:r w:rsidRPr="006D0761">
        <w:rPr>
          <w:rFonts w:ascii="Times New Roman" w:hAnsi="Times New Roman"/>
          <w:color w:val="000000"/>
          <w:sz w:val="28"/>
          <w:szCs w:val="28"/>
          <w:lang w:val="es-ES"/>
        </w:rPr>
        <w:t>, e</w:t>
      </w:r>
      <w:r w:rsidRPr="006D0761">
        <w:rPr>
          <w:rFonts w:ascii="Times New Roman" w:hAnsi="Times New Roman"/>
          <w:color w:val="000000"/>
          <w:sz w:val="28"/>
          <w:szCs w:val="28"/>
          <w:lang w:val="es-ES"/>
        </w:rPr>
        <w:t>l cargo presentado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contra la Ley 1761 de 2015 </w:t>
      </w:r>
      <w:r w:rsidRPr="006D0761">
        <w:rPr>
          <w:rFonts w:ascii="Times New Roman" w:hAnsi="Times New Roman"/>
          <w:color w:val="000000"/>
          <w:sz w:val="28"/>
          <w:szCs w:val="28"/>
          <w:lang w:val="es-ES"/>
        </w:rPr>
        <w:t xml:space="preserve">analiza la norma sin atender </w:t>
      </w:r>
      <w:r w:rsidRPr="006D0761">
        <w:rPr>
          <w:rFonts w:ascii="Times New Roman" w:hAnsi="Times New Roman"/>
          <w:color w:val="000000"/>
          <w:sz w:val="28"/>
          <w:szCs w:val="28"/>
          <w:lang w:val="es-ES"/>
        </w:rPr>
        <w:t>la</w:t>
      </w:r>
      <w:r w:rsidRPr="006D0761">
        <w:rPr>
          <w:rFonts w:ascii="Times New Roman" w:hAnsi="Times New Roman"/>
          <w:color w:val="000000"/>
          <w:sz w:val="28"/>
          <w:szCs w:val="28"/>
          <w:lang w:val="es-ES"/>
        </w:rPr>
        <w:t xml:space="preserve"> exigencia de</w:t>
      </w:r>
      <w:r w:rsidRPr="006D0761">
        <w:rPr>
          <w:rFonts w:ascii="Times New Roman" w:hAnsi="Times New Roman"/>
          <w:color w:val="000000"/>
          <w:sz w:val="28"/>
          <w:szCs w:val="28"/>
          <w:lang w:val="es-ES"/>
        </w:rPr>
        <w:t xml:space="preserve"> especificidad y pertinencia que </w:t>
      </w:r>
      <w:r w:rsidRPr="006D0761">
        <w:rPr>
          <w:rFonts w:ascii="Times New Roman" w:hAnsi="Times New Roman"/>
          <w:color w:val="000000"/>
          <w:sz w:val="28"/>
          <w:szCs w:val="28"/>
          <w:lang w:val="es-ES"/>
        </w:rPr>
        <w:t xml:space="preserve">se traduce en </w:t>
      </w:r>
      <w:r w:rsidRPr="006D0761">
        <w:rPr>
          <w:rFonts w:ascii="Times New Roman" w:hAnsi="Times New Roman"/>
          <w:color w:val="000000"/>
          <w:sz w:val="28"/>
          <w:szCs w:val="28"/>
          <w:lang w:val="es-ES"/>
        </w:rPr>
        <w:t>analizar la importancia constitucional del fin perseguido por la medida, lo que implica</w:t>
      </w:r>
      <w:r w:rsidRPr="006D0761">
        <w:rPr>
          <w:rFonts w:ascii="Times New Roman" w:hAnsi="Times New Roman"/>
          <w:color w:val="000000"/>
          <w:sz w:val="28"/>
          <w:szCs w:val="28"/>
          <w:lang w:val="es-ES"/>
        </w:rPr>
        <w:t xml:space="preserve"> toma</w:t>
      </w:r>
      <w:r w:rsidRPr="006D0761">
        <w:rPr>
          <w:rFonts w:ascii="Times New Roman" w:hAnsi="Times New Roman"/>
          <w:color w:val="000000"/>
          <w:sz w:val="28"/>
          <w:szCs w:val="28"/>
          <w:lang w:val="es-ES"/>
        </w:rPr>
        <w:t>r</w:t>
      </w:r>
      <w:r w:rsidRPr="006D0761">
        <w:rPr>
          <w:rFonts w:ascii="Times New Roman" w:hAnsi="Times New Roman"/>
          <w:color w:val="000000"/>
          <w:sz w:val="28"/>
          <w:szCs w:val="28"/>
          <w:lang w:val="es-ES"/>
        </w:rPr>
        <w:t xml:space="preserve"> en consideración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inescindible</w:t>
      </w:r>
      <w:r w:rsidRPr="006D0761">
        <w:rPr>
          <w:rFonts w:ascii="Times New Roman" w:hAnsi="Times New Roman"/>
          <w:color w:val="000000"/>
          <w:sz w:val="28"/>
          <w:szCs w:val="28"/>
          <w:lang w:val="es-ES"/>
        </w:rPr>
        <w:t xml:space="preserve"> conexión de la medida con </w:t>
      </w:r>
      <w:r w:rsidRPr="006D0761">
        <w:rPr>
          <w:rFonts w:ascii="Times New Roman" w:hAnsi="Times New Roman"/>
          <w:color w:val="000000"/>
          <w:sz w:val="28"/>
          <w:szCs w:val="28"/>
          <w:lang w:val="es-ES"/>
        </w:rPr>
        <w:t xml:space="preserve">principios </w:t>
      </w:r>
      <w:r w:rsidRPr="006D0761">
        <w:rPr>
          <w:rFonts w:ascii="Times New Roman" w:hAnsi="Times New Roman"/>
          <w:color w:val="000000"/>
          <w:sz w:val="28"/>
          <w:szCs w:val="28"/>
          <w:lang w:val="es-ES"/>
        </w:rPr>
        <w:t>constitucionales</w:t>
      </w:r>
      <w:r w:rsidRPr="006D0761">
        <w:rPr>
          <w:rFonts w:ascii="Times New Roman" w:hAnsi="Times New Roman"/>
          <w:color w:val="000000"/>
          <w:sz w:val="28"/>
          <w:szCs w:val="28"/>
          <w:lang w:val="es-ES"/>
        </w:rPr>
        <w:t xml:space="preserve"> e incluso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con obligaciones internacionales </w:t>
      </w:r>
      <w:r w:rsidRPr="006D0761">
        <w:rPr>
          <w:rFonts w:ascii="Times New Roman" w:hAnsi="Times New Roman"/>
          <w:color w:val="000000"/>
          <w:sz w:val="28"/>
          <w:szCs w:val="28"/>
          <w:lang w:val="es-ES"/>
        </w:rPr>
        <w:t>del Estado colombiano frente a la violencia de género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p>
    <w:p w:rsidR="00AC6E14" w:rsidRPr="006D0761" w:rsidRDefault="006D0761" w:rsidP="00AC6E14">
      <w:pPr>
        <w:pStyle w:val="Prrafodelista"/>
        <w:ind w:left="0"/>
        <w:jc w:val="both"/>
        <w:rPr>
          <w:rFonts w:ascii="Times New Roman" w:hAnsi="Times New Roman"/>
          <w:sz w:val="28"/>
          <w:szCs w:val="28"/>
          <w:lang w:val="es-ES"/>
        </w:rPr>
      </w:pPr>
    </w:p>
    <w:p w:rsidR="001A2648" w:rsidRPr="006D0761" w:rsidRDefault="006D0761" w:rsidP="001A2648">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sz w:val="28"/>
          <w:szCs w:val="28"/>
          <w:lang w:val="es-ES"/>
        </w:rPr>
        <w:t>Bajo ese estándar, el accionante</w:t>
      </w:r>
      <w:r w:rsidRPr="006D0761">
        <w:rPr>
          <w:rFonts w:ascii="Times New Roman" w:hAnsi="Times New Roman"/>
          <w:sz w:val="28"/>
          <w:szCs w:val="28"/>
          <w:lang w:val="es-ES"/>
        </w:rPr>
        <w:t xml:space="preserve"> se limitó a presentar argumentos doctrinales que plantean la necesidad de abordar la violencia de g</w:t>
      </w:r>
      <w:r w:rsidRPr="006D0761">
        <w:rPr>
          <w:rFonts w:ascii="Times New Roman" w:hAnsi="Times New Roman"/>
          <w:sz w:val="28"/>
          <w:szCs w:val="28"/>
          <w:lang w:val="es-ES"/>
        </w:rPr>
        <w:t>é</w:t>
      </w:r>
      <w:r w:rsidRPr="006D0761">
        <w:rPr>
          <w:rFonts w:ascii="Times New Roman" w:hAnsi="Times New Roman"/>
          <w:sz w:val="28"/>
          <w:szCs w:val="28"/>
          <w:lang w:val="es-ES"/>
        </w:rPr>
        <w:t xml:space="preserve">nero </w:t>
      </w:r>
      <w:r w:rsidRPr="006D0761">
        <w:rPr>
          <w:rFonts w:ascii="Times New Roman" w:hAnsi="Times New Roman"/>
          <w:sz w:val="28"/>
          <w:szCs w:val="28"/>
          <w:lang w:val="es-ES"/>
        </w:rPr>
        <w:t>para los hombres, y alegatos basados en percepciones subjetivas sobre “los privilegios” de “la mayoría” femenina. Pero omitió abordar las razones fácticas y jurídicas que han motivado a la Corte Constitucional a considerar la importancia de la</w:t>
      </w:r>
      <w:r w:rsidRPr="006D0761">
        <w:rPr>
          <w:rFonts w:ascii="Times New Roman" w:hAnsi="Times New Roman"/>
          <w:sz w:val="28"/>
          <w:szCs w:val="28"/>
          <w:lang w:val="es-ES"/>
        </w:rPr>
        <w:t>s medidas par</w:t>
      </w:r>
      <w:r w:rsidRPr="006D0761">
        <w:rPr>
          <w:rFonts w:ascii="Times New Roman" w:hAnsi="Times New Roman"/>
          <w:sz w:val="28"/>
          <w:szCs w:val="28"/>
          <w:lang w:val="es-ES"/>
        </w:rPr>
        <w:t xml:space="preserve">a prevenir y sancionar la violencia de género contra la mujer. </w:t>
      </w:r>
      <w:r w:rsidRPr="006D0761">
        <w:rPr>
          <w:rFonts w:ascii="Times New Roman" w:hAnsi="Times New Roman"/>
          <w:sz w:val="28"/>
          <w:szCs w:val="28"/>
          <w:lang w:val="es-ES"/>
        </w:rPr>
        <w:t xml:space="preserve"> </w:t>
      </w:r>
    </w:p>
    <w:p w:rsidR="001A2648" w:rsidRPr="006D0761" w:rsidRDefault="006D0761" w:rsidP="001A2648">
      <w:pPr>
        <w:pStyle w:val="Prrafodelista"/>
        <w:rPr>
          <w:rFonts w:ascii="Times New Roman" w:hAnsi="Times New Roman"/>
          <w:sz w:val="28"/>
          <w:szCs w:val="28"/>
          <w:lang w:val="es-ES"/>
        </w:rPr>
      </w:pPr>
    </w:p>
    <w:p w:rsidR="001A2648" w:rsidRPr="006D0761" w:rsidRDefault="006D0761" w:rsidP="001A2648">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sz w:val="28"/>
          <w:szCs w:val="28"/>
          <w:lang w:val="es-ES"/>
        </w:rPr>
        <w:t xml:space="preserve">En consecuencia, puesto que el accionante </w:t>
      </w:r>
      <w:r w:rsidRPr="006D0761">
        <w:rPr>
          <w:rFonts w:ascii="Times New Roman" w:hAnsi="Times New Roman"/>
          <w:sz w:val="28"/>
          <w:szCs w:val="28"/>
          <w:lang w:val="es-ES"/>
        </w:rPr>
        <w:t xml:space="preserve">no </w:t>
      </w:r>
      <w:r w:rsidRPr="006D0761">
        <w:rPr>
          <w:rFonts w:ascii="Times New Roman" w:hAnsi="Times New Roman"/>
          <w:sz w:val="28"/>
          <w:szCs w:val="28"/>
          <w:lang w:val="es-ES"/>
        </w:rPr>
        <w:t>cumpli</w:t>
      </w:r>
      <w:r w:rsidRPr="006D0761">
        <w:rPr>
          <w:rFonts w:ascii="Times New Roman" w:hAnsi="Times New Roman"/>
          <w:sz w:val="28"/>
          <w:szCs w:val="28"/>
          <w:lang w:val="es-ES"/>
        </w:rPr>
        <w:t>ó</w:t>
      </w:r>
      <w:r w:rsidRPr="006D0761">
        <w:rPr>
          <w:rFonts w:ascii="Times New Roman" w:hAnsi="Times New Roman"/>
          <w:sz w:val="28"/>
          <w:szCs w:val="28"/>
          <w:lang w:val="es-ES"/>
        </w:rPr>
        <w:t xml:space="preserve"> con la carga de </w:t>
      </w:r>
      <w:r w:rsidRPr="006D0761">
        <w:rPr>
          <w:rFonts w:ascii="Times New Roman" w:hAnsi="Times New Roman"/>
          <w:sz w:val="28"/>
          <w:szCs w:val="28"/>
          <w:lang w:val="es-ES"/>
        </w:rPr>
        <w:t>especific</w:t>
      </w:r>
      <w:r w:rsidRPr="006D0761">
        <w:rPr>
          <w:rFonts w:ascii="Times New Roman" w:hAnsi="Times New Roman"/>
          <w:sz w:val="28"/>
          <w:szCs w:val="28"/>
          <w:lang w:val="es-ES"/>
        </w:rPr>
        <w:t>idad</w:t>
      </w:r>
      <w:r w:rsidRPr="006D0761">
        <w:rPr>
          <w:rFonts w:ascii="Times New Roman" w:hAnsi="Times New Roman"/>
          <w:sz w:val="28"/>
          <w:szCs w:val="28"/>
          <w:lang w:val="es-ES"/>
        </w:rPr>
        <w:t xml:space="preserve"> y pertinen</w:t>
      </w:r>
      <w:r w:rsidRPr="006D0761">
        <w:rPr>
          <w:rFonts w:ascii="Times New Roman" w:hAnsi="Times New Roman"/>
          <w:sz w:val="28"/>
          <w:szCs w:val="28"/>
          <w:lang w:val="es-ES"/>
        </w:rPr>
        <w:t>cia</w:t>
      </w:r>
      <w:r w:rsidRPr="006D0761">
        <w:rPr>
          <w:rFonts w:ascii="Times New Roman" w:hAnsi="Times New Roman"/>
          <w:sz w:val="28"/>
          <w:szCs w:val="28"/>
          <w:lang w:val="es-ES"/>
        </w:rPr>
        <w:t xml:space="preserve">, y </w:t>
      </w:r>
      <w:r w:rsidRPr="006D0761">
        <w:rPr>
          <w:rFonts w:ascii="Times New Roman" w:hAnsi="Times New Roman"/>
          <w:sz w:val="28"/>
          <w:szCs w:val="28"/>
          <w:lang w:val="es-ES"/>
        </w:rPr>
        <w:t xml:space="preserve">tampoco </w:t>
      </w:r>
      <w:r w:rsidRPr="006D0761">
        <w:rPr>
          <w:rFonts w:ascii="Times New Roman" w:hAnsi="Times New Roman"/>
          <w:sz w:val="28"/>
          <w:szCs w:val="28"/>
          <w:lang w:val="es-ES"/>
        </w:rPr>
        <w:t>cumple con la</w:t>
      </w:r>
      <w:r w:rsidRPr="006D0761">
        <w:rPr>
          <w:rFonts w:ascii="Times New Roman" w:hAnsi="Times New Roman"/>
          <w:sz w:val="28"/>
          <w:szCs w:val="28"/>
          <w:lang w:val="es-ES"/>
        </w:rPr>
        <w:t xml:space="preserve"> suficiencia</w:t>
      </w:r>
      <w:r w:rsidRPr="006D0761">
        <w:rPr>
          <w:rFonts w:ascii="Times New Roman" w:hAnsi="Times New Roman"/>
          <w:sz w:val="28"/>
          <w:szCs w:val="28"/>
          <w:lang w:val="es-ES"/>
        </w:rPr>
        <w:t xml:space="preserve"> argumentativa</w:t>
      </w:r>
      <w:r w:rsidRPr="006D0761">
        <w:rPr>
          <w:rFonts w:ascii="Times New Roman" w:hAnsi="Times New Roman"/>
          <w:sz w:val="28"/>
          <w:szCs w:val="28"/>
          <w:lang w:val="es-ES"/>
        </w:rPr>
        <w:t xml:space="preserve"> exigida </w:t>
      </w:r>
      <w:r w:rsidRPr="006D0761">
        <w:rPr>
          <w:rFonts w:ascii="Times New Roman" w:hAnsi="Times New Roman"/>
          <w:sz w:val="28"/>
          <w:szCs w:val="28"/>
          <w:lang w:val="es-ES"/>
        </w:rPr>
        <w:t>para ser evaluado de fondo</w:t>
      </w:r>
      <w:r w:rsidRPr="006D0761">
        <w:rPr>
          <w:rFonts w:ascii="Times New Roman" w:hAnsi="Times New Roman"/>
          <w:sz w:val="28"/>
          <w:szCs w:val="28"/>
          <w:lang w:val="es-ES"/>
        </w:rPr>
        <w:t xml:space="preserve">, el cargo no resulta apto. </w:t>
      </w:r>
    </w:p>
    <w:p w:rsidR="001A2648" w:rsidRPr="006D0761" w:rsidRDefault="006D0761" w:rsidP="001A2648">
      <w:pPr>
        <w:pStyle w:val="Prrafodelista"/>
        <w:rPr>
          <w:rFonts w:ascii="Times New Roman" w:hAnsi="Times New Roman"/>
          <w:b/>
          <w:bCs/>
          <w:color w:val="000000"/>
          <w:sz w:val="28"/>
          <w:szCs w:val="28"/>
          <w:lang w:val="es-ES"/>
        </w:rPr>
      </w:pPr>
    </w:p>
    <w:p w:rsidR="00306461" w:rsidRPr="006D0761" w:rsidRDefault="006D0761" w:rsidP="001A2648">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 xml:space="preserve"> </w:t>
      </w:r>
      <w:r w:rsidRPr="006D0761">
        <w:rPr>
          <w:rFonts w:ascii="Times New Roman" w:hAnsi="Times New Roman"/>
          <w:b/>
          <w:bCs/>
          <w:color w:val="000000"/>
          <w:sz w:val="28"/>
          <w:szCs w:val="28"/>
          <w:lang w:val="es-ES"/>
        </w:rPr>
        <w:t xml:space="preserve">Argumentos </w:t>
      </w:r>
      <w:r w:rsidRPr="006D0761">
        <w:rPr>
          <w:rFonts w:ascii="Times New Roman" w:hAnsi="Times New Roman"/>
          <w:b/>
          <w:bCs/>
          <w:color w:val="000000"/>
          <w:sz w:val="28"/>
          <w:szCs w:val="28"/>
          <w:lang w:val="es-ES"/>
        </w:rPr>
        <w:t>contra el artículo 8</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w:t>
      </w:r>
      <w:r w:rsidRPr="006D0761">
        <w:rPr>
          <w:rFonts w:ascii="Times New Roman" w:hAnsi="Times New Roman"/>
          <w:b/>
          <w:bCs/>
          <w:i/>
          <w:iCs/>
          <w:color w:val="000000"/>
          <w:sz w:val="28"/>
          <w:szCs w:val="28"/>
          <w:lang w:val="es-ES"/>
        </w:rPr>
        <w:t>Obligatoriedad y características de la investigación del feminicidio</w:t>
      </w:r>
      <w:r w:rsidRPr="006D0761">
        <w:rPr>
          <w:rFonts w:ascii="Times New Roman" w:hAnsi="Times New Roman"/>
          <w:b/>
          <w:bCs/>
          <w:i/>
          <w:iCs/>
          <w:color w:val="000000"/>
          <w:sz w:val="28"/>
          <w:szCs w:val="28"/>
          <w:lang w:val="es-ES"/>
        </w:rPr>
        <w:t>”</w:t>
      </w:r>
      <w:r w:rsidRPr="006D0761">
        <w:rPr>
          <w:rStyle w:val="Refdenotaalpie"/>
          <w:rFonts w:ascii="Times New Roman" w:hAnsi="Times New Roman"/>
          <w:b/>
          <w:bCs/>
          <w:i/>
          <w:iCs/>
          <w:color w:val="000000"/>
          <w:sz w:val="28"/>
          <w:szCs w:val="28"/>
          <w:lang w:val="es-ES"/>
        </w:rPr>
        <w:footnoteReference w:id="71"/>
      </w:r>
      <w:r w:rsidRPr="006D0761">
        <w:rPr>
          <w:rFonts w:ascii="Times New Roman" w:hAnsi="Times New Roman"/>
          <w:b/>
          <w:bCs/>
          <w:i/>
          <w:iCs/>
          <w:color w:val="000000"/>
          <w:sz w:val="28"/>
          <w:szCs w:val="28"/>
          <w:lang w:val="es-ES"/>
        </w:rPr>
        <w:t xml:space="preserve"> </w:t>
      </w:r>
      <w:r w:rsidRPr="006D0761">
        <w:rPr>
          <w:rFonts w:ascii="Times New Roman" w:hAnsi="Times New Roman"/>
          <w:color w:val="000000"/>
          <w:sz w:val="28"/>
          <w:szCs w:val="28"/>
          <w:lang w:val="es-ES"/>
        </w:rPr>
        <w:t xml:space="preserve">por vulneración al principio de igualdad en el trato y oportunidad, al privilegiar a las mujeres en el acceso a la </w:t>
      </w:r>
      <w:r w:rsidRPr="006D0761">
        <w:rPr>
          <w:rFonts w:ascii="Times New Roman" w:hAnsi="Times New Roman"/>
          <w:color w:val="000000"/>
          <w:sz w:val="28"/>
          <w:szCs w:val="28"/>
          <w:lang w:val="es-ES"/>
        </w:rPr>
        <w:t>justicia en detrimento de los recursos que se podrían asignar a los reclamos masculinos.</w:t>
      </w:r>
    </w:p>
    <w:p w:rsidR="00306461" w:rsidRPr="006D0761" w:rsidRDefault="006D0761" w:rsidP="6D224379">
      <w:pPr>
        <w:pStyle w:val="NormalWeb"/>
        <w:spacing w:before="0" w:beforeAutospacing="0" w:after="0" w:afterAutospacing="0"/>
        <w:jc w:val="both"/>
        <w:rPr>
          <w:rFonts w:ascii="Times New Roman" w:hAnsi="Times New Roman"/>
          <w:b/>
          <w:bCs/>
          <w:i/>
          <w:iCs/>
          <w:color w:val="000000"/>
          <w:sz w:val="28"/>
          <w:szCs w:val="28"/>
          <w:lang w:val="es-ES"/>
        </w:rPr>
      </w:pPr>
    </w:p>
    <w:p w:rsidR="00AA30A3"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 xml:space="preserve">l artículo establece la obligación de iniciar de oficio, de forma inmediata y exhaustiva las investigaciones para </w:t>
      </w:r>
      <w:r w:rsidRPr="006D0761">
        <w:rPr>
          <w:rFonts w:ascii="Times New Roman" w:hAnsi="Times New Roman"/>
          <w:color w:val="000000"/>
          <w:sz w:val="28"/>
          <w:szCs w:val="28"/>
          <w:lang w:val="es-ES"/>
        </w:rPr>
        <w:t>conducir</w:t>
      </w:r>
      <w:r w:rsidRPr="006D0761">
        <w:rPr>
          <w:rFonts w:ascii="Times New Roman" w:hAnsi="Times New Roman"/>
          <w:color w:val="000000"/>
          <w:sz w:val="28"/>
          <w:szCs w:val="28"/>
          <w:lang w:val="es-ES"/>
        </w:rPr>
        <w:t xml:space="preserve"> a la identidad del o </w:t>
      </w:r>
      <w:r w:rsidRPr="006D0761">
        <w:rPr>
          <w:rFonts w:ascii="Times New Roman" w:hAnsi="Times New Roman"/>
          <w:color w:val="000000"/>
          <w:sz w:val="28"/>
          <w:szCs w:val="28"/>
          <w:lang w:val="es-ES"/>
        </w:rPr>
        <w:t xml:space="preserve">de </w:t>
      </w:r>
      <w:r w:rsidRPr="006D0761">
        <w:rPr>
          <w:rFonts w:ascii="Times New Roman" w:hAnsi="Times New Roman"/>
          <w:color w:val="000000"/>
          <w:sz w:val="28"/>
          <w:szCs w:val="28"/>
          <w:lang w:val="es-ES"/>
        </w:rPr>
        <w:t xml:space="preserve">los responsables. </w:t>
      </w:r>
      <w:r w:rsidRPr="006D0761">
        <w:rPr>
          <w:rFonts w:ascii="Times New Roman" w:hAnsi="Times New Roman"/>
          <w:color w:val="000000"/>
          <w:sz w:val="28"/>
          <w:szCs w:val="28"/>
          <w:lang w:val="es-ES"/>
        </w:rPr>
        <w:t xml:space="preserve">El cargo se </w:t>
      </w:r>
      <w:r w:rsidRPr="006D0761">
        <w:rPr>
          <w:rFonts w:ascii="Times New Roman" w:hAnsi="Times New Roman"/>
          <w:color w:val="000000"/>
          <w:sz w:val="28"/>
          <w:szCs w:val="28"/>
          <w:lang w:val="es-ES"/>
        </w:rPr>
        <w:t xml:space="preserve">presenta </w:t>
      </w:r>
      <w:r w:rsidRPr="006D0761">
        <w:rPr>
          <w:rFonts w:ascii="Times New Roman" w:hAnsi="Times New Roman"/>
          <w:color w:val="000000"/>
          <w:sz w:val="28"/>
          <w:szCs w:val="28"/>
          <w:lang w:val="es-ES"/>
        </w:rPr>
        <w:t xml:space="preserve">por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 xml:space="preserve">vulneración al principio de igualdad en el trato y oportunidad y el supuesto efecto en la violación a la igualdad de armas en el proceso penal que estaría incidiendo en un desequilibrio procesal entre hombres y mujeres.  </w:t>
      </w:r>
    </w:p>
    <w:p w:rsidR="00AA30A3" w:rsidRPr="006D0761" w:rsidRDefault="006D0761" w:rsidP="6D224379">
      <w:pPr>
        <w:pStyle w:val="Prrafodelista"/>
        <w:rPr>
          <w:rFonts w:ascii="Times New Roman" w:hAnsi="Times New Roman"/>
          <w:color w:val="000000"/>
          <w:sz w:val="28"/>
          <w:szCs w:val="28"/>
          <w:lang w:val="es-ES"/>
        </w:rPr>
      </w:pPr>
    </w:p>
    <w:p w:rsidR="00774A42"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sus alegatos, </w:t>
      </w:r>
      <w:r w:rsidRPr="006D0761">
        <w:rPr>
          <w:rFonts w:ascii="Times New Roman" w:hAnsi="Times New Roman"/>
          <w:color w:val="000000"/>
          <w:sz w:val="28"/>
          <w:szCs w:val="28"/>
          <w:lang w:val="es-ES"/>
        </w:rPr>
        <w:t xml:space="preserve">el accionante </w:t>
      </w:r>
      <w:r w:rsidRPr="006D0761">
        <w:rPr>
          <w:rFonts w:ascii="Times New Roman" w:hAnsi="Times New Roman"/>
          <w:color w:val="000000"/>
          <w:sz w:val="28"/>
          <w:szCs w:val="28"/>
          <w:lang w:val="es-ES"/>
        </w:rPr>
        <w:t>sostiene que la disposición</w:t>
      </w:r>
      <w:r w:rsidRPr="006D0761">
        <w:rPr>
          <w:rFonts w:ascii="Times New Roman" w:hAnsi="Times New Roman"/>
          <w:color w:val="000000"/>
          <w:sz w:val="28"/>
          <w:szCs w:val="28"/>
          <w:lang w:val="es-ES"/>
        </w:rPr>
        <w:t xml:space="preserve"> parte de la </w:t>
      </w:r>
      <w:r w:rsidRPr="006D0761">
        <w:rPr>
          <w:rFonts w:ascii="Times New Roman" w:hAnsi="Times New Roman"/>
          <w:color w:val="000000"/>
          <w:sz w:val="28"/>
          <w:szCs w:val="28"/>
          <w:lang w:val="es-ES"/>
        </w:rPr>
        <w:t>“</w:t>
      </w:r>
      <w:r w:rsidRPr="006D0761">
        <w:rPr>
          <w:rFonts w:ascii="Times New Roman" w:hAnsi="Times New Roman"/>
          <w:i/>
          <w:iCs/>
          <w:color w:val="000000"/>
          <w:sz w:val="28"/>
          <w:szCs w:val="28"/>
          <w:lang w:val="es-ES"/>
        </w:rPr>
        <w:t>desechabilidad masculina</w:t>
      </w:r>
      <w:r w:rsidRPr="006D0761">
        <w:rPr>
          <w:rFonts w:ascii="Times New Roman" w:hAnsi="Times New Roman"/>
          <w:i/>
          <w:iCs/>
          <w:color w:val="000000"/>
          <w:sz w:val="28"/>
          <w:szCs w:val="28"/>
          <w:lang w:val="es-ES"/>
        </w:rPr>
        <w:t>”</w:t>
      </w:r>
      <w:r w:rsidRPr="006D0761">
        <w:rPr>
          <w:rFonts w:ascii="Times New Roman" w:hAnsi="Times New Roman"/>
          <w:color w:val="000000"/>
          <w:sz w:val="28"/>
          <w:szCs w:val="28"/>
          <w:lang w:val="es-ES"/>
        </w:rPr>
        <w:t>, esto es, la idea de que la vida de una mujer vale más que la de un hombre. Señala que la norma</w:t>
      </w:r>
      <w:r w:rsidRPr="006D0761">
        <w:rPr>
          <w:rFonts w:ascii="Times New Roman" w:hAnsi="Times New Roman"/>
          <w:color w:val="000000"/>
          <w:sz w:val="28"/>
          <w:szCs w:val="28"/>
          <w:lang w:val="es-ES"/>
        </w:rPr>
        <w:t xml:space="preserve"> ordena </w:t>
      </w:r>
      <w:r w:rsidRPr="006D0761">
        <w:rPr>
          <w:rFonts w:ascii="Times New Roman" w:hAnsi="Times New Roman"/>
          <w:color w:val="000000"/>
          <w:sz w:val="28"/>
          <w:szCs w:val="28"/>
          <w:lang w:val="es-ES"/>
        </w:rPr>
        <w:t xml:space="preserve">acaparar los recursos limitados de entidades como la </w:t>
      </w:r>
      <w:r w:rsidRPr="006D0761">
        <w:rPr>
          <w:rFonts w:ascii="Times New Roman" w:hAnsi="Times New Roman"/>
          <w:color w:val="000000"/>
          <w:sz w:val="28"/>
          <w:szCs w:val="28"/>
          <w:lang w:val="es-ES"/>
        </w:rPr>
        <w:t>F</w:t>
      </w:r>
      <w:r w:rsidRPr="006D0761">
        <w:rPr>
          <w:rFonts w:ascii="Times New Roman" w:hAnsi="Times New Roman"/>
          <w:color w:val="000000"/>
          <w:sz w:val="28"/>
          <w:szCs w:val="28"/>
          <w:lang w:val="es-ES"/>
        </w:rPr>
        <w:t>i</w:t>
      </w:r>
      <w:r w:rsidRPr="006D0761">
        <w:rPr>
          <w:rFonts w:ascii="Times New Roman" w:hAnsi="Times New Roman"/>
          <w:color w:val="000000"/>
          <w:sz w:val="28"/>
          <w:szCs w:val="28"/>
          <w:lang w:val="es-ES"/>
        </w:rPr>
        <w:t xml:space="preserve">scalía y el CTI para privilegiar con ello a las mujeres en detrimento de los recursos que pueden asignar a los reclamos masculinos. </w:t>
      </w:r>
      <w:r w:rsidRPr="006D0761">
        <w:rPr>
          <w:rFonts w:ascii="Times New Roman" w:hAnsi="Times New Roman"/>
          <w:color w:val="000000"/>
          <w:sz w:val="28"/>
          <w:szCs w:val="28"/>
          <w:lang w:val="es-ES"/>
        </w:rPr>
        <w:t xml:space="preserve">Para sustentar su argumento, </w:t>
      </w:r>
      <w:r w:rsidRPr="006D0761">
        <w:rPr>
          <w:rFonts w:ascii="Times New Roman" w:hAnsi="Times New Roman"/>
          <w:color w:val="000000"/>
          <w:sz w:val="28"/>
          <w:szCs w:val="28"/>
          <w:lang w:val="es-ES"/>
        </w:rPr>
        <w:t>el accionante cita la Sentencia T-338 de 2018 y transcribe el texto de uno de sus párrafos en e</w:t>
      </w:r>
      <w:r w:rsidRPr="006D0761">
        <w:rPr>
          <w:rFonts w:ascii="Times New Roman" w:hAnsi="Times New Roman"/>
          <w:color w:val="000000"/>
          <w:sz w:val="28"/>
          <w:szCs w:val="28"/>
          <w:lang w:val="es-ES"/>
        </w:rPr>
        <w:t xml:space="preserve">l que </w:t>
      </w:r>
      <w:r w:rsidRPr="006D0761">
        <w:rPr>
          <w:rFonts w:ascii="Times New Roman" w:hAnsi="Times New Roman"/>
          <w:color w:val="000000"/>
          <w:sz w:val="28"/>
          <w:szCs w:val="28"/>
          <w:lang w:val="es-ES"/>
        </w:rPr>
        <w:t xml:space="preserve">la Corte </w:t>
      </w:r>
      <w:r w:rsidRPr="006D0761">
        <w:rPr>
          <w:rFonts w:ascii="Times New Roman" w:hAnsi="Times New Roman"/>
          <w:color w:val="000000"/>
          <w:sz w:val="28"/>
          <w:szCs w:val="28"/>
          <w:lang w:val="es-ES"/>
        </w:rPr>
        <w:t xml:space="preserve">insta </w:t>
      </w:r>
      <w:r w:rsidRPr="006D0761">
        <w:rPr>
          <w:rFonts w:ascii="Times New Roman" w:hAnsi="Times New Roman"/>
          <w:color w:val="000000"/>
          <w:sz w:val="28"/>
          <w:szCs w:val="28"/>
          <w:lang w:val="es-ES"/>
        </w:rPr>
        <w:t xml:space="preserve">a </w:t>
      </w:r>
      <w:r w:rsidRPr="006D0761">
        <w:rPr>
          <w:rFonts w:ascii="Times New Roman" w:hAnsi="Times New Roman"/>
          <w:color w:val="000000"/>
          <w:sz w:val="28"/>
          <w:szCs w:val="28"/>
          <w:lang w:val="es-ES"/>
        </w:rPr>
        <w:t>que</w:t>
      </w:r>
      <w:r w:rsidRPr="006D0761">
        <w:rPr>
          <w:rFonts w:ascii="Times New Roman" w:hAnsi="Times New Roman"/>
          <w:color w:val="000000"/>
          <w:sz w:val="28"/>
          <w:szCs w:val="28"/>
          <w:lang w:val="es-ES"/>
        </w:rPr>
        <w:t xml:space="preserve"> en los procesos en que se investiga la violencia contra la mujer</w:t>
      </w:r>
      <w:r w:rsidRPr="006D0761">
        <w:rPr>
          <w:rFonts w:ascii="Times New Roman" w:hAnsi="Times New Roman"/>
          <w:color w:val="000000"/>
          <w:sz w:val="28"/>
          <w:szCs w:val="28"/>
          <w:lang w:val="es-ES"/>
        </w:rPr>
        <w:t xml:space="preserve"> “</w:t>
      </w:r>
      <w:r w:rsidRPr="006D0761">
        <w:rPr>
          <w:rFonts w:ascii="Times New Roman" w:hAnsi="Times New Roman"/>
          <w:i/>
          <w:iCs/>
          <w:color w:val="000000"/>
          <w:sz w:val="28"/>
          <w:szCs w:val="28"/>
          <w:lang w:val="es-ES"/>
        </w:rPr>
        <w:t xml:space="preserve">desde una perspectiva de </w:t>
      </w:r>
      <w:r w:rsidRPr="006D0761">
        <w:rPr>
          <w:rFonts w:ascii="Times New Roman" w:hAnsi="Times New Roman"/>
          <w:i/>
          <w:iCs/>
          <w:color w:val="000000"/>
          <w:sz w:val="28"/>
          <w:szCs w:val="28"/>
          <w:lang w:val="es-ES"/>
        </w:rPr>
        <w:t>género</w:t>
      </w:r>
      <w:r w:rsidRPr="006D0761">
        <w:rPr>
          <w:rFonts w:ascii="Times New Roman" w:hAnsi="Times New Roman"/>
          <w:i/>
          <w:iCs/>
          <w:color w:val="000000"/>
          <w:sz w:val="28"/>
          <w:szCs w:val="28"/>
          <w:lang w:val="es-ES"/>
        </w:rPr>
        <w:t xml:space="preserve">, es necesario que los operadores de </w:t>
      </w:r>
      <w:r w:rsidRPr="006D0761">
        <w:rPr>
          <w:rFonts w:ascii="Times New Roman" w:hAnsi="Times New Roman"/>
          <w:i/>
          <w:iCs/>
          <w:color w:val="000000"/>
          <w:sz w:val="28"/>
          <w:szCs w:val="28"/>
          <w:lang w:val="es-ES"/>
        </w:rPr>
        <w:t>justicia</w:t>
      </w:r>
      <w:r w:rsidRPr="006D0761">
        <w:rPr>
          <w:rFonts w:ascii="Times New Roman" w:hAnsi="Times New Roman"/>
          <w:i/>
          <w:iCs/>
          <w:color w:val="000000"/>
          <w:sz w:val="28"/>
          <w:szCs w:val="28"/>
          <w:lang w:val="es-ES"/>
        </w:rPr>
        <w:t xml:space="preserve"> empleen la </w:t>
      </w:r>
      <w:r w:rsidRPr="006D0761">
        <w:rPr>
          <w:rFonts w:ascii="Times New Roman" w:hAnsi="Times New Roman"/>
          <w:i/>
          <w:iCs/>
          <w:color w:val="000000"/>
          <w:sz w:val="28"/>
          <w:szCs w:val="28"/>
          <w:lang w:val="es-ES"/>
        </w:rPr>
        <w:t>flexibilización</w:t>
      </w:r>
      <w:r w:rsidRPr="006D0761">
        <w:rPr>
          <w:rFonts w:ascii="Times New Roman" w:hAnsi="Times New Roman"/>
          <w:i/>
          <w:iCs/>
          <w:color w:val="000000"/>
          <w:sz w:val="28"/>
          <w:szCs w:val="28"/>
          <w:lang w:val="es-ES"/>
        </w:rPr>
        <w:t xml:space="preserve"> de esas formas de prueba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según el accionante, </w:t>
      </w:r>
      <w:r w:rsidRPr="006D0761">
        <w:rPr>
          <w:rFonts w:ascii="Times New Roman" w:hAnsi="Times New Roman"/>
          <w:color w:val="000000"/>
          <w:sz w:val="28"/>
          <w:szCs w:val="28"/>
          <w:lang w:val="es-ES"/>
        </w:rPr>
        <w:t xml:space="preserve">la Corte invita a los administradores de justicia a romper la igualdad de armas y con ello posibilita que un varón inocente llegue a la cárcel. Sostiene que </w:t>
      </w:r>
      <w:r w:rsidRPr="006D0761">
        <w:rPr>
          <w:rFonts w:ascii="Times New Roman" w:hAnsi="Times New Roman"/>
          <w:color w:val="000000"/>
          <w:sz w:val="28"/>
          <w:szCs w:val="28"/>
          <w:lang w:val="es-ES"/>
        </w:rPr>
        <w:t>el derecho procesal “no debería tener sesgos por sexo”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p>
    <w:p w:rsidR="00774A42" w:rsidRPr="006D0761" w:rsidRDefault="006D0761" w:rsidP="6D224379">
      <w:pPr>
        <w:jc w:val="both"/>
        <w:rPr>
          <w:rFonts w:ascii="Times New Roman" w:hAnsi="Times New Roman"/>
          <w:color w:val="000000"/>
          <w:sz w:val="28"/>
          <w:szCs w:val="28"/>
          <w:lang w:val="es-ES"/>
        </w:rPr>
      </w:pPr>
    </w:p>
    <w:p w:rsidR="00AA30A3"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Del examen de</w:t>
      </w:r>
      <w:r w:rsidRPr="006D0761">
        <w:rPr>
          <w:rFonts w:ascii="Times New Roman" w:hAnsi="Times New Roman"/>
          <w:color w:val="000000"/>
          <w:sz w:val="28"/>
          <w:szCs w:val="28"/>
          <w:lang w:val="es-ES"/>
        </w:rPr>
        <w:t>l cargo</w:t>
      </w:r>
      <w:r w:rsidRPr="006D0761">
        <w:rPr>
          <w:rFonts w:ascii="Times New Roman" w:hAnsi="Times New Roman"/>
          <w:color w:val="000000"/>
          <w:sz w:val="28"/>
          <w:szCs w:val="28"/>
          <w:lang w:val="es-ES"/>
        </w:rPr>
        <w:t xml:space="preserve"> resulta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para la Corte </w:t>
      </w:r>
      <w:r w:rsidRPr="006D0761">
        <w:rPr>
          <w:rFonts w:ascii="Times New Roman" w:hAnsi="Times New Roman"/>
          <w:color w:val="000000"/>
          <w:sz w:val="28"/>
          <w:szCs w:val="28"/>
          <w:lang w:val="es-ES"/>
        </w:rPr>
        <w:t>que el mismo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no cumple con la aptitud requerida para dar lugar al examen de fondo. En efecto, el cargo </w:t>
      </w:r>
      <w:r w:rsidRPr="006D0761">
        <w:rPr>
          <w:rFonts w:ascii="Times New Roman" w:hAnsi="Times New Roman"/>
          <w:color w:val="000000"/>
          <w:sz w:val="28"/>
          <w:szCs w:val="28"/>
          <w:lang w:val="es-ES"/>
        </w:rPr>
        <w:t xml:space="preserve">carece de certeza, puesto que en realidad el accionante no </w:t>
      </w:r>
      <w:r w:rsidRPr="006D0761">
        <w:rPr>
          <w:rFonts w:ascii="Times New Roman" w:hAnsi="Times New Roman"/>
          <w:color w:val="000000"/>
          <w:sz w:val="28"/>
          <w:szCs w:val="28"/>
          <w:lang w:val="es-ES"/>
        </w:rPr>
        <w:t xml:space="preserve">elabora su cargo </w:t>
      </w:r>
      <w:r w:rsidRPr="006D0761">
        <w:rPr>
          <w:rFonts w:ascii="Times New Roman" w:hAnsi="Times New Roman"/>
          <w:color w:val="000000"/>
          <w:sz w:val="28"/>
          <w:szCs w:val="28"/>
          <w:lang w:val="es-ES"/>
        </w:rPr>
        <w:t>sobre el significado cierto de la norma atacada, es decir sobre</w:t>
      </w:r>
      <w:r w:rsidRPr="006D0761">
        <w:rPr>
          <w:rFonts w:ascii="Times New Roman" w:hAnsi="Times New Roman"/>
          <w:color w:val="000000"/>
          <w:sz w:val="28"/>
          <w:szCs w:val="28"/>
          <w:lang w:val="es-ES"/>
        </w:rPr>
        <w:t xml:space="preserve"> su sentido objetivo y sistemático, sino que lo elabora sobre conjeturas subjetivas y no logra sustentar las razones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del </w:t>
      </w:r>
      <w:r w:rsidRPr="006D0761">
        <w:rPr>
          <w:rFonts w:ascii="Times New Roman" w:hAnsi="Times New Roman"/>
          <w:color w:val="000000"/>
          <w:sz w:val="28"/>
          <w:szCs w:val="28"/>
          <w:lang w:val="es-ES"/>
        </w:rPr>
        <w:t>por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la</w:t>
      </w:r>
      <w:r w:rsidRPr="006D0761">
        <w:rPr>
          <w:rFonts w:ascii="Times New Roman" w:hAnsi="Times New Roman"/>
          <w:color w:val="000000"/>
          <w:sz w:val="28"/>
          <w:szCs w:val="28"/>
          <w:lang w:val="es-ES"/>
        </w:rPr>
        <w:t xml:space="preserve"> misma genera</w:t>
      </w:r>
      <w:r w:rsidRPr="006D0761">
        <w:rPr>
          <w:rFonts w:ascii="Times New Roman" w:hAnsi="Times New Roman"/>
          <w:color w:val="000000"/>
          <w:sz w:val="28"/>
          <w:szCs w:val="28"/>
          <w:lang w:val="es-ES"/>
        </w:rPr>
        <w:t xml:space="preserve">ría </w:t>
      </w:r>
      <w:r w:rsidRPr="006D0761">
        <w:rPr>
          <w:rFonts w:ascii="Times New Roman" w:hAnsi="Times New Roman"/>
          <w:color w:val="000000"/>
          <w:sz w:val="28"/>
          <w:szCs w:val="28"/>
          <w:lang w:val="es-ES"/>
        </w:rPr>
        <w:t>una brecha de género en el derecho procesal</w:t>
      </w:r>
      <w:r w:rsidRPr="006D0761">
        <w:rPr>
          <w:rFonts w:ascii="Times New Roman" w:hAnsi="Times New Roman"/>
          <w:color w:val="000000"/>
          <w:sz w:val="28"/>
          <w:szCs w:val="28"/>
          <w:lang w:val="es-ES"/>
        </w:rPr>
        <w:t xml:space="preserve"> penal</w:t>
      </w:r>
      <w:r w:rsidRPr="006D0761">
        <w:rPr>
          <w:rFonts w:ascii="Times New Roman" w:hAnsi="Times New Roman"/>
          <w:color w:val="000000"/>
          <w:sz w:val="28"/>
          <w:szCs w:val="28"/>
          <w:lang w:val="es-ES"/>
        </w:rPr>
        <w:t xml:space="preserve">. </w:t>
      </w:r>
    </w:p>
    <w:p w:rsidR="00AA30A3" w:rsidRPr="006D0761" w:rsidRDefault="006D0761" w:rsidP="6D224379">
      <w:pPr>
        <w:pStyle w:val="Prrafodelista"/>
        <w:rPr>
          <w:rFonts w:ascii="Times New Roman" w:hAnsi="Times New Roman"/>
          <w:color w:val="000000"/>
          <w:sz w:val="28"/>
          <w:szCs w:val="28"/>
          <w:lang w:val="es-ES"/>
        </w:rPr>
      </w:pPr>
    </w:p>
    <w:p w:rsidR="00180D99"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primer lugar, nada en el texto de la norma ordena o </w:t>
      </w:r>
      <w:r w:rsidRPr="006D0761">
        <w:rPr>
          <w:rFonts w:ascii="Times New Roman" w:hAnsi="Times New Roman"/>
          <w:color w:val="000000"/>
          <w:sz w:val="28"/>
          <w:szCs w:val="28"/>
          <w:lang w:val="es-ES"/>
        </w:rPr>
        <w:t>implic</w:t>
      </w:r>
      <w:r w:rsidRPr="006D0761">
        <w:rPr>
          <w:rFonts w:ascii="Times New Roman" w:hAnsi="Times New Roman"/>
          <w:color w:val="000000"/>
          <w:sz w:val="28"/>
          <w:szCs w:val="28"/>
          <w:lang w:val="es-ES"/>
        </w:rPr>
        <w:t>a</w:t>
      </w:r>
      <w:r w:rsidRPr="006D0761">
        <w:rPr>
          <w:rFonts w:ascii="Times New Roman" w:hAnsi="Times New Roman"/>
          <w:color w:val="000000"/>
          <w:sz w:val="28"/>
          <w:szCs w:val="28"/>
          <w:lang w:val="es-ES"/>
        </w:rPr>
        <w:t xml:space="preserve"> que la Fiscalía o el CTI deban dejar de atender con sus recursos las denuncias presentadas por hombres. </w:t>
      </w:r>
      <w:r w:rsidRPr="006D0761">
        <w:rPr>
          <w:rFonts w:ascii="Times New Roman" w:hAnsi="Times New Roman"/>
          <w:color w:val="000000"/>
          <w:sz w:val="28"/>
          <w:szCs w:val="28"/>
          <w:lang w:val="es-ES"/>
        </w:rPr>
        <w:t xml:space="preserve">En segundo lugar, no </w:t>
      </w:r>
      <w:r w:rsidRPr="006D0761">
        <w:rPr>
          <w:rFonts w:ascii="Times New Roman" w:hAnsi="Times New Roman"/>
          <w:color w:val="000000"/>
          <w:sz w:val="28"/>
          <w:szCs w:val="28"/>
          <w:lang w:val="es-ES"/>
        </w:rPr>
        <w:t xml:space="preserve">se deriva del tenor literal del texto ni </w:t>
      </w:r>
      <w:r w:rsidRPr="006D0761">
        <w:rPr>
          <w:rFonts w:ascii="Times New Roman" w:hAnsi="Times New Roman"/>
          <w:color w:val="000000"/>
          <w:sz w:val="28"/>
          <w:szCs w:val="28"/>
          <w:lang w:val="es-ES"/>
        </w:rPr>
        <w:t>de s</w:t>
      </w:r>
      <w:r w:rsidRPr="006D0761">
        <w:rPr>
          <w:rFonts w:ascii="Times New Roman" w:hAnsi="Times New Roman"/>
          <w:color w:val="000000"/>
          <w:sz w:val="28"/>
          <w:szCs w:val="28"/>
          <w:lang w:val="es-ES"/>
        </w:rPr>
        <w:t>u significado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en el contexto normativo en que se inscribe</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que la disposición establezca un menor valor a la vida de los hombres frente al de las mujeres, u ordene un desequilibrio procesal a favor de e</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tas últimas. </w:t>
      </w:r>
      <w:r w:rsidRPr="006D0761">
        <w:rPr>
          <w:rFonts w:ascii="Times New Roman" w:hAnsi="Times New Roman"/>
          <w:color w:val="000000"/>
          <w:sz w:val="28"/>
          <w:szCs w:val="28"/>
          <w:lang w:val="es-ES"/>
        </w:rPr>
        <w:t xml:space="preserve">El deber de debida diligencia en las investigaciones y la implementación de una perspectiva de </w:t>
      </w:r>
      <w:r w:rsidRPr="006D0761">
        <w:rPr>
          <w:rFonts w:ascii="Times New Roman" w:hAnsi="Times New Roman"/>
          <w:color w:val="000000"/>
          <w:sz w:val="28"/>
          <w:szCs w:val="28"/>
          <w:lang w:val="es-ES"/>
        </w:rPr>
        <w:t>gén</w:t>
      </w:r>
      <w:r w:rsidRPr="006D0761">
        <w:rPr>
          <w:rFonts w:ascii="Times New Roman" w:hAnsi="Times New Roman"/>
          <w:color w:val="000000"/>
          <w:sz w:val="28"/>
          <w:szCs w:val="28"/>
          <w:lang w:val="es-ES"/>
        </w:rPr>
        <w:t>ero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implica únicamente </w:t>
      </w:r>
      <w:r w:rsidRPr="006D0761">
        <w:rPr>
          <w:rFonts w:ascii="Times New Roman" w:hAnsi="Times New Roman"/>
          <w:color w:val="000000"/>
          <w:sz w:val="28"/>
          <w:szCs w:val="28"/>
          <w:lang w:val="es-ES"/>
        </w:rPr>
        <w:t xml:space="preserve">el respeto al debido proceso tomando en consideración las características específicas de la violencia contra la mujer, a fin de lograr mayor eficacia en la búsqueda de la verdad judicial y en la determinación de los responsables. </w:t>
      </w:r>
    </w:p>
    <w:p w:rsidR="00180D99" w:rsidRPr="006D0761" w:rsidRDefault="006D0761" w:rsidP="6D224379">
      <w:pPr>
        <w:pStyle w:val="Prrafodelista"/>
        <w:ind w:left="0"/>
        <w:jc w:val="both"/>
        <w:rPr>
          <w:rFonts w:ascii="Times New Roman" w:hAnsi="Times New Roman"/>
          <w:color w:val="000000"/>
          <w:sz w:val="28"/>
          <w:szCs w:val="28"/>
          <w:lang w:val="es-ES"/>
        </w:rPr>
      </w:pPr>
    </w:p>
    <w:p w:rsidR="00A267B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L</w:t>
      </w:r>
      <w:r w:rsidRPr="006D0761">
        <w:rPr>
          <w:rFonts w:ascii="Times New Roman" w:hAnsi="Times New Roman"/>
          <w:color w:val="000000"/>
          <w:sz w:val="28"/>
          <w:szCs w:val="28"/>
          <w:lang w:val="es-ES"/>
        </w:rPr>
        <w:t xml:space="preserve">os argumentos también carecen de pertinencia. </w:t>
      </w:r>
      <w:r w:rsidRPr="006D0761">
        <w:rPr>
          <w:rFonts w:ascii="Times New Roman" w:hAnsi="Times New Roman"/>
          <w:color w:val="000000"/>
          <w:sz w:val="28"/>
          <w:szCs w:val="28"/>
          <w:lang w:val="es-ES"/>
        </w:rPr>
        <w:t>Las</w:t>
      </w:r>
      <w:r w:rsidRPr="006D0761">
        <w:rPr>
          <w:rFonts w:ascii="Times New Roman" w:hAnsi="Times New Roman"/>
          <w:color w:val="000000"/>
          <w:sz w:val="28"/>
          <w:szCs w:val="28"/>
          <w:lang w:val="es-ES"/>
        </w:rPr>
        <w:t xml:space="preserve"> reflexiones </w:t>
      </w:r>
      <w:r w:rsidRPr="006D0761">
        <w:rPr>
          <w:rFonts w:ascii="Times New Roman" w:hAnsi="Times New Roman"/>
          <w:color w:val="000000"/>
          <w:sz w:val="28"/>
          <w:szCs w:val="28"/>
          <w:lang w:val="es-ES"/>
        </w:rPr>
        <w:t xml:space="preserve">del accionante </w:t>
      </w:r>
      <w:r w:rsidRPr="006D0761">
        <w:rPr>
          <w:rFonts w:ascii="Times New Roman" w:hAnsi="Times New Roman"/>
          <w:color w:val="000000"/>
          <w:sz w:val="28"/>
          <w:szCs w:val="28"/>
          <w:lang w:val="es-ES"/>
        </w:rPr>
        <w:t xml:space="preserve">en la sustentación del </w:t>
      </w:r>
      <w:r w:rsidRPr="006D0761">
        <w:rPr>
          <w:rFonts w:ascii="Times New Roman" w:hAnsi="Times New Roman"/>
          <w:color w:val="000000"/>
          <w:sz w:val="28"/>
          <w:szCs w:val="28"/>
          <w:lang w:val="es-ES"/>
        </w:rPr>
        <w:t>cargo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se </w:t>
      </w:r>
      <w:r w:rsidRPr="006D0761">
        <w:rPr>
          <w:rFonts w:ascii="Times New Roman" w:hAnsi="Times New Roman"/>
          <w:color w:val="000000"/>
          <w:sz w:val="28"/>
          <w:szCs w:val="28"/>
          <w:lang w:val="es-ES"/>
        </w:rPr>
        <w:t xml:space="preserve">limitan </w:t>
      </w:r>
      <w:r w:rsidRPr="006D0761">
        <w:rPr>
          <w:rFonts w:ascii="Times New Roman" w:hAnsi="Times New Roman"/>
          <w:color w:val="000000"/>
          <w:sz w:val="28"/>
          <w:szCs w:val="28"/>
          <w:lang w:val="es-ES"/>
        </w:rPr>
        <w:t xml:space="preserve">a criticar un párrafo aislado de una decisión de esta Corporación, sin que se explique la conexidad que existe </w:t>
      </w:r>
      <w:r w:rsidRPr="006D0761">
        <w:rPr>
          <w:rFonts w:ascii="Times New Roman" w:hAnsi="Times New Roman"/>
          <w:color w:val="000000"/>
          <w:sz w:val="28"/>
          <w:szCs w:val="28"/>
          <w:lang w:val="es-ES"/>
        </w:rPr>
        <w:t xml:space="preserve">entre el texto de la </w:t>
      </w:r>
      <w:r w:rsidRPr="006D0761">
        <w:rPr>
          <w:rFonts w:ascii="Times New Roman" w:hAnsi="Times New Roman"/>
          <w:color w:val="000000"/>
          <w:sz w:val="28"/>
          <w:szCs w:val="28"/>
          <w:lang w:val="es-ES"/>
        </w:rPr>
        <w:t>sentenc</w:t>
      </w:r>
      <w:r w:rsidRPr="006D0761">
        <w:rPr>
          <w:rFonts w:ascii="Times New Roman" w:hAnsi="Times New Roman"/>
          <w:color w:val="000000"/>
          <w:sz w:val="28"/>
          <w:szCs w:val="28"/>
          <w:lang w:val="es-ES"/>
        </w:rPr>
        <w:t>ia referida frente a</w:t>
      </w:r>
      <w:r w:rsidRPr="006D0761">
        <w:rPr>
          <w:rFonts w:ascii="Times New Roman" w:hAnsi="Times New Roman"/>
          <w:color w:val="000000"/>
          <w:sz w:val="28"/>
          <w:szCs w:val="28"/>
          <w:lang w:val="es-ES"/>
        </w:rPr>
        <w:t xml:space="preserve">l artículo impugnado. </w:t>
      </w:r>
      <w:r w:rsidRPr="006D0761">
        <w:rPr>
          <w:rFonts w:ascii="Times New Roman" w:hAnsi="Times New Roman"/>
          <w:color w:val="000000"/>
          <w:sz w:val="28"/>
          <w:szCs w:val="28"/>
          <w:lang w:val="es-ES"/>
        </w:rPr>
        <w:t xml:space="preserve">Adicionalmente, las objeciones </w:t>
      </w:r>
      <w:r w:rsidRPr="006D0761">
        <w:rPr>
          <w:rFonts w:ascii="Times New Roman" w:hAnsi="Times New Roman"/>
          <w:color w:val="000000"/>
          <w:sz w:val="28"/>
          <w:szCs w:val="28"/>
          <w:lang w:val="es-ES"/>
        </w:rPr>
        <w:t xml:space="preserve">no se sustentan en alegatos de naturaleza constitucional, sino en suposiciones </w:t>
      </w:r>
      <w:r w:rsidRPr="006D0761">
        <w:rPr>
          <w:rFonts w:ascii="Times New Roman" w:hAnsi="Times New Roman"/>
          <w:color w:val="000000"/>
          <w:sz w:val="28"/>
          <w:szCs w:val="28"/>
          <w:lang w:val="es-ES"/>
        </w:rPr>
        <w:t xml:space="preserve">sobre el efecto de la norma (como la idea de </w:t>
      </w:r>
      <w:r w:rsidRPr="006D0761">
        <w:rPr>
          <w:rFonts w:ascii="Times New Roman" w:hAnsi="Times New Roman"/>
          <w:i/>
          <w:iCs/>
          <w:color w:val="000000"/>
          <w:sz w:val="28"/>
          <w:szCs w:val="28"/>
          <w:lang w:val="es-ES"/>
        </w:rPr>
        <w:t>desechabilidad</w:t>
      </w:r>
      <w:r w:rsidRPr="006D0761">
        <w:rPr>
          <w:rFonts w:ascii="Times New Roman" w:hAnsi="Times New Roman"/>
          <w:color w:val="000000"/>
          <w:sz w:val="28"/>
          <w:szCs w:val="28"/>
          <w:lang w:val="es-ES"/>
        </w:rPr>
        <w:t xml:space="preserve"> de la vida masculina) </w:t>
      </w:r>
      <w:r w:rsidRPr="006D0761">
        <w:rPr>
          <w:rFonts w:ascii="Times New Roman" w:hAnsi="Times New Roman"/>
          <w:color w:val="000000"/>
          <w:sz w:val="28"/>
          <w:szCs w:val="28"/>
          <w:lang w:val="es-ES"/>
        </w:rPr>
        <w:t xml:space="preserve">que no permiten </w:t>
      </w:r>
      <w:r w:rsidRPr="006D0761">
        <w:rPr>
          <w:rFonts w:ascii="Times New Roman" w:hAnsi="Times New Roman"/>
          <w:color w:val="000000"/>
          <w:sz w:val="28"/>
          <w:szCs w:val="28"/>
          <w:lang w:val="es-ES"/>
        </w:rPr>
        <w:t>evidenciar una contradicción objetiva entre la norma y la Carta Política.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Como consecuencia de lo anterior,</w:t>
      </w:r>
      <w:r w:rsidRPr="006D0761">
        <w:rPr>
          <w:rFonts w:ascii="Times New Roman" w:hAnsi="Times New Roman"/>
          <w:color w:val="000000"/>
          <w:sz w:val="28"/>
          <w:szCs w:val="28"/>
          <w:lang w:val="es-ES"/>
        </w:rPr>
        <w:t xml:space="preserve"> el cargo carece de suficiencia, </w:t>
      </w:r>
      <w:r w:rsidRPr="006D0761">
        <w:rPr>
          <w:rFonts w:ascii="Times New Roman" w:hAnsi="Times New Roman"/>
          <w:color w:val="000000"/>
          <w:sz w:val="28"/>
          <w:szCs w:val="28"/>
          <w:lang w:val="es-ES"/>
        </w:rPr>
        <w:t xml:space="preserve">pues no logra generar una mínima duda que debilite la presunción de constitucionalidad de la norma, </w:t>
      </w:r>
      <w:r w:rsidRPr="006D0761">
        <w:rPr>
          <w:rFonts w:ascii="Times New Roman" w:hAnsi="Times New Roman"/>
          <w:color w:val="000000"/>
          <w:sz w:val="28"/>
          <w:szCs w:val="28"/>
          <w:lang w:val="es-ES"/>
        </w:rPr>
        <w:t>por lo que el ca</w:t>
      </w:r>
      <w:r w:rsidRPr="006D0761">
        <w:rPr>
          <w:rFonts w:ascii="Times New Roman" w:hAnsi="Times New Roman"/>
          <w:color w:val="000000"/>
          <w:sz w:val="28"/>
          <w:szCs w:val="28"/>
          <w:lang w:val="es-ES"/>
        </w:rPr>
        <w:t>rgo no resulta apto para su examen.</w:t>
      </w:r>
    </w:p>
    <w:p w:rsidR="00A267BC" w:rsidRPr="006D0761" w:rsidRDefault="006D0761" w:rsidP="6D224379">
      <w:pPr>
        <w:pStyle w:val="Prrafodelista"/>
        <w:rPr>
          <w:rFonts w:ascii="Times New Roman" w:hAnsi="Times New Roman"/>
          <w:color w:val="000000"/>
          <w:sz w:val="28"/>
          <w:szCs w:val="28"/>
          <w:lang w:val="es-ES"/>
        </w:rPr>
      </w:pPr>
    </w:p>
    <w:p w:rsidR="00A267B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 accionante omitió sustentar sus cargos tomando en consideración amplio desarrollo que la Corte Constitucional ha realizado en materia de debida diligencia frente a la violencia de género</w:t>
      </w:r>
      <w:r w:rsidRPr="006D0761">
        <w:rPr>
          <w:rFonts w:ascii="Times New Roman" w:hAnsi="Times New Roman"/>
          <w:color w:val="000000"/>
          <w:sz w:val="28"/>
          <w:szCs w:val="28"/>
          <w:lang w:val="es-ES"/>
        </w:rPr>
        <w:t>, entre otras, en</w:t>
      </w:r>
      <w:r w:rsidRPr="006D0761">
        <w:rPr>
          <w:rFonts w:ascii="Times New Roman" w:hAnsi="Times New Roman"/>
          <w:color w:val="000000"/>
          <w:sz w:val="28"/>
          <w:szCs w:val="28"/>
          <w:lang w:val="es-ES"/>
        </w:rPr>
        <w:t xml:space="preserve"> la Sentencia</w:t>
      </w:r>
      <w:r w:rsidRPr="006D0761">
        <w:rPr>
          <w:rFonts w:ascii="Times New Roman" w:hAnsi="Times New Roman"/>
          <w:color w:val="000000"/>
          <w:sz w:val="28"/>
          <w:szCs w:val="28"/>
          <w:lang w:val="es-ES"/>
        </w:rPr>
        <w:t xml:space="preserve"> C-297 de 2016 y presentar un sustento suficiente para debatir esas conclusiones. </w:t>
      </w:r>
    </w:p>
    <w:p w:rsidR="00A267BC" w:rsidRPr="006D0761" w:rsidRDefault="006D0761" w:rsidP="6D224379">
      <w:pPr>
        <w:jc w:val="both"/>
        <w:rPr>
          <w:rFonts w:ascii="Times New Roman" w:hAnsi="Times New Roman"/>
          <w:color w:val="000000"/>
          <w:sz w:val="28"/>
          <w:szCs w:val="28"/>
          <w:lang w:val="es-ES"/>
        </w:rPr>
      </w:pPr>
    </w:p>
    <w:p w:rsidR="00A267BC"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 accionante omitió hacer alusión</w:t>
      </w:r>
      <w:r w:rsidRPr="006D0761">
        <w:rPr>
          <w:rFonts w:ascii="Times New Roman" w:hAnsi="Times New Roman"/>
          <w:color w:val="000000"/>
          <w:sz w:val="28"/>
          <w:szCs w:val="28"/>
          <w:lang w:val="es-ES"/>
        </w:rPr>
        <w:t xml:space="preserve"> al argumento</w:t>
      </w:r>
      <w:r w:rsidRPr="006D0761">
        <w:rPr>
          <w:rFonts w:ascii="Times New Roman" w:hAnsi="Times New Roman"/>
          <w:color w:val="000000"/>
          <w:sz w:val="28"/>
          <w:szCs w:val="28"/>
          <w:lang w:val="es-ES"/>
        </w:rPr>
        <w:t xml:space="preserve"> que ha sido reiterado en múltiples ocasiones en una línea constante y pacífica sobre</w:t>
      </w:r>
      <w:r w:rsidRPr="006D0761">
        <w:rPr>
          <w:rFonts w:ascii="Times New Roman" w:hAnsi="Times New Roman"/>
          <w:color w:val="000000"/>
          <w:sz w:val="28"/>
          <w:szCs w:val="28"/>
          <w:lang w:val="es-ES"/>
        </w:rPr>
        <w:t xml:space="preserve"> la importancia constitucional</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d</w:t>
      </w:r>
      <w:r w:rsidRPr="006D0761">
        <w:rPr>
          <w:rFonts w:ascii="Times New Roman" w:hAnsi="Times New Roman"/>
          <w:color w:val="000000"/>
          <w:sz w:val="28"/>
          <w:szCs w:val="28"/>
          <w:lang w:val="es-ES"/>
        </w:rPr>
        <w:t>el deber</w:t>
      </w:r>
      <w:r w:rsidRPr="006D0761">
        <w:rPr>
          <w:rFonts w:ascii="Times New Roman" w:hAnsi="Times New Roman"/>
          <w:color w:val="000000"/>
          <w:sz w:val="28"/>
          <w:szCs w:val="28"/>
          <w:lang w:val="es-ES"/>
        </w:rPr>
        <w:t xml:space="preserve"> de debida diligencia de las autoridades en la prevención, investigación, judicialización y sanción de la violencia de género</w:t>
      </w:r>
      <w:r w:rsidRPr="006D0761">
        <w:rPr>
          <w:rFonts w:ascii="Times New Roman" w:hAnsi="Times New Roman"/>
          <w:color w:val="000000"/>
          <w:sz w:val="28"/>
          <w:szCs w:val="28"/>
          <w:lang w:val="es-ES"/>
        </w:rPr>
        <w:t>.</w:t>
      </w:r>
    </w:p>
    <w:p w:rsidR="00ED7738" w:rsidRPr="006D0761" w:rsidRDefault="006D0761" w:rsidP="6D224379">
      <w:pPr>
        <w:pStyle w:val="Prrafodelista"/>
        <w:ind w:left="0"/>
        <w:jc w:val="both"/>
        <w:rPr>
          <w:rFonts w:ascii="Times New Roman" w:hAnsi="Times New Roman"/>
          <w:color w:val="000000"/>
          <w:sz w:val="28"/>
          <w:szCs w:val="28"/>
          <w:lang w:val="es-ES"/>
        </w:rPr>
      </w:pPr>
    </w:p>
    <w:p w:rsidR="00EE19E7"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En conclusión, el cargo contra el artículo 8 incumple con los requisitos para ser estudiado de fondo por esta Corporación</w:t>
      </w:r>
      <w:r w:rsidRPr="006D0761">
        <w:rPr>
          <w:rFonts w:ascii="Times New Roman" w:hAnsi="Times New Roman"/>
          <w:color w:val="000000"/>
          <w:sz w:val="28"/>
          <w:szCs w:val="28"/>
          <w:lang w:val="es-ES"/>
        </w:rPr>
        <w:t>.</w:t>
      </w:r>
    </w:p>
    <w:p w:rsidR="00EE19E7" w:rsidRPr="006D0761" w:rsidRDefault="006D0761" w:rsidP="6D224379">
      <w:pPr>
        <w:pStyle w:val="Prrafodelista"/>
        <w:rPr>
          <w:rFonts w:ascii="Times New Roman" w:hAnsi="Times New Roman"/>
          <w:b/>
          <w:bCs/>
          <w:color w:val="000000"/>
          <w:sz w:val="28"/>
          <w:szCs w:val="28"/>
          <w:lang w:val="es-ES"/>
        </w:rPr>
      </w:pPr>
    </w:p>
    <w:p w:rsidR="00306461"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 xml:space="preserve">Argumentos </w:t>
      </w:r>
      <w:r w:rsidRPr="006D0761">
        <w:rPr>
          <w:rFonts w:ascii="Times New Roman" w:hAnsi="Times New Roman"/>
          <w:b/>
          <w:bCs/>
          <w:color w:val="000000"/>
          <w:sz w:val="28"/>
          <w:szCs w:val="28"/>
          <w:lang w:val="es-ES"/>
        </w:rPr>
        <w:t>contra el artículo 9.</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w:t>
      </w:r>
      <w:r w:rsidRPr="006D0761">
        <w:rPr>
          <w:rFonts w:ascii="Times New Roman" w:hAnsi="Times New Roman"/>
          <w:b/>
          <w:bCs/>
          <w:i/>
          <w:iCs/>
          <w:color w:val="000000"/>
          <w:sz w:val="28"/>
          <w:szCs w:val="28"/>
          <w:lang w:val="es-ES"/>
        </w:rPr>
        <w:t>Asistencia Técnico Legal</w:t>
      </w:r>
      <w:r w:rsidRPr="006D0761">
        <w:rPr>
          <w:rFonts w:ascii="Times New Roman" w:hAnsi="Times New Roman"/>
          <w:b/>
          <w:bCs/>
          <w:i/>
          <w:iCs/>
          <w:color w:val="000000"/>
          <w:sz w:val="28"/>
          <w:szCs w:val="28"/>
          <w:lang w:val="es-ES"/>
        </w:rPr>
        <w:t>”</w:t>
      </w:r>
      <w:r w:rsidRPr="006D0761">
        <w:rPr>
          <w:rStyle w:val="Refdenotaalpie"/>
          <w:rFonts w:ascii="Times New Roman" w:hAnsi="Times New Roman"/>
          <w:color w:val="000000"/>
          <w:sz w:val="28"/>
          <w:szCs w:val="28"/>
          <w:lang w:val="es-ES"/>
        </w:rPr>
        <w:footnoteReference w:id="72"/>
      </w:r>
      <w:r w:rsidRPr="006D0761">
        <w:rPr>
          <w:rFonts w:ascii="Times New Roman" w:hAnsi="Times New Roman"/>
          <w:b/>
          <w:bCs/>
          <w:i/>
          <w:iCs/>
          <w:color w:val="000000"/>
          <w:sz w:val="28"/>
          <w:szCs w:val="28"/>
          <w:lang w:val="es-ES"/>
        </w:rPr>
        <w:t xml:space="preserve"> </w:t>
      </w:r>
      <w:r w:rsidRPr="006D0761">
        <w:rPr>
          <w:rFonts w:ascii="Times New Roman" w:hAnsi="Times New Roman"/>
          <w:color w:val="000000"/>
          <w:sz w:val="28"/>
          <w:szCs w:val="28"/>
          <w:lang w:val="es-ES"/>
        </w:rPr>
        <w:t>por ofender el concepto de “</w:t>
      </w:r>
      <w:r w:rsidRPr="006D0761">
        <w:rPr>
          <w:rFonts w:ascii="Times New Roman" w:hAnsi="Times New Roman"/>
          <w:i/>
          <w:iCs/>
          <w:color w:val="000000"/>
          <w:sz w:val="28"/>
          <w:szCs w:val="28"/>
          <w:lang w:val="es-ES"/>
        </w:rPr>
        <w:t>igualdad de armas</w:t>
      </w:r>
      <w:r w:rsidRPr="006D0761">
        <w:rPr>
          <w:rFonts w:ascii="Times New Roman" w:hAnsi="Times New Roman"/>
          <w:color w:val="000000"/>
          <w:sz w:val="28"/>
          <w:szCs w:val="28"/>
          <w:lang w:val="es-ES"/>
        </w:rPr>
        <w:t>” por cuanto “presupone que la parte interviniente que merece asistencia técnica legal es siempre la mujer y solo la mujer”.</w:t>
      </w:r>
    </w:p>
    <w:p w:rsidR="00306461" w:rsidRPr="006D0761" w:rsidRDefault="006D0761" w:rsidP="6D224379">
      <w:pPr>
        <w:pStyle w:val="Prrafodelista"/>
        <w:rPr>
          <w:rFonts w:ascii="Times New Roman" w:hAnsi="Times New Roman"/>
          <w:color w:val="000000"/>
          <w:sz w:val="28"/>
          <w:szCs w:val="28"/>
          <w:lang w:val="es-ES"/>
        </w:rPr>
      </w:pPr>
    </w:p>
    <w:p w:rsidR="00886443"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El </w:t>
      </w:r>
      <w:r w:rsidRPr="006D0761">
        <w:rPr>
          <w:rFonts w:ascii="Times New Roman" w:hAnsi="Times New Roman"/>
          <w:color w:val="000000"/>
          <w:sz w:val="28"/>
          <w:szCs w:val="28"/>
          <w:lang w:val="es-ES"/>
        </w:rPr>
        <w:t xml:space="preserve">artículo 9º </w:t>
      </w:r>
      <w:r w:rsidRPr="006D0761">
        <w:rPr>
          <w:rFonts w:ascii="Times New Roman" w:hAnsi="Times New Roman"/>
          <w:color w:val="000000"/>
          <w:sz w:val="28"/>
          <w:szCs w:val="28"/>
          <w:lang w:val="es-ES"/>
        </w:rPr>
        <w:t xml:space="preserve">establece la obligación, </w:t>
      </w:r>
      <w:r w:rsidRPr="006D0761">
        <w:rPr>
          <w:rFonts w:ascii="Times New Roman" w:hAnsi="Times New Roman"/>
          <w:color w:val="000000"/>
          <w:sz w:val="28"/>
          <w:szCs w:val="28"/>
          <w:lang w:val="es-ES"/>
        </w:rPr>
        <w:t xml:space="preserve">principalmente </w:t>
      </w:r>
      <w:r w:rsidRPr="006D0761">
        <w:rPr>
          <w:rFonts w:ascii="Times New Roman" w:hAnsi="Times New Roman"/>
          <w:color w:val="000000"/>
          <w:sz w:val="28"/>
          <w:szCs w:val="28"/>
          <w:lang w:val="es-ES"/>
        </w:rPr>
        <w:t xml:space="preserve">a cargo de la </w:t>
      </w:r>
      <w:r w:rsidRPr="006D0761">
        <w:rPr>
          <w:rFonts w:ascii="Times New Roman" w:hAnsi="Times New Roman"/>
          <w:color w:val="000000"/>
          <w:sz w:val="28"/>
          <w:szCs w:val="28"/>
          <w:lang w:val="es-ES"/>
        </w:rPr>
        <w:t>Defensoría</w:t>
      </w:r>
      <w:r w:rsidRPr="006D0761">
        <w:rPr>
          <w:rFonts w:ascii="Times New Roman" w:hAnsi="Times New Roman"/>
          <w:color w:val="000000"/>
          <w:sz w:val="28"/>
          <w:szCs w:val="28"/>
          <w:lang w:val="es-ES"/>
        </w:rPr>
        <w:t xml:space="preserve"> del Pueblo, de prestar asistencia técnico </w:t>
      </w:r>
      <w:r w:rsidRPr="006D0761">
        <w:rPr>
          <w:rFonts w:ascii="Times New Roman" w:hAnsi="Times New Roman"/>
          <w:color w:val="000000"/>
          <w:sz w:val="28"/>
          <w:szCs w:val="28"/>
          <w:lang w:val="es-ES"/>
        </w:rPr>
        <w:t>legal a</w:t>
      </w:r>
      <w:r w:rsidRPr="006D0761">
        <w:rPr>
          <w:rFonts w:ascii="Times New Roman" w:hAnsi="Times New Roman"/>
          <w:color w:val="000000"/>
          <w:sz w:val="28"/>
          <w:szCs w:val="28"/>
          <w:lang w:val="es-ES"/>
        </w:rPr>
        <w:t xml:space="preserve"> las mujeres víctimas de violencia de género y en especial de violencia feminicida,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“a fin de garantizar su acceso a la administración de just</w:t>
      </w:r>
      <w:r w:rsidRPr="006D0761">
        <w:rPr>
          <w:rFonts w:ascii="Times New Roman" w:hAnsi="Times New Roman"/>
          <w:color w:val="000000"/>
          <w:sz w:val="28"/>
          <w:szCs w:val="28"/>
          <w:lang w:val="es-ES"/>
        </w:rPr>
        <w:t xml:space="preserve">icia, y el otorgamiento de las medidas de protección y atención consagradas en </w:t>
      </w:r>
      <w:r w:rsidRPr="006D0761">
        <w:rPr>
          <w:rFonts w:ascii="Times New Roman" w:hAnsi="Times New Roman"/>
          <w:color w:val="000000"/>
          <w:sz w:val="28"/>
          <w:szCs w:val="28"/>
          <w:lang w:val="es-ES"/>
        </w:rPr>
        <w:t>la</w:t>
      </w:r>
      <w:r w:rsidRPr="006D0761">
        <w:rPr>
          <w:rFonts w:ascii="Times New Roman" w:hAnsi="Times New Roman"/>
          <w:color w:val="000000"/>
          <w:sz w:val="28"/>
          <w:szCs w:val="28"/>
          <w:lang w:val="es-ES"/>
        </w:rPr>
        <w:t xml:space="preserve"> Ley 1257 de 2008</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E</w:t>
      </w:r>
      <w:r w:rsidRPr="006D0761">
        <w:rPr>
          <w:rFonts w:ascii="Times New Roman" w:hAnsi="Times New Roman"/>
          <w:color w:val="000000"/>
          <w:sz w:val="28"/>
          <w:szCs w:val="28"/>
          <w:lang w:val="es-ES"/>
        </w:rPr>
        <w:t xml:space="preserve">l accionante </w:t>
      </w:r>
      <w:r w:rsidRPr="006D0761">
        <w:rPr>
          <w:rFonts w:ascii="Times New Roman" w:hAnsi="Times New Roman"/>
          <w:color w:val="000000"/>
          <w:sz w:val="28"/>
          <w:szCs w:val="28"/>
          <w:lang w:val="es-ES"/>
        </w:rPr>
        <w:t xml:space="preserve">cuestiona </w:t>
      </w:r>
      <w:r w:rsidRPr="006D0761">
        <w:rPr>
          <w:rFonts w:ascii="Times New Roman" w:hAnsi="Times New Roman"/>
          <w:color w:val="000000"/>
          <w:sz w:val="28"/>
          <w:szCs w:val="28"/>
          <w:lang w:val="es-ES"/>
        </w:rPr>
        <w:t>la constitucionalidad del artículo frente al artículo 13 superior, y en particular su segundo inciso, porque a su entender, la disp</w:t>
      </w:r>
      <w:r w:rsidRPr="006D0761">
        <w:rPr>
          <w:rFonts w:ascii="Times New Roman" w:hAnsi="Times New Roman"/>
          <w:color w:val="000000"/>
          <w:sz w:val="28"/>
          <w:szCs w:val="28"/>
          <w:lang w:val="es-ES"/>
        </w:rPr>
        <w:t xml:space="preserve">osición acusada implica que </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ó</w:t>
      </w:r>
      <w:r w:rsidRPr="006D0761">
        <w:rPr>
          <w:rFonts w:ascii="Times New Roman" w:hAnsi="Times New Roman"/>
          <w:color w:val="000000"/>
          <w:sz w:val="28"/>
          <w:szCs w:val="28"/>
          <w:lang w:val="es-ES"/>
        </w:rPr>
        <w:t>lo las mujeres reciban asistencia técnica legal cuando esta se le debe dar a toda persona en circunstancia</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 de debilidad manifiesta</w:t>
      </w:r>
      <w:r w:rsidRPr="006D0761">
        <w:rPr>
          <w:rFonts w:ascii="Times New Roman" w:hAnsi="Times New Roman"/>
          <w:color w:val="000000"/>
          <w:sz w:val="28"/>
          <w:szCs w:val="28"/>
          <w:lang w:val="es-ES"/>
        </w:rPr>
        <w:t>. Además,</w:t>
      </w:r>
      <w:r w:rsidRPr="006D0761">
        <w:rPr>
          <w:rFonts w:ascii="Times New Roman" w:hAnsi="Times New Roman"/>
          <w:color w:val="000000"/>
          <w:sz w:val="28"/>
          <w:szCs w:val="28"/>
          <w:lang w:val="es-ES"/>
        </w:rPr>
        <w:t xml:space="preserve"> s</w:t>
      </w:r>
      <w:r w:rsidRPr="006D0761">
        <w:rPr>
          <w:rFonts w:ascii="Times New Roman" w:hAnsi="Times New Roman"/>
          <w:color w:val="000000"/>
          <w:sz w:val="28"/>
          <w:szCs w:val="28"/>
          <w:lang w:val="es-ES"/>
        </w:rPr>
        <w:t xml:space="preserve">eñala que </w:t>
      </w:r>
      <w:r w:rsidRPr="006D0761">
        <w:rPr>
          <w:rFonts w:ascii="Times New Roman" w:hAnsi="Times New Roman"/>
          <w:color w:val="000000"/>
          <w:sz w:val="28"/>
          <w:szCs w:val="28"/>
          <w:lang w:val="es-ES"/>
        </w:rPr>
        <w:t>el</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artículo</w:t>
      </w:r>
      <w:r w:rsidRPr="006D0761">
        <w:rPr>
          <w:rFonts w:ascii="Times New Roman" w:hAnsi="Times New Roman"/>
          <w:color w:val="000000"/>
          <w:sz w:val="28"/>
          <w:szCs w:val="28"/>
          <w:lang w:val="es-ES"/>
        </w:rPr>
        <w:t xml:space="preserve"> ofende el concepto de “</w:t>
      </w:r>
      <w:r w:rsidRPr="006D0761">
        <w:rPr>
          <w:rFonts w:ascii="Times New Roman" w:hAnsi="Times New Roman"/>
          <w:i/>
          <w:iCs/>
          <w:color w:val="000000"/>
          <w:sz w:val="28"/>
          <w:szCs w:val="28"/>
          <w:lang w:val="es-ES"/>
        </w:rPr>
        <w:t>igualdad de armas</w:t>
      </w:r>
      <w:r w:rsidRPr="006D0761">
        <w:rPr>
          <w:rFonts w:ascii="Times New Roman" w:hAnsi="Times New Roman"/>
          <w:color w:val="000000"/>
          <w:sz w:val="28"/>
          <w:szCs w:val="28"/>
          <w:lang w:val="es-ES"/>
        </w:rPr>
        <w:t xml:space="preserve">” ante la </w:t>
      </w:r>
      <w:r w:rsidRPr="006D0761">
        <w:rPr>
          <w:rFonts w:ascii="Times New Roman" w:hAnsi="Times New Roman"/>
          <w:color w:val="000000"/>
          <w:sz w:val="28"/>
          <w:szCs w:val="28"/>
          <w:lang w:val="es-ES"/>
        </w:rPr>
        <w:t xml:space="preserve">ley por </w:t>
      </w:r>
      <w:r w:rsidRPr="006D0761">
        <w:rPr>
          <w:rFonts w:ascii="Times New Roman" w:hAnsi="Times New Roman"/>
          <w:color w:val="000000"/>
          <w:sz w:val="28"/>
          <w:szCs w:val="28"/>
          <w:lang w:val="es-ES"/>
        </w:rPr>
        <w:t>cuanto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presupone que la parte interviniente que merece asistencia </w:t>
      </w:r>
      <w:r w:rsidRPr="006D0761">
        <w:rPr>
          <w:rFonts w:ascii="Times New Roman" w:hAnsi="Times New Roman"/>
          <w:color w:val="000000"/>
          <w:sz w:val="28"/>
          <w:szCs w:val="28"/>
          <w:lang w:val="es-ES"/>
        </w:rPr>
        <w:t>técnica</w:t>
      </w:r>
      <w:r w:rsidRPr="006D0761">
        <w:rPr>
          <w:rFonts w:ascii="Times New Roman" w:hAnsi="Times New Roman"/>
          <w:color w:val="000000"/>
          <w:sz w:val="28"/>
          <w:szCs w:val="28"/>
          <w:lang w:val="es-ES"/>
        </w:rPr>
        <w:t xml:space="preserve"> legal es siempre la mujer y solo la mujer</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Por otra parte, s</w:t>
      </w:r>
      <w:r w:rsidRPr="006D0761">
        <w:rPr>
          <w:rFonts w:ascii="Times New Roman" w:hAnsi="Times New Roman"/>
          <w:color w:val="000000"/>
          <w:sz w:val="28"/>
          <w:szCs w:val="28"/>
          <w:lang w:val="es-ES"/>
        </w:rPr>
        <w:t xml:space="preserve">egún el accionante, </w:t>
      </w:r>
      <w:r w:rsidRPr="006D0761">
        <w:rPr>
          <w:rFonts w:ascii="Times New Roman" w:hAnsi="Times New Roman"/>
          <w:color w:val="000000"/>
          <w:sz w:val="28"/>
          <w:szCs w:val="28"/>
          <w:lang w:val="es-ES"/>
        </w:rPr>
        <w:t>la norma</w:t>
      </w:r>
      <w:r w:rsidRPr="006D0761">
        <w:rPr>
          <w:rFonts w:ascii="Times New Roman" w:hAnsi="Times New Roman"/>
          <w:color w:val="000000"/>
          <w:sz w:val="28"/>
          <w:szCs w:val="28"/>
          <w:lang w:val="es-ES"/>
        </w:rPr>
        <w:t xml:space="preserve"> atentaría contra la regla, según la cual, l</w:t>
      </w:r>
      <w:r w:rsidRPr="006D0761">
        <w:rPr>
          <w:rFonts w:ascii="Times New Roman" w:hAnsi="Times New Roman"/>
          <w:color w:val="000000"/>
          <w:sz w:val="28"/>
          <w:szCs w:val="28"/>
          <w:lang w:val="es-ES"/>
        </w:rPr>
        <w:t xml:space="preserve">a </w:t>
      </w:r>
      <w:r w:rsidRPr="006D0761">
        <w:rPr>
          <w:rFonts w:ascii="Times New Roman" w:hAnsi="Times New Roman"/>
          <w:color w:val="000000"/>
          <w:sz w:val="28"/>
          <w:szCs w:val="28"/>
          <w:lang w:val="es-ES"/>
        </w:rPr>
        <w:t>protección</w:t>
      </w:r>
      <w:r w:rsidRPr="006D0761">
        <w:rPr>
          <w:rFonts w:ascii="Times New Roman" w:hAnsi="Times New Roman"/>
          <w:color w:val="000000"/>
          <w:sz w:val="28"/>
          <w:szCs w:val="28"/>
          <w:lang w:val="es-ES"/>
        </w:rPr>
        <w:t xml:space="preserve"> especial la merece toda persona</w:t>
      </w:r>
      <w:r w:rsidRPr="006D0761">
        <w:rPr>
          <w:rFonts w:ascii="Times New Roman" w:hAnsi="Times New Roman"/>
          <w:i/>
          <w:iCs/>
          <w:color w:val="000000"/>
          <w:sz w:val="28"/>
          <w:szCs w:val="28"/>
          <w:lang w:val="es-ES"/>
        </w:rPr>
        <w:t xml:space="preserve"> </w:t>
      </w:r>
      <w:r w:rsidRPr="006D0761">
        <w:rPr>
          <w:rFonts w:ascii="Times New Roman" w:hAnsi="Times New Roman"/>
          <w:color w:val="000000"/>
          <w:sz w:val="28"/>
          <w:szCs w:val="28"/>
          <w:lang w:val="es-ES"/>
        </w:rPr>
        <w:t>sie</w:t>
      </w:r>
      <w:r w:rsidRPr="006D0761">
        <w:rPr>
          <w:rFonts w:ascii="Times New Roman" w:hAnsi="Times New Roman"/>
          <w:color w:val="000000"/>
          <w:sz w:val="28"/>
          <w:szCs w:val="28"/>
          <w:lang w:val="es-ES"/>
        </w:rPr>
        <w:t>m</w:t>
      </w:r>
      <w:r w:rsidRPr="006D0761">
        <w:rPr>
          <w:rFonts w:ascii="Times New Roman" w:hAnsi="Times New Roman"/>
          <w:color w:val="000000"/>
          <w:sz w:val="28"/>
          <w:szCs w:val="28"/>
          <w:lang w:val="es-ES"/>
        </w:rPr>
        <w:t>pr</w:t>
      </w:r>
      <w:r w:rsidRPr="006D0761">
        <w:rPr>
          <w:rFonts w:ascii="Times New Roman" w:hAnsi="Times New Roman"/>
          <w:color w:val="000000"/>
          <w:sz w:val="28"/>
          <w:szCs w:val="28"/>
          <w:lang w:val="es-ES"/>
        </w:rPr>
        <w:t xml:space="preserve">e </w:t>
      </w:r>
      <w:r w:rsidRPr="006D0761">
        <w:rPr>
          <w:rFonts w:ascii="Times New Roman" w:hAnsi="Times New Roman"/>
          <w:color w:val="000000"/>
          <w:sz w:val="28"/>
          <w:szCs w:val="28"/>
          <w:lang w:val="es-ES"/>
        </w:rPr>
        <w:t>que esté en circunstancia de debilidad manifiesta.</w:t>
      </w:r>
      <w:r w:rsidRPr="006D0761">
        <w:rPr>
          <w:rFonts w:ascii="Times New Roman" w:hAnsi="Times New Roman"/>
          <w:color w:val="000000"/>
          <w:sz w:val="28"/>
          <w:szCs w:val="28"/>
          <w:lang w:val="es-ES"/>
        </w:rPr>
        <w:t xml:space="preserve"> Sostiene que l</w:t>
      </w:r>
      <w:r w:rsidRPr="006D0761">
        <w:rPr>
          <w:rFonts w:ascii="Times New Roman" w:hAnsi="Times New Roman"/>
          <w:color w:val="000000"/>
          <w:sz w:val="28"/>
          <w:szCs w:val="28"/>
          <w:lang w:val="es-ES"/>
        </w:rPr>
        <w:t xml:space="preserve">a </w:t>
      </w:r>
      <w:r w:rsidRPr="006D0761">
        <w:rPr>
          <w:rFonts w:ascii="Times New Roman" w:hAnsi="Times New Roman"/>
          <w:color w:val="000000"/>
          <w:sz w:val="28"/>
          <w:szCs w:val="28"/>
          <w:lang w:val="es-ES"/>
        </w:rPr>
        <w:t>protección</w:t>
      </w:r>
      <w:r w:rsidRPr="006D0761">
        <w:rPr>
          <w:rFonts w:ascii="Times New Roman" w:hAnsi="Times New Roman"/>
          <w:color w:val="000000"/>
          <w:sz w:val="28"/>
          <w:szCs w:val="28"/>
          <w:lang w:val="es-ES"/>
        </w:rPr>
        <w:t xml:space="preserve"> especial es personal y no grupal</w:t>
      </w:r>
      <w:r w:rsidRPr="006D0761">
        <w:rPr>
          <w:rFonts w:ascii="Times New Roman" w:hAnsi="Times New Roman"/>
          <w:color w:val="000000"/>
          <w:sz w:val="28"/>
          <w:szCs w:val="28"/>
          <w:lang w:val="es-ES"/>
        </w:rPr>
        <w:t>, y depende de las condiciones específicas de quien la requiera</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 xml:space="preserve">n </w:t>
      </w:r>
      <w:r w:rsidRPr="006D0761">
        <w:rPr>
          <w:rFonts w:ascii="Times New Roman" w:hAnsi="Times New Roman"/>
          <w:color w:val="000000"/>
          <w:sz w:val="28"/>
          <w:szCs w:val="28"/>
          <w:lang w:val="es-ES"/>
        </w:rPr>
        <w:t>particular, esa</w:t>
      </w:r>
      <w:r w:rsidRPr="006D0761">
        <w:rPr>
          <w:rFonts w:ascii="Times New Roman" w:hAnsi="Times New Roman"/>
          <w:color w:val="000000"/>
          <w:sz w:val="28"/>
          <w:szCs w:val="28"/>
          <w:lang w:val="es-ES"/>
        </w:rPr>
        <w:t xml:space="preserve"> persona debe</w:t>
      </w:r>
      <w:r w:rsidRPr="006D0761">
        <w:rPr>
          <w:rFonts w:ascii="Times New Roman" w:hAnsi="Times New Roman"/>
          <w:color w:val="000000"/>
          <w:sz w:val="28"/>
          <w:szCs w:val="28"/>
          <w:lang w:val="es-ES"/>
        </w:rPr>
        <w:t>ría</w:t>
      </w:r>
      <w:r w:rsidRPr="006D0761">
        <w:rPr>
          <w:rFonts w:ascii="Times New Roman" w:hAnsi="Times New Roman"/>
          <w:color w:val="000000"/>
          <w:sz w:val="28"/>
          <w:szCs w:val="28"/>
          <w:lang w:val="es-ES"/>
        </w:rPr>
        <w:t xml:space="preserve"> tener una debilidad </w:t>
      </w:r>
      <w:r w:rsidRPr="006D0761">
        <w:rPr>
          <w:rFonts w:ascii="Times New Roman" w:hAnsi="Times New Roman"/>
          <w:color w:val="000000"/>
          <w:sz w:val="28"/>
          <w:szCs w:val="28"/>
          <w:lang w:val="es-ES"/>
        </w:rPr>
        <w:t>física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económica</w:t>
      </w:r>
      <w:r w:rsidRPr="006D0761">
        <w:rPr>
          <w:rFonts w:ascii="Times New Roman" w:hAnsi="Times New Roman"/>
          <w:color w:val="000000"/>
          <w:sz w:val="28"/>
          <w:szCs w:val="28"/>
          <w:lang w:val="es-ES"/>
        </w:rPr>
        <w:t xml:space="preserve"> o </w:t>
      </w:r>
      <w:r w:rsidRPr="006D0761">
        <w:rPr>
          <w:rFonts w:ascii="Times New Roman" w:hAnsi="Times New Roman"/>
          <w:color w:val="000000"/>
          <w:sz w:val="28"/>
          <w:szCs w:val="28"/>
          <w:lang w:val="es-ES"/>
        </w:rPr>
        <w:t>mental</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y su </w:t>
      </w:r>
      <w:r w:rsidRPr="006D0761">
        <w:rPr>
          <w:rFonts w:ascii="Times New Roman" w:hAnsi="Times New Roman"/>
          <w:color w:val="000000"/>
          <w:sz w:val="28"/>
          <w:szCs w:val="28"/>
          <w:lang w:val="es-ES"/>
        </w:rPr>
        <w:t>condición debe</w:t>
      </w:r>
      <w:r w:rsidRPr="006D0761">
        <w:rPr>
          <w:rFonts w:ascii="Times New Roman" w:hAnsi="Times New Roman"/>
          <w:color w:val="000000"/>
          <w:sz w:val="28"/>
          <w:szCs w:val="28"/>
          <w:lang w:val="es-ES"/>
        </w:rPr>
        <w:t xml:space="preserve"> ser “manifiesta” por lo que no puede ser “presupuesta”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Concluye que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protección</w:t>
      </w:r>
      <w:r w:rsidRPr="006D0761">
        <w:rPr>
          <w:rFonts w:ascii="Times New Roman" w:hAnsi="Times New Roman"/>
          <w:color w:val="000000"/>
          <w:sz w:val="28"/>
          <w:szCs w:val="28"/>
          <w:lang w:val="es-ES"/>
        </w:rPr>
        <w:t xml:space="preserve"> especial es un privilegio </w:t>
      </w:r>
      <w:r w:rsidRPr="006D0761">
        <w:rPr>
          <w:rFonts w:ascii="Times New Roman" w:hAnsi="Times New Roman"/>
          <w:color w:val="000000"/>
          <w:sz w:val="28"/>
          <w:szCs w:val="28"/>
          <w:lang w:val="es-ES"/>
        </w:rPr>
        <w:t>válido</w:t>
      </w:r>
      <w:r w:rsidRPr="006D0761">
        <w:rPr>
          <w:rFonts w:ascii="Times New Roman" w:hAnsi="Times New Roman"/>
          <w:color w:val="000000"/>
          <w:sz w:val="28"/>
          <w:szCs w:val="28"/>
          <w:lang w:val="es-ES"/>
        </w:rPr>
        <w:t xml:space="preserve"> para proteger a una </w:t>
      </w:r>
      <w:r w:rsidRPr="006D0761">
        <w:rPr>
          <w:rFonts w:ascii="Times New Roman" w:hAnsi="Times New Roman"/>
          <w:color w:val="000000"/>
          <w:sz w:val="28"/>
          <w:szCs w:val="28"/>
          <w:lang w:val="es-ES"/>
        </w:rPr>
        <w:t>víctima</w:t>
      </w:r>
      <w:r w:rsidRPr="006D0761">
        <w:rPr>
          <w:rFonts w:ascii="Times New Roman" w:hAnsi="Times New Roman"/>
          <w:color w:val="000000"/>
          <w:sz w:val="28"/>
          <w:szCs w:val="28"/>
          <w:lang w:val="es-ES"/>
        </w:rPr>
        <w:t xml:space="preserve"> real</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p>
    <w:p w:rsidR="00886443"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F4484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De la lectura de la disposición se concluye que </w:t>
      </w:r>
      <w:r w:rsidRPr="006D0761">
        <w:rPr>
          <w:rFonts w:ascii="Times New Roman" w:hAnsi="Times New Roman"/>
          <w:color w:val="000000"/>
          <w:sz w:val="28"/>
          <w:szCs w:val="28"/>
          <w:lang w:val="es-ES"/>
        </w:rPr>
        <w:t xml:space="preserve">el </w:t>
      </w:r>
      <w:r w:rsidRPr="006D0761">
        <w:rPr>
          <w:rFonts w:ascii="Times New Roman" w:hAnsi="Times New Roman"/>
          <w:color w:val="000000"/>
          <w:sz w:val="28"/>
          <w:szCs w:val="28"/>
          <w:lang w:val="es-ES"/>
        </w:rPr>
        <w:t xml:space="preserve">cargo carece de </w:t>
      </w:r>
      <w:r w:rsidRPr="006D0761">
        <w:rPr>
          <w:rFonts w:ascii="Times New Roman" w:hAnsi="Times New Roman"/>
          <w:color w:val="000000"/>
          <w:sz w:val="28"/>
          <w:szCs w:val="28"/>
          <w:lang w:val="es-ES"/>
        </w:rPr>
        <w:t>certeza porque del texto de la norma no se desprende ningun</w:t>
      </w:r>
      <w:r w:rsidRPr="006D0761">
        <w:rPr>
          <w:rFonts w:ascii="Times New Roman" w:hAnsi="Times New Roman"/>
          <w:color w:val="000000"/>
          <w:sz w:val="28"/>
          <w:szCs w:val="28"/>
          <w:lang w:val="es-ES"/>
        </w:rPr>
        <w:t>a</w:t>
      </w:r>
      <w:r w:rsidRPr="006D0761">
        <w:rPr>
          <w:rFonts w:ascii="Times New Roman" w:hAnsi="Times New Roman"/>
          <w:color w:val="000000"/>
          <w:sz w:val="28"/>
          <w:szCs w:val="28"/>
          <w:lang w:val="es-ES"/>
        </w:rPr>
        <w:t xml:space="preserve"> de l</w:t>
      </w:r>
      <w:r w:rsidRPr="006D0761">
        <w:rPr>
          <w:rFonts w:ascii="Times New Roman" w:hAnsi="Times New Roman"/>
          <w:color w:val="000000"/>
          <w:sz w:val="28"/>
          <w:szCs w:val="28"/>
          <w:lang w:val="es-ES"/>
        </w:rPr>
        <w:t>as interpretaciones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plantead</w:t>
      </w:r>
      <w:r w:rsidRPr="006D0761">
        <w:rPr>
          <w:rFonts w:ascii="Times New Roman" w:hAnsi="Times New Roman"/>
          <w:color w:val="000000"/>
          <w:sz w:val="28"/>
          <w:szCs w:val="28"/>
          <w:lang w:val="es-ES"/>
        </w:rPr>
        <w:t>a</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 como base de la impugnación. </w:t>
      </w:r>
      <w:r w:rsidRPr="006D0761">
        <w:rPr>
          <w:rFonts w:ascii="Times New Roman" w:hAnsi="Times New Roman"/>
          <w:color w:val="000000"/>
          <w:sz w:val="28"/>
          <w:szCs w:val="28"/>
          <w:lang w:val="es-ES"/>
        </w:rPr>
        <w:t>La norma no “presupone” que solo las mujeres requieran asistencia legal, sino que establece esa figura para dar eficacia a la her</w:t>
      </w:r>
      <w:r w:rsidRPr="006D0761">
        <w:rPr>
          <w:rFonts w:ascii="Times New Roman" w:hAnsi="Times New Roman"/>
          <w:color w:val="000000"/>
          <w:sz w:val="28"/>
          <w:szCs w:val="28"/>
          <w:lang w:val="es-ES"/>
        </w:rPr>
        <w:t xml:space="preserve">ramienta creada por la ley contra el feminicidio. </w:t>
      </w:r>
      <w:r w:rsidRPr="006D0761">
        <w:rPr>
          <w:rFonts w:ascii="Times New Roman" w:hAnsi="Times New Roman"/>
          <w:color w:val="000000"/>
          <w:sz w:val="28"/>
          <w:szCs w:val="28"/>
          <w:lang w:val="es-ES"/>
        </w:rPr>
        <w:t>Del texto de l</w:t>
      </w:r>
      <w:r w:rsidRPr="006D0761">
        <w:rPr>
          <w:rFonts w:ascii="Times New Roman" w:hAnsi="Times New Roman"/>
          <w:color w:val="000000"/>
          <w:sz w:val="28"/>
          <w:szCs w:val="28"/>
          <w:lang w:val="es-ES"/>
        </w:rPr>
        <w:t xml:space="preserve">a disposición </w:t>
      </w:r>
      <w:r w:rsidRPr="006D0761">
        <w:rPr>
          <w:rFonts w:ascii="Times New Roman" w:hAnsi="Times New Roman"/>
          <w:color w:val="000000"/>
          <w:sz w:val="28"/>
          <w:szCs w:val="28"/>
          <w:lang w:val="es-ES"/>
        </w:rPr>
        <w:t xml:space="preserve">resulta </w:t>
      </w:r>
      <w:r w:rsidRPr="006D0761">
        <w:rPr>
          <w:rFonts w:ascii="Times New Roman" w:hAnsi="Times New Roman"/>
          <w:color w:val="000000"/>
          <w:sz w:val="28"/>
          <w:szCs w:val="28"/>
          <w:lang w:val="es-ES"/>
        </w:rPr>
        <w:t>claro</w:t>
      </w:r>
      <w:r w:rsidRPr="006D0761">
        <w:rPr>
          <w:rFonts w:ascii="Times New Roman" w:hAnsi="Times New Roman"/>
          <w:color w:val="000000"/>
          <w:sz w:val="28"/>
          <w:szCs w:val="28"/>
          <w:lang w:val="es-ES"/>
        </w:rPr>
        <w:t xml:space="preserve"> que la misma </w:t>
      </w:r>
      <w:r w:rsidRPr="006D0761">
        <w:rPr>
          <w:rFonts w:ascii="Times New Roman" w:hAnsi="Times New Roman"/>
          <w:color w:val="000000"/>
          <w:sz w:val="28"/>
          <w:szCs w:val="28"/>
          <w:lang w:val="es-ES"/>
        </w:rPr>
        <w:t xml:space="preserve">no ordena debilitar el sistema de Defensoría Pública, </w:t>
      </w:r>
      <w:r w:rsidRPr="006D0761">
        <w:rPr>
          <w:rFonts w:ascii="Times New Roman" w:hAnsi="Times New Roman"/>
          <w:color w:val="000000"/>
          <w:sz w:val="28"/>
          <w:szCs w:val="28"/>
          <w:lang w:val="es-ES"/>
        </w:rPr>
        <w:t xml:space="preserve">que brinda asistencia legal a </w:t>
      </w:r>
      <w:r w:rsidRPr="006D0761">
        <w:rPr>
          <w:rFonts w:ascii="Times New Roman" w:hAnsi="Times New Roman"/>
          <w:color w:val="000000"/>
          <w:sz w:val="28"/>
          <w:szCs w:val="28"/>
          <w:lang w:val="es-ES"/>
        </w:rPr>
        <w:t>todas las personas que</w:t>
      </w:r>
      <w:r w:rsidRPr="006D0761">
        <w:rPr>
          <w:rFonts w:ascii="Times New Roman" w:hAnsi="Times New Roman"/>
          <w:color w:val="000000"/>
          <w:sz w:val="28"/>
          <w:szCs w:val="28"/>
          <w:lang w:val="es-ES"/>
        </w:rPr>
        <w:t xml:space="preserve"> lo requiera</w:t>
      </w:r>
      <w:r w:rsidRPr="006D0761">
        <w:rPr>
          <w:rFonts w:ascii="Times New Roman" w:hAnsi="Times New Roman"/>
          <w:color w:val="000000"/>
          <w:sz w:val="28"/>
          <w:szCs w:val="28"/>
          <w:lang w:val="es-ES"/>
        </w:rPr>
        <w:t>n</w:t>
      </w:r>
      <w:r w:rsidRPr="006D0761">
        <w:rPr>
          <w:rFonts w:ascii="Times New Roman" w:hAnsi="Times New Roman"/>
          <w:color w:val="000000"/>
          <w:sz w:val="28"/>
          <w:szCs w:val="28"/>
          <w:lang w:val="es-ES"/>
        </w:rPr>
        <w:t xml:space="preserve"> en razón a su vulnerabilidad económica o social,</w:t>
      </w:r>
      <w:r w:rsidRPr="006D0761">
        <w:rPr>
          <w:rStyle w:val="Refdenotaalpie"/>
          <w:rFonts w:ascii="Times New Roman" w:hAnsi="Times New Roman"/>
          <w:color w:val="000000"/>
          <w:sz w:val="28"/>
          <w:szCs w:val="28"/>
          <w:lang w:val="es-ES"/>
        </w:rPr>
        <w:footnoteReference w:id="73"/>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incluyendo</w:t>
      </w:r>
      <w:r w:rsidRPr="006D0761">
        <w:rPr>
          <w:rFonts w:ascii="Times New Roman" w:hAnsi="Times New Roman"/>
          <w:color w:val="000000"/>
          <w:sz w:val="28"/>
          <w:szCs w:val="28"/>
          <w:lang w:val="es-ES"/>
        </w:rPr>
        <w:t xml:space="preserve"> a hombres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sino que ordena crear un programa específico de asistencia legal con características </w:t>
      </w:r>
      <w:r w:rsidRPr="006D0761">
        <w:rPr>
          <w:rFonts w:ascii="Times New Roman" w:hAnsi="Times New Roman"/>
          <w:color w:val="000000"/>
          <w:sz w:val="28"/>
          <w:szCs w:val="28"/>
          <w:lang w:val="es-ES"/>
        </w:rPr>
        <w:t xml:space="preserve">de </w:t>
      </w:r>
      <w:r w:rsidRPr="006D0761">
        <w:rPr>
          <w:rFonts w:ascii="Times New Roman" w:hAnsi="Times New Roman"/>
          <w:color w:val="000000"/>
          <w:sz w:val="28"/>
          <w:szCs w:val="28"/>
          <w:lang w:val="es-ES"/>
        </w:rPr>
        <w:t xml:space="preserve">gratuidad, inmediatez, especialización en perspectiva de género y </w:t>
      </w:r>
      <w:r w:rsidRPr="006D0761">
        <w:rPr>
          <w:rFonts w:ascii="Times New Roman" w:hAnsi="Times New Roman"/>
          <w:color w:val="000000"/>
          <w:sz w:val="28"/>
          <w:szCs w:val="28"/>
          <w:lang w:val="es-ES"/>
        </w:rPr>
        <w:t>prioritaria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que permitan des</w:t>
      </w:r>
      <w:r w:rsidRPr="006D0761">
        <w:rPr>
          <w:rFonts w:ascii="Times New Roman" w:hAnsi="Times New Roman"/>
          <w:color w:val="000000"/>
          <w:sz w:val="28"/>
          <w:szCs w:val="28"/>
          <w:lang w:val="es-ES"/>
        </w:rPr>
        <w:t xml:space="preserve">arrollar el objeto de la Ley. </w:t>
      </w:r>
    </w:p>
    <w:p w:rsidR="00F4484F" w:rsidRPr="006D0761" w:rsidRDefault="006D0761" w:rsidP="6D224379">
      <w:pPr>
        <w:pStyle w:val="Prrafodelista"/>
        <w:rPr>
          <w:rFonts w:ascii="Times New Roman" w:hAnsi="Times New Roman"/>
          <w:color w:val="000000"/>
          <w:sz w:val="28"/>
          <w:szCs w:val="28"/>
          <w:lang w:val="es-ES"/>
        </w:rPr>
      </w:pPr>
    </w:p>
    <w:p w:rsidR="00A267B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Por otra parte, l</w:t>
      </w:r>
      <w:r w:rsidRPr="006D0761">
        <w:rPr>
          <w:rFonts w:ascii="Times New Roman" w:hAnsi="Times New Roman"/>
          <w:color w:val="000000"/>
          <w:sz w:val="28"/>
          <w:szCs w:val="28"/>
          <w:lang w:val="es-ES"/>
        </w:rPr>
        <w:t>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C</w:t>
      </w:r>
      <w:r w:rsidRPr="006D0761">
        <w:rPr>
          <w:rFonts w:ascii="Times New Roman" w:hAnsi="Times New Roman"/>
          <w:color w:val="000000"/>
          <w:sz w:val="28"/>
          <w:szCs w:val="28"/>
          <w:lang w:val="es-ES"/>
        </w:rPr>
        <w:t>orte observa que no se deprende del texto de la</w:t>
      </w:r>
      <w:r w:rsidRPr="006D0761">
        <w:rPr>
          <w:rFonts w:ascii="Times New Roman" w:hAnsi="Times New Roman"/>
          <w:color w:val="000000"/>
          <w:sz w:val="28"/>
          <w:szCs w:val="28"/>
          <w:lang w:val="es-ES"/>
        </w:rPr>
        <w:t xml:space="preserve"> norma </w:t>
      </w:r>
      <w:r w:rsidRPr="006D0761">
        <w:rPr>
          <w:rFonts w:ascii="Times New Roman" w:hAnsi="Times New Roman"/>
          <w:color w:val="000000"/>
          <w:sz w:val="28"/>
          <w:szCs w:val="28"/>
          <w:lang w:val="es-ES"/>
        </w:rPr>
        <w:t xml:space="preserve">que la misma constituya una forma de </w:t>
      </w:r>
      <w:r w:rsidRPr="006D0761">
        <w:rPr>
          <w:rFonts w:ascii="Times New Roman" w:hAnsi="Times New Roman"/>
          <w:color w:val="000000"/>
          <w:sz w:val="28"/>
          <w:szCs w:val="28"/>
          <w:lang w:val="es-ES"/>
        </w:rPr>
        <w:t xml:space="preserve">protección por </w:t>
      </w:r>
      <w:r w:rsidRPr="006D0761">
        <w:rPr>
          <w:rFonts w:ascii="Times New Roman" w:hAnsi="Times New Roman"/>
          <w:i/>
          <w:iCs/>
          <w:color w:val="000000"/>
          <w:sz w:val="28"/>
          <w:szCs w:val="28"/>
          <w:lang w:val="es-ES"/>
        </w:rPr>
        <w:t>debilidad manifiesta</w:t>
      </w:r>
      <w:r w:rsidRPr="006D0761">
        <w:rPr>
          <w:rFonts w:ascii="Times New Roman" w:hAnsi="Times New Roman"/>
          <w:color w:val="000000"/>
          <w:sz w:val="28"/>
          <w:szCs w:val="28"/>
          <w:lang w:val="es-ES"/>
        </w:rPr>
        <w:t xml:space="preserve">, sino que establece una herramienta para que las mujeres víctimas de violencia de género puedan tener acceso </w:t>
      </w:r>
      <w:r w:rsidRPr="006D0761">
        <w:rPr>
          <w:rFonts w:ascii="Times New Roman" w:hAnsi="Times New Roman"/>
          <w:color w:val="000000"/>
          <w:sz w:val="28"/>
          <w:szCs w:val="28"/>
          <w:lang w:val="es-ES"/>
        </w:rPr>
        <w:t xml:space="preserve">eficaz </w:t>
      </w:r>
      <w:r w:rsidRPr="006D0761">
        <w:rPr>
          <w:rFonts w:ascii="Times New Roman" w:hAnsi="Times New Roman"/>
          <w:color w:val="000000"/>
          <w:sz w:val="28"/>
          <w:szCs w:val="28"/>
          <w:lang w:val="es-ES"/>
        </w:rPr>
        <w:t>a la justicia</w:t>
      </w:r>
      <w:r w:rsidRPr="006D0761">
        <w:rPr>
          <w:rFonts w:ascii="Times New Roman" w:hAnsi="Times New Roman"/>
          <w:color w:val="000000"/>
          <w:sz w:val="28"/>
          <w:szCs w:val="28"/>
          <w:lang w:val="es-ES"/>
        </w:rPr>
        <w:t xml:space="preserve"> y a las medidas dispuestas por la Ley 1257 de 2008</w:t>
      </w:r>
      <w:r w:rsidRPr="006D0761">
        <w:rPr>
          <w:rStyle w:val="Refdenotaalpie"/>
          <w:rFonts w:ascii="Times New Roman" w:hAnsi="Times New Roman"/>
          <w:color w:val="000000"/>
          <w:sz w:val="28"/>
          <w:szCs w:val="28"/>
          <w:lang w:val="es-ES"/>
        </w:rPr>
        <w:footnoteReference w:id="74"/>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En ese sentido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parecería que</w:t>
      </w:r>
      <w:r w:rsidRPr="006D0761">
        <w:rPr>
          <w:rFonts w:ascii="Times New Roman" w:hAnsi="Times New Roman"/>
          <w:color w:val="000000"/>
          <w:sz w:val="28"/>
          <w:szCs w:val="28"/>
          <w:lang w:val="es-ES"/>
        </w:rPr>
        <w:t xml:space="preserve"> los argumentos en contra de las medidas de</w:t>
      </w:r>
      <w:r w:rsidRPr="006D0761">
        <w:rPr>
          <w:rFonts w:ascii="Times New Roman" w:hAnsi="Times New Roman"/>
          <w:color w:val="000000"/>
          <w:sz w:val="28"/>
          <w:szCs w:val="28"/>
          <w:lang w:val="es-ES"/>
        </w:rPr>
        <w:t xml:space="preserve"> protección estarían dirigidos contra la Ley 1257 de 2008 que es la que establece las medidas de protección y no contra la norma cuestionada. </w:t>
      </w:r>
    </w:p>
    <w:p w:rsidR="00A267BC" w:rsidRPr="006D0761" w:rsidRDefault="006D0761" w:rsidP="6D224379">
      <w:pPr>
        <w:pStyle w:val="Prrafodelista"/>
        <w:rPr>
          <w:rFonts w:ascii="Times New Roman" w:hAnsi="Times New Roman"/>
          <w:color w:val="000000"/>
          <w:sz w:val="28"/>
          <w:szCs w:val="28"/>
          <w:lang w:val="es-ES"/>
        </w:rPr>
      </w:pPr>
    </w:p>
    <w:p w:rsidR="00A60C80"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 cargo carece igualmente de pertinencia por cuanto el actor no presenta argumentos de rango constitucional que</w:t>
      </w:r>
      <w:r w:rsidRPr="006D0761">
        <w:rPr>
          <w:rFonts w:ascii="Times New Roman" w:hAnsi="Times New Roman"/>
          <w:color w:val="000000"/>
          <w:sz w:val="28"/>
          <w:szCs w:val="28"/>
          <w:lang w:val="es-ES"/>
        </w:rPr>
        <w:t xml:space="preserve"> evidencien la contradicción objetiva </w:t>
      </w:r>
      <w:r w:rsidRPr="006D0761">
        <w:rPr>
          <w:rFonts w:ascii="Times New Roman" w:hAnsi="Times New Roman"/>
          <w:color w:val="000000"/>
          <w:sz w:val="28"/>
          <w:szCs w:val="28"/>
          <w:lang w:val="es-ES"/>
        </w:rPr>
        <w:t xml:space="preserve">entre el texto de la norma y </w:t>
      </w:r>
      <w:r w:rsidRPr="006D0761">
        <w:rPr>
          <w:rFonts w:ascii="Times New Roman" w:hAnsi="Times New Roman"/>
          <w:color w:val="000000"/>
          <w:sz w:val="28"/>
          <w:szCs w:val="28"/>
          <w:lang w:val="es-ES"/>
        </w:rPr>
        <w:t xml:space="preserve">el artículo 13 de </w:t>
      </w:r>
      <w:r w:rsidRPr="006D0761">
        <w:rPr>
          <w:rFonts w:ascii="Times New Roman" w:hAnsi="Times New Roman"/>
          <w:color w:val="000000"/>
          <w:sz w:val="28"/>
          <w:szCs w:val="28"/>
          <w:lang w:val="es-ES"/>
        </w:rPr>
        <w:t>la Carta Política. La acusación no</w:t>
      </w:r>
      <w:r w:rsidRPr="006D0761">
        <w:rPr>
          <w:rFonts w:ascii="Times New Roman" w:hAnsi="Times New Roman"/>
          <w:color w:val="000000"/>
          <w:sz w:val="28"/>
          <w:szCs w:val="28"/>
          <w:lang w:val="es-ES"/>
        </w:rPr>
        <w:t xml:space="preserve"> toma en consideración el desarrollo normativo internacional ni la jurisprudencia constitucional respecto de la obligación de debida dili</w:t>
      </w:r>
      <w:r w:rsidRPr="006D0761">
        <w:rPr>
          <w:rFonts w:ascii="Times New Roman" w:hAnsi="Times New Roman"/>
          <w:color w:val="000000"/>
          <w:sz w:val="28"/>
          <w:szCs w:val="28"/>
          <w:lang w:val="es-ES"/>
        </w:rPr>
        <w:t>gencia contra la impunidad frente a la violencia de género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ni</w:t>
      </w:r>
      <w:r w:rsidRPr="006D0761">
        <w:rPr>
          <w:rFonts w:ascii="Times New Roman" w:hAnsi="Times New Roman"/>
          <w:color w:val="000000"/>
          <w:sz w:val="28"/>
          <w:szCs w:val="28"/>
          <w:lang w:val="es-ES"/>
        </w:rPr>
        <w:t xml:space="preserve"> señala por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el generar un sistema de asistencia </w:t>
      </w:r>
      <w:r w:rsidRPr="006D0761">
        <w:rPr>
          <w:rFonts w:ascii="Times New Roman" w:hAnsi="Times New Roman"/>
          <w:color w:val="000000"/>
          <w:sz w:val="28"/>
          <w:szCs w:val="28"/>
          <w:lang w:val="es-ES"/>
        </w:rPr>
        <w:t xml:space="preserve">legal </w:t>
      </w:r>
      <w:r w:rsidRPr="006D0761">
        <w:rPr>
          <w:rFonts w:ascii="Times New Roman" w:hAnsi="Times New Roman"/>
          <w:color w:val="000000"/>
          <w:sz w:val="28"/>
          <w:szCs w:val="28"/>
          <w:lang w:val="es-ES"/>
        </w:rPr>
        <w:t xml:space="preserve">para que las mujeres puedan acceder a la justicia cuando han sido víctimas de violencia feminicida se convierte en una </w:t>
      </w:r>
      <w:r w:rsidRPr="006D0761">
        <w:rPr>
          <w:rFonts w:ascii="Times New Roman" w:hAnsi="Times New Roman"/>
          <w:color w:val="000000"/>
          <w:sz w:val="28"/>
          <w:szCs w:val="28"/>
          <w:lang w:val="es-ES"/>
        </w:rPr>
        <w:t xml:space="preserve">desigualdad injustificada, </w:t>
      </w:r>
      <w:r w:rsidRPr="006D0761">
        <w:rPr>
          <w:rFonts w:ascii="Times New Roman" w:hAnsi="Times New Roman"/>
          <w:color w:val="000000"/>
          <w:sz w:val="28"/>
          <w:szCs w:val="28"/>
          <w:lang w:val="es-ES"/>
        </w:rPr>
        <w:t xml:space="preserve">que afecta desproporcionalmente a los hombres. </w:t>
      </w:r>
    </w:p>
    <w:p w:rsidR="00F4484F"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EE19E7"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conclusión, el cargo </w:t>
      </w:r>
      <w:r w:rsidRPr="006D0761">
        <w:rPr>
          <w:rFonts w:ascii="Times New Roman" w:hAnsi="Times New Roman"/>
          <w:color w:val="000000"/>
          <w:sz w:val="28"/>
          <w:szCs w:val="28"/>
          <w:lang w:val="es-ES"/>
        </w:rPr>
        <w:t xml:space="preserve">contra el artículo 9 </w:t>
      </w:r>
      <w:r w:rsidRPr="006D0761">
        <w:rPr>
          <w:rFonts w:ascii="Times New Roman" w:hAnsi="Times New Roman"/>
          <w:color w:val="000000"/>
          <w:sz w:val="28"/>
          <w:szCs w:val="28"/>
          <w:lang w:val="es-ES"/>
        </w:rPr>
        <w:t>resulta inepto para dar lugar al examen de fondo por carecer de certeza, pertinencia constitucional y suficiencia.</w:t>
      </w:r>
    </w:p>
    <w:p w:rsidR="00EE19E7" w:rsidRPr="006D0761" w:rsidRDefault="006D0761" w:rsidP="6D224379">
      <w:pPr>
        <w:pStyle w:val="Prrafodelista"/>
        <w:rPr>
          <w:rFonts w:ascii="Times New Roman" w:hAnsi="Times New Roman"/>
          <w:b/>
          <w:bCs/>
          <w:color w:val="000000"/>
          <w:sz w:val="28"/>
          <w:szCs w:val="28"/>
          <w:lang w:val="es-ES"/>
        </w:rPr>
      </w:pPr>
    </w:p>
    <w:p w:rsidR="00306461"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Argumentos</w:t>
      </w:r>
      <w:r w:rsidRPr="006D0761">
        <w:rPr>
          <w:rFonts w:ascii="Times New Roman" w:hAnsi="Times New Roman"/>
          <w:b/>
          <w:bCs/>
          <w:color w:val="000000"/>
          <w:sz w:val="28"/>
          <w:szCs w:val="28"/>
          <w:lang w:val="es-ES"/>
        </w:rPr>
        <w:t xml:space="preserve"> contra </w:t>
      </w:r>
      <w:r w:rsidRPr="006D0761">
        <w:rPr>
          <w:rFonts w:ascii="Times New Roman" w:hAnsi="Times New Roman"/>
          <w:b/>
          <w:bCs/>
          <w:color w:val="000000"/>
          <w:sz w:val="28"/>
          <w:szCs w:val="28"/>
          <w:lang w:val="es-ES"/>
        </w:rPr>
        <w:t xml:space="preserve">el art 10 </w:t>
      </w:r>
      <w:r w:rsidRPr="006D0761">
        <w:rPr>
          <w:rFonts w:ascii="Times New Roman" w:hAnsi="Times New Roman"/>
          <w:b/>
          <w:bCs/>
          <w:color w:val="000000"/>
          <w:sz w:val="28"/>
          <w:szCs w:val="28"/>
          <w:lang w:val="es-ES"/>
        </w:rPr>
        <w:t>“</w:t>
      </w:r>
      <w:r w:rsidRPr="006D0761">
        <w:rPr>
          <w:rFonts w:ascii="Times New Roman" w:hAnsi="Times New Roman"/>
          <w:b/>
          <w:bCs/>
          <w:i/>
          <w:iCs/>
          <w:color w:val="000000"/>
          <w:sz w:val="28"/>
          <w:szCs w:val="28"/>
          <w:lang w:val="es-ES"/>
        </w:rPr>
        <w:t xml:space="preserve">la perspectiva de género en la educación </w:t>
      </w:r>
      <w:r w:rsidRPr="006D0761">
        <w:rPr>
          <w:rFonts w:ascii="Times New Roman" w:hAnsi="Times New Roman"/>
          <w:b/>
          <w:bCs/>
          <w:i/>
          <w:iCs/>
          <w:color w:val="000000"/>
          <w:sz w:val="28"/>
          <w:szCs w:val="28"/>
          <w:lang w:val="es-ES"/>
        </w:rPr>
        <w:t>preescolar, básica y media</w:t>
      </w:r>
      <w:r w:rsidRPr="006D0761">
        <w:rPr>
          <w:rFonts w:ascii="Times New Roman" w:hAnsi="Times New Roman"/>
          <w:color w:val="000000"/>
          <w:sz w:val="28"/>
          <w:szCs w:val="28"/>
          <w:lang w:val="es-ES"/>
        </w:rPr>
        <w:t>”</w:t>
      </w:r>
      <w:r w:rsidRPr="006D0761">
        <w:rPr>
          <w:rStyle w:val="Refdenotaalpie"/>
          <w:rFonts w:ascii="Times New Roman" w:hAnsi="Times New Roman"/>
          <w:b/>
          <w:bCs/>
          <w:color w:val="000000"/>
          <w:sz w:val="28"/>
          <w:szCs w:val="28"/>
          <w:lang w:val="es-ES"/>
        </w:rPr>
        <w:t xml:space="preserve"> </w:t>
      </w:r>
      <w:r w:rsidRPr="006D0761">
        <w:rPr>
          <w:rStyle w:val="Refdenotaalpie"/>
          <w:rFonts w:ascii="Times New Roman" w:hAnsi="Times New Roman"/>
          <w:color w:val="000000"/>
          <w:sz w:val="28"/>
          <w:szCs w:val="28"/>
          <w:lang w:val="es-ES"/>
        </w:rPr>
        <w:footnoteReference w:id="75"/>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por vulnerar el derecho a la igualdad al obligar a que la perspectiva de género solo se aplique según “la agenda femenina de género y la violencia contra la mujer” sin tener</w:t>
      </w:r>
      <w:r w:rsidRPr="006D0761">
        <w:rPr>
          <w:rFonts w:ascii="Times New Roman" w:hAnsi="Times New Roman"/>
          <w:color w:val="000000"/>
          <w:sz w:val="28"/>
          <w:szCs w:val="28"/>
          <w:lang w:val="es-ES"/>
        </w:rPr>
        <w:t xml:space="preserve"> en cuenta la perspectiva masculina de género ni educar sobre la violencia de género contra el varón. </w:t>
      </w:r>
    </w:p>
    <w:p w:rsidR="00306461" w:rsidRPr="006D0761" w:rsidRDefault="006D0761" w:rsidP="6D224379">
      <w:pPr>
        <w:pStyle w:val="Prrafodelista"/>
        <w:rPr>
          <w:rFonts w:ascii="Times New Roman" w:hAnsi="Times New Roman"/>
          <w:color w:val="000000"/>
          <w:sz w:val="28"/>
          <w:szCs w:val="28"/>
          <w:lang w:val="es-ES"/>
        </w:rPr>
      </w:pPr>
    </w:p>
    <w:p w:rsidR="00E0349E"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w:t>
      </w:r>
      <w:r w:rsidRPr="006D0761">
        <w:rPr>
          <w:rFonts w:ascii="Times New Roman" w:hAnsi="Times New Roman"/>
          <w:color w:val="000000"/>
          <w:sz w:val="28"/>
          <w:szCs w:val="28"/>
          <w:lang w:val="es-ES"/>
        </w:rPr>
        <w:t xml:space="preserve"> accionante </w:t>
      </w:r>
      <w:r w:rsidRPr="006D0761">
        <w:rPr>
          <w:rFonts w:ascii="Times New Roman" w:hAnsi="Times New Roman"/>
          <w:color w:val="000000"/>
          <w:sz w:val="28"/>
          <w:szCs w:val="28"/>
          <w:lang w:val="es-ES"/>
        </w:rPr>
        <w:t>cuestiona</w:t>
      </w:r>
      <w:r w:rsidRPr="006D0761">
        <w:rPr>
          <w:rFonts w:ascii="Times New Roman" w:hAnsi="Times New Roman"/>
          <w:color w:val="000000"/>
          <w:sz w:val="28"/>
          <w:szCs w:val="28"/>
          <w:lang w:val="es-ES"/>
        </w:rPr>
        <w:t xml:space="preserve"> la disposición porque considera</w:t>
      </w:r>
      <w:r w:rsidRPr="006D0761">
        <w:rPr>
          <w:rFonts w:ascii="Times New Roman" w:hAnsi="Times New Roman"/>
          <w:color w:val="000000"/>
          <w:sz w:val="28"/>
          <w:szCs w:val="28"/>
          <w:lang w:val="es-ES"/>
        </w:rPr>
        <w:t xml:space="preserve"> que establece un modelo educativo en el que </w:t>
      </w:r>
      <w:r w:rsidRPr="006D0761">
        <w:rPr>
          <w:rFonts w:ascii="Times New Roman" w:hAnsi="Times New Roman"/>
          <w:color w:val="000000"/>
          <w:sz w:val="28"/>
          <w:szCs w:val="28"/>
          <w:lang w:val="es-ES"/>
        </w:rPr>
        <w:t xml:space="preserve">solo se aplica la agenda femenina de género y la violencia contra la mujer desatendiendo la agenda masculina de género y la violencia de género contra el </w:t>
      </w:r>
      <w:r w:rsidRPr="006D0761">
        <w:rPr>
          <w:rFonts w:ascii="Times New Roman" w:hAnsi="Times New Roman"/>
          <w:color w:val="000000"/>
          <w:sz w:val="28"/>
          <w:szCs w:val="28"/>
          <w:lang w:val="es-ES"/>
        </w:rPr>
        <w:t>varón</w:t>
      </w:r>
      <w:r w:rsidRPr="006D0761">
        <w:rPr>
          <w:rFonts w:ascii="Times New Roman" w:hAnsi="Times New Roman"/>
          <w:color w:val="000000"/>
          <w:sz w:val="28"/>
          <w:szCs w:val="28"/>
          <w:lang w:val="es-ES"/>
        </w:rPr>
        <w:t xml:space="preserve">. El cuestionamiento inicia </w:t>
      </w:r>
      <w:r w:rsidRPr="006D0761">
        <w:rPr>
          <w:rFonts w:ascii="Times New Roman" w:hAnsi="Times New Roman"/>
          <w:color w:val="000000"/>
          <w:sz w:val="28"/>
          <w:szCs w:val="28"/>
          <w:lang w:val="es-ES"/>
        </w:rPr>
        <w:t>citando</w:t>
      </w:r>
      <w:r w:rsidRPr="006D0761">
        <w:rPr>
          <w:rFonts w:ascii="Times New Roman" w:hAnsi="Times New Roman"/>
          <w:color w:val="000000"/>
          <w:sz w:val="28"/>
          <w:szCs w:val="28"/>
          <w:lang w:val="es-ES"/>
        </w:rPr>
        <w:t xml:space="preserve"> el artículo 134B </w:t>
      </w:r>
      <w:r w:rsidRPr="006D0761">
        <w:rPr>
          <w:rFonts w:ascii="Times New Roman" w:hAnsi="Times New Roman"/>
          <w:color w:val="000000"/>
          <w:sz w:val="28"/>
          <w:szCs w:val="28"/>
          <w:lang w:val="es-ES"/>
        </w:rPr>
        <w:t xml:space="preserve">del código penal </w:t>
      </w:r>
      <w:r w:rsidRPr="006D0761">
        <w:rPr>
          <w:rFonts w:ascii="Times New Roman" w:hAnsi="Times New Roman"/>
          <w:color w:val="000000"/>
          <w:sz w:val="28"/>
          <w:szCs w:val="28"/>
          <w:lang w:val="es-ES"/>
        </w:rPr>
        <w:t>que define el hostigamiento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en general, pero que, según el accionante, ha sido implementada </w:t>
      </w:r>
      <w:r w:rsidRPr="006D0761">
        <w:rPr>
          <w:rFonts w:ascii="Times New Roman" w:hAnsi="Times New Roman"/>
          <w:color w:val="000000"/>
          <w:sz w:val="28"/>
          <w:szCs w:val="28"/>
          <w:lang w:val="es-ES"/>
        </w:rPr>
        <w:t xml:space="preserve">únicamente como una forma de prevención de </w:t>
      </w:r>
      <w:r w:rsidRPr="006D0761">
        <w:rPr>
          <w:rFonts w:ascii="Times New Roman" w:hAnsi="Times New Roman"/>
          <w:color w:val="000000"/>
          <w:sz w:val="28"/>
          <w:szCs w:val="28"/>
          <w:lang w:val="es-ES"/>
        </w:rPr>
        <w:t xml:space="preserve">violencia contra la mujer </w:t>
      </w:r>
      <w:r w:rsidRPr="006D0761">
        <w:rPr>
          <w:rFonts w:ascii="Times New Roman" w:hAnsi="Times New Roman"/>
          <w:color w:val="000000"/>
          <w:sz w:val="28"/>
          <w:szCs w:val="28"/>
          <w:lang w:val="es-ES"/>
        </w:rPr>
        <w:t xml:space="preserve">en el colegio, </w:t>
      </w:r>
      <w:r w:rsidRPr="006D0761">
        <w:rPr>
          <w:rFonts w:ascii="Times New Roman" w:hAnsi="Times New Roman"/>
          <w:color w:val="000000"/>
          <w:sz w:val="28"/>
          <w:szCs w:val="28"/>
          <w:lang w:val="es-ES"/>
        </w:rPr>
        <w:t xml:space="preserve">invisibilizando las violencias de la mujer hacia el varón. </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L</w:t>
      </w:r>
      <w:r w:rsidRPr="006D0761">
        <w:rPr>
          <w:rFonts w:ascii="Times New Roman" w:hAnsi="Times New Roman"/>
          <w:color w:val="000000"/>
          <w:sz w:val="28"/>
          <w:szCs w:val="28"/>
          <w:lang w:val="es-ES"/>
        </w:rPr>
        <w:t>uego</w:t>
      </w:r>
      <w:r w:rsidRPr="006D0761">
        <w:rPr>
          <w:rFonts w:ascii="Times New Roman" w:hAnsi="Times New Roman"/>
          <w:color w:val="000000"/>
          <w:sz w:val="28"/>
          <w:szCs w:val="28"/>
          <w:lang w:val="es-ES"/>
        </w:rPr>
        <w:t xml:space="preserve">, el accionante pasa a </w:t>
      </w:r>
      <w:r w:rsidRPr="006D0761">
        <w:rPr>
          <w:rFonts w:ascii="Times New Roman" w:hAnsi="Times New Roman"/>
          <w:color w:val="000000"/>
          <w:sz w:val="28"/>
          <w:szCs w:val="28"/>
          <w:lang w:val="es-ES"/>
        </w:rPr>
        <w:t xml:space="preserve">referirse </w:t>
      </w:r>
      <w:r w:rsidRPr="006D0761">
        <w:rPr>
          <w:rFonts w:ascii="Times New Roman" w:hAnsi="Times New Roman"/>
          <w:color w:val="000000"/>
          <w:sz w:val="28"/>
          <w:szCs w:val="28"/>
          <w:lang w:val="es-ES"/>
        </w:rPr>
        <w:t>sobre</w:t>
      </w:r>
      <w:r w:rsidRPr="006D0761">
        <w:rPr>
          <w:rFonts w:ascii="Times New Roman" w:hAnsi="Times New Roman"/>
          <w:color w:val="000000"/>
          <w:sz w:val="28"/>
          <w:szCs w:val="28"/>
          <w:lang w:val="es-ES"/>
        </w:rPr>
        <w:t xml:space="preserve"> la</w:t>
      </w:r>
      <w:r w:rsidRPr="006D0761">
        <w:rPr>
          <w:rFonts w:ascii="Times New Roman" w:hAnsi="Times New Roman"/>
          <w:color w:val="000000"/>
          <w:sz w:val="28"/>
          <w:szCs w:val="28"/>
          <w:lang w:val="es-ES"/>
        </w:rPr>
        <w:t xml:space="preserve"> implementación de la “cartilla de género” para los colegios.</w:t>
      </w:r>
      <w:r w:rsidRPr="006D0761">
        <w:rPr>
          <w:rFonts w:ascii="Times New Roman" w:hAnsi="Times New Roman"/>
          <w:color w:val="000000"/>
          <w:sz w:val="28"/>
          <w:szCs w:val="28"/>
          <w:lang w:val="es-ES"/>
        </w:rPr>
        <w:t xml:space="preserve"> Al respecto, luego de </w:t>
      </w:r>
      <w:r w:rsidRPr="006D0761">
        <w:rPr>
          <w:rFonts w:ascii="Times New Roman" w:hAnsi="Times New Roman"/>
          <w:color w:val="000000"/>
          <w:sz w:val="28"/>
          <w:szCs w:val="28"/>
          <w:lang w:val="es-ES"/>
        </w:rPr>
        <w:t>una serie de reflexiones críticas sobre dicha cartilla, concluye que “La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discriminación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histórica</w:t>
      </w:r>
      <w:r w:rsidRPr="006D0761">
        <w:rPr>
          <w:rFonts w:ascii="Times New Roman" w:hAnsi="Times New Roman"/>
          <w:color w:val="000000"/>
          <w:sz w:val="28"/>
          <w:szCs w:val="28"/>
          <w:lang w:val="es-ES"/>
        </w:rPr>
        <w:t xml:space="preserve"> a la mujer no se puede usar como excusa para discriminar a los varones men</w:t>
      </w:r>
      <w:r w:rsidRPr="006D0761">
        <w:rPr>
          <w:rFonts w:ascii="Times New Roman" w:hAnsi="Times New Roman"/>
          <w:color w:val="000000"/>
          <w:sz w:val="28"/>
          <w:szCs w:val="28"/>
          <w:lang w:val="es-ES"/>
        </w:rPr>
        <w:t xml:space="preserve">ores en los colegios, pues ellos </w:t>
      </w:r>
      <w:r w:rsidRPr="006D0761">
        <w:rPr>
          <w:rFonts w:ascii="Times New Roman" w:hAnsi="Times New Roman"/>
          <w:color w:val="000000"/>
          <w:sz w:val="28"/>
          <w:szCs w:val="28"/>
          <w:lang w:val="es-ES"/>
        </w:rPr>
        <w:t>están</w:t>
      </w:r>
      <w:r w:rsidRPr="006D0761">
        <w:rPr>
          <w:rFonts w:ascii="Times New Roman" w:hAnsi="Times New Roman"/>
          <w:color w:val="000000"/>
          <w:sz w:val="28"/>
          <w:szCs w:val="28"/>
          <w:lang w:val="es-ES"/>
        </w:rPr>
        <w:t xml:space="preserve"> lejos de ser culpables por lo que hicieron sus tatarabuelos”</w:t>
      </w:r>
      <w:r w:rsidRPr="006D0761">
        <w:rPr>
          <w:rFonts w:ascii="Times New Roman" w:hAnsi="Times New Roman"/>
          <w:color w:val="000000"/>
          <w:sz w:val="28"/>
          <w:szCs w:val="28"/>
          <w:lang w:val="es-ES"/>
        </w:rPr>
        <w:t>.</w:t>
      </w:r>
    </w:p>
    <w:p w:rsidR="00A60C80"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EE19E7"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De la sustentación presentada por el accionante, se concluye que e</w:t>
      </w:r>
      <w:r w:rsidRPr="006D0761">
        <w:rPr>
          <w:rFonts w:ascii="Times New Roman" w:hAnsi="Times New Roman"/>
          <w:color w:val="000000"/>
          <w:sz w:val="28"/>
          <w:szCs w:val="28"/>
          <w:lang w:val="es-ES"/>
        </w:rPr>
        <w:t xml:space="preserve">l cargo carece de </w:t>
      </w:r>
      <w:r w:rsidRPr="006D0761">
        <w:rPr>
          <w:rFonts w:ascii="Times New Roman" w:hAnsi="Times New Roman"/>
          <w:color w:val="000000"/>
          <w:sz w:val="28"/>
          <w:szCs w:val="28"/>
          <w:lang w:val="es-ES"/>
        </w:rPr>
        <w:t xml:space="preserve">certeza, </w:t>
      </w:r>
      <w:r w:rsidRPr="006D0761">
        <w:rPr>
          <w:rFonts w:ascii="Times New Roman" w:hAnsi="Times New Roman"/>
          <w:color w:val="000000"/>
          <w:sz w:val="28"/>
          <w:szCs w:val="28"/>
          <w:lang w:val="es-ES"/>
        </w:rPr>
        <w:t xml:space="preserve">especificidad, pertinencia y suficiencia. </w:t>
      </w:r>
      <w:r w:rsidRPr="006D0761">
        <w:rPr>
          <w:rFonts w:ascii="Times New Roman" w:hAnsi="Times New Roman"/>
          <w:color w:val="000000"/>
          <w:sz w:val="28"/>
          <w:szCs w:val="28"/>
          <w:lang w:val="es-ES"/>
        </w:rPr>
        <w:t xml:space="preserve">En cuanto a la </w:t>
      </w:r>
      <w:r w:rsidRPr="006D0761">
        <w:rPr>
          <w:rFonts w:ascii="Times New Roman" w:hAnsi="Times New Roman"/>
          <w:color w:val="000000"/>
          <w:sz w:val="28"/>
          <w:szCs w:val="28"/>
          <w:lang w:val="es-ES"/>
        </w:rPr>
        <w:t>certeza, el cargo adolece de su ausencia por cuanto l</w:t>
      </w:r>
      <w:r w:rsidRPr="006D0761">
        <w:rPr>
          <w:rFonts w:ascii="Times New Roman" w:hAnsi="Times New Roman"/>
          <w:color w:val="000000"/>
          <w:sz w:val="28"/>
          <w:szCs w:val="28"/>
          <w:lang w:val="es-ES"/>
        </w:rPr>
        <w:t xml:space="preserve">os argumentos de acusación </w:t>
      </w:r>
      <w:r w:rsidRPr="006D0761">
        <w:rPr>
          <w:rFonts w:ascii="Times New Roman" w:hAnsi="Times New Roman"/>
          <w:color w:val="000000"/>
          <w:sz w:val="28"/>
          <w:szCs w:val="28"/>
          <w:lang w:val="es-ES"/>
        </w:rPr>
        <w:t xml:space="preserve">no </w:t>
      </w:r>
      <w:r w:rsidRPr="006D0761">
        <w:rPr>
          <w:rFonts w:ascii="Times New Roman" w:hAnsi="Times New Roman"/>
          <w:color w:val="000000"/>
          <w:sz w:val="28"/>
          <w:szCs w:val="28"/>
          <w:lang w:val="es-ES"/>
        </w:rPr>
        <w:t xml:space="preserve">se realizan </w:t>
      </w:r>
      <w:r w:rsidRPr="006D0761">
        <w:rPr>
          <w:rFonts w:ascii="Times New Roman" w:hAnsi="Times New Roman"/>
          <w:color w:val="000000"/>
          <w:sz w:val="28"/>
          <w:szCs w:val="28"/>
          <w:lang w:val="es-ES"/>
        </w:rPr>
        <w:t xml:space="preserve">sobre el texto de la disposición normativa, </w:t>
      </w:r>
      <w:r w:rsidRPr="006D0761">
        <w:rPr>
          <w:rFonts w:ascii="Times New Roman" w:hAnsi="Times New Roman"/>
          <w:color w:val="000000"/>
          <w:sz w:val="28"/>
          <w:szCs w:val="28"/>
          <w:lang w:val="es-ES"/>
        </w:rPr>
        <w:t>lo que permitiría</w:t>
      </w:r>
      <w:r w:rsidRPr="006D0761">
        <w:rPr>
          <w:rFonts w:ascii="Times New Roman" w:hAnsi="Times New Roman"/>
          <w:color w:val="000000"/>
          <w:sz w:val="28"/>
          <w:szCs w:val="28"/>
          <w:lang w:val="es-ES"/>
        </w:rPr>
        <w:t xml:space="preserve"> evidenciar si su redacción implica el sentido que el actor atribuye. Por el contrario,</w:t>
      </w:r>
      <w:r w:rsidRPr="006D0761">
        <w:rPr>
          <w:rFonts w:ascii="Times New Roman" w:hAnsi="Times New Roman"/>
          <w:color w:val="000000"/>
          <w:sz w:val="28"/>
          <w:szCs w:val="28"/>
          <w:lang w:val="es-ES"/>
        </w:rPr>
        <w:t xml:space="preserve"> el análisis </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se </w:t>
      </w:r>
      <w:r w:rsidRPr="006D0761">
        <w:rPr>
          <w:rFonts w:ascii="Times New Roman" w:hAnsi="Times New Roman"/>
          <w:color w:val="000000"/>
          <w:sz w:val="28"/>
          <w:szCs w:val="28"/>
          <w:lang w:val="es-ES"/>
        </w:rPr>
        <w:t>realiza</w:t>
      </w:r>
      <w:r w:rsidRPr="006D0761">
        <w:rPr>
          <w:rFonts w:ascii="Times New Roman" w:hAnsi="Times New Roman"/>
          <w:color w:val="000000"/>
          <w:sz w:val="28"/>
          <w:szCs w:val="28"/>
          <w:lang w:val="es-ES"/>
        </w:rPr>
        <w:t xml:space="preserve"> sobre el art</w:t>
      </w:r>
      <w:r w:rsidRPr="006D0761">
        <w:rPr>
          <w:rFonts w:ascii="Times New Roman" w:hAnsi="Times New Roman"/>
          <w:color w:val="000000"/>
          <w:sz w:val="28"/>
          <w:szCs w:val="28"/>
          <w:lang w:val="es-ES"/>
        </w:rPr>
        <w:t>í</w:t>
      </w:r>
      <w:r w:rsidRPr="006D0761">
        <w:rPr>
          <w:rFonts w:ascii="Times New Roman" w:hAnsi="Times New Roman"/>
          <w:color w:val="000000"/>
          <w:sz w:val="28"/>
          <w:szCs w:val="28"/>
          <w:lang w:val="es-ES"/>
        </w:rPr>
        <w:t>culo 134b del Código Penal</w:t>
      </w:r>
      <w:r w:rsidRPr="006D0761">
        <w:rPr>
          <w:rStyle w:val="Refdenotaalpie"/>
          <w:rFonts w:ascii="Times New Roman" w:hAnsi="Times New Roman"/>
          <w:color w:val="000000"/>
          <w:sz w:val="28"/>
          <w:szCs w:val="28"/>
          <w:lang w:val="es-ES"/>
        </w:rPr>
        <w:footnoteReference w:id="76"/>
      </w:r>
      <w:r w:rsidRPr="006D0761">
        <w:rPr>
          <w:rFonts w:ascii="Times New Roman" w:hAnsi="Times New Roman"/>
          <w:color w:val="000000"/>
          <w:sz w:val="28"/>
          <w:szCs w:val="28"/>
          <w:lang w:val="es-ES"/>
        </w:rPr>
        <w:t>, y sobre la “cartilla de género”</w:t>
      </w:r>
      <w:r w:rsidRPr="006D0761">
        <w:rPr>
          <w:rFonts w:ascii="Times New Roman" w:hAnsi="Times New Roman"/>
          <w:color w:val="000000"/>
          <w:sz w:val="28"/>
          <w:szCs w:val="28"/>
          <w:lang w:val="es-ES"/>
        </w:rPr>
        <w:t xml:space="preserve"> (sin especificar a 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documento se refiere)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Es a partir de la supuesta implementación de esos instrumentos que se generan los cuestionamientos del actor</w:t>
      </w:r>
      <w:r w:rsidRPr="006D0761">
        <w:rPr>
          <w:rFonts w:ascii="Times New Roman" w:hAnsi="Times New Roman"/>
          <w:color w:val="000000"/>
          <w:sz w:val="28"/>
          <w:szCs w:val="28"/>
          <w:lang w:val="es-ES"/>
        </w:rPr>
        <w:t xml:space="preserve">, lo que </w:t>
      </w:r>
      <w:r w:rsidRPr="006D0761">
        <w:rPr>
          <w:rFonts w:ascii="Times New Roman" w:hAnsi="Times New Roman"/>
          <w:color w:val="000000"/>
          <w:sz w:val="28"/>
          <w:szCs w:val="28"/>
          <w:lang w:val="es-ES"/>
        </w:rPr>
        <w:t>significa que el cargo no se realiza respecto del sentido objetivo y sistemático de la disposición sino sobre la supuesta implementación. A la falta de certeza se le suma la falta de pertinencia de los argumentos, que</w:t>
      </w:r>
      <w:r w:rsidRPr="006D0761">
        <w:rPr>
          <w:rFonts w:ascii="Times New Roman" w:hAnsi="Times New Roman"/>
          <w:color w:val="000000"/>
          <w:sz w:val="28"/>
          <w:szCs w:val="28"/>
          <w:lang w:val="es-ES"/>
        </w:rPr>
        <w:t xml:space="preserve"> no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establecen </w:t>
      </w:r>
      <w:r w:rsidRPr="006D0761">
        <w:rPr>
          <w:rFonts w:ascii="Times New Roman" w:hAnsi="Times New Roman"/>
          <w:color w:val="000000"/>
          <w:sz w:val="28"/>
          <w:szCs w:val="28"/>
          <w:lang w:val="es-ES"/>
        </w:rPr>
        <w:t>cuál</w:t>
      </w:r>
      <w:r w:rsidRPr="006D0761">
        <w:rPr>
          <w:rFonts w:ascii="Times New Roman" w:hAnsi="Times New Roman"/>
          <w:color w:val="000000"/>
          <w:sz w:val="28"/>
          <w:szCs w:val="28"/>
          <w:lang w:val="es-ES"/>
        </w:rPr>
        <w:t xml:space="preserve"> es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forma</w:t>
      </w:r>
      <w:r w:rsidRPr="006D0761">
        <w:rPr>
          <w:rFonts w:ascii="Times New Roman" w:hAnsi="Times New Roman"/>
          <w:color w:val="000000"/>
          <w:sz w:val="28"/>
          <w:szCs w:val="28"/>
          <w:lang w:val="es-ES"/>
        </w:rPr>
        <w:t xml:space="preserve"> en que </w:t>
      </w: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 xml:space="preserve">l derecho a la igualdad podría verse afectado por la </w:t>
      </w:r>
      <w:r w:rsidRPr="006D0761">
        <w:rPr>
          <w:rFonts w:ascii="Times New Roman" w:hAnsi="Times New Roman"/>
          <w:color w:val="000000"/>
          <w:sz w:val="28"/>
          <w:szCs w:val="28"/>
          <w:lang w:val="es-ES"/>
        </w:rPr>
        <w:t>disposición</w:t>
      </w:r>
      <w:r w:rsidRPr="006D0761">
        <w:rPr>
          <w:rFonts w:ascii="Times New Roman" w:hAnsi="Times New Roman"/>
          <w:color w:val="000000"/>
          <w:sz w:val="28"/>
          <w:szCs w:val="28"/>
          <w:lang w:val="es-ES"/>
        </w:rPr>
        <w:t xml:space="preserve">, por el contrario, la argumentación se limita a una serie de reflexiones subjetivas sobre la supuesta implementación de la norma, sin atender al desarrollo jurisprudencial que esta Corte ha </w:t>
      </w:r>
      <w:r w:rsidRPr="006D0761">
        <w:rPr>
          <w:rFonts w:ascii="Times New Roman" w:hAnsi="Times New Roman"/>
          <w:color w:val="000000"/>
          <w:sz w:val="28"/>
          <w:szCs w:val="28"/>
          <w:lang w:val="es-ES"/>
        </w:rPr>
        <w:t>realizado respecto de los deberes del Estado en materia de género para superar los estereotipos que sustentan la perpetuación de la desigualdad y que justifican la violencia basada en género.</w:t>
      </w:r>
      <w:r w:rsidRPr="006D0761">
        <w:rPr>
          <w:rFonts w:ascii="Times New Roman" w:hAnsi="Times New Roman"/>
          <w:color w:val="000000"/>
          <w:sz w:val="28"/>
          <w:szCs w:val="28"/>
          <w:lang w:val="es-ES"/>
        </w:rPr>
        <w:t xml:space="preserve"> En conclusión, el cargo no es apto para su examen de fondo.</w:t>
      </w:r>
    </w:p>
    <w:p w:rsidR="00A12647"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367E80"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Arg</w:t>
      </w:r>
      <w:r w:rsidRPr="006D0761">
        <w:rPr>
          <w:rFonts w:ascii="Times New Roman" w:hAnsi="Times New Roman"/>
          <w:b/>
          <w:bCs/>
          <w:color w:val="000000"/>
          <w:sz w:val="28"/>
          <w:szCs w:val="28"/>
          <w:lang w:val="es-ES"/>
        </w:rPr>
        <w:t>umentos</w:t>
      </w:r>
      <w:r w:rsidRPr="006D0761">
        <w:rPr>
          <w:rFonts w:ascii="Times New Roman" w:hAnsi="Times New Roman"/>
          <w:b/>
          <w:bCs/>
          <w:color w:val="000000"/>
          <w:sz w:val="28"/>
          <w:szCs w:val="28"/>
          <w:lang w:val="es-ES"/>
        </w:rPr>
        <w:t xml:space="preserve"> contra </w:t>
      </w:r>
      <w:r w:rsidRPr="006D0761">
        <w:rPr>
          <w:rFonts w:ascii="Times New Roman" w:hAnsi="Times New Roman"/>
          <w:b/>
          <w:bCs/>
          <w:color w:val="000000"/>
          <w:sz w:val="28"/>
          <w:szCs w:val="28"/>
          <w:lang w:val="es-ES"/>
        </w:rPr>
        <w:t>el art 11</w:t>
      </w:r>
      <w:r w:rsidRPr="006D0761">
        <w:rPr>
          <w:rFonts w:ascii="Times New Roman" w:hAnsi="Times New Roman"/>
          <w:b/>
          <w:bCs/>
          <w:i/>
          <w:iCs/>
          <w:color w:val="000000"/>
          <w:sz w:val="28"/>
          <w:szCs w:val="28"/>
          <w:lang w:val="es-ES"/>
        </w:rPr>
        <w:t xml:space="preserve"> </w:t>
      </w:r>
      <w:r w:rsidRPr="006D0761">
        <w:rPr>
          <w:rFonts w:ascii="Times New Roman" w:hAnsi="Times New Roman"/>
          <w:b/>
          <w:bCs/>
          <w:i/>
          <w:iCs/>
          <w:color w:val="000000"/>
          <w:sz w:val="28"/>
          <w:szCs w:val="28"/>
          <w:lang w:val="es-ES"/>
        </w:rPr>
        <w:t>“</w:t>
      </w:r>
      <w:r w:rsidRPr="006D0761">
        <w:rPr>
          <w:rFonts w:ascii="Times New Roman" w:hAnsi="Times New Roman"/>
          <w:b/>
          <w:bCs/>
          <w:i/>
          <w:iCs/>
          <w:color w:val="000000"/>
          <w:sz w:val="28"/>
          <w:szCs w:val="28"/>
          <w:lang w:val="es-ES"/>
        </w:rPr>
        <w:t>Formación de género, Derechos Humanos o Derecho Internacional Humanitario de los servidores público</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w:t>
      </w:r>
      <w:r w:rsidRPr="006D0761">
        <w:rPr>
          <w:rStyle w:val="Refdenotaalpie"/>
          <w:rFonts w:ascii="Times New Roman" w:hAnsi="Times New Roman"/>
          <w:b/>
          <w:bCs/>
          <w:i/>
          <w:iCs/>
          <w:color w:val="000000"/>
          <w:sz w:val="28"/>
          <w:szCs w:val="28"/>
          <w:lang w:val="es-ES"/>
        </w:rPr>
        <w:footnoteReference w:id="77"/>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por </w:t>
      </w:r>
      <w:r w:rsidRPr="006D0761">
        <w:rPr>
          <w:rFonts w:ascii="Times New Roman" w:hAnsi="Times New Roman"/>
          <w:color w:val="000000"/>
          <w:sz w:val="28"/>
          <w:szCs w:val="28"/>
          <w:lang w:val="es-ES"/>
        </w:rPr>
        <w:t xml:space="preserve">vulneración del derecho a la igualdad al </w:t>
      </w:r>
      <w:r w:rsidRPr="006D0761">
        <w:rPr>
          <w:rFonts w:ascii="Times New Roman" w:hAnsi="Times New Roman"/>
          <w:color w:val="000000"/>
          <w:sz w:val="28"/>
          <w:szCs w:val="28"/>
          <w:lang w:val="es-ES"/>
        </w:rPr>
        <w:t>desprote</w:t>
      </w:r>
      <w:r w:rsidRPr="006D0761">
        <w:rPr>
          <w:rFonts w:ascii="Times New Roman" w:hAnsi="Times New Roman"/>
          <w:color w:val="000000"/>
          <w:sz w:val="28"/>
          <w:szCs w:val="28"/>
          <w:lang w:val="es-ES"/>
        </w:rPr>
        <w:t>ge</w:t>
      </w:r>
      <w:r w:rsidRPr="006D0761">
        <w:rPr>
          <w:rFonts w:ascii="Times New Roman" w:hAnsi="Times New Roman"/>
          <w:color w:val="000000"/>
          <w:sz w:val="28"/>
          <w:szCs w:val="28"/>
          <w:lang w:val="es-ES"/>
        </w:rPr>
        <w:t>r</w:t>
      </w:r>
      <w:r w:rsidRPr="006D0761">
        <w:rPr>
          <w:rFonts w:ascii="Times New Roman" w:hAnsi="Times New Roman"/>
          <w:color w:val="000000"/>
          <w:sz w:val="28"/>
          <w:szCs w:val="28"/>
          <w:lang w:val="es-ES"/>
        </w:rPr>
        <w:t xml:space="preserve"> a los varones </w:t>
      </w:r>
      <w:r w:rsidRPr="006D0761">
        <w:rPr>
          <w:rFonts w:ascii="Times New Roman" w:hAnsi="Times New Roman"/>
          <w:color w:val="000000"/>
          <w:sz w:val="28"/>
          <w:szCs w:val="28"/>
          <w:lang w:val="es-ES"/>
        </w:rPr>
        <w:t>víctimas</w:t>
      </w:r>
      <w:r w:rsidRPr="006D0761">
        <w:rPr>
          <w:rFonts w:ascii="Times New Roman" w:hAnsi="Times New Roman"/>
          <w:color w:val="000000"/>
          <w:sz w:val="28"/>
          <w:szCs w:val="28"/>
          <w:lang w:val="es-ES"/>
        </w:rPr>
        <w:t xml:space="preserve"> de violencia de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en la </w:t>
      </w:r>
      <w:r w:rsidRPr="006D0761">
        <w:rPr>
          <w:rFonts w:ascii="Times New Roman" w:hAnsi="Times New Roman"/>
          <w:color w:val="000000"/>
          <w:sz w:val="28"/>
          <w:szCs w:val="28"/>
          <w:lang w:val="es-ES"/>
        </w:rPr>
        <w:t>formación</w:t>
      </w:r>
      <w:r w:rsidRPr="006D0761">
        <w:rPr>
          <w:rFonts w:ascii="Times New Roman" w:hAnsi="Times New Roman"/>
          <w:color w:val="000000"/>
          <w:sz w:val="28"/>
          <w:szCs w:val="28"/>
          <w:lang w:val="es-ES"/>
        </w:rPr>
        <w:t xml:space="preserve"> a servidores </w:t>
      </w:r>
      <w:r w:rsidRPr="006D0761">
        <w:rPr>
          <w:rFonts w:ascii="Times New Roman" w:hAnsi="Times New Roman"/>
          <w:color w:val="000000"/>
          <w:sz w:val="28"/>
          <w:szCs w:val="28"/>
          <w:lang w:val="es-ES"/>
        </w:rPr>
        <w:t>públicos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p>
    <w:p w:rsidR="00367E80" w:rsidRPr="006D0761" w:rsidRDefault="006D0761" w:rsidP="6D224379">
      <w:pPr>
        <w:pStyle w:val="Prrafodelista"/>
        <w:rPr>
          <w:rFonts w:ascii="Times New Roman" w:hAnsi="Times New Roman"/>
          <w:color w:val="000000"/>
          <w:sz w:val="28"/>
          <w:szCs w:val="28"/>
          <w:lang w:val="es-ES"/>
        </w:rPr>
      </w:pPr>
    </w:p>
    <w:p w:rsidR="00E0349E"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El accionante concentra </w:t>
      </w:r>
      <w:r w:rsidRPr="006D0761">
        <w:rPr>
          <w:rFonts w:ascii="Times New Roman" w:hAnsi="Times New Roman"/>
          <w:color w:val="000000"/>
          <w:sz w:val="28"/>
          <w:szCs w:val="28"/>
          <w:lang w:val="es-ES"/>
        </w:rPr>
        <w:t xml:space="preserve">su acusación en </w:t>
      </w:r>
      <w:r w:rsidRPr="006D0761">
        <w:rPr>
          <w:rFonts w:ascii="Times New Roman" w:hAnsi="Times New Roman"/>
          <w:color w:val="000000"/>
          <w:sz w:val="28"/>
          <w:szCs w:val="28"/>
          <w:lang w:val="es-ES"/>
        </w:rPr>
        <w:t>la implementación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de la norma y</w:t>
      </w:r>
      <w:r w:rsidRPr="006D0761">
        <w:rPr>
          <w:rFonts w:ascii="Times New Roman" w:hAnsi="Times New Roman"/>
          <w:color w:val="000000"/>
          <w:sz w:val="28"/>
          <w:szCs w:val="28"/>
          <w:lang w:val="es-ES"/>
        </w:rPr>
        <w:t xml:space="preserve"> sostiene que el Ministerio de Justicia </w:t>
      </w:r>
      <w:r w:rsidRPr="006D0761">
        <w:rPr>
          <w:rFonts w:ascii="Times New Roman" w:hAnsi="Times New Roman"/>
          <w:color w:val="000000"/>
          <w:sz w:val="28"/>
          <w:szCs w:val="28"/>
          <w:lang w:val="es-ES"/>
        </w:rPr>
        <w:t xml:space="preserve">emitió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CARTILLA G</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NER</w:t>
      </w:r>
      <w:r w:rsidRPr="006D0761">
        <w:rPr>
          <w:rFonts w:ascii="Times New Roman" w:hAnsi="Times New Roman"/>
          <w:color w:val="000000"/>
          <w:sz w:val="28"/>
          <w:szCs w:val="28"/>
          <w:lang w:val="es-ES"/>
        </w:rPr>
        <w:t>O</w:t>
      </w:r>
      <w:r w:rsidRPr="006D0761">
        <w:rPr>
          <w:rStyle w:val="Refdenotaalpie"/>
          <w:rFonts w:ascii="Times New Roman" w:hAnsi="Times New Roman"/>
          <w:color w:val="000000"/>
          <w:sz w:val="28"/>
          <w:szCs w:val="28"/>
          <w:lang w:val="es-ES"/>
        </w:rPr>
        <w:footnoteReference w:id="78"/>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y </w:t>
      </w:r>
      <w:r w:rsidRPr="006D0761">
        <w:rPr>
          <w:rFonts w:ascii="Times New Roman" w:hAnsi="Times New Roman"/>
          <w:color w:val="000000"/>
          <w:sz w:val="28"/>
          <w:szCs w:val="28"/>
          <w:lang w:val="es-ES"/>
        </w:rPr>
        <w:t>la CAJA DE HERRAMIENTAS DE GÉNERO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con varias publicaciones </w:t>
      </w:r>
      <w:r w:rsidRPr="006D0761">
        <w:rPr>
          <w:rFonts w:ascii="Times New Roman" w:hAnsi="Times New Roman"/>
          <w:color w:val="000000"/>
          <w:sz w:val="28"/>
          <w:szCs w:val="28"/>
          <w:lang w:val="es-ES"/>
        </w:rPr>
        <w:t xml:space="preserve">para la </w:t>
      </w:r>
      <w:r w:rsidRPr="006D0761">
        <w:rPr>
          <w:rFonts w:ascii="Times New Roman" w:hAnsi="Times New Roman"/>
          <w:color w:val="000000"/>
          <w:sz w:val="28"/>
          <w:szCs w:val="28"/>
          <w:lang w:val="es-ES"/>
        </w:rPr>
        <w:t>inclusión</w:t>
      </w:r>
      <w:r w:rsidRPr="006D0761">
        <w:rPr>
          <w:rFonts w:ascii="Times New Roman" w:hAnsi="Times New Roman"/>
          <w:color w:val="000000"/>
          <w:sz w:val="28"/>
          <w:szCs w:val="28"/>
          <w:lang w:val="es-ES"/>
        </w:rPr>
        <w:t xml:space="preserve"> del tema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en el ejercicio de las </w:t>
      </w:r>
      <w:r w:rsidRPr="006D0761">
        <w:rPr>
          <w:rFonts w:ascii="Times New Roman" w:hAnsi="Times New Roman"/>
          <w:color w:val="000000"/>
          <w:sz w:val="28"/>
          <w:szCs w:val="28"/>
          <w:lang w:val="es-ES"/>
        </w:rPr>
        <w:t>Comisar</w:t>
      </w:r>
      <w:r w:rsidRPr="006D0761">
        <w:rPr>
          <w:rFonts w:ascii="Times New Roman" w:hAnsi="Times New Roman"/>
          <w:color w:val="000000"/>
          <w:sz w:val="28"/>
          <w:szCs w:val="28"/>
          <w:lang w:val="es-ES"/>
        </w:rPr>
        <w:t>í</w:t>
      </w:r>
      <w:r w:rsidRPr="006D0761">
        <w:rPr>
          <w:rFonts w:ascii="Times New Roman" w:hAnsi="Times New Roman"/>
          <w:color w:val="000000"/>
          <w:sz w:val="28"/>
          <w:szCs w:val="28"/>
          <w:lang w:val="es-ES"/>
        </w:rPr>
        <w:t>as</w:t>
      </w:r>
      <w:r w:rsidRPr="006D0761">
        <w:rPr>
          <w:rFonts w:ascii="Times New Roman" w:hAnsi="Times New Roman"/>
          <w:color w:val="000000"/>
          <w:sz w:val="28"/>
          <w:szCs w:val="28"/>
          <w:lang w:val="es-ES"/>
        </w:rPr>
        <w:t xml:space="preserve"> de </w:t>
      </w:r>
      <w:r w:rsidRPr="006D0761">
        <w:rPr>
          <w:rFonts w:ascii="Times New Roman" w:hAnsi="Times New Roman"/>
          <w:color w:val="000000"/>
          <w:sz w:val="28"/>
          <w:szCs w:val="28"/>
          <w:lang w:val="es-ES"/>
        </w:rPr>
        <w:t>F</w:t>
      </w:r>
      <w:r w:rsidRPr="006D0761">
        <w:rPr>
          <w:rFonts w:ascii="Times New Roman" w:hAnsi="Times New Roman"/>
          <w:color w:val="000000"/>
          <w:sz w:val="28"/>
          <w:szCs w:val="28"/>
          <w:lang w:val="es-ES"/>
        </w:rPr>
        <w:t xml:space="preserve">amilia. </w:t>
      </w:r>
      <w:r w:rsidRPr="006D0761">
        <w:rPr>
          <w:rFonts w:ascii="Times New Roman" w:hAnsi="Times New Roman"/>
          <w:color w:val="000000"/>
          <w:sz w:val="28"/>
          <w:szCs w:val="28"/>
          <w:lang w:val="es-ES"/>
        </w:rPr>
        <w:t xml:space="preserve">Sostiene </w:t>
      </w:r>
      <w:r w:rsidRPr="006D0761">
        <w:rPr>
          <w:rFonts w:ascii="Times New Roman" w:hAnsi="Times New Roman"/>
          <w:color w:val="000000"/>
          <w:sz w:val="28"/>
          <w:szCs w:val="28"/>
          <w:lang w:val="es-ES"/>
        </w:rPr>
        <w:t>que esos</w:t>
      </w:r>
      <w:r w:rsidRPr="006D0761">
        <w:rPr>
          <w:rFonts w:ascii="Times New Roman" w:hAnsi="Times New Roman"/>
          <w:color w:val="000000"/>
          <w:sz w:val="28"/>
          <w:szCs w:val="28"/>
          <w:lang w:val="es-ES"/>
        </w:rPr>
        <w:t xml:space="preserve"> documentos invisibilizan la violencia de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de la mujer hacia el </w:t>
      </w:r>
      <w:r w:rsidRPr="006D0761">
        <w:rPr>
          <w:rFonts w:ascii="Times New Roman" w:hAnsi="Times New Roman"/>
          <w:color w:val="000000"/>
          <w:sz w:val="28"/>
          <w:szCs w:val="28"/>
          <w:lang w:val="es-ES"/>
        </w:rPr>
        <w:t>varón</w:t>
      </w:r>
      <w:r w:rsidRPr="006D0761">
        <w:rPr>
          <w:rFonts w:ascii="Times New Roman" w:hAnsi="Times New Roman"/>
          <w:color w:val="000000"/>
          <w:sz w:val="28"/>
          <w:szCs w:val="28"/>
          <w:lang w:val="es-ES"/>
        </w:rPr>
        <w:t xml:space="preserve"> y solo el </w:t>
      </w:r>
      <w:r w:rsidRPr="006D0761">
        <w:rPr>
          <w:rFonts w:ascii="Times New Roman" w:hAnsi="Times New Roman"/>
          <w:color w:val="000000"/>
          <w:sz w:val="28"/>
          <w:szCs w:val="28"/>
          <w:lang w:val="es-ES"/>
        </w:rPr>
        <w:t>más</w:t>
      </w:r>
      <w:r w:rsidRPr="006D0761">
        <w:rPr>
          <w:rFonts w:ascii="Times New Roman" w:hAnsi="Times New Roman"/>
          <w:color w:val="000000"/>
          <w:sz w:val="28"/>
          <w:szCs w:val="28"/>
          <w:lang w:val="es-ES"/>
        </w:rPr>
        <w:t xml:space="preserve"> reciente la reconoce su existencia sin llegar a abordarla.  Se pregunta: ¿</w:t>
      </w:r>
      <w:r w:rsidRPr="006D0761">
        <w:rPr>
          <w:rFonts w:ascii="Times New Roman" w:hAnsi="Times New Roman"/>
          <w:color w:val="000000"/>
          <w:sz w:val="28"/>
          <w:szCs w:val="28"/>
          <w:lang w:val="es-ES"/>
        </w:rPr>
        <w:t>Cuál</w:t>
      </w:r>
      <w:r w:rsidRPr="006D0761">
        <w:rPr>
          <w:rFonts w:ascii="Times New Roman" w:hAnsi="Times New Roman"/>
          <w:color w:val="000000"/>
          <w:sz w:val="28"/>
          <w:szCs w:val="28"/>
          <w:lang w:val="es-ES"/>
        </w:rPr>
        <w:t xml:space="preserve"> es la temporalida</w:t>
      </w:r>
      <w:r w:rsidRPr="006D0761">
        <w:rPr>
          <w:rFonts w:ascii="Times New Roman" w:hAnsi="Times New Roman"/>
          <w:color w:val="000000"/>
          <w:sz w:val="28"/>
          <w:szCs w:val="28"/>
          <w:lang w:val="es-ES"/>
        </w:rPr>
        <w:t xml:space="preserve">d en la </w:t>
      </w:r>
      <w:r w:rsidRPr="006D0761">
        <w:rPr>
          <w:rFonts w:ascii="Times New Roman" w:hAnsi="Times New Roman"/>
          <w:color w:val="000000"/>
          <w:sz w:val="28"/>
          <w:szCs w:val="28"/>
          <w:lang w:val="es-ES"/>
        </w:rPr>
        <w:t>exclusión</w:t>
      </w:r>
      <w:r w:rsidRPr="006D0761">
        <w:rPr>
          <w:rFonts w:ascii="Times New Roman" w:hAnsi="Times New Roman"/>
          <w:color w:val="000000"/>
          <w:sz w:val="28"/>
          <w:szCs w:val="28"/>
          <w:lang w:val="es-ES"/>
        </w:rPr>
        <w:t xml:space="preserve"> del </w:t>
      </w:r>
      <w:r w:rsidRPr="006D0761">
        <w:rPr>
          <w:rFonts w:ascii="Times New Roman" w:hAnsi="Times New Roman"/>
          <w:color w:val="000000"/>
          <w:sz w:val="28"/>
          <w:szCs w:val="28"/>
          <w:lang w:val="es-ES"/>
        </w:rPr>
        <w:t>varón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víctima</w:t>
      </w:r>
      <w:r w:rsidRPr="006D0761">
        <w:rPr>
          <w:rFonts w:ascii="Times New Roman" w:hAnsi="Times New Roman"/>
          <w:color w:val="000000"/>
          <w:sz w:val="28"/>
          <w:szCs w:val="28"/>
          <w:lang w:val="es-ES"/>
        </w:rPr>
        <w:t xml:space="preserve"> y en las formas femeninas de agredir en pareja y/o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Sostiene que “en esos documentos se han encontrado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tremendas insultadas a los varones las cuales no tienen soporte </w:t>
      </w:r>
      <w:r w:rsidRPr="006D0761">
        <w:rPr>
          <w:rFonts w:ascii="Times New Roman" w:hAnsi="Times New Roman"/>
          <w:color w:val="000000"/>
          <w:sz w:val="28"/>
          <w:szCs w:val="28"/>
          <w:lang w:val="es-ES"/>
        </w:rPr>
        <w:t>científico</w:t>
      </w:r>
      <w:r w:rsidRPr="006D0761">
        <w:rPr>
          <w:rFonts w:ascii="Times New Roman" w:hAnsi="Times New Roman"/>
          <w:color w:val="000000"/>
          <w:sz w:val="28"/>
          <w:szCs w:val="28"/>
          <w:lang w:val="es-ES"/>
        </w:rPr>
        <w:t xml:space="preserve">. Como llamarlos </w:t>
      </w:r>
      <w:r w:rsidRPr="006D0761">
        <w:rPr>
          <w:rFonts w:ascii="Times New Roman" w:hAnsi="Times New Roman"/>
          <w:i/>
          <w:iCs/>
          <w:color w:val="000000"/>
          <w:sz w:val="28"/>
          <w:szCs w:val="28"/>
          <w:lang w:val="es-ES"/>
        </w:rPr>
        <w:t>incapacitados emoc</w:t>
      </w:r>
      <w:r w:rsidRPr="006D0761">
        <w:rPr>
          <w:rFonts w:ascii="Times New Roman" w:hAnsi="Times New Roman"/>
          <w:i/>
          <w:iCs/>
          <w:color w:val="000000"/>
          <w:sz w:val="28"/>
          <w:szCs w:val="28"/>
          <w:lang w:val="es-ES"/>
        </w:rPr>
        <w:t>ionales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categoría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nosológica</w:t>
      </w:r>
      <w:r w:rsidRPr="006D0761">
        <w:rPr>
          <w:rFonts w:ascii="Times New Roman" w:hAnsi="Times New Roman"/>
          <w:color w:val="000000"/>
          <w:sz w:val="28"/>
          <w:szCs w:val="28"/>
          <w:lang w:val="es-ES"/>
        </w:rPr>
        <w:t xml:space="preserve"> que no figura ni en el CIE 11 ni en el DSM 5”</w:t>
      </w:r>
      <w:r w:rsidRPr="006D0761">
        <w:rPr>
          <w:rFonts w:ascii="Times New Roman" w:hAnsi="Times New Roman"/>
          <w:color w:val="000000"/>
          <w:sz w:val="28"/>
          <w:szCs w:val="28"/>
          <w:lang w:val="es-ES"/>
        </w:rPr>
        <w:t>. Señala</w:t>
      </w:r>
      <w:r w:rsidRPr="006D0761">
        <w:rPr>
          <w:rFonts w:ascii="Times New Roman" w:hAnsi="Times New Roman"/>
          <w:color w:val="000000"/>
          <w:sz w:val="28"/>
          <w:szCs w:val="28"/>
          <w:lang w:val="es-ES"/>
        </w:rPr>
        <w:t xml:space="preserve"> que e</w:t>
      </w:r>
      <w:r w:rsidRPr="006D0761">
        <w:rPr>
          <w:rFonts w:ascii="Times New Roman" w:hAnsi="Times New Roman"/>
          <w:color w:val="000000"/>
          <w:sz w:val="28"/>
          <w:szCs w:val="28"/>
          <w:lang w:val="es-ES"/>
        </w:rPr>
        <w:t>llo busca</w:t>
      </w:r>
      <w:r w:rsidRPr="006D0761">
        <w:rPr>
          <w:rFonts w:ascii="Times New Roman" w:hAnsi="Times New Roman"/>
          <w:color w:val="000000"/>
          <w:sz w:val="28"/>
          <w:szCs w:val="28"/>
          <w:lang w:val="es-ES"/>
        </w:rPr>
        <w:t xml:space="preserve"> asociar ser masculino con ser violento.  Con lo cual no solo </w:t>
      </w:r>
      <w:r w:rsidRPr="006D0761">
        <w:rPr>
          <w:rFonts w:ascii="Times New Roman" w:hAnsi="Times New Roman"/>
          <w:color w:val="000000"/>
          <w:sz w:val="28"/>
          <w:szCs w:val="28"/>
          <w:lang w:val="es-ES"/>
        </w:rPr>
        <w:t xml:space="preserve">le resulta </w:t>
      </w:r>
      <w:r w:rsidRPr="006D0761">
        <w:rPr>
          <w:rFonts w:ascii="Times New Roman" w:hAnsi="Times New Roman"/>
          <w:color w:val="000000"/>
          <w:sz w:val="28"/>
          <w:szCs w:val="28"/>
          <w:lang w:val="es-ES"/>
        </w:rPr>
        <w:t xml:space="preserve">cuestionable la </w:t>
      </w:r>
      <w:r w:rsidRPr="006D0761">
        <w:rPr>
          <w:rFonts w:ascii="Times New Roman" w:hAnsi="Times New Roman"/>
          <w:color w:val="000000"/>
          <w:sz w:val="28"/>
          <w:szCs w:val="28"/>
          <w:lang w:val="es-ES"/>
        </w:rPr>
        <w:t>exclusión,</w:t>
      </w:r>
      <w:r w:rsidRPr="006D0761">
        <w:rPr>
          <w:rFonts w:ascii="Times New Roman" w:hAnsi="Times New Roman"/>
          <w:color w:val="000000"/>
          <w:sz w:val="28"/>
          <w:szCs w:val="28"/>
          <w:lang w:val="es-ES"/>
        </w:rPr>
        <w:t xml:space="preserve"> sino </w:t>
      </w:r>
      <w:r w:rsidRPr="006D0761">
        <w:rPr>
          <w:rFonts w:ascii="Times New Roman" w:hAnsi="Times New Roman"/>
          <w:color w:val="000000"/>
          <w:sz w:val="28"/>
          <w:szCs w:val="28"/>
          <w:lang w:val="es-ES"/>
        </w:rPr>
        <w:t xml:space="preserve">que incluso </w:t>
      </w:r>
      <w:r w:rsidRPr="006D0761">
        <w:rPr>
          <w:rFonts w:ascii="Times New Roman" w:hAnsi="Times New Roman"/>
          <w:color w:val="000000"/>
          <w:sz w:val="28"/>
          <w:szCs w:val="28"/>
          <w:lang w:val="es-ES"/>
        </w:rPr>
        <w:t xml:space="preserve">considera que constituye un </w:t>
      </w:r>
      <w:r w:rsidRPr="006D0761">
        <w:rPr>
          <w:rFonts w:ascii="Times New Roman" w:hAnsi="Times New Roman"/>
          <w:color w:val="000000"/>
          <w:sz w:val="28"/>
          <w:szCs w:val="28"/>
          <w:lang w:val="es-ES"/>
        </w:rPr>
        <w:t>discurso de o</w:t>
      </w:r>
      <w:r w:rsidRPr="006D0761">
        <w:rPr>
          <w:rFonts w:ascii="Times New Roman" w:hAnsi="Times New Roman"/>
          <w:color w:val="000000"/>
          <w:sz w:val="28"/>
          <w:szCs w:val="28"/>
          <w:lang w:val="es-ES"/>
        </w:rPr>
        <w:t xml:space="preserve">dio al macho como </w:t>
      </w:r>
      <w:r w:rsidRPr="006D0761">
        <w:rPr>
          <w:rFonts w:ascii="Times New Roman" w:hAnsi="Times New Roman"/>
          <w:color w:val="000000"/>
          <w:sz w:val="28"/>
          <w:szCs w:val="28"/>
          <w:lang w:val="es-ES"/>
        </w:rPr>
        <w:t>justificación</w:t>
      </w:r>
      <w:r w:rsidRPr="006D0761">
        <w:rPr>
          <w:rFonts w:ascii="Times New Roman" w:hAnsi="Times New Roman"/>
          <w:color w:val="000000"/>
          <w:sz w:val="28"/>
          <w:szCs w:val="28"/>
          <w:lang w:val="es-ES"/>
        </w:rPr>
        <w:t xml:space="preserve"> de esa </w:t>
      </w:r>
      <w:r w:rsidRPr="006D0761">
        <w:rPr>
          <w:rFonts w:ascii="Times New Roman" w:hAnsi="Times New Roman"/>
          <w:color w:val="000000"/>
          <w:sz w:val="28"/>
          <w:szCs w:val="28"/>
          <w:lang w:val="es-ES"/>
        </w:rPr>
        <w:t>exclusión</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p>
    <w:p w:rsidR="003A6351"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744AF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Frente al cargo contra el artículo 11 de la Ley 1761 de 20</w:t>
      </w:r>
      <w:r w:rsidRPr="006D0761">
        <w:rPr>
          <w:rFonts w:ascii="Times New Roman" w:hAnsi="Times New Roman"/>
          <w:color w:val="000000"/>
          <w:sz w:val="28"/>
          <w:szCs w:val="28"/>
          <w:lang w:val="es-ES"/>
        </w:rPr>
        <w:t>15</w:t>
      </w:r>
      <w:r w:rsidRPr="006D0761">
        <w:rPr>
          <w:rFonts w:ascii="Times New Roman" w:hAnsi="Times New Roman"/>
          <w:color w:val="000000"/>
          <w:sz w:val="28"/>
          <w:szCs w:val="28"/>
          <w:lang w:val="es-ES"/>
        </w:rPr>
        <w:t xml:space="preserve"> es claro que el </w:t>
      </w:r>
      <w:r w:rsidRPr="006D0761">
        <w:rPr>
          <w:rFonts w:ascii="Times New Roman" w:hAnsi="Times New Roman"/>
          <w:color w:val="000000"/>
          <w:sz w:val="28"/>
          <w:szCs w:val="28"/>
          <w:lang w:val="es-ES"/>
        </w:rPr>
        <w:t xml:space="preserve">cuestionamiento no se dirige contra la norma en sí misma sino contra su </w:t>
      </w:r>
      <w:r w:rsidRPr="006D0761">
        <w:rPr>
          <w:rFonts w:ascii="Times New Roman" w:hAnsi="Times New Roman"/>
          <w:color w:val="000000"/>
          <w:sz w:val="28"/>
          <w:szCs w:val="28"/>
          <w:lang w:val="es-ES"/>
        </w:rPr>
        <w:t xml:space="preserve">supuesta </w:t>
      </w:r>
      <w:r w:rsidRPr="006D0761">
        <w:rPr>
          <w:rFonts w:ascii="Times New Roman" w:hAnsi="Times New Roman"/>
          <w:color w:val="000000"/>
          <w:sz w:val="28"/>
          <w:szCs w:val="28"/>
          <w:lang w:val="es-ES"/>
        </w:rPr>
        <w:t>implementación que considera</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“invisibiliza la violencia de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de la mujer hacia el </w:t>
      </w:r>
      <w:r w:rsidRPr="006D0761">
        <w:rPr>
          <w:rFonts w:ascii="Times New Roman" w:hAnsi="Times New Roman"/>
          <w:color w:val="000000"/>
          <w:sz w:val="28"/>
          <w:szCs w:val="28"/>
          <w:lang w:val="es-ES"/>
        </w:rPr>
        <w:t>varón</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 xml:space="preserve">formación </w:t>
      </w:r>
      <w:r w:rsidRPr="006D0761">
        <w:rPr>
          <w:rFonts w:ascii="Times New Roman" w:hAnsi="Times New Roman"/>
          <w:color w:val="000000"/>
          <w:sz w:val="28"/>
          <w:szCs w:val="28"/>
          <w:lang w:val="es-ES"/>
        </w:rPr>
        <w:t xml:space="preserve">ordenada por </w:t>
      </w:r>
      <w:r w:rsidRPr="006D0761">
        <w:rPr>
          <w:rFonts w:ascii="Times New Roman" w:hAnsi="Times New Roman"/>
          <w:color w:val="000000"/>
          <w:sz w:val="28"/>
          <w:szCs w:val="28"/>
          <w:lang w:val="es-ES"/>
        </w:rPr>
        <w:t xml:space="preserve">la norma acusada se refiere a que los funcionarios que atienden el tipo de violencia como el feminicidio: “deberán recibir formación en género, Derechos Humanos y </w:t>
      </w:r>
      <w:r w:rsidRPr="006D0761">
        <w:rPr>
          <w:rFonts w:ascii="Times New Roman" w:hAnsi="Times New Roman"/>
          <w:color w:val="000000"/>
          <w:sz w:val="28"/>
          <w:szCs w:val="28"/>
          <w:lang w:val="es-ES"/>
        </w:rPr>
        <w:t xml:space="preserve">Derecho Internacional Humanitario, en los procesos de inducción y reinducción en los que deban participar, de acuerdo con las normas que regulen sus respectivos empleos”. </w:t>
      </w:r>
    </w:p>
    <w:p w:rsidR="00744AFF" w:rsidRPr="006D0761" w:rsidRDefault="006D0761" w:rsidP="6D224379">
      <w:pPr>
        <w:pStyle w:val="Prrafodelista"/>
        <w:rPr>
          <w:rFonts w:ascii="Times New Roman" w:hAnsi="Times New Roman"/>
          <w:color w:val="000000"/>
          <w:sz w:val="28"/>
          <w:szCs w:val="28"/>
          <w:lang w:val="es-ES"/>
        </w:rPr>
      </w:pPr>
    </w:p>
    <w:p w:rsidR="00367E80"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El requisito de certeza implica que la acusación debe dirigirse contra el sentido q</w:t>
      </w:r>
      <w:r w:rsidRPr="006D0761">
        <w:rPr>
          <w:rFonts w:ascii="Times New Roman" w:hAnsi="Times New Roman"/>
          <w:color w:val="000000"/>
          <w:sz w:val="28"/>
          <w:szCs w:val="28"/>
          <w:lang w:val="es-ES"/>
        </w:rPr>
        <w:t>ue se deriva del texto de la norma y no sobre simples suposiciones ni contra elementos que puedan surgir exclusivamente sobre su implementación de fondo. Sin embargo, e</w:t>
      </w:r>
      <w:r w:rsidRPr="006D0761">
        <w:rPr>
          <w:rFonts w:ascii="Times New Roman" w:hAnsi="Times New Roman"/>
          <w:color w:val="000000"/>
          <w:sz w:val="28"/>
          <w:szCs w:val="28"/>
          <w:lang w:val="es-ES"/>
        </w:rPr>
        <w:t>l accionante no explicó porque la norma podría tener un sentido según el cual los funcio</w:t>
      </w:r>
      <w:r w:rsidRPr="006D0761">
        <w:rPr>
          <w:rFonts w:ascii="Times New Roman" w:hAnsi="Times New Roman"/>
          <w:color w:val="000000"/>
          <w:sz w:val="28"/>
          <w:szCs w:val="28"/>
          <w:lang w:val="es-ES"/>
        </w:rPr>
        <w:t xml:space="preserve">narios deben ser instruidos con contenidos que nieguen o invisibilicen la violencia contra los hombres. </w:t>
      </w:r>
    </w:p>
    <w:p w:rsidR="00367E80" w:rsidRPr="006D0761" w:rsidRDefault="006D0761" w:rsidP="6D224379">
      <w:pPr>
        <w:pStyle w:val="Prrafodelista"/>
        <w:rPr>
          <w:rFonts w:ascii="Times New Roman" w:hAnsi="Times New Roman"/>
          <w:color w:val="000000"/>
          <w:sz w:val="28"/>
          <w:szCs w:val="28"/>
          <w:lang w:val="es-ES"/>
        </w:rPr>
      </w:pPr>
    </w:p>
    <w:p w:rsidR="00EE19E7"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Por otra parte, los argumentos presentados </w:t>
      </w:r>
      <w:r w:rsidRPr="006D0761">
        <w:rPr>
          <w:rFonts w:ascii="Times New Roman" w:hAnsi="Times New Roman"/>
          <w:color w:val="000000"/>
          <w:sz w:val="28"/>
          <w:szCs w:val="28"/>
          <w:lang w:val="es-ES"/>
        </w:rPr>
        <w:t>carecen de</w:t>
      </w:r>
      <w:r w:rsidRPr="006D0761">
        <w:rPr>
          <w:rFonts w:ascii="Times New Roman" w:hAnsi="Times New Roman"/>
          <w:color w:val="000000"/>
          <w:sz w:val="28"/>
          <w:szCs w:val="28"/>
          <w:lang w:val="es-ES"/>
        </w:rPr>
        <w:t xml:space="preserve"> especificidad, en tanto no se plantea un examen de igualdad en la materia y de</w:t>
      </w:r>
      <w:r w:rsidRPr="006D0761">
        <w:rPr>
          <w:rFonts w:ascii="Times New Roman" w:hAnsi="Times New Roman"/>
          <w:color w:val="000000"/>
          <w:sz w:val="28"/>
          <w:szCs w:val="28"/>
          <w:lang w:val="es-ES"/>
        </w:rPr>
        <w:t xml:space="preserve"> pertinencia constitucional puesto que </w:t>
      </w:r>
      <w:r w:rsidRPr="006D0761">
        <w:rPr>
          <w:rFonts w:ascii="Times New Roman" w:hAnsi="Times New Roman"/>
          <w:color w:val="000000"/>
          <w:sz w:val="28"/>
          <w:szCs w:val="28"/>
          <w:lang w:val="es-ES"/>
        </w:rPr>
        <w:t xml:space="preserve">no toman en consideración el alcance de las obligaciones convencionales ni el desarrollo que la Corte Constitucional, </w:t>
      </w:r>
      <w:r w:rsidRPr="006D0761">
        <w:rPr>
          <w:rFonts w:ascii="Times New Roman" w:hAnsi="Times New Roman"/>
          <w:color w:val="000000"/>
          <w:sz w:val="28"/>
          <w:szCs w:val="28"/>
          <w:lang w:val="es-ES"/>
        </w:rPr>
        <w:t xml:space="preserve">en diversas sentencias, (como la </w:t>
      </w:r>
      <w:r w:rsidRPr="006D0761">
        <w:rPr>
          <w:rFonts w:ascii="Times New Roman" w:hAnsi="Times New Roman"/>
          <w:color w:val="000000"/>
          <w:sz w:val="28"/>
          <w:szCs w:val="28"/>
          <w:lang w:val="es-ES"/>
        </w:rPr>
        <w:t>C-297 y C-</w:t>
      </w:r>
      <w:r w:rsidRPr="006D0761">
        <w:rPr>
          <w:rFonts w:ascii="Times New Roman" w:hAnsi="Times New Roman"/>
          <w:color w:val="000000"/>
          <w:sz w:val="28"/>
          <w:szCs w:val="28"/>
          <w:lang w:val="es-ES"/>
        </w:rPr>
        <w:t>539</w:t>
      </w:r>
      <w:r w:rsidRPr="006D0761">
        <w:rPr>
          <w:rFonts w:ascii="Times New Roman" w:hAnsi="Times New Roman"/>
          <w:color w:val="000000"/>
          <w:sz w:val="28"/>
          <w:szCs w:val="28"/>
          <w:lang w:val="es-ES"/>
        </w:rPr>
        <w:t xml:space="preserve"> de 2016</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evidencian </w:t>
      </w:r>
      <w:r w:rsidRPr="006D0761">
        <w:rPr>
          <w:rFonts w:ascii="Times New Roman" w:hAnsi="Times New Roman"/>
          <w:color w:val="000000"/>
          <w:sz w:val="28"/>
          <w:szCs w:val="28"/>
          <w:lang w:val="es-ES"/>
        </w:rPr>
        <w:t xml:space="preserve">el </w:t>
      </w:r>
      <w:r w:rsidRPr="006D0761">
        <w:rPr>
          <w:rFonts w:ascii="Times New Roman" w:hAnsi="Times New Roman"/>
          <w:color w:val="000000"/>
          <w:sz w:val="28"/>
          <w:szCs w:val="28"/>
          <w:lang w:val="es-ES"/>
        </w:rPr>
        <w:t xml:space="preserve">compromiso del Estado en la </w:t>
      </w:r>
      <w:r w:rsidRPr="006D0761">
        <w:rPr>
          <w:rFonts w:ascii="Times New Roman" w:hAnsi="Times New Roman"/>
          <w:color w:val="000000"/>
          <w:sz w:val="28"/>
          <w:szCs w:val="28"/>
          <w:lang w:val="es-ES"/>
        </w:rPr>
        <w:t xml:space="preserve">debida diligencia institucional para la prevención, investigación, juzgamiento y sanción de la violencia de género y específicamente de la violencia feminicida. En conclusión, la falta de certeza y pertinencia del </w:t>
      </w:r>
      <w:r w:rsidRPr="006D0761">
        <w:rPr>
          <w:rFonts w:ascii="Times New Roman" w:hAnsi="Times New Roman"/>
          <w:color w:val="000000"/>
          <w:sz w:val="28"/>
          <w:szCs w:val="28"/>
          <w:lang w:val="es-ES"/>
        </w:rPr>
        <w:t>cargo</w:t>
      </w:r>
      <w:r w:rsidRPr="006D0761">
        <w:rPr>
          <w:rFonts w:ascii="Times New Roman" w:hAnsi="Times New Roman"/>
          <w:color w:val="000000"/>
          <w:sz w:val="28"/>
          <w:szCs w:val="28"/>
          <w:lang w:val="es-ES"/>
        </w:rPr>
        <w:t xml:space="preserve"> hace inviable que el mismo pueda ser</w:t>
      </w:r>
      <w:r w:rsidRPr="006D0761">
        <w:rPr>
          <w:rFonts w:ascii="Times New Roman" w:hAnsi="Times New Roman"/>
          <w:color w:val="000000"/>
          <w:sz w:val="28"/>
          <w:szCs w:val="28"/>
          <w:lang w:val="es-ES"/>
        </w:rPr>
        <w:t xml:space="preserve"> examinado por esta Corporación.</w:t>
      </w:r>
    </w:p>
    <w:p w:rsidR="00EE19E7" w:rsidRPr="006D0761" w:rsidRDefault="006D0761" w:rsidP="6D224379">
      <w:pPr>
        <w:pStyle w:val="Prrafodelista"/>
        <w:rPr>
          <w:rFonts w:ascii="Times New Roman" w:hAnsi="Times New Roman"/>
          <w:b/>
          <w:bCs/>
          <w:color w:val="000000"/>
          <w:sz w:val="28"/>
          <w:szCs w:val="28"/>
          <w:lang w:val="es-ES"/>
        </w:rPr>
      </w:pPr>
    </w:p>
    <w:p w:rsidR="00306461"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Argumentos</w:t>
      </w:r>
      <w:r w:rsidRPr="006D0761">
        <w:rPr>
          <w:rFonts w:ascii="Times New Roman" w:hAnsi="Times New Roman"/>
          <w:b/>
          <w:bCs/>
          <w:color w:val="000000"/>
          <w:sz w:val="28"/>
          <w:szCs w:val="28"/>
          <w:lang w:val="es-ES"/>
        </w:rPr>
        <w:t xml:space="preserve"> </w:t>
      </w:r>
      <w:r w:rsidRPr="006D0761">
        <w:rPr>
          <w:rFonts w:ascii="Times New Roman" w:hAnsi="Times New Roman"/>
          <w:b/>
          <w:bCs/>
          <w:color w:val="000000"/>
          <w:sz w:val="28"/>
          <w:szCs w:val="28"/>
          <w:lang w:val="es-ES"/>
        </w:rPr>
        <w:t>contra</w:t>
      </w:r>
      <w:r w:rsidRPr="006D0761">
        <w:rPr>
          <w:rFonts w:ascii="Times New Roman" w:hAnsi="Times New Roman"/>
          <w:b/>
          <w:bCs/>
          <w:color w:val="000000"/>
          <w:sz w:val="28"/>
          <w:szCs w:val="28"/>
          <w:lang w:val="es-ES"/>
        </w:rPr>
        <w:t xml:space="preserve"> el art</w:t>
      </w:r>
      <w:r w:rsidRPr="006D0761">
        <w:rPr>
          <w:rFonts w:ascii="Times New Roman" w:hAnsi="Times New Roman"/>
          <w:b/>
          <w:bCs/>
          <w:color w:val="000000"/>
          <w:sz w:val="28"/>
          <w:szCs w:val="28"/>
          <w:lang w:val="es-ES"/>
        </w:rPr>
        <w:t>ículo</w:t>
      </w:r>
      <w:r w:rsidRPr="006D0761">
        <w:rPr>
          <w:rFonts w:ascii="Times New Roman" w:hAnsi="Times New Roman"/>
          <w:b/>
          <w:bCs/>
          <w:color w:val="000000"/>
          <w:sz w:val="28"/>
          <w:szCs w:val="28"/>
          <w:lang w:val="es-ES"/>
        </w:rPr>
        <w:t xml:space="preserve"> 12</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w:t>
      </w:r>
      <w:r w:rsidRPr="006D0761">
        <w:rPr>
          <w:rFonts w:ascii="Times New Roman" w:hAnsi="Times New Roman"/>
          <w:b/>
          <w:bCs/>
          <w:i/>
          <w:iCs/>
          <w:color w:val="000000"/>
          <w:sz w:val="28"/>
          <w:szCs w:val="28"/>
          <w:lang w:val="es-ES"/>
        </w:rPr>
        <w:t>A</w:t>
      </w:r>
      <w:r w:rsidRPr="006D0761">
        <w:rPr>
          <w:rFonts w:ascii="Times New Roman" w:hAnsi="Times New Roman"/>
          <w:b/>
          <w:bCs/>
          <w:i/>
          <w:iCs/>
          <w:color w:val="000000"/>
          <w:sz w:val="28"/>
          <w:szCs w:val="28"/>
          <w:lang w:val="es-ES"/>
        </w:rPr>
        <w:t>dopción de un Sistema Nacional de Estadísticas sobre Violencia Basada en Género</w:t>
      </w:r>
      <w:r w:rsidRPr="006D0761">
        <w:rPr>
          <w:rFonts w:ascii="Times New Roman" w:hAnsi="Times New Roman"/>
          <w:b/>
          <w:bCs/>
          <w:i/>
          <w:iCs/>
          <w:color w:val="000000"/>
          <w:sz w:val="28"/>
          <w:szCs w:val="28"/>
          <w:lang w:val="es-ES"/>
        </w:rPr>
        <w:t>”</w:t>
      </w:r>
      <w:r w:rsidRPr="006D0761">
        <w:rPr>
          <w:rStyle w:val="Refdenotaalpie"/>
          <w:rFonts w:ascii="Times New Roman" w:hAnsi="Times New Roman"/>
          <w:color w:val="000000"/>
          <w:sz w:val="28"/>
          <w:szCs w:val="28"/>
          <w:lang w:val="es-ES"/>
        </w:rPr>
        <w:t xml:space="preserve"> </w:t>
      </w:r>
      <w:r w:rsidRPr="006D0761">
        <w:rPr>
          <w:rStyle w:val="Refdenotaalpie"/>
          <w:rFonts w:ascii="Times New Roman" w:hAnsi="Times New Roman"/>
          <w:color w:val="000000"/>
          <w:sz w:val="28"/>
          <w:szCs w:val="28"/>
          <w:lang w:val="es-ES"/>
        </w:rPr>
        <w:footnoteReference w:id="79"/>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por cuanto considera que la norma, “pide al Instituto Nacional de Medicina Legal</w:t>
      </w:r>
      <w:r w:rsidRPr="006D0761">
        <w:rPr>
          <w:rFonts w:ascii="Times New Roman" w:hAnsi="Times New Roman"/>
          <w:color w:val="000000"/>
          <w:sz w:val="28"/>
          <w:szCs w:val="28"/>
          <w:lang w:val="es-ES"/>
        </w:rPr>
        <w:t xml:space="preserve"> y Ciencias Forenses</w:t>
      </w:r>
      <w:r w:rsidRPr="006D0761">
        <w:rPr>
          <w:rFonts w:ascii="Times New Roman" w:hAnsi="Times New Roman"/>
          <w:color w:val="000000"/>
          <w:sz w:val="28"/>
          <w:szCs w:val="28"/>
          <w:lang w:val="es-ES"/>
        </w:rPr>
        <w:t xml:space="preserve"> (en adelante INMLCF) y a la D</w:t>
      </w:r>
      <w:r w:rsidRPr="006D0761">
        <w:rPr>
          <w:rFonts w:ascii="Times New Roman" w:hAnsi="Times New Roman"/>
          <w:color w:val="000000"/>
          <w:sz w:val="28"/>
          <w:szCs w:val="28"/>
          <w:lang w:val="es-ES"/>
        </w:rPr>
        <w:t>epartamento</w:t>
      </w:r>
      <w:r w:rsidRPr="006D0761">
        <w:rPr>
          <w:rFonts w:ascii="Times New Roman" w:hAnsi="Times New Roman"/>
          <w:color w:val="000000"/>
          <w:sz w:val="28"/>
          <w:szCs w:val="28"/>
          <w:lang w:val="es-ES"/>
        </w:rPr>
        <w:t xml:space="preserve"> Nacional de Estadísticas </w:t>
      </w:r>
      <w:r w:rsidRPr="006D0761">
        <w:rPr>
          <w:rFonts w:ascii="Times New Roman" w:hAnsi="Times New Roman"/>
          <w:color w:val="000000"/>
          <w:sz w:val="28"/>
          <w:szCs w:val="28"/>
          <w:lang w:val="es-ES"/>
        </w:rPr>
        <w:t>(en</w:t>
      </w:r>
      <w:r w:rsidRPr="006D0761">
        <w:rPr>
          <w:rFonts w:ascii="Times New Roman" w:hAnsi="Times New Roman"/>
          <w:color w:val="000000"/>
          <w:sz w:val="28"/>
          <w:szCs w:val="28"/>
          <w:lang w:val="es-ES"/>
        </w:rPr>
        <w:t xml:space="preserve"> adelante </w:t>
      </w:r>
      <w:r w:rsidRPr="006D0761">
        <w:rPr>
          <w:rFonts w:ascii="Times New Roman" w:hAnsi="Times New Roman"/>
          <w:color w:val="000000"/>
          <w:sz w:val="28"/>
          <w:szCs w:val="28"/>
          <w:lang w:val="es-ES"/>
        </w:rPr>
        <w:t>DANE) investigar solo lo que pasa con las mujeres invisibilizando a los varones en igual penuria”</w:t>
      </w:r>
      <w:r w:rsidRPr="006D0761">
        <w:rPr>
          <w:rFonts w:ascii="Times New Roman" w:hAnsi="Times New Roman"/>
          <w:color w:val="000000"/>
          <w:sz w:val="28"/>
          <w:szCs w:val="28"/>
          <w:lang w:val="es-ES"/>
        </w:rPr>
        <w:t>.</w:t>
      </w:r>
    </w:p>
    <w:p w:rsidR="006E610C"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E0349E"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Los </w:t>
      </w:r>
      <w:r w:rsidRPr="006D0761">
        <w:rPr>
          <w:rFonts w:ascii="Times New Roman" w:hAnsi="Times New Roman"/>
          <w:color w:val="000000"/>
          <w:sz w:val="28"/>
          <w:szCs w:val="28"/>
          <w:lang w:val="es-ES"/>
        </w:rPr>
        <w:t>argumentos d</w:t>
      </w:r>
      <w:r w:rsidRPr="006D0761">
        <w:rPr>
          <w:rFonts w:ascii="Times New Roman" w:hAnsi="Times New Roman"/>
          <w:color w:val="000000"/>
          <w:sz w:val="28"/>
          <w:szCs w:val="28"/>
          <w:lang w:val="es-ES"/>
        </w:rPr>
        <w:t>el accionante</w:t>
      </w:r>
      <w:r w:rsidRPr="006D0761">
        <w:rPr>
          <w:rFonts w:ascii="Times New Roman" w:hAnsi="Times New Roman"/>
          <w:color w:val="000000"/>
          <w:sz w:val="28"/>
          <w:szCs w:val="28"/>
          <w:lang w:val="es-ES"/>
        </w:rPr>
        <w:t xml:space="preserve"> se dirigen a</w:t>
      </w:r>
      <w:r w:rsidRPr="006D0761">
        <w:rPr>
          <w:rFonts w:ascii="Times New Roman" w:hAnsi="Times New Roman"/>
          <w:color w:val="000000"/>
          <w:sz w:val="28"/>
          <w:szCs w:val="28"/>
          <w:lang w:val="es-ES"/>
        </w:rPr>
        <w:t xml:space="preserve"> cuestiona</w:t>
      </w:r>
      <w:r w:rsidRPr="006D0761">
        <w:rPr>
          <w:rFonts w:ascii="Times New Roman" w:hAnsi="Times New Roman"/>
          <w:color w:val="000000"/>
          <w:sz w:val="28"/>
          <w:szCs w:val="28"/>
          <w:lang w:val="es-ES"/>
        </w:rPr>
        <w:t>r</w:t>
      </w:r>
      <w:r w:rsidRPr="006D0761">
        <w:rPr>
          <w:rFonts w:ascii="Times New Roman" w:hAnsi="Times New Roman"/>
          <w:color w:val="000000"/>
          <w:sz w:val="28"/>
          <w:szCs w:val="28"/>
          <w:lang w:val="es-ES"/>
        </w:rPr>
        <w:t xml:space="preserve"> la </w:t>
      </w:r>
      <w:r w:rsidRPr="006D0761">
        <w:rPr>
          <w:rFonts w:ascii="Times New Roman" w:hAnsi="Times New Roman"/>
          <w:color w:val="000000"/>
          <w:sz w:val="28"/>
          <w:szCs w:val="28"/>
          <w:lang w:val="es-ES"/>
        </w:rPr>
        <w:t xml:space="preserve">supuesta </w:t>
      </w:r>
      <w:r w:rsidRPr="006D0761">
        <w:rPr>
          <w:rFonts w:ascii="Times New Roman" w:hAnsi="Times New Roman"/>
          <w:color w:val="000000"/>
          <w:sz w:val="28"/>
          <w:szCs w:val="28"/>
          <w:lang w:val="es-ES"/>
        </w:rPr>
        <w:t>implementación del artículo</w:t>
      </w:r>
      <w:r w:rsidRPr="006D0761">
        <w:rPr>
          <w:rFonts w:ascii="Times New Roman" w:hAnsi="Times New Roman"/>
          <w:color w:val="000000"/>
          <w:sz w:val="28"/>
          <w:szCs w:val="28"/>
          <w:lang w:val="es-ES"/>
        </w:rPr>
        <w:t xml:space="preserve"> 12</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aduciendo que genera un trato desigual injustificado. Sostiene que </w:t>
      </w:r>
      <w:r w:rsidRPr="006D0761">
        <w:rPr>
          <w:rFonts w:ascii="Times New Roman" w:hAnsi="Times New Roman"/>
          <w:color w:val="000000"/>
          <w:sz w:val="28"/>
          <w:szCs w:val="28"/>
          <w:lang w:val="es-ES"/>
        </w:rPr>
        <w:t>como c</w:t>
      </w:r>
      <w:r w:rsidRPr="006D0761">
        <w:rPr>
          <w:rFonts w:ascii="Times New Roman" w:hAnsi="Times New Roman"/>
          <w:color w:val="000000"/>
          <w:sz w:val="28"/>
          <w:szCs w:val="28"/>
          <w:lang w:val="es-ES"/>
        </w:rPr>
        <w:t xml:space="preserve">onsecuencia de este </w:t>
      </w:r>
      <w:r w:rsidRPr="006D0761">
        <w:rPr>
          <w:rFonts w:ascii="Times New Roman" w:hAnsi="Times New Roman"/>
          <w:color w:val="000000"/>
          <w:sz w:val="28"/>
          <w:szCs w:val="28"/>
          <w:lang w:val="es-ES"/>
        </w:rPr>
        <w:t>artículo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hoy existen en Colombia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más</w:t>
      </w:r>
      <w:r w:rsidRPr="006D0761">
        <w:rPr>
          <w:rFonts w:ascii="Times New Roman" w:hAnsi="Times New Roman"/>
          <w:color w:val="000000"/>
          <w:sz w:val="28"/>
          <w:szCs w:val="28"/>
          <w:lang w:val="es-ES"/>
        </w:rPr>
        <w:t xml:space="preserve"> de 10 observatorios </w:t>
      </w:r>
      <w:r w:rsidRPr="006D0761">
        <w:rPr>
          <w:rFonts w:ascii="Times New Roman" w:hAnsi="Times New Roman"/>
          <w:color w:val="000000"/>
          <w:sz w:val="28"/>
          <w:szCs w:val="28"/>
          <w:lang w:val="es-ES"/>
        </w:rPr>
        <w:t>sobre</w:t>
      </w:r>
      <w:r w:rsidRPr="006D0761">
        <w:rPr>
          <w:rFonts w:ascii="Times New Roman" w:hAnsi="Times New Roman"/>
          <w:color w:val="000000"/>
          <w:sz w:val="28"/>
          <w:szCs w:val="28"/>
          <w:lang w:val="es-ES"/>
        </w:rPr>
        <w:t xml:space="preserve"> violencia de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que cuentan y divulgan y promueven datos de feminicidio, pero que nadie está cotando a los varones que mueren a manos de sus parejas. </w:t>
      </w:r>
    </w:p>
    <w:p w:rsidR="00E0349E"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E0349E"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Señala que la </w:t>
      </w:r>
      <w:r w:rsidRPr="006D0761">
        <w:rPr>
          <w:rFonts w:ascii="Times New Roman" w:hAnsi="Times New Roman"/>
          <w:color w:val="000000"/>
          <w:sz w:val="28"/>
          <w:szCs w:val="28"/>
          <w:lang w:val="es-ES"/>
        </w:rPr>
        <w:t>información</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pública</w:t>
      </w:r>
      <w:r w:rsidRPr="006D0761">
        <w:rPr>
          <w:rFonts w:ascii="Times New Roman" w:hAnsi="Times New Roman"/>
          <w:color w:val="000000"/>
          <w:sz w:val="28"/>
          <w:szCs w:val="28"/>
          <w:lang w:val="es-ES"/>
        </w:rPr>
        <w:t xml:space="preserve"> es el primer paso para reconocer un problema y que este sea incluido en las </w:t>
      </w:r>
      <w:r w:rsidRPr="006D0761">
        <w:rPr>
          <w:rFonts w:ascii="Times New Roman" w:hAnsi="Times New Roman"/>
          <w:color w:val="000000"/>
          <w:sz w:val="28"/>
          <w:szCs w:val="28"/>
          <w:lang w:val="es-ES"/>
        </w:rPr>
        <w:t>política</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públicas </w:t>
      </w:r>
      <w:r w:rsidRPr="006D0761">
        <w:rPr>
          <w:rFonts w:ascii="Times New Roman" w:hAnsi="Times New Roman"/>
          <w:color w:val="000000"/>
          <w:sz w:val="28"/>
          <w:szCs w:val="28"/>
          <w:lang w:val="es-ES"/>
        </w:rPr>
        <w:t xml:space="preserve">de violencia intrafamiliar y/o de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por lo que la </w:t>
      </w:r>
      <w:r w:rsidRPr="006D0761">
        <w:rPr>
          <w:rFonts w:ascii="Times New Roman" w:hAnsi="Times New Roman"/>
          <w:color w:val="000000"/>
          <w:sz w:val="28"/>
          <w:szCs w:val="28"/>
          <w:lang w:val="es-ES"/>
        </w:rPr>
        <w:t>omisión</w:t>
      </w:r>
      <w:r w:rsidRPr="006D0761">
        <w:rPr>
          <w:rFonts w:ascii="Times New Roman" w:hAnsi="Times New Roman"/>
          <w:color w:val="000000"/>
          <w:sz w:val="28"/>
          <w:szCs w:val="28"/>
          <w:lang w:val="es-ES"/>
        </w:rPr>
        <w:t xml:space="preserve"> mantenida por varias </w:t>
      </w:r>
      <w:r w:rsidRPr="006D0761">
        <w:rPr>
          <w:rFonts w:ascii="Times New Roman" w:hAnsi="Times New Roman"/>
          <w:color w:val="000000"/>
          <w:sz w:val="28"/>
          <w:szCs w:val="28"/>
          <w:lang w:val="es-ES"/>
        </w:rPr>
        <w:t>décadas</w:t>
      </w:r>
      <w:r w:rsidRPr="006D0761">
        <w:rPr>
          <w:rFonts w:ascii="Times New Roman" w:hAnsi="Times New Roman"/>
          <w:color w:val="000000"/>
          <w:sz w:val="28"/>
          <w:szCs w:val="28"/>
          <w:lang w:val="es-ES"/>
        </w:rPr>
        <w:t>, frente a la violencia de género contra los hombres, impide aplicar el art 4° de</w:t>
      </w:r>
      <w:r w:rsidRPr="006D0761">
        <w:rPr>
          <w:rFonts w:ascii="Times New Roman" w:hAnsi="Times New Roman"/>
          <w:color w:val="000000"/>
          <w:sz w:val="28"/>
          <w:szCs w:val="28"/>
          <w:lang w:val="es-ES"/>
        </w:rPr>
        <w:t xml:space="preserve"> la</w:t>
      </w:r>
      <w:r w:rsidRPr="006D0761">
        <w:rPr>
          <w:rFonts w:ascii="Times New Roman" w:hAnsi="Times New Roman"/>
          <w:color w:val="000000"/>
          <w:sz w:val="28"/>
          <w:szCs w:val="28"/>
          <w:lang w:val="es-ES"/>
        </w:rPr>
        <w:t xml:space="preserve"> CEDAW y “con seguridad es la primera responsable de la </w:t>
      </w:r>
      <w:r w:rsidRPr="006D0761">
        <w:rPr>
          <w:rFonts w:ascii="Times New Roman" w:hAnsi="Times New Roman"/>
          <w:color w:val="000000"/>
          <w:sz w:val="28"/>
          <w:szCs w:val="28"/>
          <w:lang w:val="es-ES"/>
        </w:rPr>
        <w:t>discriminació</w:t>
      </w:r>
      <w:r w:rsidRPr="006D0761">
        <w:rPr>
          <w:rFonts w:ascii="Times New Roman" w:hAnsi="Times New Roman"/>
          <w:color w:val="000000"/>
          <w:sz w:val="28"/>
          <w:szCs w:val="28"/>
          <w:lang w:val="es-ES"/>
        </w:rPr>
        <w:t>n</w:t>
      </w:r>
      <w:r w:rsidRPr="006D0761">
        <w:rPr>
          <w:rFonts w:ascii="Times New Roman" w:hAnsi="Times New Roman"/>
          <w:color w:val="000000"/>
          <w:sz w:val="28"/>
          <w:szCs w:val="28"/>
          <w:lang w:val="es-ES"/>
        </w:rPr>
        <w:t xml:space="preserve"> creciente que hoy en </w:t>
      </w:r>
      <w:r w:rsidRPr="006D0761">
        <w:rPr>
          <w:rFonts w:ascii="Times New Roman" w:hAnsi="Times New Roman"/>
          <w:color w:val="000000"/>
          <w:sz w:val="28"/>
          <w:szCs w:val="28"/>
          <w:lang w:val="es-ES"/>
        </w:rPr>
        <w:t>día</w:t>
      </w:r>
      <w:r w:rsidRPr="006D0761">
        <w:rPr>
          <w:rFonts w:ascii="Times New Roman" w:hAnsi="Times New Roman"/>
          <w:color w:val="000000"/>
          <w:sz w:val="28"/>
          <w:szCs w:val="28"/>
          <w:lang w:val="es-ES"/>
        </w:rPr>
        <w:t xml:space="preserve"> sufre el </w:t>
      </w:r>
      <w:r w:rsidRPr="006D0761">
        <w:rPr>
          <w:rFonts w:ascii="Times New Roman" w:hAnsi="Times New Roman"/>
          <w:color w:val="000000"/>
          <w:sz w:val="28"/>
          <w:szCs w:val="28"/>
          <w:lang w:val="es-ES"/>
        </w:rPr>
        <w:t>varón</w:t>
      </w:r>
      <w:r w:rsidRPr="006D0761">
        <w:rPr>
          <w:rFonts w:ascii="Times New Roman" w:hAnsi="Times New Roman"/>
          <w:color w:val="000000"/>
          <w:sz w:val="28"/>
          <w:szCs w:val="28"/>
          <w:lang w:val="es-ES"/>
        </w:rPr>
        <w:t xml:space="preserve"> en la justicia de familia y/o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w:t>
      </w:r>
    </w:p>
    <w:p w:rsidR="008C1E9E"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8C1E9E"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cuanto a </w:t>
      </w:r>
      <w:r w:rsidRPr="006D0761">
        <w:rPr>
          <w:rFonts w:ascii="Times New Roman" w:hAnsi="Times New Roman"/>
          <w:color w:val="000000"/>
          <w:sz w:val="28"/>
          <w:szCs w:val="28"/>
          <w:lang w:val="es-ES"/>
        </w:rPr>
        <w:t>la aptitud del cargo, los argumentos presentados por el accionante se refieren a la implementación que, considera, ha invisibilizado la violencia de género contra</w:t>
      </w:r>
      <w:r w:rsidRPr="006D0761">
        <w:rPr>
          <w:rFonts w:ascii="Times New Roman" w:hAnsi="Times New Roman"/>
          <w:color w:val="000000"/>
          <w:sz w:val="28"/>
          <w:szCs w:val="28"/>
          <w:lang w:val="es-ES"/>
        </w:rPr>
        <w:t xml:space="preserve"> los hombres. Sin embargo, el accionante no explica porqu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dicha implementación es consecuencia directa del significado objetivo y sistemático de la disposición acusada. En realidad, el accionante no hace ninguna referencia concreta al texto de la disposic</w:t>
      </w:r>
      <w:r w:rsidRPr="006D0761">
        <w:rPr>
          <w:rFonts w:ascii="Times New Roman" w:hAnsi="Times New Roman"/>
          <w:color w:val="000000"/>
          <w:sz w:val="28"/>
          <w:szCs w:val="28"/>
          <w:lang w:val="es-ES"/>
        </w:rPr>
        <w:t xml:space="preserve">ión. </w:t>
      </w:r>
      <w:r w:rsidRPr="006D0761">
        <w:rPr>
          <w:rFonts w:ascii="Times New Roman" w:hAnsi="Times New Roman"/>
          <w:color w:val="000000"/>
          <w:sz w:val="28"/>
          <w:szCs w:val="28"/>
          <w:lang w:val="es-ES"/>
        </w:rPr>
        <w:t>De hecho, sus argumentos se sustentan en la multiplicidad de observatorios de género dedicados a la violencia contra mujeres, pero no hace ningún señalamiento concreto respecto del DANE o el INMLCF.</w:t>
      </w:r>
    </w:p>
    <w:p w:rsidR="006E610C"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A12647"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Por otra parte, de la lectura d</w:t>
      </w:r>
      <w:r w:rsidRPr="006D0761">
        <w:rPr>
          <w:rFonts w:ascii="Times New Roman" w:hAnsi="Times New Roman"/>
          <w:color w:val="000000"/>
          <w:sz w:val="28"/>
          <w:szCs w:val="28"/>
          <w:lang w:val="es-ES"/>
        </w:rPr>
        <w:t xml:space="preserve">el texto del artículo 12, se encuentra que el mismo utiliza la expresión “violencia basada en género” sin limitarla específicamente a la mujer, y por lo tanto el texto </w:t>
      </w:r>
      <w:r w:rsidRPr="006D0761">
        <w:rPr>
          <w:rFonts w:ascii="Times New Roman" w:hAnsi="Times New Roman"/>
          <w:color w:val="000000"/>
          <w:sz w:val="28"/>
          <w:szCs w:val="28"/>
          <w:lang w:val="es-ES"/>
        </w:rPr>
        <w:t xml:space="preserve">literal </w:t>
      </w:r>
      <w:r w:rsidRPr="006D0761">
        <w:rPr>
          <w:rFonts w:ascii="Times New Roman" w:hAnsi="Times New Roman"/>
          <w:color w:val="000000"/>
          <w:sz w:val="28"/>
          <w:szCs w:val="28"/>
          <w:lang w:val="es-ES"/>
        </w:rPr>
        <w:t xml:space="preserve">de la disposición acusada no </w:t>
      </w:r>
      <w:r w:rsidRPr="006D0761">
        <w:rPr>
          <w:rFonts w:ascii="Times New Roman" w:hAnsi="Times New Roman"/>
          <w:color w:val="000000"/>
          <w:sz w:val="28"/>
          <w:szCs w:val="28"/>
          <w:lang w:val="es-ES"/>
        </w:rPr>
        <w:t>impide</w:t>
      </w:r>
      <w:r w:rsidRPr="006D0761">
        <w:rPr>
          <w:rFonts w:ascii="Times New Roman" w:hAnsi="Times New Roman"/>
          <w:color w:val="000000"/>
          <w:sz w:val="28"/>
          <w:szCs w:val="28"/>
          <w:lang w:val="es-ES"/>
        </w:rPr>
        <w:t xml:space="preserve"> la posibilidad de incluir en el objeto de la</w:t>
      </w:r>
      <w:r w:rsidRPr="006D0761">
        <w:rPr>
          <w:rFonts w:ascii="Times New Roman" w:hAnsi="Times New Roman"/>
          <w:color w:val="000000"/>
          <w:sz w:val="28"/>
          <w:szCs w:val="28"/>
          <w:lang w:val="es-ES"/>
        </w:rPr>
        <w:t xml:space="preserve">s investigaciones </w:t>
      </w:r>
      <w:r w:rsidRPr="006D0761">
        <w:rPr>
          <w:rFonts w:ascii="Times New Roman" w:hAnsi="Times New Roman"/>
          <w:color w:val="000000"/>
          <w:sz w:val="28"/>
          <w:szCs w:val="28"/>
          <w:lang w:val="es-ES"/>
        </w:rPr>
        <w:t xml:space="preserve">del observatorio </w:t>
      </w:r>
      <w:r w:rsidRPr="006D0761">
        <w:rPr>
          <w:rFonts w:ascii="Times New Roman" w:hAnsi="Times New Roman"/>
          <w:color w:val="000000"/>
          <w:sz w:val="28"/>
          <w:szCs w:val="28"/>
          <w:lang w:val="es-ES"/>
        </w:rPr>
        <w:t xml:space="preserve">la violencia basada en género contra los hombres. </w:t>
      </w:r>
    </w:p>
    <w:p w:rsidR="00A12647" w:rsidRPr="006D0761" w:rsidRDefault="006D0761" w:rsidP="6D224379">
      <w:pPr>
        <w:pStyle w:val="Prrafodelista"/>
        <w:rPr>
          <w:rFonts w:ascii="Times New Roman" w:hAnsi="Times New Roman"/>
          <w:color w:val="000000"/>
          <w:sz w:val="28"/>
          <w:szCs w:val="28"/>
          <w:lang w:val="es-ES"/>
        </w:rPr>
      </w:pPr>
    </w:p>
    <w:p w:rsidR="008C1E9E"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De </w:t>
      </w:r>
      <w:r w:rsidRPr="006D0761">
        <w:rPr>
          <w:rFonts w:ascii="Times New Roman" w:hAnsi="Times New Roman"/>
          <w:color w:val="000000"/>
          <w:sz w:val="28"/>
          <w:szCs w:val="28"/>
          <w:lang w:val="es-ES"/>
        </w:rPr>
        <w:t xml:space="preserve">todo lo anterior </w:t>
      </w:r>
      <w:r w:rsidRPr="006D0761">
        <w:rPr>
          <w:rFonts w:ascii="Times New Roman" w:hAnsi="Times New Roman"/>
          <w:color w:val="000000"/>
          <w:sz w:val="28"/>
          <w:szCs w:val="28"/>
          <w:lang w:val="es-ES"/>
        </w:rPr>
        <w:t xml:space="preserve">se concluye </w:t>
      </w:r>
      <w:r w:rsidRPr="006D0761">
        <w:rPr>
          <w:rFonts w:ascii="Times New Roman" w:hAnsi="Times New Roman"/>
          <w:color w:val="000000"/>
          <w:sz w:val="28"/>
          <w:szCs w:val="28"/>
          <w:lang w:val="es-ES"/>
        </w:rPr>
        <w:t>que el cargo carece de certeza. Nada en la norma implica objetiva o literalmente el sentido que le atribuye el actor. El efecto de que lo</w:t>
      </w:r>
      <w:r w:rsidRPr="006D0761">
        <w:rPr>
          <w:rFonts w:ascii="Times New Roman" w:hAnsi="Times New Roman"/>
          <w:color w:val="000000"/>
          <w:sz w:val="28"/>
          <w:szCs w:val="28"/>
          <w:lang w:val="es-ES"/>
        </w:rPr>
        <w:t>s observatorios sobre violencia de g</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nero se concentren exclusivamente en este tipo de violencia contra la mujer, no es consecuencia directa de la redacción del artículo impugnado.</w:t>
      </w:r>
    </w:p>
    <w:p w:rsidR="008C1E9E"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444AC4"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Ante la falta de certeza de los cargos, </w:t>
      </w:r>
      <w:r w:rsidRPr="006D0761">
        <w:rPr>
          <w:rFonts w:ascii="Times New Roman" w:hAnsi="Times New Roman"/>
          <w:color w:val="000000"/>
          <w:sz w:val="28"/>
          <w:szCs w:val="28"/>
          <w:lang w:val="es-ES"/>
        </w:rPr>
        <w:t>también resulta</w:t>
      </w:r>
      <w:r w:rsidRPr="006D0761">
        <w:rPr>
          <w:rFonts w:ascii="Times New Roman" w:hAnsi="Times New Roman"/>
          <w:color w:val="000000"/>
          <w:sz w:val="28"/>
          <w:szCs w:val="28"/>
          <w:lang w:val="es-ES"/>
        </w:rPr>
        <w:t xml:space="preserve"> carente de pertin</w:t>
      </w:r>
      <w:r w:rsidRPr="006D0761">
        <w:rPr>
          <w:rFonts w:ascii="Times New Roman" w:hAnsi="Times New Roman"/>
          <w:color w:val="000000"/>
          <w:sz w:val="28"/>
          <w:szCs w:val="28"/>
          <w:lang w:val="es-ES"/>
        </w:rPr>
        <w:t>encia</w:t>
      </w:r>
      <w:r w:rsidRPr="006D0761">
        <w:rPr>
          <w:rFonts w:ascii="Times New Roman" w:hAnsi="Times New Roman"/>
          <w:color w:val="000000"/>
          <w:sz w:val="28"/>
          <w:szCs w:val="28"/>
          <w:lang w:val="es-ES"/>
        </w:rPr>
        <w:t xml:space="preserve"> la argumentación </w:t>
      </w:r>
      <w:r w:rsidRPr="006D0761">
        <w:rPr>
          <w:rFonts w:ascii="Times New Roman" w:hAnsi="Times New Roman"/>
          <w:color w:val="000000"/>
          <w:sz w:val="28"/>
          <w:szCs w:val="28"/>
          <w:lang w:val="es-ES"/>
        </w:rPr>
        <w:t xml:space="preserve">del accionante puesto que se sostienen en un concepto </w:t>
      </w:r>
      <w:r w:rsidRPr="006D0761">
        <w:rPr>
          <w:rFonts w:ascii="Times New Roman" w:hAnsi="Times New Roman"/>
          <w:color w:val="000000"/>
          <w:sz w:val="28"/>
          <w:szCs w:val="28"/>
          <w:lang w:val="es-ES"/>
        </w:rPr>
        <w:t xml:space="preserve">subjetivo </w:t>
      </w:r>
      <w:r w:rsidRPr="006D0761">
        <w:rPr>
          <w:rFonts w:ascii="Times New Roman" w:hAnsi="Times New Roman"/>
          <w:color w:val="000000"/>
          <w:sz w:val="28"/>
          <w:szCs w:val="28"/>
          <w:lang w:val="es-ES"/>
        </w:rPr>
        <w:t xml:space="preserve">del </w:t>
      </w:r>
      <w:r w:rsidRPr="006D0761">
        <w:rPr>
          <w:rFonts w:ascii="Times New Roman" w:hAnsi="Times New Roman"/>
          <w:color w:val="000000"/>
          <w:sz w:val="28"/>
          <w:szCs w:val="28"/>
          <w:lang w:val="es-ES"/>
        </w:rPr>
        <w:t>derecho a la</w:t>
      </w:r>
      <w:r w:rsidRPr="006D0761">
        <w:rPr>
          <w:rFonts w:ascii="Times New Roman" w:hAnsi="Times New Roman"/>
          <w:color w:val="000000"/>
          <w:sz w:val="28"/>
          <w:szCs w:val="28"/>
          <w:lang w:val="es-ES"/>
        </w:rPr>
        <w:t xml:space="preserve"> igualdad</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pero</w:t>
      </w:r>
      <w:r w:rsidRPr="006D0761">
        <w:rPr>
          <w:rFonts w:ascii="Times New Roman" w:hAnsi="Times New Roman"/>
          <w:color w:val="000000"/>
          <w:sz w:val="28"/>
          <w:szCs w:val="28"/>
          <w:lang w:val="es-ES"/>
        </w:rPr>
        <w:t xml:space="preserve"> no aborda el actual </w:t>
      </w:r>
      <w:r w:rsidRPr="006D0761">
        <w:rPr>
          <w:rFonts w:ascii="Times New Roman" w:hAnsi="Times New Roman"/>
          <w:i/>
          <w:iCs/>
          <w:color w:val="000000"/>
          <w:sz w:val="28"/>
          <w:szCs w:val="28"/>
          <w:lang w:val="es-ES"/>
        </w:rPr>
        <w:t>corpus iuris</w:t>
      </w:r>
      <w:r w:rsidRPr="006D0761">
        <w:rPr>
          <w:rFonts w:ascii="Times New Roman" w:hAnsi="Times New Roman"/>
          <w:color w:val="000000"/>
          <w:sz w:val="28"/>
          <w:szCs w:val="28"/>
          <w:lang w:val="es-ES"/>
        </w:rPr>
        <w:t xml:space="preserve"> normativo</w:t>
      </w:r>
      <w:r w:rsidRPr="006D0761">
        <w:rPr>
          <w:rFonts w:ascii="Times New Roman" w:hAnsi="Times New Roman"/>
          <w:color w:val="000000"/>
          <w:sz w:val="28"/>
          <w:szCs w:val="28"/>
          <w:lang w:val="es-ES"/>
        </w:rPr>
        <w:t xml:space="preserve"> y jurisprude</w:t>
      </w:r>
      <w:r w:rsidRPr="006D0761">
        <w:rPr>
          <w:rFonts w:ascii="Times New Roman" w:hAnsi="Times New Roman"/>
          <w:color w:val="000000"/>
          <w:sz w:val="28"/>
          <w:szCs w:val="28"/>
          <w:lang w:val="es-ES"/>
        </w:rPr>
        <w:t>n</w:t>
      </w:r>
      <w:r w:rsidRPr="006D0761">
        <w:rPr>
          <w:rFonts w:ascii="Times New Roman" w:hAnsi="Times New Roman"/>
          <w:color w:val="000000"/>
          <w:sz w:val="28"/>
          <w:szCs w:val="28"/>
          <w:lang w:val="es-ES"/>
        </w:rPr>
        <w:t>cial</w:t>
      </w:r>
      <w:r w:rsidRPr="006D0761">
        <w:rPr>
          <w:rFonts w:ascii="Times New Roman" w:hAnsi="Times New Roman"/>
          <w:color w:val="000000"/>
          <w:sz w:val="28"/>
          <w:szCs w:val="28"/>
          <w:lang w:val="es-ES"/>
        </w:rPr>
        <w:t xml:space="preserve"> que </w:t>
      </w:r>
      <w:r w:rsidRPr="006D0761">
        <w:rPr>
          <w:rFonts w:ascii="Times New Roman" w:hAnsi="Times New Roman"/>
          <w:color w:val="000000"/>
          <w:sz w:val="28"/>
          <w:szCs w:val="28"/>
          <w:lang w:val="es-ES"/>
        </w:rPr>
        <w:t xml:space="preserve">enmarca la obligación </w:t>
      </w:r>
      <w:r w:rsidRPr="006D0761">
        <w:rPr>
          <w:rFonts w:ascii="Times New Roman" w:hAnsi="Times New Roman"/>
          <w:color w:val="000000"/>
          <w:sz w:val="28"/>
          <w:szCs w:val="28"/>
          <w:lang w:val="es-ES"/>
        </w:rPr>
        <w:t xml:space="preserve">de prevenir, investigar y erradicar la violencia </w:t>
      </w:r>
      <w:r w:rsidRPr="006D0761">
        <w:rPr>
          <w:rFonts w:ascii="Times New Roman" w:hAnsi="Times New Roman"/>
          <w:color w:val="000000"/>
          <w:sz w:val="28"/>
          <w:szCs w:val="28"/>
          <w:lang w:val="es-ES"/>
        </w:rPr>
        <w:t>contra la mujer.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Por todo ello, la Sala concluye que el cargo contra el artículo 12 carece de aptitud para su examen.</w:t>
      </w:r>
    </w:p>
    <w:p w:rsidR="00444AC4" w:rsidRPr="006D0761" w:rsidRDefault="006D0761" w:rsidP="6D224379">
      <w:pPr>
        <w:pStyle w:val="Prrafodelista"/>
        <w:ind w:left="0"/>
        <w:jc w:val="both"/>
        <w:rPr>
          <w:rFonts w:ascii="Times New Roman" w:hAnsi="Times New Roman"/>
          <w:color w:val="000000"/>
          <w:sz w:val="28"/>
          <w:szCs w:val="28"/>
          <w:lang w:val="es-ES"/>
        </w:rPr>
      </w:pPr>
    </w:p>
    <w:p w:rsidR="00744AF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Por otra parte, e</w:t>
      </w:r>
      <w:r w:rsidRPr="006D0761">
        <w:rPr>
          <w:rFonts w:ascii="Times New Roman" w:hAnsi="Times New Roman"/>
          <w:color w:val="000000"/>
          <w:sz w:val="28"/>
          <w:szCs w:val="28"/>
          <w:lang w:val="es-ES"/>
        </w:rPr>
        <w:t>l planteamiento del accionante según el cual la información pública existente y disponible sobre el fenómeno de violenci</w:t>
      </w:r>
      <w:r w:rsidRPr="006D0761">
        <w:rPr>
          <w:rFonts w:ascii="Times New Roman" w:hAnsi="Times New Roman"/>
          <w:color w:val="000000"/>
          <w:sz w:val="28"/>
          <w:szCs w:val="28"/>
          <w:lang w:val="es-ES"/>
        </w:rPr>
        <w:t>a contra los hombres es escaza o nula plantea una cuestión interesante. El accionante tiene razón al señalar que la información pública es el primer paso para reconocer un problema y que este sea incluido en las políticas públicas. En efecto, el fenómeno d</w:t>
      </w:r>
      <w:r w:rsidRPr="006D0761">
        <w:rPr>
          <w:rFonts w:ascii="Times New Roman" w:hAnsi="Times New Roman"/>
          <w:color w:val="000000"/>
          <w:sz w:val="28"/>
          <w:szCs w:val="28"/>
          <w:lang w:val="es-ES"/>
        </w:rPr>
        <w:t>e la violencia de género contra los hombres es una realidad, pero la sustantiva diferencia cuantitativa y en particular las particulares características cualitativas de este tipo de violencia tanto en sus motivaciones como en sus formas</w:t>
      </w:r>
      <w:r w:rsidRPr="006D0761">
        <w:rPr>
          <w:rFonts w:ascii="Times New Roman" w:hAnsi="Times New Roman"/>
          <w:color w:val="000000"/>
          <w:sz w:val="28"/>
          <w:szCs w:val="28"/>
          <w:lang w:val="es-ES"/>
        </w:rPr>
        <w:t>, duración</w:t>
      </w:r>
      <w:r w:rsidRPr="006D0761">
        <w:rPr>
          <w:rFonts w:ascii="Times New Roman" w:hAnsi="Times New Roman"/>
          <w:color w:val="000000"/>
          <w:sz w:val="28"/>
          <w:szCs w:val="28"/>
          <w:lang w:val="es-ES"/>
        </w:rPr>
        <w:t xml:space="preserve"> y lesivid</w:t>
      </w:r>
      <w:r w:rsidRPr="006D0761">
        <w:rPr>
          <w:rFonts w:ascii="Times New Roman" w:hAnsi="Times New Roman"/>
          <w:color w:val="000000"/>
          <w:sz w:val="28"/>
          <w:szCs w:val="28"/>
          <w:lang w:val="es-ES"/>
        </w:rPr>
        <w:t xml:space="preserve">ad, son algunas de las razones que han incidido en la necesidad de generar acciones afirmativas enfocadas en prevenir y erradicar la violencia contra la mujer como un problema de la mayor magnitud y gravedad. </w:t>
      </w:r>
    </w:p>
    <w:p w:rsidR="00744AFF" w:rsidRPr="006D0761" w:rsidRDefault="006D0761" w:rsidP="6D224379">
      <w:pPr>
        <w:pStyle w:val="Prrafodelista"/>
        <w:ind w:left="0"/>
        <w:jc w:val="both"/>
        <w:rPr>
          <w:rFonts w:ascii="Times New Roman" w:hAnsi="Times New Roman"/>
          <w:color w:val="000000"/>
          <w:sz w:val="28"/>
          <w:szCs w:val="28"/>
          <w:lang w:val="es-ES"/>
        </w:rPr>
      </w:pPr>
    </w:p>
    <w:p w:rsidR="00744AF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Ahora bien, dado el carácter evolutivo y </w:t>
      </w:r>
      <w:r w:rsidRPr="006D0761">
        <w:rPr>
          <w:rFonts w:ascii="Times New Roman" w:hAnsi="Times New Roman"/>
          <w:color w:val="000000"/>
          <w:sz w:val="28"/>
          <w:szCs w:val="28"/>
          <w:lang w:val="es-ES"/>
        </w:rPr>
        <w:t>optimiza</w:t>
      </w:r>
      <w:r w:rsidRPr="006D0761">
        <w:rPr>
          <w:rFonts w:ascii="Times New Roman" w:hAnsi="Times New Roman"/>
          <w:color w:val="000000"/>
          <w:sz w:val="28"/>
          <w:szCs w:val="28"/>
          <w:lang w:val="es-ES"/>
        </w:rPr>
        <w:t>dor</w:t>
      </w:r>
      <w:r w:rsidRPr="006D0761">
        <w:rPr>
          <w:rFonts w:ascii="Times New Roman" w:hAnsi="Times New Roman"/>
          <w:color w:val="000000"/>
          <w:sz w:val="28"/>
          <w:szCs w:val="28"/>
          <w:lang w:val="es-ES"/>
        </w:rPr>
        <w:t xml:space="preserve"> de </w:t>
      </w:r>
      <w:r w:rsidRPr="006D0761">
        <w:rPr>
          <w:rFonts w:ascii="Times New Roman" w:hAnsi="Times New Roman"/>
          <w:color w:val="000000"/>
          <w:sz w:val="28"/>
          <w:szCs w:val="28"/>
          <w:lang w:val="es-ES"/>
        </w:rPr>
        <w:t>los mandatos</w:t>
      </w:r>
      <w:r w:rsidRPr="006D0761">
        <w:rPr>
          <w:rFonts w:ascii="Times New Roman" w:hAnsi="Times New Roman"/>
          <w:color w:val="000000"/>
          <w:sz w:val="28"/>
          <w:szCs w:val="28"/>
          <w:lang w:val="es-ES"/>
        </w:rPr>
        <w:t xml:space="preserve"> sobre derechos humanos, es evidente que los deberes de respeto y protección no pueden quedar estáticos, sino que es necesario avanzar en su eficacia y también en su cobertura.  En ese sentido el derecho a una vida libre de violencias ha tenido una especia</w:t>
      </w:r>
      <w:r w:rsidRPr="006D0761">
        <w:rPr>
          <w:rFonts w:ascii="Times New Roman" w:hAnsi="Times New Roman"/>
          <w:color w:val="000000"/>
          <w:sz w:val="28"/>
          <w:szCs w:val="28"/>
          <w:lang w:val="es-ES"/>
        </w:rPr>
        <w:t>l connotación en cuanto a las mujeres por la evidencia de una realidad palpable en que los feminicidios eran socialmente tolerados y la impunidad se convertía en la regla</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perpetuando estigmas patriarcales que justificaban la violencia contra la mujer bajo</w:t>
      </w:r>
      <w:r w:rsidRPr="006D0761">
        <w:rPr>
          <w:rFonts w:ascii="Times New Roman" w:hAnsi="Times New Roman"/>
          <w:color w:val="000000"/>
          <w:sz w:val="28"/>
          <w:szCs w:val="28"/>
          <w:lang w:val="es-ES"/>
        </w:rPr>
        <w:t xml:space="preserve"> excusas como la ira, el intenso dolor o la defensa del honor. El feminicidio, generalmente es el punto final de un ciclo de diversos tipos de violencias perpetuados contra víctimas cuya capacidad de resistir se va minimizando hasta anularla completamente </w:t>
      </w:r>
      <w:r w:rsidRPr="006D0761">
        <w:rPr>
          <w:rFonts w:ascii="Times New Roman" w:hAnsi="Times New Roman"/>
          <w:color w:val="000000"/>
          <w:sz w:val="28"/>
          <w:szCs w:val="28"/>
          <w:lang w:val="es-ES"/>
        </w:rPr>
        <w:t xml:space="preserve">y es en este escenario de extrema desigualdad en donde se hace indispensable una </w:t>
      </w:r>
      <w:r w:rsidRPr="006D0761">
        <w:rPr>
          <w:rFonts w:ascii="Times New Roman" w:hAnsi="Times New Roman"/>
          <w:color w:val="000000"/>
          <w:sz w:val="28"/>
          <w:szCs w:val="28"/>
          <w:lang w:val="es-ES"/>
        </w:rPr>
        <w:t xml:space="preserve">medida </w:t>
      </w:r>
      <w:r w:rsidRPr="006D0761">
        <w:rPr>
          <w:rFonts w:ascii="Times New Roman" w:hAnsi="Times New Roman"/>
          <w:color w:val="000000"/>
          <w:sz w:val="28"/>
          <w:szCs w:val="28"/>
          <w:lang w:val="es-ES"/>
        </w:rPr>
        <w:t xml:space="preserve">que permita una actuación diligente y especializada de la justicia. </w:t>
      </w:r>
    </w:p>
    <w:p w:rsidR="00744AFF" w:rsidRPr="006D0761" w:rsidRDefault="006D0761" w:rsidP="6D224379">
      <w:pPr>
        <w:pStyle w:val="Prrafodelista"/>
        <w:ind w:left="0"/>
        <w:jc w:val="both"/>
        <w:rPr>
          <w:rFonts w:ascii="Times New Roman" w:hAnsi="Times New Roman"/>
          <w:color w:val="000000"/>
          <w:sz w:val="28"/>
          <w:szCs w:val="28"/>
          <w:lang w:val="es-ES"/>
        </w:rPr>
      </w:pPr>
    </w:p>
    <w:p w:rsidR="00744AF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Sin perjuicio de lo anterior, la lucha contra la violencia de género contra la mujer no </w:t>
      </w:r>
      <w:r w:rsidRPr="006D0761">
        <w:rPr>
          <w:rFonts w:ascii="Times New Roman" w:hAnsi="Times New Roman"/>
          <w:color w:val="000000"/>
          <w:sz w:val="28"/>
          <w:szCs w:val="28"/>
          <w:lang w:val="es-ES"/>
        </w:rPr>
        <w:t xml:space="preserve">es </w:t>
      </w:r>
      <w:r w:rsidRPr="006D0761">
        <w:rPr>
          <w:rFonts w:ascii="Times New Roman" w:hAnsi="Times New Roman"/>
          <w:color w:val="000000"/>
          <w:sz w:val="28"/>
          <w:szCs w:val="28"/>
          <w:lang w:val="es-ES"/>
        </w:rPr>
        <w:t>una ba</w:t>
      </w:r>
      <w:r w:rsidRPr="006D0761">
        <w:rPr>
          <w:rFonts w:ascii="Times New Roman" w:hAnsi="Times New Roman"/>
          <w:color w:val="000000"/>
          <w:sz w:val="28"/>
          <w:szCs w:val="28"/>
          <w:lang w:val="es-ES"/>
        </w:rPr>
        <w:t xml:space="preserve">rrera para dejar de investigar el fenómeno de la violencia de género contra los hombres. </w:t>
      </w:r>
      <w:r w:rsidRPr="006D0761">
        <w:rPr>
          <w:rFonts w:ascii="Times New Roman" w:hAnsi="Times New Roman"/>
          <w:color w:val="000000"/>
          <w:sz w:val="28"/>
          <w:szCs w:val="28"/>
          <w:lang w:val="es-ES"/>
        </w:rPr>
        <w:t>Sin lugar a duda</w:t>
      </w:r>
      <w:r w:rsidRPr="006D0761">
        <w:rPr>
          <w:rFonts w:ascii="Times New Roman" w:hAnsi="Times New Roman"/>
          <w:color w:val="000000"/>
          <w:sz w:val="28"/>
          <w:szCs w:val="28"/>
          <w:lang w:val="es-ES"/>
        </w:rPr>
        <w:t xml:space="preserve"> se trata de un fenómeno diferente, con unos modos e impactos que distan en </w:t>
      </w:r>
      <w:r w:rsidRPr="006D0761">
        <w:rPr>
          <w:rFonts w:ascii="Times New Roman" w:hAnsi="Times New Roman"/>
          <w:color w:val="000000"/>
          <w:sz w:val="28"/>
          <w:szCs w:val="28"/>
          <w:lang w:val="es-ES"/>
        </w:rPr>
        <w:t xml:space="preserve">gran medida </w:t>
      </w:r>
      <w:r w:rsidRPr="006D0761">
        <w:rPr>
          <w:rFonts w:ascii="Times New Roman" w:hAnsi="Times New Roman"/>
          <w:color w:val="000000"/>
          <w:sz w:val="28"/>
          <w:szCs w:val="28"/>
          <w:lang w:val="es-ES"/>
        </w:rPr>
        <w:t>de las características de la violencia contra las mujeres y que</w:t>
      </w:r>
      <w:r w:rsidRPr="006D0761">
        <w:rPr>
          <w:rFonts w:ascii="Times New Roman" w:hAnsi="Times New Roman"/>
          <w:color w:val="000000"/>
          <w:sz w:val="28"/>
          <w:szCs w:val="28"/>
          <w:lang w:val="es-ES"/>
        </w:rPr>
        <w:t xml:space="preserve"> lejos de estar autorizados por los estándares predominantes de género, son generalmente rechazados. </w:t>
      </w:r>
    </w:p>
    <w:p w:rsidR="00744AFF" w:rsidRPr="006D0761" w:rsidRDefault="006D0761" w:rsidP="6D224379">
      <w:pPr>
        <w:pStyle w:val="Prrafodelista"/>
        <w:ind w:left="0"/>
        <w:jc w:val="both"/>
        <w:rPr>
          <w:rFonts w:ascii="Times New Roman" w:hAnsi="Times New Roman"/>
          <w:color w:val="000000"/>
          <w:sz w:val="28"/>
          <w:szCs w:val="28"/>
          <w:lang w:val="es-ES"/>
        </w:rPr>
      </w:pPr>
    </w:p>
    <w:p w:rsidR="00744AF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Pero la falta de magnitud del problema no implica que deba invisibilizarse. El derecho a una vida libre de violencia también le pertenece a los hombres y</w:t>
      </w:r>
      <w:r w:rsidRPr="006D0761">
        <w:rPr>
          <w:rFonts w:ascii="Times New Roman" w:hAnsi="Times New Roman"/>
          <w:color w:val="000000"/>
          <w:sz w:val="28"/>
          <w:szCs w:val="28"/>
          <w:lang w:val="es-ES"/>
        </w:rPr>
        <w:t xml:space="preserve"> niños, y su investigación y visibili</w:t>
      </w:r>
      <w:r w:rsidRPr="006D0761">
        <w:rPr>
          <w:rFonts w:ascii="Times New Roman" w:hAnsi="Times New Roman"/>
          <w:color w:val="000000"/>
          <w:sz w:val="28"/>
          <w:szCs w:val="28"/>
          <w:lang w:val="es-ES"/>
        </w:rPr>
        <w:t>dad</w:t>
      </w:r>
      <w:r w:rsidRPr="006D0761">
        <w:rPr>
          <w:rFonts w:ascii="Times New Roman" w:hAnsi="Times New Roman"/>
          <w:color w:val="000000"/>
          <w:sz w:val="28"/>
          <w:szCs w:val="28"/>
          <w:lang w:val="es-ES"/>
        </w:rPr>
        <w:t xml:space="preserve"> permitirían comprender el fenómeno y adecuar, de ser necesario, la normatividad para contrarrestarlo.</w:t>
      </w:r>
      <w:r w:rsidRPr="006D0761">
        <w:rPr>
          <w:rFonts w:ascii="Times New Roman" w:hAnsi="Times New Roman"/>
          <w:color w:val="000000"/>
          <w:sz w:val="28"/>
          <w:szCs w:val="28"/>
          <w:lang w:val="es-ES"/>
        </w:rPr>
        <w:t xml:space="preserve"> </w:t>
      </w:r>
    </w:p>
    <w:p w:rsidR="00EE19E7" w:rsidRPr="006D0761" w:rsidRDefault="006D0761" w:rsidP="00EB501B">
      <w:pPr>
        <w:rPr>
          <w:rFonts w:ascii="Times New Roman" w:hAnsi="Times New Roman"/>
          <w:b/>
          <w:bCs/>
          <w:color w:val="000000"/>
          <w:sz w:val="28"/>
          <w:szCs w:val="28"/>
          <w:lang w:val="es-ES"/>
        </w:rPr>
      </w:pPr>
    </w:p>
    <w:p w:rsidR="00EE19E7" w:rsidRPr="006D0761" w:rsidRDefault="006D0761" w:rsidP="00EB501B">
      <w:pPr>
        <w:pStyle w:val="Ttulo3"/>
        <w:numPr>
          <w:ilvl w:val="1"/>
          <w:numId w:val="4"/>
        </w:numPr>
        <w:ind w:left="0" w:firstLine="0"/>
        <w:rPr>
          <w:rFonts w:ascii="Times New Roman" w:hAnsi="Times New Roman"/>
          <w:b w:val="0"/>
          <w:sz w:val="28"/>
          <w:szCs w:val="28"/>
          <w:lang w:val="es-ES"/>
        </w:rPr>
      </w:pPr>
      <w:bookmarkStart w:id="20" w:name="_Toc220572676"/>
      <w:r w:rsidRPr="006D0761">
        <w:rPr>
          <w:rFonts w:ascii="Times New Roman" w:hAnsi="Times New Roman"/>
          <w:sz w:val="28"/>
          <w:szCs w:val="28"/>
          <w:lang w:val="es-ES"/>
        </w:rPr>
        <w:t>S</w:t>
      </w:r>
      <w:r w:rsidRPr="006D0761">
        <w:rPr>
          <w:rFonts w:ascii="Times New Roman" w:hAnsi="Times New Roman"/>
          <w:sz w:val="28"/>
          <w:szCs w:val="28"/>
          <w:lang w:val="es-ES"/>
        </w:rPr>
        <w:t>egundo cargo: violación a la temporalidad de una medida afirmativa</w:t>
      </w:r>
      <w:bookmarkEnd w:id="20"/>
    </w:p>
    <w:p w:rsidR="00EE19E7" w:rsidRPr="006D0761" w:rsidRDefault="006D0761" w:rsidP="6D224379">
      <w:pPr>
        <w:pStyle w:val="NormalWeb"/>
        <w:spacing w:before="0" w:beforeAutospacing="0" w:after="0" w:afterAutospacing="0"/>
        <w:jc w:val="both"/>
        <w:rPr>
          <w:rFonts w:ascii="Times New Roman" w:hAnsi="Times New Roman"/>
          <w:b/>
          <w:bCs/>
          <w:color w:val="000000"/>
          <w:sz w:val="28"/>
          <w:szCs w:val="28"/>
          <w:lang w:val="es-ES"/>
        </w:rPr>
      </w:pPr>
    </w:p>
    <w:p w:rsidR="00EB555F"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b/>
          <w:bCs/>
          <w:color w:val="000000"/>
          <w:sz w:val="28"/>
          <w:szCs w:val="28"/>
          <w:lang w:val="es-ES"/>
        </w:rPr>
        <w:t>Cargo c</w:t>
      </w:r>
      <w:r w:rsidRPr="006D0761">
        <w:rPr>
          <w:rFonts w:ascii="Times New Roman" w:hAnsi="Times New Roman"/>
          <w:b/>
          <w:bCs/>
          <w:color w:val="000000"/>
          <w:sz w:val="28"/>
          <w:szCs w:val="28"/>
          <w:lang w:val="es-ES"/>
        </w:rPr>
        <w:t xml:space="preserve">ontra el artículo 13 y contra la totalidad de la norma </w:t>
      </w:r>
      <w:r w:rsidRPr="006D0761">
        <w:rPr>
          <w:rFonts w:ascii="Times New Roman" w:hAnsi="Times New Roman"/>
          <w:color w:val="000000"/>
          <w:sz w:val="28"/>
          <w:szCs w:val="28"/>
          <w:lang w:val="es-ES"/>
        </w:rPr>
        <w:t xml:space="preserve">por no especificar la duración temporal de la medida dada su </w:t>
      </w:r>
      <w:r w:rsidRPr="006D0761">
        <w:rPr>
          <w:rFonts w:ascii="Times New Roman" w:hAnsi="Times New Roman"/>
          <w:color w:val="000000"/>
          <w:sz w:val="28"/>
          <w:szCs w:val="28"/>
          <w:lang w:val="es-ES"/>
        </w:rPr>
        <w:t xml:space="preserve">supuesta </w:t>
      </w:r>
      <w:r w:rsidRPr="006D0761">
        <w:rPr>
          <w:rFonts w:ascii="Times New Roman" w:hAnsi="Times New Roman"/>
          <w:color w:val="000000"/>
          <w:sz w:val="28"/>
          <w:szCs w:val="28"/>
          <w:lang w:val="es-ES"/>
        </w:rPr>
        <w:t>naturaleza de acción afirmativa.</w:t>
      </w:r>
    </w:p>
    <w:p w:rsidR="00EB555F" w:rsidRPr="006D0761" w:rsidRDefault="006D0761" w:rsidP="6D224379">
      <w:pPr>
        <w:pStyle w:val="Prrafodelista"/>
        <w:ind w:left="0"/>
        <w:jc w:val="both"/>
        <w:rPr>
          <w:rFonts w:ascii="Times New Roman" w:hAnsi="Times New Roman"/>
          <w:color w:val="000000"/>
          <w:sz w:val="28"/>
          <w:szCs w:val="28"/>
          <w:lang w:val="es-ES"/>
        </w:rPr>
      </w:pPr>
    </w:p>
    <w:p w:rsidR="007456EE"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Desde el inicio de la demanda, el</w:t>
      </w:r>
      <w:r w:rsidRPr="006D0761">
        <w:rPr>
          <w:rFonts w:ascii="Times New Roman" w:hAnsi="Times New Roman"/>
          <w:color w:val="000000"/>
          <w:sz w:val="28"/>
          <w:szCs w:val="28"/>
          <w:lang w:val="es-ES"/>
        </w:rPr>
        <w:t xml:space="preserve"> accionante</w:t>
      </w:r>
      <w:r w:rsidRPr="006D0761">
        <w:rPr>
          <w:rFonts w:ascii="Times New Roman" w:hAnsi="Times New Roman"/>
          <w:color w:val="000000"/>
          <w:sz w:val="28"/>
          <w:szCs w:val="28"/>
          <w:lang w:val="es-ES"/>
        </w:rPr>
        <w:t xml:space="preserve"> cuestiona</w:t>
      </w:r>
      <w:r w:rsidRPr="006D0761">
        <w:rPr>
          <w:rFonts w:ascii="Times New Roman" w:hAnsi="Times New Roman"/>
          <w:color w:val="000000"/>
          <w:sz w:val="28"/>
          <w:szCs w:val="28"/>
          <w:lang w:val="es-ES"/>
        </w:rPr>
        <w:t xml:space="preserve"> que la</w:t>
      </w:r>
      <w:r w:rsidRPr="006D0761">
        <w:rPr>
          <w:rFonts w:ascii="Times New Roman" w:hAnsi="Times New Roman"/>
          <w:color w:val="000000"/>
          <w:sz w:val="28"/>
          <w:szCs w:val="28"/>
          <w:lang w:val="es-ES"/>
        </w:rPr>
        <w:t xml:space="preserve"> falta de transitoriedad de la ley p</w:t>
      </w:r>
      <w:r w:rsidRPr="006D0761">
        <w:rPr>
          <w:rFonts w:ascii="Times New Roman" w:hAnsi="Times New Roman"/>
          <w:color w:val="000000"/>
          <w:sz w:val="28"/>
          <w:szCs w:val="28"/>
          <w:lang w:val="es-ES"/>
        </w:rPr>
        <w:t>or considerar que se trata de una acción afirmativa que, por lo tanto, requiere de un sistema de revisión constante y una duración limitada a las condiciones que la justifican. Por otra parte, también impugna</w:t>
      </w:r>
      <w:r w:rsidRPr="006D0761">
        <w:rPr>
          <w:rFonts w:ascii="Times New Roman" w:hAnsi="Times New Roman"/>
          <w:color w:val="000000"/>
          <w:sz w:val="28"/>
          <w:szCs w:val="28"/>
          <w:lang w:val="es-ES"/>
        </w:rPr>
        <w:t xml:space="preserve"> la </w:t>
      </w:r>
      <w:r w:rsidRPr="006D0761">
        <w:rPr>
          <w:rFonts w:ascii="Times New Roman" w:hAnsi="Times New Roman"/>
          <w:color w:val="000000"/>
          <w:sz w:val="28"/>
          <w:szCs w:val="28"/>
          <w:lang w:val="es-ES"/>
        </w:rPr>
        <w:t xml:space="preserve">constitucionalidad </w:t>
      </w:r>
      <w:r w:rsidRPr="006D0761">
        <w:rPr>
          <w:rFonts w:ascii="Times New Roman" w:hAnsi="Times New Roman"/>
          <w:color w:val="000000"/>
          <w:sz w:val="28"/>
          <w:szCs w:val="28"/>
          <w:lang w:val="es-ES"/>
        </w:rPr>
        <w:t>del art 13</w:t>
      </w:r>
      <w:r w:rsidRPr="006D0761">
        <w:rPr>
          <w:rStyle w:val="Refdenotaalpie"/>
          <w:rFonts w:ascii="Times New Roman" w:hAnsi="Times New Roman"/>
          <w:color w:val="000000"/>
          <w:sz w:val="28"/>
          <w:szCs w:val="28"/>
          <w:lang w:val="es-ES"/>
        </w:rPr>
        <w:footnoteReference w:id="80"/>
      </w:r>
      <w:r w:rsidRPr="006D0761">
        <w:rPr>
          <w:rFonts w:ascii="Times New Roman" w:hAnsi="Times New Roman"/>
          <w:color w:val="000000"/>
          <w:sz w:val="28"/>
          <w:szCs w:val="28"/>
          <w:lang w:val="es-ES"/>
        </w:rPr>
        <w:t xml:space="preserve"> de la Ley 1761 de </w:t>
      </w:r>
      <w:r w:rsidRPr="006D0761">
        <w:rPr>
          <w:rFonts w:ascii="Times New Roman" w:hAnsi="Times New Roman"/>
          <w:color w:val="000000"/>
          <w:sz w:val="28"/>
          <w:szCs w:val="28"/>
          <w:lang w:val="es-ES"/>
        </w:rPr>
        <w:t>2015 puesto</w:t>
      </w:r>
      <w:r w:rsidRPr="006D0761">
        <w:rPr>
          <w:rFonts w:ascii="Times New Roman" w:hAnsi="Times New Roman"/>
          <w:color w:val="000000"/>
          <w:sz w:val="28"/>
          <w:szCs w:val="28"/>
          <w:lang w:val="es-ES"/>
        </w:rPr>
        <w:t xml:space="preserve"> que no </w:t>
      </w:r>
      <w:r w:rsidRPr="006D0761">
        <w:rPr>
          <w:rFonts w:ascii="Times New Roman" w:hAnsi="Times New Roman"/>
          <w:i/>
          <w:iCs/>
          <w:color w:val="000000"/>
          <w:sz w:val="28"/>
          <w:szCs w:val="28"/>
          <w:lang w:val="es-ES"/>
        </w:rPr>
        <w:t xml:space="preserve">instrumentaliza </w:t>
      </w:r>
      <w:r w:rsidRPr="006D0761">
        <w:rPr>
          <w:rFonts w:ascii="Times New Roman" w:hAnsi="Times New Roman"/>
          <w:color w:val="000000"/>
          <w:sz w:val="28"/>
          <w:szCs w:val="28"/>
          <w:lang w:val="es-ES"/>
        </w:rPr>
        <w:t>el art 4° de la CEDAW</w:t>
      </w:r>
      <w:r w:rsidRPr="006D0761">
        <w:rPr>
          <w:rStyle w:val="Refdenotaalpie"/>
          <w:rFonts w:ascii="Times New Roman" w:hAnsi="Times New Roman"/>
          <w:color w:val="000000"/>
          <w:sz w:val="28"/>
          <w:szCs w:val="28"/>
          <w:lang w:val="es-ES"/>
        </w:rPr>
        <w:footnoteReference w:id="81"/>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Sostiene al respecto que “Al no habilitar la temporalidad por parte de este </w:t>
      </w:r>
      <w:r w:rsidRPr="006D0761">
        <w:rPr>
          <w:rFonts w:ascii="Times New Roman" w:hAnsi="Times New Roman"/>
          <w:color w:val="000000"/>
          <w:sz w:val="28"/>
          <w:szCs w:val="28"/>
          <w:lang w:val="es-ES"/>
        </w:rPr>
        <w:t>artículo</w:t>
      </w:r>
      <w:r w:rsidRPr="006D0761">
        <w:rPr>
          <w:rFonts w:ascii="Times New Roman" w:hAnsi="Times New Roman"/>
          <w:color w:val="000000"/>
          <w:sz w:val="28"/>
          <w:szCs w:val="28"/>
          <w:lang w:val="es-ES"/>
        </w:rPr>
        <w:t xml:space="preserve">, es necesario que la Corte Constitucional incorporar </w:t>
      </w:r>
      <w:r w:rsidRPr="006D0761">
        <w:rPr>
          <w:rFonts w:ascii="Times New Roman" w:hAnsi="Times New Roman"/>
          <w:color w:val="000000"/>
          <w:sz w:val="28"/>
          <w:szCs w:val="28"/>
          <w:lang w:val="es-ES"/>
        </w:rPr>
        <w:t xml:space="preserve">(sic) </w:t>
      </w:r>
      <w:r w:rsidRPr="006D0761">
        <w:rPr>
          <w:rFonts w:ascii="Times New Roman" w:hAnsi="Times New Roman"/>
          <w:color w:val="000000"/>
          <w:sz w:val="28"/>
          <w:szCs w:val="28"/>
          <w:lang w:val="es-ES"/>
        </w:rPr>
        <w:t>el cambio reconocido ya por ONU Mu</w:t>
      </w:r>
      <w:r w:rsidRPr="006D0761">
        <w:rPr>
          <w:rFonts w:ascii="Times New Roman" w:hAnsi="Times New Roman"/>
          <w:color w:val="000000"/>
          <w:sz w:val="28"/>
          <w:szCs w:val="28"/>
          <w:lang w:val="es-ES"/>
        </w:rPr>
        <w:t xml:space="preserve">jer y por el Ministerio de Justicia reconociendo que la violencia de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también</w:t>
      </w:r>
      <w:r w:rsidRPr="006D0761">
        <w:rPr>
          <w:rFonts w:ascii="Times New Roman" w:hAnsi="Times New Roman"/>
          <w:color w:val="000000"/>
          <w:sz w:val="28"/>
          <w:szCs w:val="28"/>
          <w:lang w:val="es-ES"/>
        </w:rPr>
        <w:t xml:space="preserve"> la padecen varones.” </w:t>
      </w:r>
    </w:p>
    <w:p w:rsidR="006E610C" w:rsidRPr="006D0761" w:rsidRDefault="006D0761" w:rsidP="6D224379">
      <w:pPr>
        <w:pStyle w:val="Prrafodelista"/>
        <w:rPr>
          <w:rFonts w:ascii="Times New Roman" w:hAnsi="Times New Roman"/>
          <w:color w:val="000000"/>
          <w:sz w:val="28"/>
          <w:szCs w:val="28"/>
          <w:lang w:val="es-ES"/>
        </w:rPr>
      </w:pPr>
    </w:p>
    <w:p w:rsidR="00DE3E2B"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Para sustentarlo, señala que el </w:t>
      </w:r>
      <w:r w:rsidRPr="006D0761">
        <w:rPr>
          <w:rFonts w:ascii="Times New Roman" w:hAnsi="Times New Roman"/>
          <w:color w:val="000000"/>
          <w:sz w:val="28"/>
          <w:szCs w:val="28"/>
          <w:lang w:val="es-ES"/>
        </w:rPr>
        <w:t>artículo</w:t>
      </w:r>
      <w:r w:rsidRPr="006D0761">
        <w:rPr>
          <w:rFonts w:ascii="Times New Roman" w:hAnsi="Times New Roman"/>
          <w:color w:val="000000"/>
          <w:sz w:val="28"/>
          <w:szCs w:val="28"/>
          <w:lang w:val="es-ES"/>
        </w:rPr>
        <w:t xml:space="preserve"> 4° de la CEDAW menciona que, salvo lo directamente relacionado con la maternidad, toda </w:t>
      </w:r>
      <w:r w:rsidRPr="006D0761">
        <w:rPr>
          <w:rFonts w:ascii="Times New Roman" w:hAnsi="Times New Roman"/>
          <w:color w:val="000000"/>
          <w:sz w:val="28"/>
          <w:szCs w:val="28"/>
          <w:lang w:val="es-ES"/>
        </w:rPr>
        <w:t>acción</w:t>
      </w:r>
      <w:r w:rsidRPr="006D0761">
        <w:rPr>
          <w:rFonts w:ascii="Times New Roman" w:hAnsi="Times New Roman"/>
          <w:color w:val="000000"/>
          <w:sz w:val="28"/>
          <w:szCs w:val="28"/>
          <w:lang w:val="es-ES"/>
        </w:rPr>
        <w:t xml:space="preserve"> afirmativa debe ser temporal, luego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una vigencia indefinida en acciones afirmativas por </w:t>
      </w:r>
      <w:r w:rsidRPr="006D0761">
        <w:rPr>
          <w:rFonts w:ascii="Times New Roman" w:hAnsi="Times New Roman"/>
          <w:color w:val="000000"/>
          <w:sz w:val="28"/>
          <w:szCs w:val="28"/>
          <w:lang w:val="es-ES"/>
        </w:rPr>
        <w:t>género</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deberá </w:t>
      </w:r>
      <w:r w:rsidRPr="006D0761">
        <w:rPr>
          <w:rFonts w:ascii="Times New Roman" w:hAnsi="Times New Roman"/>
          <w:color w:val="000000"/>
          <w:sz w:val="28"/>
          <w:szCs w:val="28"/>
          <w:lang w:val="es-ES"/>
        </w:rPr>
        <w:t>ser considera siempre como inconstitucional</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p>
    <w:p w:rsidR="00DE3E2B"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7456EE"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Adicionalmente, indica que en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publicación</w:t>
      </w:r>
      <w:r w:rsidRPr="006D0761">
        <w:rPr>
          <w:rFonts w:ascii="Times New Roman" w:hAnsi="Times New Roman"/>
          <w:color w:val="000000"/>
          <w:sz w:val="28"/>
          <w:szCs w:val="28"/>
          <w:lang w:val="es-ES"/>
        </w:rPr>
        <w:t xml:space="preserve"> sobre “acciones afirmativas para una igualdad real” La Cort</w:t>
      </w:r>
      <w:r w:rsidRPr="006D0761">
        <w:rPr>
          <w:rFonts w:ascii="Times New Roman" w:hAnsi="Times New Roman"/>
          <w:color w:val="000000"/>
          <w:sz w:val="28"/>
          <w:szCs w:val="28"/>
          <w:lang w:val="es-ES"/>
        </w:rPr>
        <w:t xml:space="preserve">e considera que estas: </w:t>
      </w:r>
      <w:r w:rsidRPr="006D0761">
        <w:rPr>
          <w:rFonts w:ascii="Times New Roman" w:hAnsi="Times New Roman"/>
          <w:color w:val="000000"/>
          <w:sz w:val="28"/>
          <w:szCs w:val="28"/>
          <w:lang w:val="es-ES"/>
        </w:rPr>
        <w:t>“</w:t>
      </w:r>
      <w:r w:rsidRPr="006D0761">
        <w:rPr>
          <w:rFonts w:ascii="Times New Roman" w:hAnsi="Times New Roman"/>
          <w:i/>
          <w:iCs/>
          <w:color w:val="000000"/>
          <w:sz w:val="28"/>
          <w:szCs w:val="28"/>
          <w:lang w:val="es-ES"/>
        </w:rPr>
        <w:t xml:space="preserve">Deben ser transitorias y temporales, de tal manera que no </w:t>
      </w:r>
      <w:r w:rsidRPr="006D0761">
        <w:rPr>
          <w:rFonts w:ascii="Times New Roman" w:hAnsi="Times New Roman"/>
          <w:i/>
          <w:iCs/>
          <w:color w:val="000000"/>
          <w:sz w:val="28"/>
          <w:szCs w:val="28"/>
          <w:lang w:val="es-ES"/>
        </w:rPr>
        <w:t>perpetúen</w:t>
      </w:r>
      <w:r w:rsidRPr="006D0761">
        <w:rPr>
          <w:rFonts w:ascii="Times New Roman" w:hAnsi="Times New Roman"/>
          <w:i/>
          <w:iCs/>
          <w:color w:val="000000"/>
          <w:sz w:val="28"/>
          <w:szCs w:val="28"/>
          <w:lang w:val="es-ES"/>
        </w:rPr>
        <w:t xml:space="preserve"> desigualdades en contra de aquellos grupos o personas que no se ven favorecidos por las medidas adoptadas.</w:t>
      </w:r>
      <w:r w:rsidRPr="006D0761">
        <w:rPr>
          <w:rFonts w:ascii="Times New Roman" w:hAnsi="Times New Roman"/>
          <w:i/>
          <w:iCs/>
          <w:color w:val="000000"/>
          <w:sz w:val="28"/>
          <w:szCs w:val="28"/>
          <w:lang w:val="es-ES"/>
        </w:rPr>
        <w:t>”</w:t>
      </w:r>
      <w:r w:rsidRPr="006D0761">
        <w:rPr>
          <w:rFonts w:ascii="Times New Roman" w:hAnsi="Times New Roman"/>
          <w:i/>
          <w:iCs/>
          <w:color w:val="000000"/>
          <w:sz w:val="28"/>
          <w:szCs w:val="28"/>
          <w:lang w:val="es-ES"/>
        </w:rPr>
        <w:t xml:space="preserve"> </w:t>
      </w:r>
    </w:p>
    <w:p w:rsidR="00C95E37"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C95E37"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 La certeza del cargo presentado </w:t>
      </w:r>
      <w:r w:rsidRPr="006D0761">
        <w:rPr>
          <w:rFonts w:ascii="Times New Roman" w:hAnsi="Times New Roman"/>
          <w:color w:val="000000"/>
          <w:sz w:val="28"/>
          <w:szCs w:val="28"/>
          <w:lang w:val="es-ES"/>
        </w:rPr>
        <w:t xml:space="preserve">contra </w:t>
      </w:r>
      <w:r w:rsidRPr="006D0761">
        <w:rPr>
          <w:rFonts w:ascii="Times New Roman" w:hAnsi="Times New Roman"/>
          <w:color w:val="000000"/>
          <w:sz w:val="28"/>
          <w:szCs w:val="28"/>
          <w:lang w:val="es-ES"/>
        </w:rPr>
        <w:t>la norma en ge</w:t>
      </w:r>
      <w:r w:rsidRPr="006D0761">
        <w:rPr>
          <w:rFonts w:ascii="Times New Roman" w:hAnsi="Times New Roman"/>
          <w:color w:val="000000"/>
          <w:sz w:val="28"/>
          <w:szCs w:val="28"/>
          <w:lang w:val="es-ES"/>
        </w:rPr>
        <w:t xml:space="preserve">neral y en particular contra </w:t>
      </w:r>
      <w:r w:rsidRPr="006D0761">
        <w:rPr>
          <w:rFonts w:ascii="Times New Roman" w:hAnsi="Times New Roman"/>
          <w:color w:val="000000"/>
          <w:sz w:val="28"/>
          <w:szCs w:val="28"/>
          <w:lang w:val="es-ES"/>
        </w:rPr>
        <w:t xml:space="preserve">el artículo 13 </w:t>
      </w:r>
      <w:r w:rsidRPr="006D0761">
        <w:rPr>
          <w:rFonts w:ascii="Times New Roman" w:hAnsi="Times New Roman"/>
          <w:color w:val="000000"/>
          <w:sz w:val="28"/>
          <w:szCs w:val="28"/>
          <w:lang w:val="es-ES"/>
        </w:rPr>
        <w:t xml:space="preserve">implicaría que la disposición imponga un mandato de perpetuidad para la medida dispuesta por la Ley 1761 de 2015, sin embargo, el artículo 13 se limita a establecer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entrada en vig</w:t>
      </w:r>
      <w:r w:rsidRPr="006D0761">
        <w:rPr>
          <w:rFonts w:ascii="Times New Roman" w:hAnsi="Times New Roman"/>
          <w:color w:val="000000"/>
          <w:sz w:val="28"/>
          <w:szCs w:val="28"/>
          <w:lang w:val="es-ES"/>
        </w:rPr>
        <w:t>or</w:t>
      </w:r>
      <w:r w:rsidRPr="006D0761">
        <w:rPr>
          <w:rFonts w:ascii="Times New Roman" w:hAnsi="Times New Roman"/>
          <w:color w:val="000000"/>
          <w:sz w:val="28"/>
          <w:szCs w:val="28"/>
          <w:lang w:val="es-ES"/>
        </w:rPr>
        <w:t xml:space="preserve"> de la norma, </w:t>
      </w:r>
      <w:r w:rsidRPr="006D0761">
        <w:rPr>
          <w:rFonts w:ascii="Times New Roman" w:hAnsi="Times New Roman"/>
          <w:color w:val="000000"/>
          <w:sz w:val="28"/>
          <w:szCs w:val="28"/>
          <w:lang w:val="es-ES"/>
        </w:rPr>
        <w:t xml:space="preserve">y la derogatoria de las normas contrarias </w:t>
      </w:r>
      <w:r w:rsidRPr="006D0761">
        <w:rPr>
          <w:rFonts w:ascii="Times New Roman" w:hAnsi="Times New Roman"/>
          <w:color w:val="000000"/>
          <w:sz w:val="28"/>
          <w:szCs w:val="28"/>
          <w:lang w:val="es-ES"/>
        </w:rPr>
        <w:t>s</w:t>
      </w:r>
      <w:r w:rsidRPr="006D0761">
        <w:rPr>
          <w:rFonts w:ascii="Times New Roman" w:hAnsi="Times New Roman"/>
          <w:color w:val="000000"/>
          <w:sz w:val="28"/>
          <w:szCs w:val="28"/>
          <w:lang w:val="es-ES"/>
        </w:rPr>
        <w:t xml:space="preserve">in regular ningún otro aspecto. </w:t>
      </w:r>
      <w:r w:rsidRPr="006D0761">
        <w:rPr>
          <w:rFonts w:ascii="Times New Roman" w:hAnsi="Times New Roman"/>
          <w:color w:val="000000"/>
          <w:sz w:val="28"/>
          <w:szCs w:val="28"/>
          <w:lang w:val="es-ES"/>
        </w:rPr>
        <w:t xml:space="preserve">Del contenido de la norma y </w:t>
      </w:r>
      <w:r w:rsidRPr="006D0761">
        <w:rPr>
          <w:rFonts w:ascii="Times New Roman" w:hAnsi="Times New Roman"/>
          <w:color w:val="000000"/>
          <w:sz w:val="28"/>
          <w:szCs w:val="28"/>
          <w:lang w:val="es-ES"/>
        </w:rPr>
        <w:t xml:space="preserve">de </w:t>
      </w:r>
      <w:r w:rsidRPr="006D0761">
        <w:rPr>
          <w:rFonts w:ascii="Times New Roman" w:hAnsi="Times New Roman"/>
          <w:color w:val="000000"/>
          <w:sz w:val="28"/>
          <w:szCs w:val="28"/>
          <w:lang w:val="es-ES"/>
        </w:rPr>
        <w:t xml:space="preserve">su sentido, no se deriva un mandato que pudiera impedir </w:t>
      </w:r>
      <w:r w:rsidRPr="006D0761">
        <w:rPr>
          <w:rFonts w:ascii="Times New Roman" w:hAnsi="Times New Roman"/>
          <w:color w:val="000000"/>
          <w:sz w:val="28"/>
          <w:szCs w:val="28"/>
          <w:lang w:val="es-ES"/>
        </w:rPr>
        <w:t>una eventual</w:t>
      </w:r>
      <w:r w:rsidRPr="006D0761">
        <w:rPr>
          <w:rFonts w:ascii="Times New Roman" w:hAnsi="Times New Roman"/>
          <w:color w:val="000000"/>
          <w:sz w:val="28"/>
          <w:szCs w:val="28"/>
          <w:lang w:val="es-ES"/>
        </w:rPr>
        <w:t xml:space="preserve"> posterior reforma o derogación de la ley, cuando las condiciones así lo requieran</w:t>
      </w:r>
      <w:r w:rsidRPr="006D0761">
        <w:rPr>
          <w:rFonts w:ascii="Times New Roman" w:hAnsi="Times New Roman"/>
          <w:color w:val="000000"/>
          <w:sz w:val="28"/>
          <w:szCs w:val="28"/>
          <w:lang w:val="es-ES"/>
        </w:rPr>
        <w:t xml:space="preserve">. </w:t>
      </w:r>
    </w:p>
    <w:p w:rsidR="004A4B62" w:rsidRPr="006D0761" w:rsidRDefault="006D0761" w:rsidP="6D224379">
      <w:pPr>
        <w:pStyle w:val="Prrafodelista"/>
        <w:rPr>
          <w:rFonts w:ascii="Times New Roman" w:hAnsi="Times New Roman"/>
          <w:color w:val="000000"/>
          <w:sz w:val="28"/>
          <w:szCs w:val="28"/>
          <w:lang w:val="es-ES"/>
        </w:rPr>
      </w:pPr>
    </w:p>
    <w:p w:rsidR="004A4B62"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Por el contrario, la Ley 1761 de 2015 en su artículo 10 dispone la adopción de una Sistema Nacional de Estadísticas sobre violencia de género, que, justamente permitiría evaluar la evolución de este fenómeno.</w:t>
      </w:r>
    </w:p>
    <w:p w:rsidR="008F7525" w:rsidRPr="006D0761" w:rsidRDefault="006D0761" w:rsidP="6D224379">
      <w:pPr>
        <w:pStyle w:val="Prrafodelista"/>
        <w:ind w:left="0"/>
        <w:jc w:val="both"/>
        <w:rPr>
          <w:rFonts w:ascii="Times New Roman" w:hAnsi="Times New Roman"/>
          <w:color w:val="000000"/>
          <w:sz w:val="28"/>
          <w:szCs w:val="28"/>
          <w:lang w:val="es-ES"/>
        </w:rPr>
      </w:pPr>
    </w:p>
    <w:p w:rsidR="00DE3E2B"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cuanto a la pertinencia del cargo contra </w:t>
      </w:r>
      <w:r w:rsidRPr="006D0761">
        <w:rPr>
          <w:rFonts w:ascii="Times New Roman" w:hAnsi="Times New Roman"/>
          <w:color w:val="000000"/>
          <w:sz w:val="28"/>
          <w:szCs w:val="28"/>
          <w:lang w:val="es-ES"/>
        </w:rPr>
        <w:t xml:space="preserve">la norma en general y en particular contra </w:t>
      </w:r>
      <w:r w:rsidRPr="006D0761">
        <w:rPr>
          <w:rFonts w:ascii="Times New Roman" w:hAnsi="Times New Roman"/>
          <w:color w:val="000000"/>
          <w:sz w:val="28"/>
          <w:szCs w:val="28"/>
          <w:lang w:val="es-ES"/>
        </w:rPr>
        <w:t xml:space="preserve">el artículo 13, </w:t>
      </w:r>
      <w:r w:rsidRPr="006D0761">
        <w:rPr>
          <w:rFonts w:ascii="Times New Roman" w:hAnsi="Times New Roman"/>
          <w:color w:val="000000"/>
          <w:sz w:val="28"/>
          <w:szCs w:val="28"/>
          <w:lang w:val="es-ES"/>
        </w:rPr>
        <w:t>el accionante se limita a mencionar el artículo 4 de la Convención CEDAW sin desarrollar ese mandato, ni explicar por</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qu</w:t>
      </w:r>
      <w:r w:rsidRPr="006D0761">
        <w:rPr>
          <w:rFonts w:ascii="Times New Roman" w:hAnsi="Times New Roman"/>
          <w:color w:val="000000"/>
          <w:sz w:val="28"/>
          <w:szCs w:val="28"/>
          <w:lang w:val="es-ES"/>
        </w:rPr>
        <w:t>é</w:t>
      </w:r>
      <w:r w:rsidRPr="006D0761">
        <w:rPr>
          <w:rFonts w:ascii="Times New Roman" w:hAnsi="Times New Roman"/>
          <w:color w:val="000000"/>
          <w:sz w:val="28"/>
          <w:szCs w:val="28"/>
          <w:lang w:val="es-ES"/>
        </w:rPr>
        <w:t xml:space="preserve"> la disposición acusada lo contr</w:t>
      </w:r>
      <w:r w:rsidRPr="006D0761">
        <w:rPr>
          <w:rFonts w:ascii="Times New Roman" w:hAnsi="Times New Roman"/>
          <w:color w:val="000000"/>
          <w:sz w:val="28"/>
          <w:szCs w:val="28"/>
          <w:lang w:val="es-ES"/>
        </w:rPr>
        <w:t xml:space="preserve">adice. Omite presentar un argumento constitucional preciso </w:t>
      </w:r>
      <w:r w:rsidRPr="006D0761">
        <w:rPr>
          <w:rFonts w:ascii="Times New Roman" w:hAnsi="Times New Roman"/>
          <w:color w:val="000000"/>
          <w:sz w:val="28"/>
          <w:szCs w:val="28"/>
          <w:lang w:val="es-ES"/>
        </w:rPr>
        <w:t xml:space="preserve">sobre la existencia de un mandato constitucional según el cual toda norma que consagre una acción afirmativa debe </w:t>
      </w:r>
      <w:r w:rsidRPr="006D0761">
        <w:rPr>
          <w:rFonts w:ascii="Times New Roman" w:hAnsi="Times New Roman"/>
          <w:color w:val="000000"/>
          <w:sz w:val="28"/>
          <w:szCs w:val="28"/>
          <w:lang w:val="es-ES"/>
        </w:rPr>
        <w:t xml:space="preserve">tener un </w:t>
      </w:r>
      <w:r w:rsidRPr="006D0761">
        <w:rPr>
          <w:rFonts w:ascii="Times New Roman" w:hAnsi="Times New Roman"/>
          <w:color w:val="000000"/>
          <w:sz w:val="28"/>
          <w:szCs w:val="28"/>
          <w:lang w:val="es-ES"/>
        </w:rPr>
        <w:t xml:space="preserve">carácter transitorio y fijar </w:t>
      </w:r>
      <w:r w:rsidRPr="006D0761">
        <w:rPr>
          <w:rFonts w:ascii="Times New Roman" w:hAnsi="Times New Roman"/>
          <w:color w:val="000000"/>
          <w:sz w:val="28"/>
          <w:szCs w:val="28"/>
          <w:lang w:val="es-ES"/>
        </w:rPr>
        <w:t xml:space="preserve">en sus disposiciones </w:t>
      </w:r>
      <w:r w:rsidRPr="006D0761">
        <w:rPr>
          <w:rFonts w:ascii="Times New Roman" w:hAnsi="Times New Roman"/>
          <w:color w:val="000000"/>
          <w:sz w:val="28"/>
          <w:szCs w:val="28"/>
          <w:lang w:val="es-ES"/>
        </w:rPr>
        <w:t xml:space="preserve">la </w:t>
      </w:r>
      <w:r w:rsidRPr="006D0761">
        <w:rPr>
          <w:rFonts w:ascii="Times New Roman" w:hAnsi="Times New Roman"/>
          <w:color w:val="000000"/>
          <w:sz w:val="28"/>
          <w:szCs w:val="28"/>
          <w:lang w:val="es-ES"/>
        </w:rPr>
        <w:t xml:space="preserve">duración de la </w:t>
      </w:r>
      <w:r w:rsidRPr="006D0761">
        <w:rPr>
          <w:rFonts w:ascii="Times New Roman" w:hAnsi="Times New Roman"/>
          <w:color w:val="000000"/>
          <w:sz w:val="28"/>
          <w:szCs w:val="28"/>
          <w:lang w:val="es-ES"/>
        </w:rPr>
        <w:t>medida</w:t>
      </w:r>
      <w:r w:rsidRPr="006D0761">
        <w:rPr>
          <w:rFonts w:ascii="Times New Roman" w:hAnsi="Times New Roman"/>
          <w:color w:val="000000"/>
          <w:sz w:val="28"/>
          <w:szCs w:val="28"/>
          <w:lang w:val="es-ES"/>
        </w:rPr>
        <w:t xml:space="preserve"> ya sea por una fecha cierta o por el cumplimiento de ciertas condiciones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w:t>
      </w:r>
    </w:p>
    <w:p w:rsidR="00492EFE" w:rsidRPr="006D0761" w:rsidRDefault="006D0761" w:rsidP="6D224379">
      <w:pPr>
        <w:pStyle w:val="Prrafodelista"/>
        <w:ind w:left="0"/>
        <w:jc w:val="both"/>
        <w:rPr>
          <w:rFonts w:ascii="Times New Roman" w:hAnsi="Times New Roman"/>
          <w:color w:val="000000"/>
          <w:sz w:val="28"/>
          <w:szCs w:val="28"/>
          <w:lang w:val="es-ES"/>
        </w:rPr>
      </w:pPr>
    </w:p>
    <w:p w:rsidR="00910C77"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La pertinencia del cargo exigía </w:t>
      </w:r>
      <w:r w:rsidRPr="006D0761">
        <w:rPr>
          <w:rFonts w:ascii="Times New Roman" w:hAnsi="Times New Roman"/>
          <w:color w:val="000000"/>
          <w:sz w:val="28"/>
          <w:szCs w:val="28"/>
          <w:lang w:val="es-ES"/>
        </w:rPr>
        <w:t>tomar en consideración que</w:t>
      </w:r>
      <w:r w:rsidRPr="006D0761">
        <w:rPr>
          <w:rFonts w:ascii="Times New Roman" w:hAnsi="Times New Roman"/>
          <w:color w:val="000000"/>
          <w:sz w:val="28"/>
          <w:szCs w:val="28"/>
          <w:lang w:val="es-ES"/>
        </w:rPr>
        <w:t xml:space="preserve"> frente al parámetro de control que</w:t>
      </w:r>
      <w:r w:rsidRPr="006D0761">
        <w:rPr>
          <w:rFonts w:ascii="Times New Roman" w:hAnsi="Times New Roman"/>
          <w:color w:val="000000"/>
          <w:sz w:val="28"/>
          <w:szCs w:val="28"/>
          <w:lang w:val="es-ES"/>
        </w:rPr>
        <w:t>, tanto el Comité CEDAW como la Corte Constitucional han establecido que</w:t>
      </w:r>
      <w:r w:rsidRPr="006D0761">
        <w:rPr>
          <w:rFonts w:ascii="Times New Roman" w:hAnsi="Times New Roman"/>
          <w:color w:val="000000"/>
          <w:sz w:val="28"/>
          <w:szCs w:val="28"/>
          <w:lang w:val="es-ES"/>
        </w:rPr>
        <w:t xml:space="preserve"> no toda medid</w:t>
      </w:r>
      <w:r w:rsidRPr="006D0761">
        <w:rPr>
          <w:rFonts w:ascii="Times New Roman" w:hAnsi="Times New Roman"/>
          <w:color w:val="000000"/>
          <w:sz w:val="28"/>
          <w:szCs w:val="28"/>
          <w:lang w:val="es-ES"/>
        </w:rPr>
        <w:t>a a favor de los derechos de las mujeres o que esté adaptada a sus necesidades para disfrutar plenamente sus derechos puede ser considerada como una medida especial que requiera un carácter temporal.</w:t>
      </w:r>
      <w:r w:rsidRPr="006D0761">
        <w:rPr>
          <w:rStyle w:val="Refdenotaalpie"/>
          <w:rFonts w:ascii="Times New Roman" w:hAnsi="Times New Roman"/>
          <w:color w:val="000000"/>
          <w:sz w:val="28"/>
          <w:szCs w:val="28"/>
          <w:lang w:val="es-ES"/>
        </w:rPr>
        <w:footnoteReference w:id="82"/>
      </w:r>
      <w:r w:rsidRPr="006D0761">
        <w:rPr>
          <w:rFonts w:ascii="Times New Roman" w:hAnsi="Times New Roman"/>
          <w:color w:val="000000"/>
          <w:sz w:val="28"/>
          <w:szCs w:val="28"/>
          <w:lang w:val="es-ES"/>
        </w:rPr>
        <w:t xml:space="preserve"> </w:t>
      </w:r>
    </w:p>
    <w:p w:rsidR="00910C77" w:rsidRPr="006D0761" w:rsidRDefault="006D0761" w:rsidP="6D224379">
      <w:pPr>
        <w:pStyle w:val="NormalWeb"/>
        <w:spacing w:before="0" w:beforeAutospacing="0" w:after="0" w:afterAutospacing="0"/>
        <w:jc w:val="both"/>
        <w:rPr>
          <w:rFonts w:ascii="Times New Roman" w:hAnsi="Times New Roman"/>
          <w:color w:val="000000"/>
          <w:sz w:val="28"/>
          <w:szCs w:val="28"/>
          <w:lang w:val="es-ES"/>
        </w:rPr>
      </w:pPr>
    </w:p>
    <w:p w:rsidR="00910C77"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A su vez, </w:t>
      </w:r>
      <w:r w:rsidRPr="006D0761">
        <w:rPr>
          <w:rFonts w:ascii="Times New Roman" w:hAnsi="Times New Roman"/>
          <w:color w:val="000000"/>
          <w:sz w:val="28"/>
          <w:szCs w:val="28"/>
          <w:lang w:val="es-ES"/>
        </w:rPr>
        <w:t xml:space="preserve">esta Corte ha manifestado, </w:t>
      </w:r>
      <w:r w:rsidRPr="006D0761">
        <w:rPr>
          <w:rFonts w:ascii="Times New Roman" w:hAnsi="Times New Roman"/>
          <w:color w:val="000000"/>
          <w:sz w:val="28"/>
          <w:szCs w:val="28"/>
          <w:lang w:val="es-ES"/>
        </w:rPr>
        <w:t xml:space="preserve">respecto de las </w:t>
      </w:r>
      <w:r w:rsidRPr="006D0761">
        <w:rPr>
          <w:rFonts w:ascii="Times New Roman" w:hAnsi="Times New Roman"/>
          <w:color w:val="000000"/>
          <w:sz w:val="28"/>
          <w:szCs w:val="28"/>
          <w:lang w:val="es-ES"/>
        </w:rPr>
        <w:t xml:space="preserve">acciones positivas o medidas afirmativas,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se trata de políticas o medidas dirigidas a favorecer a determinadas personas o grupos, ya sea con el fin de eliminar o reducir las desigualdades de tipo social, cultural o económico que los afectan, bien de logra</w:t>
      </w:r>
      <w:r w:rsidRPr="006D0761">
        <w:rPr>
          <w:rFonts w:ascii="Times New Roman" w:hAnsi="Times New Roman"/>
          <w:color w:val="000000"/>
          <w:sz w:val="28"/>
          <w:szCs w:val="28"/>
          <w:lang w:val="es-ES"/>
        </w:rPr>
        <w:t>r que los miembros de un grupo subrepresentado, usualmente un grupo que ha sido discriminado, tengan una mayor representación</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w:t>
      </w:r>
      <w:r w:rsidRPr="006D0761">
        <w:rPr>
          <w:rStyle w:val="Refdenotaalpie"/>
          <w:rFonts w:ascii="Times New Roman" w:hAnsi="Times New Roman"/>
          <w:color w:val="000000"/>
          <w:sz w:val="28"/>
          <w:szCs w:val="28"/>
          <w:lang w:val="es-ES"/>
        </w:rPr>
        <w:t xml:space="preserve"> </w:t>
      </w:r>
      <w:r w:rsidRPr="006D0761">
        <w:rPr>
          <w:rStyle w:val="Refdenotaalpie"/>
          <w:rFonts w:ascii="Times New Roman" w:hAnsi="Times New Roman"/>
          <w:color w:val="000000"/>
          <w:sz w:val="28"/>
          <w:szCs w:val="28"/>
          <w:lang w:val="es-ES"/>
        </w:rPr>
        <w:footnoteReference w:id="83"/>
      </w:r>
      <w:r w:rsidRPr="006D0761">
        <w:rPr>
          <w:rFonts w:ascii="Times New Roman" w:hAnsi="Times New Roman"/>
          <w:color w:val="000000"/>
          <w:sz w:val="28"/>
          <w:szCs w:val="28"/>
          <w:lang w:val="es-ES"/>
        </w:rPr>
        <w:t xml:space="preserve"> Y</w:t>
      </w:r>
      <w:r w:rsidRPr="006D0761">
        <w:rPr>
          <w:rFonts w:ascii="Times New Roman" w:hAnsi="Times New Roman"/>
          <w:color w:val="000000"/>
          <w:sz w:val="28"/>
          <w:szCs w:val="28"/>
          <w:lang w:val="es-ES"/>
        </w:rPr>
        <w:t xml:space="preserve">, en la Sentencia C-371 de 2000 </w:t>
      </w:r>
      <w:r w:rsidRPr="006D0761">
        <w:rPr>
          <w:rFonts w:ascii="Times New Roman" w:hAnsi="Times New Roman"/>
          <w:color w:val="000000"/>
          <w:sz w:val="28"/>
          <w:szCs w:val="28"/>
          <w:lang w:val="es-ES"/>
        </w:rPr>
        <w:t>explic</w:t>
      </w:r>
      <w:r w:rsidRPr="006D0761">
        <w:rPr>
          <w:rFonts w:ascii="Times New Roman" w:hAnsi="Times New Roman"/>
          <w:color w:val="000000"/>
          <w:sz w:val="28"/>
          <w:szCs w:val="28"/>
          <w:lang w:val="es-ES"/>
        </w:rPr>
        <w:t>ó</w:t>
      </w:r>
      <w:r w:rsidRPr="006D0761">
        <w:rPr>
          <w:rFonts w:ascii="Times New Roman" w:hAnsi="Times New Roman"/>
          <w:color w:val="000000"/>
          <w:sz w:val="28"/>
          <w:szCs w:val="28"/>
          <w:lang w:val="es-ES"/>
        </w:rPr>
        <w:t xml:space="preserve"> que estas </w:t>
      </w:r>
      <w:r w:rsidRPr="006D0761">
        <w:rPr>
          <w:rFonts w:ascii="Times New Roman" w:hAnsi="Times New Roman"/>
          <w:color w:val="000000"/>
          <w:sz w:val="28"/>
          <w:szCs w:val="28"/>
          <w:lang w:val="es-ES"/>
        </w:rPr>
        <w:t>medidas pueden clasificarse al menos en dos tipos, las primeras</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 xml:space="preserve"> como los subsidios en los servicios públicos, las becas y ayudas financieras para estudiantes con recursos escasos, son acciones afirmativas</w:t>
      </w:r>
      <w:r w:rsidRPr="006D0761">
        <w:rPr>
          <w:rFonts w:ascii="Times New Roman" w:hAnsi="Times New Roman"/>
          <w:color w:val="000000"/>
          <w:sz w:val="28"/>
          <w:szCs w:val="28"/>
          <w:lang w:val="es-ES"/>
        </w:rPr>
        <w:t xml:space="preserve"> que no tienen como efecto discriminar a otro sector de la población y por ende no</w:t>
      </w:r>
      <w:r w:rsidRPr="006D0761">
        <w:rPr>
          <w:rFonts w:ascii="Times New Roman" w:hAnsi="Times New Roman"/>
          <w:color w:val="000000"/>
          <w:sz w:val="28"/>
          <w:szCs w:val="28"/>
          <w:lang w:val="es-ES"/>
        </w:rPr>
        <w:t xml:space="preserve"> requieren un carácter transitori</w:t>
      </w:r>
      <w:r w:rsidRPr="006D0761">
        <w:rPr>
          <w:rFonts w:ascii="Times New Roman" w:hAnsi="Times New Roman"/>
          <w:color w:val="000000"/>
          <w:sz w:val="28"/>
          <w:szCs w:val="28"/>
          <w:lang w:val="es-ES"/>
        </w:rPr>
        <w:t>o</w:t>
      </w:r>
      <w:r w:rsidRPr="006D0761">
        <w:rPr>
          <w:rFonts w:ascii="Times New Roman" w:hAnsi="Times New Roman"/>
          <w:color w:val="000000"/>
          <w:sz w:val="28"/>
          <w:szCs w:val="28"/>
          <w:lang w:val="es-ES"/>
        </w:rPr>
        <w:t>.</w:t>
      </w:r>
      <w:r w:rsidRPr="006D0761">
        <w:rPr>
          <w:rStyle w:val="Refdenotaalpie"/>
          <w:rFonts w:ascii="Times New Roman" w:hAnsi="Times New Roman"/>
          <w:color w:val="000000"/>
          <w:sz w:val="28"/>
          <w:szCs w:val="28"/>
          <w:lang w:val="es-ES"/>
        </w:rPr>
        <w:footnoteReference w:id="84"/>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Las segundas, aquellas medidas que ordinariamente se denominan de </w:t>
      </w:r>
      <w:r w:rsidRPr="006D0761">
        <w:rPr>
          <w:rFonts w:ascii="Times New Roman" w:hAnsi="Times New Roman"/>
          <w:i/>
          <w:iCs/>
          <w:color w:val="000000"/>
          <w:sz w:val="28"/>
          <w:szCs w:val="28"/>
          <w:lang w:val="es-ES"/>
        </w:rPr>
        <w:t>discriminación inversa</w:t>
      </w:r>
      <w:r w:rsidRPr="006D0761">
        <w:rPr>
          <w:rFonts w:ascii="Times New Roman" w:hAnsi="Times New Roman"/>
          <w:color w:val="000000"/>
          <w:sz w:val="28"/>
          <w:szCs w:val="28"/>
          <w:lang w:val="es-ES"/>
        </w:rPr>
        <w:t xml:space="preserve"> o </w:t>
      </w:r>
      <w:r w:rsidRPr="006D0761">
        <w:rPr>
          <w:rFonts w:ascii="Times New Roman" w:hAnsi="Times New Roman"/>
          <w:i/>
          <w:iCs/>
          <w:color w:val="000000"/>
          <w:sz w:val="28"/>
          <w:szCs w:val="28"/>
          <w:lang w:val="es-ES"/>
        </w:rPr>
        <w:t xml:space="preserve">discriminación </w:t>
      </w:r>
      <w:r w:rsidRPr="006D0761">
        <w:rPr>
          <w:rFonts w:ascii="Times New Roman" w:hAnsi="Times New Roman"/>
          <w:i/>
          <w:iCs/>
          <w:color w:val="000000"/>
          <w:sz w:val="28"/>
          <w:szCs w:val="28"/>
          <w:lang w:val="es-ES"/>
        </w:rPr>
        <w:t>positiva</w:t>
      </w:r>
      <w:r w:rsidRPr="006D0761">
        <w:rPr>
          <w:rFonts w:ascii="Times New Roman" w:hAnsi="Times New Roman"/>
          <w:color w:val="000000"/>
          <w:sz w:val="28"/>
          <w:szCs w:val="28"/>
          <w:lang w:val="es-ES"/>
        </w:rPr>
        <w:t>,</w:t>
      </w:r>
      <w:r w:rsidRPr="006D0761">
        <w:rPr>
          <w:rStyle w:val="Refdenotaalpie"/>
          <w:rFonts w:ascii="Times New Roman" w:hAnsi="Times New Roman"/>
          <w:color w:val="000000"/>
          <w:sz w:val="28"/>
          <w:szCs w:val="28"/>
          <w:lang w:val="es-ES"/>
        </w:rPr>
        <w:footnoteReference w:id="85"/>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y se diferencian de las otras citadas por dos razones: 1) porque toman en consideración aspectos prohibidos de discriminación como el sexo y 2) porque la discriminación inversa se produce en una situación de especial escasez de bienes deseados, como suele </w:t>
      </w:r>
      <w:r w:rsidRPr="006D0761">
        <w:rPr>
          <w:rFonts w:ascii="Times New Roman" w:hAnsi="Times New Roman"/>
          <w:color w:val="000000"/>
          <w:sz w:val="28"/>
          <w:szCs w:val="28"/>
          <w:lang w:val="es-ES"/>
        </w:rPr>
        <w:t xml:space="preserve">ocurrir en puestos de trabajo o cupos universitarios, </w:t>
      </w:r>
      <w:r w:rsidRPr="006D0761">
        <w:rPr>
          <w:rFonts w:ascii="Times New Roman" w:hAnsi="Times New Roman"/>
          <w:color w:val="000000"/>
          <w:sz w:val="28"/>
          <w:szCs w:val="28"/>
          <w:lang w:val="es-ES"/>
        </w:rPr>
        <w:t>“</w:t>
      </w:r>
      <w:r w:rsidRPr="006D0761">
        <w:rPr>
          <w:rFonts w:ascii="Times New Roman" w:hAnsi="Times New Roman"/>
          <w:color w:val="000000"/>
          <w:sz w:val="28"/>
          <w:szCs w:val="28"/>
          <w:lang w:val="es-ES"/>
        </w:rPr>
        <w:t>lo que lleva a concluir que el beneficio que se concede a ciertas personas, tiene como forzosa contrapartida un perjuicio para otras”</w:t>
      </w:r>
      <w:r w:rsidRPr="006D0761">
        <w:rPr>
          <w:rFonts w:ascii="Times New Roman" w:hAnsi="Times New Roman"/>
          <w:color w:val="000000"/>
          <w:sz w:val="28"/>
          <w:szCs w:val="28"/>
          <w:lang w:val="es-ES"/>
        </w:rPr>
        <w:t>.</w:t>
      </w:r>
      <w:r w:rsidRPr="006D0761">
        <w:rPr>
          <w:rStyle w:val="Refdenotaalpie"/>
          <w:rFonts w:ascii="Times New Roman" w:hAnsi="Times New Roman"/>
          <w:color w:val="000000"/>
          <w:sz w:val="28"/>
          <w:szCs w:val="28"/>
          <w:lang w:val="es-ES"/>
        </w:rPr>
        <w:footnoteReference w:id="86"/>
      </w:r>
    </w:p>
    <w:p w:rsidR="00910C77" w:rsidRPr="006D0761" w:rsidRDefault="006D0761" w:rsidP="6D224379">
      <w:pPr>
        <w:pStyle w:val="Prrafodelista"/>
        <w:rPr>
          <w:rFonts w:ascii="Times New Roman" w:hAnsi="Times New Roman"/>
          <w:color w:val="000000"/>
          <w:sz w:val="28"/>
          <w:szCs w:val="28"/>
          <w:lang w:val="es-ES"/>
        </w:rPr>
      </w:pPr>
    </w:p>
    <w:p w:rsidR="00910C77" w:rsidRPr="006D0761" w:rsidRDefault="006D0761" w:rsidP="00EB501B">
      <w:pPr>
        <w:pStyle w:val="Prrafodelista"/>
        <w:numPr>
          <w:ilvl w:val="0"/>
          <w:numId w:val="3"/>
        </w:numPr>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relación con </w:t>
      </w:r>
      <w:r w:rsidRPr="006D0761">
        <w:rPr>
          <w:rFonts w:ascii="Times New Roman" w:hAnsi="Times New Roman"/>
          <w:color w:val="000000"/>
          <w:sz w:val="28"/>
          <w:szCs w:val="28"/>
          <w:lang w:val="es-ES"/>
        </w:rPr>
        <w:t xml:space="preserve">las </w:t>
      </w:r>
      <w:r w:rsidRPr="006D0761">
        <w:rPr>
          <w:rFonts w:ascii="Times New Roman" w:hAnsi="Times New Roman"/>
          <w:color w:val="000000"/>
          <w:sz w:val="28"/>
          <w:szCs w:val="28"/>
          <w:u w:val="single"/>
          <w:lang w:val="es-ES"/>
        </w:rPr>
        <w:t>medidas de discriminación inversa</w:t>
      </w:r>
      <w:r w:rsidRPr="006D0761">
        <w:rPr>
          <w:rFonts w:ascii="Times New Roman" w:hAnsi="Times New Roman"/>
          <w:color w:val="000000"/>
          <w:sz w:val="28"/>
          <w:szCs w:val="28"/>
          <w:lang w:val="es-ES"/>
        </w:rPr>
        <w:t xml:space="preserve"> esta corpo</w:t>
      </w:r>
      <w:r w:rsidRPr="006D0761">
        <w:rPr>
          <w:rFonts w:ascii="Times New Roman" w:hAnsi="Times New Roman"/>
          <w:color w:val="000000"/>
          <w:sz w:val="28"/>
          <w:szCs w:val="28"/>
          <w:lang w:val="es-ES"/>
        </w:rPr>
        <w:t xml:space="preserve">ración </w:t>
      </w:r>
      <w:r w:rsidRPr="006D0761">
        <w:rPr>
          <w:rFonts w:ascii="Times New Roman" w:hAnsi="Times New Roman"/>
          <w:color w:val="000000"/>
          <w:sz w:val="28"/>
          <w:szCs w:val="28"/>
          <w:lang w:val="es-ES"/>
        </w:rPr>
        <w:t>h</w:t>
      </w:r>
      <w:r w:rsidRPr="006D0761">
        <w:rPr>
          <w:rFonts w:ascii="Times New Roman" w:hAnsi="Times New Roman"/>
          <w:color w:val="000000"/>
          <w:sz w:val="28"/>
          <w:szCs w:val="28"/>
          <w:lang w:val="es-ES"/>
        </w:rPr>
        <w:t xml:space="preserve">a señalado </w:t>
      </w:r>
      <w:r w:rsidRPr="006D0761">
        <w:rPr>
          <w:rFonts w:ascii="Times New Roman" w:hAnsi="Times New Roman"/>
          <w:i/>
          <w:iCs/>
          <w:color w:val="000000"/>
          <w:sz w:val="28"/>
          <w:szCs w:val="28"/>
          <w:lang w:val="es-ES"/>
        </w:rPr>
        <w:t xml:space="preserve">que: 1) "la validez de estas medidas depende de la real operancia de circunstancias discriminatorias. 2) La constitucionalidad de una medida de discriminación inversa depende de si esta resulta razonable y proporcionada. 3) Las acciones </w:t>
      </w:r>
      <w:r w:rsidRPr="006D0761">
        <w:rPr>
          <w:rFonts w:ascii="Times New Roman" w:hAnsi="Times New Roman"/>
          <w:i/>
          <w:iCs/>
          <w:color w:val="000000"/>
          <w:sz w:val="28"/>
          <w:szCs w:val="28"/>
          <w:lang w:val="es-ES"/>
        </w:rPr>
        <w:t>afirmativas deben ser temporales, pues una vez alcanzada la "igualdad real y efectiva" pierden su razón de ser”.</w:t>
      </w:r>
      <w:r w:rsidRPr="006D0761">
        <w:rPr>
          <w:rStyle w:val="Refdenotaalpie"/>
          <w:rFonts w:ascii="Times New Roman" w:hAnsi="Times New Roman"/>
          <w:i/>
          <w:iCs/>
          <w:color w:val="000000"/>
          <w:sz w:val="28"/>
          <w:szCs w:val="28"/>
          <w:lang w:val="es-ES"/>
        </w:rPr>
        <w:footnoteReference w:id="87"/>
      </w:r>
    </w:p>
    <w:p w:rsidR="00273F1B" w:rsidRPr="006D0761" w:rsidRDefault="006D0761" w:rsidP="6D224379">
      <w:pPr>
        <w:pStyle w:val="Prrafodelista"/>
        <w:ind w:left="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w:t>
      </w:r>
    </w:p>
    <w:p w:rsidR="00273F1B"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En ese sentido, la pertinencia de la argumentación sobre este </w:t>
      </w:r>
      <w:r w:rsidRPr="006D0761">
        <w:rPr>
          <w:rFonts w:ascii="Times New Roman" w:hAnsi="Times New Roman"/>
          <w:color w:val="000000"/>
          <w:sz w:val="28"/>
          <w:szCs w:val="28"/>
          <w:lang w:val="es-ES"/>
        </w:rPr>
        <w:t>punto</w:t>
      </w:r>
      <w:r w:rsidRPr="006D0761">
        <w:rPr>
          <w:rFonts w:ascii="Times New Roman" w:hAnsi="Times New Roman"/>
          <w:color w:val="000000"/>
          <w:sz w:val="28"/>
          <w:szCs w:val="28"/>
          <w:lang w:val="es-ES"/>
        </w:rPr>
        <w:t xml:space="preserve"> debió tener en cuenta que el parámetro constitucional sobre la implementación positiva del mandato de igualdad</w:t>
      </w:r>
      <w:r w:rsidRPr="006D0761">
        <w:rPr>
          <w:rFonts w:ascii="Times New Roman" w:hAnsi="Times New Roman"/>
          <w:color w:val="000000"/>
          <w:sz w:val="28"/>
          <w:szCs w:val="28"/>
          <w:lang w:val="es-ES"/>
        </w:rPr>
        <w:t xml:space="preserve">. Para poder argumentar que la norma vulnera el requisito de temporalidad, </w:t>
      </w:r>
      <w:r w:rsidRPr="006D0761">
        <w:rPr>
          <w:rFonts w:ascii="Times New Roman" w:hAnsi="Times New Roman"/>
          <w:color w:val="000000"/>
          <w:sz w:val="28"/>
          <w:szCs w:val="28"/>
          <w:lang w:val="es-ES"/>
        </w:rPr>
        <w:t xml:space="preserve">el accionante tiene la carga de </w:t>
      </w:r>
      <w:r w:rsidRPr="006D0761">
        <w:rPr>
          <w:rFonts w:ascii="Times New Roman" w:hAnsi="Times New Roman"/>
          <w:color w:val="000000"/>
          <w:sz w:val="28"/>
          <w:szCs w:val="28"/>
          <w:lang w:val="es-ES"/>
        </w:rPr>
        <w:t xml:space="preserve">sustentar </w:t>
      </w:r>
      <w:r w:rsidRPr="006D0761">
        <w:rPr>
          <w:rFonts w:ascii="Times New Roman" w:hAnsi="Times New Roman"/>
          <w:color w:val="000000"/>
          <w:sz w:val="28"/>
          <w:szCs w:val="28"/>
          <w:lang w:val="es-ES"/>
        </w:rPr>
        <w:t>la naturaleza de la tipifica</w:t>
      </w:r>
      <w:r w:rsidRPr="006D0761">
        <w:rPr>
          <w:rFonts w:ascii="Times New Roman" w:hAnsi="Times New Roman"/>
          <w:color w:val="000000"/>
          <w:sz w:val="28"/>
          <w:szCs w:val="28"/>
          <w:lang w:val="es-ES"/>
        </w:rPr>
        <w:t xml:space="preserve">ción </w:t>
      </w:r>
      <w:r w:rsidRPr="006D0761">
        <w:rPr>
          <w:rFonts w:ascii="Times New Roman" w:hAnsi="Times New Roman"/>
          <w:color w:val="000000"/>
          <w:sz w:val="28"/>
          <w:szCs w:val="28"/>
          <w:lang w:val="es-ES"/>
        </w:rPr>
        <w:t xml:space="preserve">del feminicidio </w:t>
      </w:r>
      <w:r w:rsidRPr="006D0761">
        <w:rPr>
          <w:rFonts w:ascii="Times New Roman" w:hAnsi="Times New Roman"/>
          <w:color w:val="000000"/>
          <w:sz w:val="28"/>
          <w:szCs w:val="28"/>
          <w:lang w:val="es-ES"/>
        </w:rPr>
        <w:t>como una</w:t>
      </w:r>
      <w:r w:rsidRPr="006D0761">
        <w:rPr>
          <w:rFonts w:ascii="Times New Roman" w:hAnsi="Times New Roman"/>
          <w:color w:val="000000"/>
          <w:sz w:val="28"/>
          <w:szCs w:val="28"/>
          <w:lang w:val="es-ES"/>
        </w:rPr>
        <w:t xml:space="preserve"> medida de discriminación inversa</w:t>
      </w:r>
      <w:r w:rsidRPr="006D0761">
        <w:rPr>
          <w:rFonts w:ascii="Times New Roman" w:hAnsi="Times New Roman"/>
          <w:color w:val="000000"/>
          <w:sz w:val="28"/>
          <w:szCs w:val="28"/>
          <w:lang w:val="es-ES"/>
        </w:rPr>
        <w:t>, esto implica</w:t>
      </w:r>
      <w:r w:rsidRPr="006D0761">
        <w:rPr>
          <w:rFonts w:ascii="Times New Roman" w:hAnsi="Times New Roman"/>
          <w:color w:val="000000"/>
          <w:sz w:val="28"/>
          <w:szCs w:val="28"/>
          <w:lang w:val="es-ES"/>
        </w:rPr>
        <w:t xml:space="preserve"> sustentar por qué </w:t>
      </w:r>
      <w:r w:rsidRPr="006D0761">
        <w:rPr>
          <w:rFonts w:ascii="Times New Roman" w:hAnsi="Times New Roman"/>
          <w:color w:val="000000"/>
          <w:sz w:val="28"/>
          <w:szCs w:val="28"/>
          <w:lang w:val="es-ES"/>
        </w:rPr>
        <w:t xml:space="preserve">la tipificación del feminicidio y la medidas destinadas a implementar un </w:t>
      </w:r>
      <w:r w:rsidRPr="006D0761">
        <w:rPr>
          <w:rFonts w:ascii="Times New Roman" w:hAnsi="Times New Roman"/>
          <w:color w:val="000000"/>
          <w:sz w:val="28"/>
          <w:szCs w:val="28"/>
          <w:lang w:val="es-ES"/>
        </w:rPr>
        <w:t>enfoque</w:t>
      </w:r>
      <w:r w:rsidRPr="006D0761">
        <w:rPr>
          <w:rFonts w:ascii="Times New Roman" w:hAnsi="Times New Roman"/>
          <w:color w:val="000000"/>
          <w:sz w:val="28"/>
          <w:szCs w:val="28"/>
          <w:lang w:val="es-ES"/>
        </w:rPr>
        <w:t xml:space="preserve"> de género en</w:t>
      </w:r>
      <w:r w:rsidRPr="006D0761">
        <w:rPr>
          <w:rFonts w:ascii="Times New Roman" w:hAnsi="Times New Roman"/>
          <w:color w:val="000000"/>
          <w:sz w:val="28"/>
          <w:szCs w:val="28"/>
          <w:lang w:val="es-ES"/>
        </w:rPr>
        <w:t xml:space="preserve"> la investigación de</w:t>
      </w:r>
      <w:r w:rsidRPr="006D0761">
        <w:rPr>
          <w:rFonts w:ascii="Times New Roman" w:hAnsi="Times New Roman"/>
          <w:color w:val="000000"/>
          <w:sz w:val="28"/>
          <w:szCs w:val="28"/>
          <w:lang w:val="es-ES"/>
        </w:rPr>
        <w:t xml:space="preserve"> esa forma agravada de violencia contra la mujer</w:t>
      </w:r>
      <w:r w:rsidRPr="006D0761">
        <w:rPr>
          <w:rFonts w:ascii="Times New Roman" w:hAnsi="Times New Roman"/>
          <w:color w:val="000000"/>
          <w:sz w:val="28"/>
          <w:szCs w:val="28"/>
          <w:lang w:val="es-ES"/>
        </w:rPr>
        <w:t>, constituye</w:t>
      </w:r>
      <w:r w:rsidRPr="006D0761">
        <w:rPr>
          <w:rFonts w:ascii="Times New Roman" w:hAnsi="Times New Roman"/>
          <w:color w:val="000000"/>
          <w:sz w:val="28"/>
          <w:szCs w:val="28"/>
          <w:lang w:val="es-ES"/>
        </w:rPr>
        <w:t>n</w:t>
      </w:r>
      <w:r w:rsidRPr="006D0761">
        <w:rPr>
          <w:rFonts w:ascii="Times New Roman" w:hAnsi="Times New Roman"/>
          <w:color w:val="000000"/>
          <w:sz w:val="28"/>
          <w:szCs w:val="28"/>
          <w:lang w:val="es-ES"/>
        </w:rPr>
        <w:t xml:space="preserve"> una</w:t>
      </w:r>
      <w:r w:rsidRPr="006D0761">
        <w:rPr>
          <w:rFonts w:ascii="Times New Roman" w:hAnsi="Times New Roman"/>
          <w:color w:val="000000"/>
          <w:sz w:val="28"/>
          <w:szCs w:val="28"/>
          <w:lang w:val="es-ES"/>
        </w:rPr>
        <w:t xml:space="preserve"> forma de</w:t>
      </w:r>
      <w:r w:rsidRPr="006D0761">
        <w:rPr>
          <w:rFonts w:ascii="Times New Roman" w:hAnsi="Times New Roman"/>
          <w:color w:val="000000"/>
          <w:sz w:val="28"/>
          <w:szCs w:val="28"/>
          <w:lang w:val="es-ES"/>
        </w:rPr>
        <w:t xml:space="preserve"> discriminación contra los hombres qu</w:t>
      </w:r>
      <w:r w:rsidRPr="006D0761">
        <w:rPr>
          <w:rFonts w:ascii="Times New Roman" w:hAnsi="Times New Roman"/>
          <w:color w:val="000000"/>
          <w:sz w:val="28"/>
          <w:szCs w:val="28"/>
          <w:lang w:val="es-ES"/>
        </w:rPr>
        <w:t>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implica</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un perjuicio para </w:t>
      </w:r>
      <w:r w:rsidRPr="006D0761">
        <w:rPr>
          <w:rFonts w:ascii="Times New Roman" w:hAnsi="Times New Roman"/>
          <w:color w:val="000000"/>
          <w:sz w:val="28"/>
          <w:szCs w:val="28"/>
          <w:lang w:val="es-ES"/>
        </w:rPr>
        <w:t xml:space="preserve">sus derechos, por lo cual debería entonces tener un carácter temporal. </w:t>
      </w:r>
    </w:p>
    <w:p w:rsidR="0073362C" w:rsidRPr="006D0761" w:rsidRDefault="006D0761" w:rsidP="6D224379">
      <w:pPr>
        <w:pStyle w:val="Prrafodelista"/>
        <w:rPr>
          <w:rFonts w:ascii="Times New Roman" w:hAnsi="Times New Roman"/>
          <w:color w:val="000000"/>
          <w:sz w:val="28"/>
          <w:szCs w:val="28"/>
          <w:lang w:val="es-ES"/>
        </w:rPr>
      </w:pPr>
    </w:p>
    <w:p w:rsidR="0073362C"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color w:val="000000"/>
          <w:sz w:val="28"/>
          <w:szCs w:val="28"/>
          <w:lang w:val="es-ES"/>
        </w:rPr>
      </w:pPr>
      <w:r w:rsidRPr="006D0761">
        <w:rPr>
          <w:rFonts w:ascii="Times New Roman" w:hAnsi="Times New Roman"/>
          <w:color w:val="000000"/>
          <w:sz w:val="28"/>
          <w:szCs w:val="28"/>
          <w:lang w:val="es-ES"/>
        </w:rPr>
        <w:t>Adicionalmente, el accionante omite explicar porque la temporalidad de una medida afirmativa de discriminación inversa debe estar dispuesta necesariamente en las disposiciones de la misma norma, cuando la modificación o derogación de la norma pueden realiz</w:t>
      </w:r>
      <w:r w:rsidRPr="006D0761">
        <w:rPr>
          <w:rFonts w:ascii="Times New Roman" w:hAnsi="Times New Roman"/>
          <w:color w:val="000000"/>
          <w:sz w:val="28"/>
          <w:szCs w:val="28"/>
          <w:lang w:val="es-ES"/>
        </w:rPr>
        <w:t xml:space="preserve">arse por diferentes vías. </w:t>
      </w:r>
    </w:p>
    <w:p w:rsidR="00EB555F" w:rsidRPr="006D0761" w:rsidRDefault="006D0761" w:rsidP="6D224379">
      <w:pPr>
        <w:jc w:val="both"/>
        <w:rPr>
          <w:rFonts w:ascii="Times New Roman" w:hAnsi="Times New Roman"/>
          <w:color w:val="000000"/>
          <w:sz w:val="28"/>
          <w:szCs w:val="28"/>
          <w:lang w:val="es-ES"/>
        </w:rPr>
      </w:pPr>
    </w:p>
    <w:p w:rsidR="003F5E93"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sz w:val="28"/>
          <w:szCs w:val="28"/>
          <w:lang w:val="es-ES"/>
        </w:rPr>
      </w:pP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 xml:space="preserve">Aunque el principio </w:t>
      </w:r>
      <w:r w:rsidRPr="006D0761">
        <w:rPr>
          <w:rFonts w:ascii="Times New Roman" w:hAnsi="Times New Roman"/>
          <w:i/>
          <w:iCs/>
          <w:color w:val="000000"/>
          <w:sz w:val="28"/>
          <w:szCs w:val="28"/>
          <w:lang w:val="es-ES"/>
        </w:rPr>
        <w:t>pro actione</w:t>
      </w:r>
      <w:r w:rsidRPr="006D0761">
        <w:rPr>
          <w:rFonts w:ascii="Times New Roman" w:hAnsi="Times New Roman"/>
          <w:color w:val="000000"/>
          <w:sz w:val="28"/>
          <w:szCs w:val="28"/>
          <w:lang w:val="es-ES"/>
        </w:rPr>
        <w:t xml:space="preserve"> guía a la Corte a optar por la admisión de la demanda cuando tenga dudas sobre el cumplimiento de las exigencias requerido para ello a fin de favorecer la posibilidad del ejercicio de la acción p</w:t>
      </w:r>
      <w:r w:rsidRPr="006D0761">
        <w:rPr>
          <w:rFonts w:ascii="Times New Roman" w:hAnsi="Times New Roman"/>
          <w:color w:val="000000"/>
          <w:sz w:val="28"/>
          <w:szCs w:val="28"/>
          <w:lang w:val="es-ES"/>
        </w:rPr>
        <w:t>ública de constitucionalidad,</w:t>
      </w:r>
      <w:r w:rsidRPr="006D0761">
        <w:rPr>
          <w:rStyle w:val="Refdenotaalpie"/>
          <w:rFonts w:ascii="Times New Roman" w:hAnsi="Times New Roman"/>
          <w:color w:val="000000"/>
          <w:sz w:val="28"/>
          <w:szCs w:val="28"/>
          <w:lang w:val="es-ES"/>
        </w:rPr>
        <w:footnoteReference w:id="88"/>
      </w:r>
      <w:r w:rsidRPr="006D0761">
        <w:rPr>
          <w:rFonts w:ascii="Times New Roman" w:hAnsi="Times New Roman"/>
          <w:color w:val="000000"/>
          <w:sz w:val="28"/>
          <w:szCs w:val="28"/>
          <w:lang w:val="es-ES"/>
        </w:rPr>
        <w:t xml:space="preserve"> en este caso, l</w:t>
      </w:r>
      <w:r w:rsidRPr="006D0761">
        <w:rPr>
          <w:rFonts w:ascii="Times New Roman" w:hAnsi="Times New Roman"/>
          <w:color w:val="000000"/>
          <w:sz w:val="28"/>
          <w:szCs w:val="28"/>
          <w:lang w:val="es-ES"/>
        </w:rPr>
        <w:t xml:space="preserve">a falta de una argumentación </w:t>
      </w:r>
      <w:r w:rsidRPr="006D0761">
        <w:rPr>
          <w:rFonts w:ascii="Times New Roman" w:hAnsi="Times New Roman"/>
          <w:color w:val="000000"/>
          <w:sz w:val="28"/>
          <w:szCs w:val="28"/>
          <w:lang w:val="es-ES"/>
        </w:rPr>
        <w:t xml:space="preserve">específica, </w:t>
      </w:r>
      <w:r w:rsidRPr="006D0761">
        <w:rPr>
          <w:rFonts w:ascii="Times New Roman" w:hAnsi="Times New Roman"/>
          <w:color w:val="000000"/>
          <w:sz w:val="28"/>
          <w:szCs w:val="28"/>
          <w:lang w:val="es-ES"/>
        </w:rPr>
        <w:t>pertinente</w:t>
      </w:r>
      <w:r w:rsidRPr="006D0761">
        <w:rPr>
          <w:rFonts w:ascii="Times New Roman" w:hAnsi="Times New Roman"/>
          <w:color w:val="000000"/>
          <w:sz w:val="28"/>
          <w:szCs w:val="28"/>
          <w:lang w:val="es-ES"/>
        </w:rPr>
        <w:t xml:space="preserve"> y suficiente</w:t>
      </w:r>
      <w:r w:rsidRPr="006D0761">
        <w:rPr>
          <w:rFonts w:ascii="Times New Roman" w:hAnsi="Times New Roman"/>
          <w:color w:val="000000"/>
          <w:sz w:val="28"/>
          <w:szCs w:val="28"/>
          <w:lang w:val="es-ES"/>
        </w:rPr>
        <w:t xml:space="preserve"> en la sustentación de este </w:t>
      </w:r>
      <w:r w:rsidRPr="006D0761">
        <w:rPr>
          <w:rFonts w:ascii="Times New Roman" w:hAnsi="Times New Roman"/>
          <w:color w:val="000000"/>
          <w:sz w:val="28"/>
          <w:szCs w:val="28"/>
          <w:lang w:val="es-ES"/>
        </w:rPr>
        <w:t>cargo</w:t>
      </w:r>
      <w:r w:rsidRPr="006D0761">
        <w:rPr>
          <w:rFonts w:ascii="Times New Roman" w:hAnsi="Times New Roman"/>
          <w:color w:val="000000"/>
          <w:sz w:val="28"/>
          <w:szCs w:val="28"/>
          <w:lang w:val="es-ES"/>
        </w:rPr>
        <w:t xml:space="preserve"> hace necesario concluir que el mismo</w:t>
      </w:r>
      <w:r w:rsidRPr="006D0761">
        <w:rPr>
          <w:rFonts w:ascii="Times New Roman" w:hAnsi="Times New Roman"/>
          <w:color w:val="000000"/>
          <w:sz w:val="28"/>
          <w:szCs w:val="28"/>
          <w:lang w:val="es-ES"/>
        </w:rPr>
        <w:t xml:space="preserve"> carece de</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aptitud</w:t>
      </w:r>
      <w:r w:rsidRPr="006D0761">
        <w:rPr>
          <w:rFonts w:ascii="Times New Roman" w:hAnsi="Times New Roman"/>
          <w:color w:val="000000"/>
          <w:sz w:val="28"/>
          <w:szCs w:val="28"/>
          <w:lang w:val="es-ES"/>
        </w:rPr>
        <w:t xml:space="preserve"> para su evaluación. </w:t>
      </w:r>
      <w:r w:rsidRPr="006D0761">
        <w:rPr>
          <w:rFonts w:ascii="Times New Roman" w:hAnsi="Times New Roman"/>
          <w:color w:val="000000"/>
          <w:sz w:val="28"/>
          <w:szCs w:val="28"/>
          <w:lang w:val="es-ES"/>
        </w:rPr>
        <w:t xml:space="preserve"> </w:t>
      </w:r>
    </w:p>
    <w:p w:rsidR="003F5E93" w:rsidRPr="006D0761" w:rsidRDefault="006D0761" w:rsidP="6D224379">
      <w:pPr>
        <w:pStyle w:val="NormalWeb"/>
        <w:spacing w:before="0" w:beforeAutospacing="0" w:after="0" w:afterAutospacing="0"/>
        <w:jc w:val="both"/>
        <w:rPr>
          <w:rFonts w:ascii="Times New Roman" w:hAnsi="Times New Roman"/>
          <w:sz w:val="28"/>
          <w:szCs w:val="28"/>
          <w:lang w:val="es-ES"/>
        </w:rPr>
      </w:pPr>
    </w:p>
    <w:p w:rsidR="003F5E93" w:rsidRPr="006D0761" w:rsidRDefault="006D0761" w:rsidP="00EB501B">
      <w:pPr>
        <w:pStyle w:val="Ttulo2"/>
        <w:numPr>
          <w:ilvl w:val="0"/>
          <w:numId w:val="4"/>
        </w:numPr>
        <w:ind w:left="0" w:firstLine="0"/>
        <w:rPr>
          <w:rFonts w:ascii="Times New Roman" w:hAnsi="Times New Roman"/>
          <w:b w:val="0"/>
          <w:lang w:val="es-ES"/>
        </w:rPr>
      </w:pPr>
      <w:bookmarkStart w:id="21" w:name="_Toc220572677"/>
      <w:r w:rsidRPr="006D0761">
        <w:rPr>
          <w:rFonts w:ascii="Times New Roman" w:hAnsi="Times New Roman"/>
          <w:lang w:val="es-ES"/>
        </w:rPr>
        <w:t>Conclusión</w:t>
      </w:r>
      <w:bookmarkEnd w:id="21"/>
    </w:p>
    <w:p w:rsidR="003F5E93" w:rsidRPr="006D0761" w:rsidRDefault="006D0761" w:rsidP="6D224379">
      <w:pPr>
        <w:pStyle w:val="NormalWeb"/>
        <w:spacing w:before="0" w:beforeAutospacing="0" w:after="0" w:afterAutospacing="0"/>
        <w:jc w:val="both"/>
        <w:rPr>
          <w:rFonts w:ascii="Times New Roman" w:hAnsi="Times New Roman"/>
          <w:sz w:val="28"/>
          <w:szCs w:val="28"/>
          <w:lang w:val="es-ES"/>
        </w:rPr>
      </w:pPr>
    </w:p>
    <w:p w:rsidR="003F5E93"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sz w:val="28"/>
          <w:szCs w:val="28"/>
          <w:lang w:val="es-ES"/>
        </w:rPr>
      </w:pPr>
      <w:r w:rsidRPr="006D0761">
        <w:rPr>
          <w:rFonts w:ascii="Times New Roman" w:hAnsi="Times New Roman"/>
          <w:sz w:val="28"/>
          <w:szCs w:val="28"/>
          <w:lang w:val="es-ES"/>
        </w:rPr>
        <w:t xml:space="preserve">En consecuencia de todo lo anterior, y pese al principio </w:t>
      </w:r>
      <w:r w:rsidRPr="006D0761">
        <w:rPr>
          <w:rFonts w:ascii="Times New Roman" w:hAnsi="Times New Roman"/>
          <w:i/>
          <w:iCs/>
          <w:sz w:val="28"/>
          <w:szCs w:val="28"/>
          <w:lang w:val="es-ES"/>
        </w:rPr>
        <w:t>pro actione</w:t>
      </w:r>
      <w:r w:rsidRPr="006D0761">
        <w:rPr>
          <w:rFonts w:ascii="Times New Roman" w:hAnsi="Times New Roman"/>
          <w:sz w:val="28"/>
          <w:szCs w:val="28"/>
          <w:lang w:val="es-ES"/>
        </w:rPr>
        <w:t xml:space="preserve">, la Corte Constitucional reitera que </w:t>
      </w:r>
      <w:r w:rsidRPr="006D0761">
        <w:rPr>
          <w:rFonts w:ascii="Times New Roman" w:hAnsi="Times New Roman"/>
          <w:sz w:val="28"/>
          <w:szCs w:val="28"/>
          <w:lang w:val="es-ES"/>
        </w:rPr>
        <w:t xml:space="preserve">la demanda por violación del derecho a la igualdad contra </w:t>
      </w:r>
      <w:r w:rsidRPr="006D0761">
        <w:rPr>
          <w:rFonts w:ascii="Times New Roman" w:hAnsi="Times New Roman"/>
          <w:sz w:val="28"/>
          <w:szCs w:val="28"/>
          <w:lang w:val="es-ES"/>
        </w:rPr>
        <w:t>una medida cuyo objetivo es la búsqueda de la igualdad real frente a discriminaciones histór</w:t>
      </w:r>
      <w:r w:rsidRPr="006D0761">
        <w:rPr>
          <w:rFonts w:ascii="Times New Roman" w:hAnsi="Times New Roman"/>
          <w:sz w:val="28"/>
          <w:szCs w:val="28"/>
          <w:lang w:val="es-ES"/>
        </w:rPr>
        <w:t xml:space="preserve">icas y estructurales que afectan gravemente la vida de las mujeres, requiere de una carga argumentativa </w:t>
      </w:r>
      <w:r w:rsidRPr="006D0761">
        <w:rPr>
          <w:rFonts w:ascii="Times New Roman" w:hAnsi="Times New Roman"/>
          <w:sz w:val="28"/>
          <w:szCs w:val="28"/>
          <w:lang w:val="es-ES"/>
        </w:rPr>
        <w:t>sólida</w:t>
      </w:r>
      <w:r w:rsidRPr="006D0761">
        <w:rPr>
          <w:rFonts w:ascii="Times New Roman" w:hAnsi="Times New Roman"/>
          <w:sz w:val="28"/>
          <w:szCs w:val="28"/>
          <w:lang w:val="es-ES"/>
        </w:rPr>
        <w:t xml:space="preserve"> </w:t>
      </w:r>
      <w:r w:rsidRPr="006D0761">
        <w:rPr>
          <w:rFonts w:ascii="Times New Roman" w:hAnsi="Times New Roman"/>
          <w:sz w:val="28"/>
          <w:szCs w:val="28"/>
          <w:lang w:val="es-ES"/>
        </w:rPr>
        <w:t>y</w:t>
      </w:r>
      <w:r w:rsidRPr="006D0761">
        <w:rPr>
          <w:rFonts w:ascii="Times New Roman" w:hAnsi="Times New Roman"/>
          <w:sz w:val="28"/>
          <w:szCs w:val="28"/>
          <w:lang w:val="es-ES"/>
        </w:rPr>
        <w:t xml:space="preserve"> cuya pertinencia implica la valoración de la jurisprudencia constitucional y de los estándares internacionales de  protección a las mujeres y l</w:t>
      </w:r>
      <w:r w:rsidRPr="006D0761">
        <w:rPr>
          <w:rFonts w:ascii="Times New Roman" w:hAnsi="Times New Roman"/>
          <w:sz w:val="28"/>
          <w:szCs w:val="28"/>
          <w:lang w:val="es-ES"/>
        </w:rPr>
        <w:t>as niñas</w:t>
      </w:r>
      <w:r w:rsidRPr="006D0761">
        <w:rPr>
          <w:rFonts w:ascii="Times New Roman" w:hAnsi="Times New Roman"/>
          <w:sz w:val="28"/>
          <w:szCs w:val="28"/>
          <w:lang w:val="es-ES"/>
        </w:rPr>
        <w:t xml:space="preserve"> para la valoración de la importancia constitucional del fin perseguido</w:t>
      </w:r>
      <w:r w:rsidRPr="006D0761">
        <w:rPr>
          <w:rFonts w:ascii="Times New Roman" w:hAnsi="Times New Roman"/>
          <w:sz w:val="28"/>
          <w:szCs w:val="28"/>
          <w:lang w:val="es-ES"/>
        </w:rPr>
        <w:t xml:space="preserve">. </w:t>
      </w:r>
    </w:p>
    <w:p w:rsidR="003F5E93" w:rsidRPr="006D0761" w:rsidRDefault="006D0761" w:rsidP="6D224379">
      <w:pPr>
        <w:pStyle w:val="NormalWeb"/>
        <w:spacing w:before="0" w:beforeAutospacing="0" w:after="0" w:afterAutospacing="0"/>
        <w:jc w:val="both"/>
        <w:rPr>
          <w:rFonts w:ascii="Times New Roman" w:hAnsi="Times New Roman"/>
          <w:sz w:val="28"/>
          <w:szCs w:val="28"/>
          <w:lang w:val="es-ES"/>
        </w:rPr>
      </w:pPr>
    </w:p>
    <w:p w:rsidR="003F5E93"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sz w:val="28"/>
          <w:szCs w:val="28"/>
          <w:lang w:val="es-ES"/>
        </w:rPr>
      </w:pPr>
      <w:r w:rsidRPr="006D0761">
        <w:rPr>
          <w:rFonts w:ascii="Times New Roman" w:hAnsi="Times New Roman"/>
          <w:sz w:val="28"/>
          <w:szCs w:val="28"/>
          <w:lang w:val="es-ES"/>
        </w:rPr>
        <w:t>En este caso, dicha carga no fue absuelta</w:t>
      </w:r>
      <w:r w:rsidRPr="006D0761">
        <w:rPr>
          <w:rFonts w:ascii="Times New Roman" w:hAnsi="Times New Roman"/>
          <w:sz w:val="28"/>
          <w:szCs w:val="28"/>
          <w:lang w:val="es-ES"/>
        </w:rPr>
        <w:t>. El accionante no sustentó con pertinencia y suficiencia por</w:t>
      </w:r>
      <w:r w:rsidRPr="006D0761">
        <w:rPr>
          <w:rFonts w:ascii="Times New Roman" w:hAnsi="Times New Roman"/>
          <w:sz w:val="28"/>
          <w:szCs w:val="28"/>
          <w:lang w:val="es-ES"/>
        </w:rPr>
        <w:t xml:space="preserve"> </w:t>
      </w:r>
      <w:r w:rsidRPr="006D0761">
        <w:rPr>
          <w:rFonts w:ascii="Times New Roman" w:hAnsi="Times New Roman"/>
          <w:sz w:val="28"/>
          <w:szCs w:val="28"/>
          <w:lang w:val="es-ES"/>
        </w:rPr>
        <w:t>qu</w:t>
      </w:r>
      <w:r w:rsidRPr="006D0761">
        <w:rPr>
          <w:rFonts w:ascii="Times New Roman" w:hAnsi="Times New Roman"/>
          <w:sz w:val="28"/>
          <w:szCs w:val="28"/>
          <w:lang w:val="es-ES"/>
        </w:rPr>
        <w:t>é</w:t>
      </w:r>
      <w:r w:rsidRPr="006D0761">
        <w:rPr>
          <w:rFonts w:ascii="Times New Roman" w:hAnsi="Times New Roman"/>
          <w:sz w:val="28"/>
          <w:szCs w:val="28"/>
          <w:lang w:val="es-ES"/>
        </w:rPr>
        <w:t xml:space="preserve"> hombres y mujeres se encuentran en pie de igualdad frente a la violencia de género pese a las grandes diferencias cuantitativas y cualitativas entre ellos. Adicionalmente,</w:t>
      </w:r>
      <w:r w:rsidRPr="006D0761">
        <w:rPr>
          <w:rFonts w:ascii="Times New Roman" w:hAnsi="Times New Roman"/>
          <w:sz w:val="28"/>
          <w:szCs w:val="28"/>
          <w:lang w:val="es-ES"/>
        </w:rPr>
        <w:t xml:space="preserve"> </w:t>
      </w:r>
      <w:r w:rsidRPr="006D0761">
        <w:rPr>
          <w:rFonts w:ascii="Times New Roman" w:hAnsi="Times New Roman"/>
          <w:sz w:val="28"/>
          <w:szCs w:val="28"/>
          <w:lang w:val="es-ES"/>
        </w:rPr>
        <w:t>el accionante omitió valorar la importancia constitucional del fin perseguido con l</w:t>
      </w:r>
      <w:r w:rsidRPr="006D0761">
        <w:rPr>
          <w:rFonts w:ascii="Times New Roman" w:hAnsi="Times New Roman"/>
          <w:sz w:val="28"/>
          <w:szCs w:val="28"/>
          <w:lang w:val="es-ES"/>
        </w:rPr>
        <w:t>a medida</w:t>
      </w:r>
      <w:r w:rsidRPr="006D0761">
        <w:rPr>
          <w:rFonts w:ascii="Times New Roman" w:hAnsi="Times New Roman"/>
          <w:sz w:val="28"/>
          <w:szCs w:val="28"/>
          <w:lang w:val="es-ES"/>
        </w:rPr>
        <w:t xml:space="preserve">, </w:t>
      </w:r>
      <w:r w:rsidRPr="006D0761">
        <w:rPr>
          <w:rFonts w:ascii="Times New Roman" w:hAnsi="Times New Roman"/>
          <w:sz w:val="28"/>
          <w:szCs w:val="28"/>
          <w:lang w:val="es-ES"/>
        </w:rPr>
        <w:t xml:space="preserve">que </w:t>
      </w:r>
      <w:r w:rsidRPr="006D0761">
        <w:rPr>
          <w:rFonts w:ascii="Times New Roman" w:hAnsi="Times New Roman"/>
          <w:sz w:val="28"/>
          <w:szCs w:val="28"/>
          <w:lang w:val="es-ES"/>
        </w:rPr>
        <w:t xml:space="preserve">tiene un amplio reconocimiento en la jurisprudencia constitucional y se apoya en </w:t>
      </w:r>
      <w:r w:rsidRPr="006D0761">
        <w:rPr>
          <w:rFonts w:ascii="Times New Roman" w:hAnsi="Times New Roman"/>
          <w:sz w:val="28"/>
          <w:szCs w:val="28"/>
          <w:lang w:val="es-ES"/>
        </w:rPr>
        <w:t>disposiciones de la Carta Política y en el</w:t>
      </w:r>
      <w:r w:rsidRPr="006D0761">
        <w:rPr>
          <w:rFonts w:ascii="Times New Roman" w:hAnsi="Times New Roman"/>
          <w:sz w:val="28"/>
          <w:szCs w:val="28"/>
          <w:lang w:val="es-ES"/>
        </w:rPr>
        <w:t xml:space="preserve"> </w:t>
      </w:r>
      <w:r w:rsidRPr="006D0761">
        <w:rPr>
          <w:rFonts w:ascii="Times New Roman" w:hAnsi="Times New Roman"/>
          <w:i/>
          <w:iCs/>
          <w:sz w:val="28"/>
          <w:szCs w:val="28"/>
          <w:lang w:val="es-ES"/>
        </w:rPr>
        <w:t xml:space="preserve">corpus iuris </w:t>
      </w:r>
      <w:r w:rsidRPr="006D0761">
        <w:rPr>
          <w:rFonts w:ascii="Times New Roman" w:hAnsi="Times New Roman"/>
          <w:sz w:val="28"/>
          <w:szCs w:val="28"/>
          <w:lang w:val="es-ES"/>
        </w:rPr>
        <w:t xml:space="preserve">nacional e internacional que </w:t>
      </w:r>
      <w:r w:rsidRPr="006D0761">
        <w:rPr>
          <w:rFonts w:ascii="Times New Roman" w:hAnsi="Times New Roman"/>
          <w:sz w:val="28"/>
          <w:szCs w:val="28"/>
          <w:lang w:val="es-ES"/>
        </w:rPr>
        <w:t>exige</w:t>
      </w:r>
      <w:r w:rsidRPr="006D0761">
        <w:rPr>
          <w:rFonts w:ascii="Times New Roman" w:hAnsi="Times New Roman"/>
          <w:sz w:val="28"/>
          <w:szCs w:val="28"/>
          <w:lang w:val="es-ES"/>
        </w:rPr>
        <w:t xml:space="preserve"> al Estado actuar con debida diligencia en la prevención, investigación</w:t>
      </w:r>
      <w:r w:rsidRPr="006D0761">
        <w:rPr>
          <w:rFonts w:ascii="Times New Roman" w:hAnsi="Times New Roman"/>
          <w:sz w:val="28"/>
          <w:szCs w:val="28"/>
          <w:lang w:val="es-ES"/>
        </w:rPr>
        <w:t xml:space="preserve"> y sanción de la violencia contra la mujer y en particular el feminicidio. Tampoco cumplió con la carga respecto del análisis de conducencia de la medida, y en cuanto a las consideraciones sobre si la medida es evidentemente desproporcionada, tampoco hay u</w:t>
      </w:r>
      <w:r w:rsidRPr="006D0761">
        <w:rPr>
          <w:rFonts w:ascii="Times New Roman" w:hAnsi="Times New Roman"/>
          <w:sz w:val="28"/>
          <w:szCs w:val="28"/>
          <w:lang w:val="es-ES"/>
        </w:rPr>
        <w:t xml:space="preserve">n análisis que permitan comprender cuales son los derechos que el tipo penal de feminicidio restringe a los hombres. </w:t>
      </w:r>
    </w:p>
    <w:p w:rsidR="003F5E93" w:rsidRPr="006D0761" w:rsidRDefault="006D0761" w:rsidP="6D224379">
      <w:pPr>
        <w:pStyle w:val="NormalWeb"/>
        <w:spacing w:before="0" w:beforeAutospacing="0" w:after="0" w:afterAutospacing="0"/>
        <w:jc w:val="both"/>
        <w:rPr>
          <w:rFonts w:ascii="Times New Roman" w:hAnsi="Times New Roman"/>
          <w:sz w:val="28"/>
          <w:szCs w:val="28"/>
          <w:lang w:val="es-ES"/>
        </w:rPr>
      </w:pPr>
    </w:p>
    <w:p w:rsidR="003F5E93"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sz w:val="28"/>
          <w:szCs w:val="28"/>
          <w:lang w:val="es-ES"/>
        </w:rPr>
      </w:pPr>
      <w:r w:rsidRPr="006D0761">
        <w:rPr>
          <w:rFonts w:ascii="Times New Roman" w:hAnsi="Times New Roman"/>
          <w:sz w:val="28"/>
          <w:szCs w:val="28"/>
          <w:lang w:val="es-ES"/>
        </w:rPr>
        <w:t>Adicionalmente, el cargo por violación de la regla de temporalidad de las medidas afirmativas requiere inicialmente, analizar la naturale</w:t>
      </w:r>
      <w:r w:rsidRPr="006D0761">
        <w:rPr>
          <w:rFonts w:ascii="Times New Roman" w:hAnsi="Times New Roman"/>
          <w:sz w:val="28"/>
          <w:szCs w:val="28"/>
          <w:lang w:val="es-ES"/>
        </w:rPr>
        <w:t xml:space="preserve">za de la medida y explicar porque puede ser considerada como una discriminación inversa, cuestión que no fue explicada por el accionante. </w:t>
      </w:r>
    </w:p>
    <w:p w:rsidR="003F5E93" w:rsidRPr="006D0761" w:rsidRDefault="006D0761" w:rsidP="6D224379">
      <w:pPr>
        <w:pStyle w:val="NormalWeb"/>
        <w:spacing w:before="0" w:beforeAutospacing="0" w:after="0" w:afterAutospacing="0"/>
        <w:jc w:val="both"/>
        <w:rPr>
          <w:rFonts w:ascii="Times New Roman" w:hAnsi="Times New Roman"/>
          <w:sz w:val="28"/>
          <w:szCs w:val="28"/>
          <w:lang w:val="es-ES"/>
        </w:rPr>
      </w:pPr>
    </w:p>
    <w:p w:rsidR="003F2601" w:rsidRPr="006D0761" w:rsidRDefault="006D0761" w:rsidP="00EB501B">
      <w:pPr>
        <w:pStyle w:val="NormalWeb"/>
        <w:numPr>
          <w:ilvl w:val="0"/>
          <w:numId w:val="3"/>
        </w:numPr>
        <w:spacing w:before="0" w:beforeAutospacing="0" w:after="0" w:afterAutospacing="0"/>
        <w:ind w:left="0" w:firstLine="0"/>
        <w:jc w:val="both"/>
        <w:rPr>
          <w:rFonts w:ascii="Times New Roman" w:hAnsi="Times New Roman"/>
          <w:sz w:val="28"/>
          <w:lang w:val="es-ES"/>
        </w:rPr>
      </w:pPr>
      <w:r w:rsidRPr="006D0761">
        <w:rPr>
          <w:rFonts w:ascii="Times New Roman" w:hAnsi="Times New Roman"/>
          <w:sz w:val="28"/>
          <w:szCs w:val="28"/>
          <w:lang w:val="es-ES"/>
        </w:rPr>
        <w:t>Al encontrar que los argumentos no abordaron aspectos indispensables para poder generar una duda mínima sobre la inc</w:t>
      </w:r>
      <w:r w:rsidRPr="006D0761">
        <w:rPr>
          <w:rFonts w:ascii="Times New Roman" w:hAnsi="Times New Roman"/>
          <w:sz w:val="28"/>
          <w:szCs w:val="28"/>
          <w:lang w:val="es-ES"/>
        </w:rPr>
        <w:t xml:space="preserve">onstitucionalidad de la norma, </w:t>
      </w:r>
      <w:r w:rsidRPr="006D0761">
        <w:rPr>
          <w:rFonts w:ascii="Times New Roman" w:hAnsi="Times New Roman"/>
          <w:sz w:val="28"/>
          <w:szCs w:val="28"/>
          <w:lang w:val="es-ES"/>
        </w:rPr>
        <w:t xml:space="preserve">la Corte </w:t>
      </w:r>
      <w:r w:rsidRPr="006D0761">
        <w:rPr>
          <w:rFonts w:ascii="Times New Roman" w:hAnsi="Times New Roman"/>
          <w:sz w:val="28"/>
          <w:szCs w:val="28"/>
          <w:lang w:val="es-ES"/>
        </w:rPr>
        <w:t xml:space="preserve">encuentra que </w:t>
      </w:r>
      <w:r w:rsidRPr="006D0761">
        <w:rPr>
          <w:rFonts w:ascii="Times New Roman" w:hAnsi="Times New Roman"/>
          <w:sz w:val="28"/>
          <w:szCs w:val="28"/>
          <w:lang w:val="es-ES"/>
        </w:rPr>
        <w:t xml:space="preserve">debe declararse inhibida para conocer de la </w:t>
      </w:r>
      <w:r w:rsidRPr="006D0761">
        <w:rPr>
          <w:rFonts w:ascii="Times New Roman" w:hAnsi="Times New Roman"/>
          <w:sz w:val="28"/>
          <w:szCs w:val="28"/>
          <w:lang w:val="es-ES"/>
        </w:rPr>
        <w:t xml:space="preserve">presente </w:t>
      </w:r>
      <w:r w:rsidRPr="006D0761">
        <w:rPr>
          <w:rFonts w:ascii="Times New Roman" w:hAnsi="Times New Roman"/>
          <w:sz w:val="28"/>
          <w:szCs w:val="28"/>
          <w:lang w:val="es-ES"/>
        </w:rPr>
        <w:t>demanda.</w:t>
      </w:r>
    </w:p>
    <w:p w:rsidR="00031B87" w:rsidRPr="006D0761" w:rsidRDefault="006D0761" w:rsidP="00EB501B">
      <w:pPr>
        <w:pStyle w:val="Ttulo1"/>
        <w:keepLines w:val="0"/>
        <w:numPr>
          <w:ilvl w:val="0"/>
          <w:numId w:val="1"/>
        </w:numPr>
        <w:ind w:left="0" w:firstLine="0"/>
        <w:rPr>
          <w:rFonts w:ascii="Times New Roman" w:hAnsi="Times New Roman"/>
          <w:lang w:val="es-ES"/>
        </w:rPr>
      </w:pPr>
      <w:bookmarkStart w:id="22" w:name="_Toc220572678"/>
      <w:r w:rsidRPr="006D0761">
        <w:rPr>
          <w:rFonts w:ascii="Times New Roman" w:hAnsi="Times New Roman"/>
          <w:lang w:val="es-ES"/>
        </w:rPr>
        <w:t>DECISIÓN</w:t>
      </w:r>
      <w:bookmarkEnd w:id="22"/>
    </w:p>
    <w:p w:rsidR="00DB451D" w:rsidRPr="006D0761" w:rsidRDefault="006D0761" w:rsidP="00EB501B">
      <w:pPr>
        <w:pStyle w:val="Prrafodelista"/>
        <w:keepNext/>
        <w:jc w:val="both"/>
        <w:rPr>
          <w:rFonts w:ascii="Times New Roman" w:hAnsi="Times New Roman"/>
          <w:color w:val="000000"/>
          <w:sz w:val="28"/>
          <w:szCs w:val="28"/>
          <w:lang w:val="es-ES"/>
        </w:rPr>
      </w:pPr>
    </w:p>
    <w:p w:rsidR="00D528A1" w:rsidRPr="006D0761" w:rsidRDefault="006D0761" w:rsidP="6D224379">
      <w:pPr>
        <w:pStyle w:val="paragraph"/>
        <w:spacing w:before="0" w:beforeAutospacing="0" w:after="0" w:afterAutospacing="0"/>
        <w:jc w:val="both"/>
        <w:textAlignment w:val="baseline"/>
        <w:rPr>
          <w:rStyle w:val="eop"/>
          <w:rFonts w:ascii="Times New Roman" w:hAnsi="Times New Roman"/>
          <w:sz w:val="28"/>
          <w:szCs w:val="28"/>
          <w:lang w:val="es-ES"/>
        </w:rPr>
      </w:pPr>
      <w:r w:rsidRPr="006D0761">
        <w:rPr>
          <w:rStyle w:val="normaltextrun"/>
          <w:rFonts w:ascii="Times New Roman" w:hAnsi="Times New Roman"/>
          <w:sz w:val="28"/>
          <w:szCs w:val="28"/>
          <w:lang w:val="es-ES"/>
        </w:rPr>
        <w:t>La Corte Constitucional de la República de Colombia, administrando justicia en nombre del pueblo y por mandato de la Constitución,</w:t>
      </w:r>
      <w:r w:rsidRPr="006D0761">
        <w:rPr>
          <w:rStyle w:val="eop"/>
          <w:rFonts w:ascii="Times New Roman" w:hAnsi="Times New Roman"/>
          <w:sz w:val="28"/>
          <w:szCs w:val="28"/>
          <w:lang w:val="es-ES"/>
        </w:rPr>
        <w:t> </w:t>
      </w:r>
    </w:p>
    <w:p w:rsidR="00D528A1" w:rsidRPr="006D0761" w:rsidRDefault="006D0761" w:rsidP="6D224379">
      <w:pPr>
        <w:pStyle w:val="paragraph"/>
        <w:spacing w:before="0" w:beforeAutospacing="0" w:after="0" w:afterAutospacing="0"/>
        <w:textAlignment w:val="baseline"/>
        <w:rPr>
          <w:rFonts w:ascii="Times New Roman" w:hAnsi="Times New Roman"/>
          <w:sz w:val="28"/>
          <w:szCs w:val="28"/>
          <w:lang w:val="es-ES"/>
        </w:rPr>
      </w:pPr>
    </w:p>
    <w:p w:rsidR="001261BD" w:rsidRPr="006D0761" w:rsidRDefault="006D0761" w:rsidP="6D224379">
      <w:pPr>
        <w:pStyle w:val="paragraph"/>
        <w:spacing w:before="0" w:beforeAutospacing="0" w:after="0" w:afterAutospacing="0"/>
        <w:textAlignment w:val="baseline"/>
        <w:rPr>
          <w:rFonts w:ascii="Times New Roman" w:hAnsi="Times New Roman"/>
          <w:sz w:val="28"/>
          <w:szCs w:val="28"/>
          <w:lang w:val="es-ES"/>
        </w:rPr>
      </w:pPr>
    </w:p>
    <w:p w:rsidR="73B79BC6" w:rsidRPr="006D0761" w:rsidRDefault="006D0761" w:rsidP="00EB501B">
      <w:pPr>
        <w:pStyle w:val="paragraph"/>
        <w:spacing w:before="0" w:beforeAutospacing="0" w:after="0" w:afterAutospacing="0"/>
        <w:jc w:val="center"/>
        <w:textAlignment w:val="baseline"/>
        <w:rPr>
          <w:rStyle w:val="eop"/>
          <w:rFonts w:ascii="Times New Roman" w:hAnsi="Times New Roman"/>
          <w:sz w:val="28"/>
          <w:szCs w:val="28"/>
          <w:lang w:val="es-ES" w:eastAsia="es-ES_tradnl"/>
        </w:rPr>
      </w:pPr>
      <w:r w:rsidRPr="006D0761">
        <w:rPr>
          <w:rStyle w:val="normaltextrun"/>
          <w:rFonts w:ascii="Times New Roman" w:hAnsi="Times New Roman"/>
          <w:b/>
          <w:bCs/>
          <w:sz w:val="28"/>
          <w:szCs w:val="28"/>
          <w:lang w:val="es-ES"/>
        </w:rPr>
        <w:t>RESUELVE</w:t>
      </w:r>
      <w:r w:rsidRPr="006D0761">
        <w:rPr>
          <w:rStyle w:val="eop"/>
          <w:rFonts w:ascii="Times New Roman" w:hAnsi="Times New Roman"/>
          <w:sz w:val="28"/>
          <w:szCs w:val="28"/>
          <w:lang w:val="es-ES"/>
        </w:rPr>
        <w:t> </w:t>
      </w:r>
    </w:p>
    <w:p w:rsidR="00692DAA" w:rsidRPr="006D0761" w:rsidRDefault="006D0761" w:rsidP="6D224379">
      <w:pPr>
        <w:spacing w:beforeAutospacing="1" w:afterAutospacing="1"/>
        <w:jc w:val="both"/>
        <w:rPr>
          <w:rFonts w:ascii="Times New Roman" w:hAnsi="Times New Roman"/>
          <w:color w:val="000000"/>
          <w:sz w:val="28"/>
          <w:szCs w:val="28"/>
          <w:lang w:val="es-ES"/>
        </w:rPr>
      </w:pPr>
      <w:r w:rsidRPr="006D0761">
        <w:rPr>
          <w:rFonts w:ascii="Times New Roman" w:hAnsi="Times New Roman"/>
          <w:b/>
          <w:bCs/>
          <w:sz w:val="28"/>
          <w:szCs w:val="28"/>
          <w:lang w:val="es-ES"/>
        </w:rPr>
        <w:t>UNICO</w:t>
      </w:r>
      <w:r w:rsidRPr="006D0761">
        <w:rPr>
          <w:rFonts w:ascii="Times New Roman" w:hAnsi="Times New Roman"/>
          <w:b/>
          <w:bCs/>
          <w:sz w:val="28"/>
          <w:szCs w:val="28"/>
          <w:lang w:val="es-ES"/>
        </w:rPr>
        <w:t>.</w:t>
      </w:r>
      <w:r w:rsidRPr="006D0761">
        <w:rPr>
          <w:rFonts w:ascii="Times New Roman" w:hAnsi="Times New Roman"/>
          <w:sz w:val="28"/>
          <w:szCs w:val="28"/>
          <w:lang w:val="es-ES"/>
        </w:rPr>
        <w:t xml:space="preserve"> </w:t>
      </w:r>
      <w:r w:rsidRPr="006D0761">
        <w:rPr>
          <w:rFonts w:ascii="Times New Roman" w:hAnsi="Times New Roman"/>
          <w:b/>
          <w:bCs/>
          <w:sz w:val="28"/>
          <w:szCs w:val="28"/>
          <w:lang w:val="es-ES"/>
        </w:rPr>
        <w:t xml:space="preserve">INHIBIRSE </w:t>
      </w:r>
      <w:r w:rsidRPr="006D0761">
        <w:rPr>
          <w:rFonts w:ascii="Times New Roman" w:hAnsi="Times New Roman"/>
          <w:sz w:val="28"/>
          <w:szCs w:val="28"/>
          <w:lang w:val="es-ES"/>
        </w:rPr>
        <w:t xml:space="preserve">respecto de la demanda presentada contra </w:t>
      </w:r>
      <w:r w:rsidRPr="006D0761">
        <w:rPr>
          <w:rFonts w:ascii="Times New Roman" w:hAnsi="Times New Roman"/>
          <w:sz w:val="28"/>
          <w:szCs w:val="28"/>
          <w:lang w:val="es-ES"/>
        </w:rPr>
        <w:t xml:space="preserve">la </w:t>
      </w:r>
      <w:r w:rsidRPr="006D0761">
        <w:rPr>
          <w:rFonts w:ascii="Times New Roman" w:hAnsi="Times New Roman"/>
          <w:color w:val="000000"/>
          <w:sz w:val="28"/>
          <w:szCs w:val="28"/>
          <w:lang w:val="es-ES"/>
        </w:rPr>
        <w:t>Ley 1761 de 2015,</w:t>
      </w:r>
      <w:r w:rsidRPr="006D0761">
        <w:rPr>
          <w:rFonts w:ascii="Times New Roman" w:hAnsi="Times New Roman"/>
          <w:color w:val="000000"/>
          <w:sz w:val="28"/>
          <w:szCs w:val="28"/>
          <w:lang w:val="es-ES"/>
        </w:rPr>
        <w:t xml:space="preserve"> </w:t>
      </w:r>
      <w:r w:rsidRPr="006D0761">
        <w:rPr>
          <w:rFonts w:ascii="Times New Roman" w:hAnsi="Times New Roman"/>
          <w:color w:val="000000"/>
          <w:sz w:val="28"/>
          <w:szCs w:val="28"/>
          <w:lang w:val="es-ES"/>
        </w:rPr>
        <w:t>“</w:t>
      </w:r>
      <w:r w:rsidRPr="006D0761">
        <w:rPr>
          <w:rFonts w:ascii="Times New Roman" w:hAnsi="Times New Roman"/>
          <w:i/>
          <w:iCs/>
          <w:color w:val="000000"/>
          <w:sz w:val="28"/>
          <w:szCs w:val="28"/>
          <w:lang w:val="es-ES"/>
        </w:rPr>
        <w:t>Por la cual se crea el tipo penal de feminicidio como delito autónomo y se dictan otras disposiciones</w:t>
      </w:r>
      <w:r w:rsidRPr="006D0761">
        <w:rPr>
          <w:rFonts w:ascii="Times New Roman" w:hAnsi="Times New Roman"/>
          <w:color w:val="000000"/>
          <w:sz w:val="28"/>
          <w:szCs w:val="28"/>
          <w:lang w:val="es-ES"/>
        </w:rPr>
        <w:t>”, por</w:t>
      </w:r>
      <w:r w:rsidRPr="006D0761">
        <w:rPr>
          <w:rFonts w:ascii="Times New Roman" w:hAnsi="Times New Roman"/>
          <w:color w:val="000000"/>
          <w:sz w:val="28"/>
          <w:szCs w:val="28"/>
          <w:lang w:val="es-ES"/>
        </w:rPr>
        <w:t xml:space="preserve"> la ineptitud de</w:t>
      </w:r>
      <w:r w:rsidRPr="006D0761">
        <w:rPr>
          <w:rFonts w:ascii="Times New Roman" w:hAnsi="Times New Roman"/>
          <w:color w:val="000000"/>
          <w:sz w:val="28"/>
          <w:szCs w:val="28"/>
          <w:lang w:val="es-ES"/>
        </w:rPr>
        <w:t xml:space="preserve"> los cargos </w:t>
      </w:r>
      <w:r w:rsidRPr="006D0761">
        <w:rPr>
          <w:rFonts w:ascii="Times New Roman" w:hAnsi="Times New Roman"/>
          <w:color w:val="000000"/>
          <w:sz w:val="28"/>
          <w:szCs w:val="28"/>
          <w:lang w:val="es-ES"/>
        </w:rPr>
        <w:t xml:space="preserve">presentados en el </w:t>
      </w:r>
      <w:r w:rsidRPr="006D0761">
        <w:rPr>
          <w:rFonts w:ascii="Times New Roman" w:hAnsi="Times New Roman"/>
          <w:color w:val="000000"/>
          <w:sz w:val="28"/>
          <w:szCs w:val="28"/>
          <w:lang w:val="es-ES"/>
        </w:rPr>
        <w:t>expediente D-16596.</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JORGE ENRIQUE IBÁÑEZ NAJAR</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Presidente</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Con aclaración de voto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NATALIA ÁNGEL CABO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Magistrada</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Con aclaración de voto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CARLOS CAMARGO ASSIS</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Magistrado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HECTOR ALFONSO CARVAJAL LONDOÑO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Magistrado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JUAN CARLOS CORTÉS GONZÁLEZ</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Magistrado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 xml:space="preserve">LINA </w:t>
      </w:r>
      <w:r w:rsidRPr="006D0761">
        <w:rPr>
          <w:rFonts w:ascii="Times New Roman" w:hAnsi="Times New Roman"/>
          <w:color w:val="000000"/>
          <w:sz w:val="28"/>
          <w:szCs w:val="28"/>
          <w:lang w:val="es-ES"/>
        </w:rPr>
        <w:t>MARCELA ESCOBAR MARTÍNEZ</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Magistrada</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VLADIMIR FERNÁNDEZ ANDRADE</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Magistrado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PAOLA ANDREA MENESES MOSQUERA</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Magistrada</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MIGUEL POLO ROSERO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Magistrado</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ANDREA LILIANA ROMERO LOPEZ</w:t>
      </w:r>
    </w:p>
    <w:p w:rsidR="00C64345" w:rsidRPr="006D0761" w:rsidRDefault="006D0761" w:rsidP="00C64345">
      <w:pPr>
        <w:spacing w:beforeAutospacing="1" w:afterAutospacing="1"/>
        <w:jc w:val="center"/>
        <w:rPr>
          <w:rFonts w:ascii="Times New Roman" w:hAnsi="Times New Roman"/>
          <w:color w:val="000000"/>
          <w:sz w:val="28"/>
          <w:szCs w:val="28"/>
          <w:lang w:val="es-ES"/>
        </w:rPr>
      </w:pPr>
      <w:r w:rsidRPr="006D0761">
        <w:rPr>
          <w:rFonts w:ascii="Times New Roman" w:hAnsi="Times New Roman"/>
          <w:color w:val="000000"/>
          <w:sz w:val="28"/>
          <w:szCs w:val="28"/>
          <w:lang w:val="es-ES"/>
        </w:rPr>
        <w:t>Secretaria General</w:t>
      </w: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C64345" w:rsidRPr="006D0761" w:rsidRDefault="006D0761" w:rsidP="6D224379">
      <w:pPr>
        <w:spacing w:beforeAutospacing="1" w:afterAutospacing="1"/>
        <w:jc w:val="both"/>
        <w:rPr>
          <w:rFonts w:ascii="Times New Roman" w:hAnsi="Times New Roman"/>
          <w:color w:val="000000"/>
          <w:sz w:val="28"/>
          <w:szCs w:val="28"/>
          <w:lang w:val="es-ES"/>
        </w:rPr>
      </w:pPr>
    </w:p>
    <w:p w:rsidR="00507474" w:rsidRPr="006D0761" w:rsidRDefault="006D0761" w:rsidP="00507474">
      <w:pPr>
        <w:spacing w:after="0" w:line="240" w:lineRule="auto"/>
        <w:jc w:val="center"/>
        <w:rPr>
          <w:rFonts w:ascii="Times New Roman" w:hAnsi="Times New Roman"/>
          <w:b/>
          <w:bCs/>
          <w:sz w:val="28"/>
          <w:szCs w:val="28"/>
          <w:lang w:val="es-419"/>
        </w:rPr>
      </w:pPr>
      <w:r w:rsidRPr="006D0761">
        <w:rPr>
          <w:rFonts w:ascii="Times New Roman" w:hAnsi="Times New Roman"/>
          <w:b/>
          <w:bCs/>
          <w:sz w:val="28"/>
          <w:szCs w:val="28"/>
          <w:lang w:val="es-419"/>
        </w:rPr>
        <w:t xml:space="preserve">ACLARACIÓN DE VOTO DE LA MAGISTRADA </w:t>
      </w:r>
    </w:p>
    <w:p w:rsidR="00507474" w:rsidRPr="006D0761" w:rsidRDefault="006D0761" w:rsidP="00507474">
      <w:pPr>
        <w:spacing w:after="0" w:line="240" w:lineRule="auto"/>
        <w:jc w:val="center"/>
        <w:rPr>
          <w:rFonts w:ascii="Times New Roman" w:hAnsi="Times New Roman"/>
          <w:b/>
          <w:bCs/>
          <w:sz w:val="28"/>
          <w:szCs w:val="28"/>
          <w:lang w:val="es-419"/>
        </w:rPr>
      </w:pPr>
      <w:r w:rsidRPr="006D0761">
        <w:rPr>
          <w:rFonts w:ascii="Times New Roman" w:hAnsi="Times New Roman"/>
          <w:b/>
          <w:bCs/>
          <w:sz w:val="28"/>
          <w:szCs w:val="28"/>
          <w:lang w:val="es-419"/>
        </w:rPr>
        <w:t xml:space="preserve">NATALIA ÁNGEL CABO </w:t>
      </w:r>
    </w:p>
    <w:p w:rsidR="0000399E" w:rsidRPr="006D0761" w:rsidRDefault="006D0761" w:rsidP="00507474">
      <w:pPr>
        <w:spacing w:after="0" w:line="240" w:lineRule="auto"/>
        <w:jc w:val="center"/>
        <w:rPr>
          <w:rFonts w:ascii="Times New Roman" w:hAnsi="Times New Roman"/>
          <w:b/>
          <w:bCs/>
          <w:sz w:val="28"/>
          <w:szCs w:val="28"/>
          <w:lang w:val="es-419"/>
        </w:rPr>
      </w:pPr>
      <w:r w:rsidRPr="006D0761">
        <w:rPr>
          <w:rFonts w:ascii="Times New Roman" w:hAnsi="Times New Roman"/>
          <w:b/>
          <w:bCs/>
          <w:sz w:val="28"/>
          <w:szCs w:val="28"/>
          <w:lang w:val="es-419"/>
        </w:rPr>
        <w:t>A LA SENTENCIA C-493</w:t>
      </w:r>
      <w:r w:rsidRPr="006D0761">
        <w:rPr>
          <w:rFonts w:ascii="Times New Roman" w:hAnsi="Times New Roman"/>
          <w:b/>
          <w:bCs/>
          <w:sz w:val="28"/>
          <w:szCs w:val="28"/>
          <w:lang w:val="es-419"/>
        </w:rPr>
        <w:t>/</w:t>
      </w:r>
      <w:r w:rsidRPr="006D0761">
        <w:rPr>
          <w:rFonts w:ascii="Times New Roman" w:hAnsi="Times New Roman"/>
          <w:b/>
          <w:bCs/>
          <w:sz w:val="28"/>
          <w:szCs w:val="28"/>
          <w:lang w:val="es-419"/>
        </w:rPr>
        <w:t>25</w:t>
      </w:r>
    </w:p>
    <w:p w:rsidR="00507474" w:rsidRPr="006D0761" w:rsidRDefault="006D0761" w:rsidP="00507474">
      <w:pPr>
        <w:spacing w:after="0" w:line="240" w:lineRule="auto"/>
        <w:jc w:val="center"/>
        <w:rPr>
          <w:rFonts w:ascii="Times New Roman" w:hAnsi="Times New Roman"/>
          <w:b/>
          <w:bCs/>
          <w:sz w:val="28"/>
          <w:szCs w:val="28"/>
          <w:lang w:val="es-419"/>
        </w:rPr>
      </w:pPr>
    </w:p>
    <w:p w:rsidR="00507474" w:rsidRPr="006D0761" w:rsidRDefault="006D0761" w:rsidP="00507474">
      <w:pPr>
        <w:spacing w:after="0" w:line="240" w:lineRule="auto"/>
        <w:jc w:val="center"/>
        <w:rPr>
          <w:rFonts w:ascii="Times New Roman" w:hAnsi="Times New Roman"/>
          <w:b/>
          <w:bCs/>
          <w:sz w:val="28"/>
          <w:szCs w:val="28"/>
          <w:lang w:val="es-419"/>
        </w:rPr>
      </w:pPr>
    </w:p>
    <w:p w:rsidR="0000399E" w:rsidRPr="006D0761" w:rsidRDefault="006D0761" w:rsidP="00507474">
      <w:pPr>
        <w:ind w:left="3969"/>
        <w:jc w:val="both"/>
        <w:rPr>
          <w:rFonts w:ascii="Times New Roman" w:hAnsi="Times New Roman"/>
          <w:sz w:val="28"/>
          <w:szCs w:val="28"/>
          <w:lang w:val="es-419"/>
        </w:rPr>
      </w:pPr>
      <w:r w:rsidRPr="006D0761">
        <w:rPr>
          <w:rFonts w:ascii="Times New Roman" w:hAnsi="Times New Roman"/>
          <w:sz w:val="28"/>
          <w:szCs w:val="28"/>
          <w:lang w:val="es-419"/>
        </w:rPr>
        <w:t>Referencia: expediente D-</w:t>
      </w:r>
      <w:r w:rsidRPr="006D0761">
        <w:rPr>
          <w:rFonts w:ascii="Times New Roman" w:hAnsi="Times New Roman"/>
          <w:color w:val="000000"/>
          <w:sz w:val="28"/>
          <w:shd w:val="clear" w:color="auto" w:fill="FFFFFF"/>
          <w:lang w:val="es-US"/>
        </w:rPr>
        <w:t xml:space="preserve"> </w:t>
      </w:r>
      <w:r w:rsidRPr="006D0761">
        <w:rPr>
          <w:rFonts w:ascii="Times New Roman" w:hAnsi="Times New Roman"/>
          <w:sz w:val="28"/>
          <w:szCs w:val="28"/>
          <w:lang w:val="es-US"/>
        </w:rPr>
        <w:t>16.596</w:t>
      </w:r>
    </w:p>
    <w:p w:rsidR="00507474" w:rsidRPr="006D0761" w:rsidRDefault="006D0761" w:rsidP="00507474">
      <w:pPr>
        <w:ind w:left="3969"/>
        <w:jc w:val="both"/>
        <w:rPr>
          <w:rFonts w:ascii="Times New Roman" w:hAnsi="Times New Roman"/>
          <w:sz w:val="28"/>
          <w:szCs w:val="28"/>
          <w:lang w:val="es-419"/>
        </w:rPr>
      </w:pPr>
      <w:r w:rsidRPr="006D0761">
        <w:rPr>
          <w:rFonts w:ascii="Times New Roman" w:hAnsi="Times New Roman"/>
          <w:sz w:val="28"/>
          <w:szCs w:val="28"/>
          <w:lang w:val="es-419"/>
        </w:rPr>
        <w:t>Magistrado ponente:</w:t>
      </w:r>
    </w:p>
    <w:p w:rsidR="0000399E" w:rsidRPr="006D0761" w:rsidRDefault="006D0761" w:rsidP="00507474">
      <w:pPr>
        <w:ind w:left="3969"/>
        <w:jc w:val="both"/>
        <w:rPr>
          <w:rFonts w:ascii="Times New Roman" w:hAnsi="Times New Roman"/>
          <w:sz w:val="28"/>
          <w:szCs w:val="28"/>
          <w:lang w:val="es-419"/>
        </w:rPr>
      </w:pPr>
      <w:r w:rsidRPr="006D0761">
        <w:rPr>
          <w:rFonts w:ascii="Times New Roman" w:hAnsi="Times New Roman"/>
          <w:sz w:val="28"/>
          <w:szCs w:val="28"/>
          <w:lang w:val="es-419"/>
        </w:rPr>
        <w:t xml:space="preserve"> Héctor Alfonso Carvajal Londoño</w:t>
      </w:r>
      <w:r w:rsidRPr="006D0761">
        <w:rPr>
          <w:rFonts w:ascii="Times New Roman" w:hAnsi="Times New Roman"/>
          <w:sz w:val="28"/>
          <w:szCs w:val="28"/>
          <w:lang w:val="es-419"/>
        </w:rPr>
        <w:t>.</w:t>
      </w:r>
    </w:p>
    <w:p w:rsidR="00507474" w:rsidRPr="006D0761" w:rsidRDefault="006D0761" w:rsidP="00507474">
      <w:pPr>
        <w:ind w:left="3969"/>
        <w:jc w:val="both"/>
        <w:rPr>
          <w:rFonts w:ascii="Times New Roman" w:hAnsi="Times New Roman"/>
          <w:sz w:val="28"/>
          <w:szCs w:val="28"/>
          <w:lang w:val="es-419"/>
        </w:rPr>
      </w:pPr>
    </w:p>
    <w:p w:rsidR="003B40AA" w:rsidRPr="006D0761" w:rsidRDefault="006D0761" w:rsidP="003B40AA">
      <w:pPr>
        <w:spacing w:after="0" w:line="240" w:lineRule="auto"/>
        <w:jc w:val="both"/>
        <w:rPr>
          <w:rFonts w:ascii="Times New Roman" w:hAnsi="Times New Roman"/>
          <w:sz w:val="28"/>
          <w:szCs w:val="28"/>
        </w:rPr>
      </w:pPr>
      <w:r w:rsidRPr="006D0761">
        <w:rPr>
          <w:rFonts w:ascii="Times New Roman" w:hAnsi="Times New Roman"/>
          <w:sz w:val="28"/>
          <w:szCs w:val="28"/>
          <w:lang w:val="es-419"/>
        </w:rPr>
        <w:t xml:space="preserve">A </w:t>
      </w:r>
      <w:r w:rsidRPr="006D0761">
        <w:rPr>
          <w:rFonts w:ascii="Times New Roman" w:hAnsi="Times New Roman"/>
          <w:sz w:val="28"/>
          <w:szCs w:val="28"/>
          <w:lang w:val="es-419"/>
        </w:rPr>
        <w:t>continuación,</w:t>
      </w:r>
      <w:r w:rsidRPr="006D0761">
        <w:rPr>
          <w:rFonts w:ascii="Times New Roman" w:hAnsi="Times New Roman"/>
          <w:sz w:val="28"/>
          <w:szCs w:val="28"/>
          <w:lang w:val="es-419"/>
        </w:rPr>
        <w:t xml:space="preserve"> presento las razones que me llevaron a aclarar el voto en </w:t>
      </w:r>
      <w:r w:rsidRPr="006D0761">
        <w:rPr>
          <w:rFonts w:ascii="Times New Roman" w:hAnsi="Times New Roman"/>
          <w:sz w:val="28"/>
          <w:szCs w:val="28"/>
          <w:lang w:val="es-419"/>
        </w:rPr>
        <w:t>la Sentencia C-493 de 2025</w:t>
      </w:r>
      <w:r w:rsidRPr="006D0761">
        <w:rPr>
          <w:rFonts w:ascii="Times New Roman" w:hAnsi="Times New Roman"/>
          <w:sz w:val="28"/>
          <w:szCs w:val="28"/>
          <w:lang w:val="es-419"/>
        </w:rPr>
        <w:t xml:space="preserve">. En esta ocasión, la </w:t>
      </w:r>
      <w:r w:rsidRPr="006D0761">
        <w:rPr>
          <w:rFonts w:ascii="Times New Roman" w:hAnsi="Times New Roman"/>
          <w:sz w:val="28"/>
          <w:szCs w:val="28"/>
          <w:lang w:val="es-419"/>
        </w:rPr>
        <w:t>Sala Plena resolvió una</w:t>
      </w:r>
      <w:r w:rsidRPr="006D0761">
        <w:rPr>
          <w:rFonts w:ascii="Times New Roman" w:hAnsi="Times New Roman"/>
          <w:sz w:val="28"/>
          <w:szCs w:val="28"/>
          <w:lang w:val="es-419"/>
        </w:rPr>
        <w:t xml:space="preserve"> demanda de inconstitucionalidad presentada por el ciudadano </w:t>
      </w:r>
      <w:r w:rsidRPr="006D0761">
        <w:rPr>
          <w:rFonts w:ascii="Times New Roman" w:hAnsi="Times New Roman"/>
          <w:sz w:val="28"/>
          <w:szCs w:val="28"/>
          <w:lang w:val="es-US"/>
        </w:rPr>
        <w:t>Pedro Pablo Menéndez Pla</w:t>
      </w:r>
      <w:r w:rsidRPr="006D0761">
        <w:rPr>
          <w:rFonts w:ascii="Times New Roman" w:hAnsi="Times New Roman"/>
          <w:sz w:val="28"/>
          <w:szCs w:val="28"/>
          <w:lang w:val="es-US"/>
        </w:rPr>
        <w:t xml:space="preserve"> contra </w:t>
      </w:r>
      <w:r w:rsidRPr="006D0761">
        <w:rPr>
          <w:rFonts w:ascii="Times New Roman" w:hAnsi="Times New Roman"/>
          <w:sz w:val="28"/>
          <w:szCs w:val="28"/>
          <w:lang w:val="es-US"/>
        </w:rPr>
        <w:t>l</w:t>
      </w:r>
      <w:r w:rsidRPr="006D0761">
        <w:rPr>
          <w:rFonts w:ascii="Times New Roman" w:hAnsi="Times New Roman"/>
          <w:sz w:val="28"/>
          <w:szCs w:val="28"/>
        </w:rPr>
        <w:t>a Ley 1761 de 2015 “Por la cual se crea el tipo penal de feminicidio como delito autónomo y se dictan otras disposiciones”.</w:t>
      </w:r>
      <w:r w:rsidRPr="006D0761">
        <w:rPr>
          <w:rFonts w:ascii="Times New Roman" w:hAnsi="Times New Roman"/>
          <w:sz w:val="28"/>
          <w:szCs w:val="28"/>
        </w:rPr>
        <w:t xml:space="preserve"> La Corte decidió que la demanda era inepta y, en consecuencia, se declaró inhibida para pronunciarse sobre los cargos propuestos.</w:t>
      </w:r>
    </w:p>
    <w:p w:rsidR="003B40AA" w:rsidRPr="006D0761" w:rsidRDefault="006D0761" w:rsidP="003B40AA">
      <w:pPr>
        <w:spacing w:after="0" w:line="240" w:lineRule="auto"/>
        <w:jc w:val="both"/>
        <w:rPr>
          <w:rFonts w:ascii="Times New Roman" w:hAnsi="Times New Roman"/>
          <w:sz w:val="28"/>
          <w:szCs w:val="28"/>
        </w:rPr>
      </w:pPr>
    </w:p>
    <w:p w:rsidR="003B40AA" w:rsidRPr="006D0761" w:rsidRDefault="006D0761" w:rsidP="003B40AA">
      <w:pPr>
        <w:spacing w:after="0" w:line="240" w:lineRule="auto"/>
        <w:jc w:val="both"/>
        <w:rPr>
          <w:rFonts w:ascii="Times New Roman" w:hAnsi="Times New Roman"/>
          <w:sz w:val="28"/>
          <w:szCs w:val="28"/>
          <w:lang w:val="es-419"/>
        </w:rPr>
      </w:pPr>
      <w:r w:rsidRPr="006D0761">
        <w:rPr>
          <w:rFonts w:ascii="Times New Roman" w:hAnsi="Times New Roman"/>
          <w:sz w:val="28"/>
          <w:szCs w:val="28"/>
        </w:rPr>
        <w:t>Acompañé la decisión de la mayoría pues la demanda objeto de estudio evidentemente no cumplía con los criterios requeridos p</w:t>
      </w:r>
      <w:r w:rsidRPr="006D0761">
        <w:rPr>
          <w:rFonts w:ascii="Times New Roman" w:hAnsi="Times New Roman"/>
          <w:sz w:val="28"/>
          <w:szCs w:val="28"/>
        </w:rPr>
        <w:t xml:space="preserve">or la jurisprudencia constitucional para provocar un examen de constitucionalidad. Sin embargo, considero que la decisión final guarda silencio sobre </w:t>
      </w:r>
      <w:r w:rsidRPr="006D0761">
        <w:rPr>
          <w:rFonts w:ascii="Times New Roman" w:hAnsi="Times New Roman"/>
          <w:sz w:val="28"/>
          <w:szCs w:val="28"/>
          <w:lang w:val="es-419"/>
        </w:rPr>
        <w:t>argumentos no sólo subjetivos sino peligrosamente discriminatorios</w:t>
      </w:r>
      <w:r w:rsidRPr="006D0761">
        <w:rPr>
          <w:rFonts w:ascii="Times New Roman" w:hAnsi="Times New Roman"/>
          <w:sz w:val="28"/>
          <w:szCs w:val="28"/>
          <w:lang w:val="es-419"/>
        </w:rPr>
        <w:t xml:space="preserve"> planteados por el accionante, y que con</w:t>
      </w:r>
      <w:r w:rsidRPr="006D0761">
        <w:rPr>
          <w:rFonts w:ascii="Times New Roman" w:hAnsi="Times New Roman"/>
          <w:sz w:val="28"/>
          <w:szCs w:val="28"/>
          <w:lang w:val="es-419"/>
        </w:rPr>
        <w:t>sidero merecen especial atención</w:t>
      </w:r>
      <w:r w:rsidRPr="006D0761">
        <w:rPr>
          <w:rFonts w:ascii="Times New Roman" w:hAnsi="Times New Roman"/>
          <w:sz w:val="28"/>
          <w:szCs w:val="28"/>
        </w:rPr>
        <w:t xml:space="preserve">. A lo largo de la demanda, el ciudadano se vale de múltiples aseveraciones estereotipadas que desconocen la naturaleza estructural de la violencia contra las mujeres, que tiene como flagelo más extreme el feminicidio. A mi </w:t>
      </w:r>
      <w:r w:rsidRPr="006D0761">
        <w:rPr>
          <w:rFonts w:ascii="Times New Roman" w:hAnsi="Times New Roman"/>
          <w:sz w:val="28"/>
          <w:szCs w:val="28"/>
        </w:rPr>
        <w:t xml:space="preserve">juicio, </w:t>
      </w:r>
      <w:r w:rsidRPr="006D0761">
        <w:rPr>
          <w:rFonts w:ascii="Times New Roman" w:hAnsi="Times New Roman"/>
          <w:sz w:val="28"/>
          <w:szCs w:val="28"/>
        </w:rPr>
        <w:t>así se tratara de una decisión inhibitoria, ha debido</w:t>
      </w:r>
      <w:r w:rsidRPr="006D0761">
        <w:rPr>
          <w:rFonts w:ascii="Times New Roman" w:hAnsi="Times New Roman"/>
          <w:sz w:val="28"/>
          <w:szCs w:val="28"/>
          <w:lang w:val="es-US"/>
        </w:rPr>
        <w:t> </w:t>
      </w:r>
      <w:r w:rsidRPr="006D0761">
        <w:rPr>
          <w:rFonts w:ascii="Times New Roman" w:hAnsi="Times New Roman"/>
          <w:sz w:val="28"/>
          <w:szCs w:val="28"/>
          <w:lang w:val="es-419"/>
        </w:rPr>
        <w:t>enviar un mensaje contundente contra los discursos que desconocen la magnitud del fenómeno de las violencias basadas en el género que afectan desproporcionadamente a mujeres, niñas y personas co</w:t>
      </w:r>
      <w:r w:rsidRPr="006D0761">
        <w:rPr>
          <w:rFonts w:ascii="Times New Roman" w:hAnsi="Times New Roman"/>
          <w:sz w:val="28"/>
          <w:szCs w:val="28"/>
          <w:lang w:val="es-419"/>
        </w:rPr>
        <w:t xml:space="preserve">n </w:t>
      </w:r>
      <w:r w:rsidRPr="006D0761">
        <w:rPr>
          <w:rFonts w:ascii="Times New Roman" w:hAnsi="Times New Roman"/>
          <w:sz w:val="28"/>
          <w:szCs w:val="28"/>
          <w:lang w:val="es-419"/>
        </w:rPr>
        <w:t>orientaciones sexuales e identidades de género</w:t>
      </w:r>
      <w:r w:rsidRPr="006D0761">
        <w:rPr>
          <w:rFonts w:ascii="Times New Roman" w:hAnsi="Times New Roman"/>
          <w:sz w:val="28"/>
          <w:szCs w:val="28"/>
          <w:lang w:val="es-419"/>
        </w:rPr>
        <w:t xml:space="preserve"> diversas. </w:t>
      </w:r>
    </w:p>
    <w:p w:rsidR="003B40AA" w:rsidRPr="006D0761" w:rsidRDefault="006D0761" w:rsidP="003B40AA">
      <w:pPr>
        <w:spacing w:after="0" w:line="240" w:lineRule="auto"/>
        <w:jc w:val="both"/>
        <w:rPr>
          <w:rFonts w:ascii="Times New Roman" w:hAnsi="Times New Roman"/>
          <w:sz w:val="28"/>
          <w:szCs w:val="28"/>
          <w:lang w:val="es-419"/>
        </w:rPr>
      </w:pPr>
    </w:p>
    <w:p w:rsidR="003B40AA" w:rsidRPr="006D0761" w:rsidRDefault="006D0761" w:rsidP="003B40AA">
      <w:pPr>
        <w:spacing w:after="0" w:line="240" w:lineRule="auto"/>
        <w:jc w:val="both"/>
        <w:rPr>
          <w:rFonts w:ascii="Times New Roman" w:hAnsi="Times New Roman"/>
          <w:sz w:val="28"/>
          <w:szCs w:val="28"/>
          <w:lang w:val="es-419"/>
        </w:rPr>
      </w:pPr>
      <w:r w:rsidRPr="006D0761">
        <w:rPr>
          <w:rFonts w:ascii="Times New Roman" w:hAnsi="Times New Roman"/>
          <w:sz w:val="28"/>
          <w:szCs w:val="28"/>
          <w:lang w:val="es-419"/>
        </w:rPr>
        <w:t>C</w:t>
      </w:r>
      <w:r w:rsidRPr="006D0761">
        <w:rPr>
          <w:rFonts w:ascii="Times New Roman" w:hAnsi="Times New Roman"/>
          <w:sz w:val="28"/>
          <w:szCs w:val="28"/>
          <w:lang w:val="es-419"/>
        </w:rPr>
        <w:t>reo que la Corte pu</w:t>
      </w:r>
      <w:r w:rsidRPr="006D0761">
        <w:rPr>
          <w:rFonts w:ascii="Times New Roman" w:hAnsi="Times New Roman"/>
          <w:sz w:val="28"/>
          <w:szCs w:val="28"/>
          <w:lang w:val="es-419"/>
        </w:rPr>
        <w:t>do</w:t>
      </w:r>
      <w:r w:rsidRPr="006D0761">
        <w:rPr>
          <w:rFonts w:ascii="Times New Roman" w:hAnsi="Times New Roman"/>
          <w:sz w:val="28"/>
          <w:szCs w:val="28"/>
          <w:lang w:val="es-419"/>
        </w:rPr>
        <w:t xml:space="preserve"> tomar una actitud pedagógica e instar no sólo al demandante sino </w:t>
      </w:r>
      <w:r w:rsidRPr="006D0761">
        <w:rPr>
          <w:rFonts w:ascii="Times New Roman" w:hAnsi="Times New Roman"/>
          <w:sz w:val="28"/>
          <w:szCs w:val="28"/>
          <w:lang w:val="es-419"/>
        </w:rPr>
        <w:t xml:space="preserve">también </w:t>
      </w:r>
      <w:r w:rsidRPr="006D0761">
        <w:rPr>
          <w:rFonts w:ascii="Times New Roman" w:hAnsi="Times New Roman"/>
          <w:sz w:val="28"/>
          <w:szCs w:val="28"/>
          <w:lang w:val="es-419"/>
        </w:rPr>
        <w:t xml:space="preserve">a diferentes instituciones a </w:t>
      </w:r>
      <w:r w:rsidRPr="006D0761">
        <w:rPr>
          <w:rFonts w:ascii="Times New Roman" w:hAnsi="Times New Roman"/>
          <w:sz w:val="28"/>
          <w:szCs w:val="28"/>
          <w:lang w:val="es-419"/>
        </w:rPr>
        <w:t>avanzar en</w:t>
      </w:r>
      <w:r w:rsidRPr="006D0761">
        <w:rPr>
          <w:rFonts w:ascii="Times New Roman" w:hAnsi="Times New Roman"/>
          <w:sz w:val="28"/>
          <w:szCs w:val="28"/>
          <w:lang w:val="es-419"/>
        </w:rPr>
        <w:t xml:space="preserve"> ejercicios de sensibilización sobre el alcance de la violencia feminicida y sus devastadores efectos en la sociedad. </w:t>
      </w:r>
      <w:r w:rsidRPr="006D0761">
        <w:rPr>
          <w:rFonts w:ascii="Times New Roman" w:hAnsi="Times New Roman"/>
          <w:sz w:val="28"/>
          <w:szCs w:val="28"/>
          <w:lang w:val="es-419"/>
        </w:rPr>
        <w:t>No sobraba en esta decisión, al menos una</w:t>
      </w:r>
      <w:r w:rsidRPr="006D0761">
        <w:rPr>
          <w:rFonts w:ascii="Times New Roman" w:hAnsi="Times New Roman"/>
          <w:sz w:val="28"/>
          <w:szCs w:val="28"/>
          <w:lang w:val="es-419"/>
        </w:rPr>
        <w:t xml:space="preserve"> mención general a algunas órdenes establecidas en las Sentencias T-027 y T-391 de 2025</w:t>
      </w:r>
      <w:r w:rsidRPr="006D0761">
        <w:rPr>
          <w:rFonts w:ascii="Times New Roman" w:hAnsi="Times New Roman"/>
          <w:sz w:val="28"/>
          <w:szCs w:val="28"/>
          <w:lang w:val="es-419"/>
        </w:rPr>
        <w:t>, decision</w:t>
      </w:r>
      <w:r w:rsidRPr="006D0761">
        <w:rPr>
          <w:rFonts w:ascii="Times New Roman" w:hAnsi="Times New Roman"/>
          <w:sz w:val="28"/>
          <w:szCs w:val="28"/>
          <w:lang w:val="es-419"/>
        </w:rPr>
        <w:t xml:space="preserve">es que </w:t>
      </w:r>
      <w:r w:rsidRPr="006D0761">
        <w:rPr>
          <w:rFonts w:ascii="Times New Roman" w:hAnsi="Times New Roman"/>
          <w:sz w:val="28"/>
          <w:szCs w:val="28"/>
          <w:lang w:val="es-419"/>
        </w:rPr>
        <w:t>dan cuenta ampliamente del alcance de esta forma de violencia en nuestra sociedad y de la importancia de la formación ciudadana para prevenirla.</w:t>
      </w:r>
    </w:p>
    <w:p w:rsidR="00DB260B" w:rsidRPr="006D0761" w:rsidRDefault="006D0761" w:rsidP="003B40AA">
      <w:pPr>
        <w:spacing w:after="0" w:line="240" w:lineRule="auto"/>
        <w:jc w:val="both"/>
        <w:rPr>
          <w:rFonts w:ascii="Times New Roman" w:hAnsi="Times New Roman"/>
          <w:sz w:val="28"/>
          <w:szCs w:val="28"/>
          <w:lang w:val="es-419"/>
        </w:rPr>
      </w:pPr>
    </w:p>
    <w:p w:rsidR="003B40AA" w:rsidRPr="006D0761" w:rsidRDefault="006D0761" w:rsidP="003B40AA">
      <w:pPr>
        <w:spacing w:after="0" w:line="240" w:lineRule="auto"/>
        <w:jc w:val="both"/>
        <w:rPr>
          <w:rFonts w:ascii="Times New Roman" w:hAnsi="Times New Roman"/>
          <w:sz w:val="28"/>
          <w:szCs w:val="28"/>
          <w:lang w:val="es-419"/>
        </w:rPr>
      </w:pPr>
      <w:r w:rsidRPr="006D0761">
        <w:rPr>
          <w:rFonts w:ascii="Times New Roman" w:hAnsi="Times New Roman"/>
          <w:sz w:val="28"/>
          <w:szCs w:val="28"/>
          <w:lang w:val="es-419"/>
        </w:rPr>
        <w:t>En esos términos, aclaro mi voto.</w:t>
      </w:r>
    </w:p>
    <w:p w:rsidR="00507474" w:rsidRPr="006D0761" w:rsidRDefault="006D0761" w:rsidP="003B40AA">
      <w:pPr>
        <w:spacing w:after="0" w:line="240" w:lineRule="auto"/>
        <w:jc w:val="both"/>
        <w:rPr>
          <w:rFonts w:ascii="Times New Roman" w:hAnsi="Times New Roman"/>
          <w:sz w:val="28"/>
          <w:szCs w:val="28"/>
          <w:lang w:val="es-419"/>
        </w:rPr>
      </w:pPr>
    </w:p>
    <w:p w:rsidR="00507474" w:rsidRPr="006D0761" w:rsidRDefault="006D0761" w:rsidP="003B40AA">
      <w:pPr>
        <w:spacing w:after="0" w:line="240" w:lineRule="auto"/>
        <w:jc w:val="both"/>
        <w:rPr>
          <w:rFonts w:ascii="Times New Roman" w:hAnsi="Times New Roman"/>
          <w:sz w:val="28"/>
          <w:szCs w:val="28"/>
        </w:rPr>
      </w:pPr>
    </w:p>
    <w:p w:rsidR="0000399E" w:rsidRPr="006D0761" w:rsidRDefault="006D0761" w:rsidP="0000399E">
      <w:pPr>
        <w:spacing w:after="0" w:line="240" w:lineRule="auto"/>
        <w:jc w:val="both"/>
        <w:rPr>
          <w:rFonts w:ascii="Times New Roman" w:hAnsi="Times New Roman"/>
          <w:sz w:val="28"/>
          <w:szCs w:val="28"/>
          <w:lang w:val="es-419"/>
        </w:rPr>
      </w:pPr>
    </w:p>
    <w:p w:rsidR="00CB1E3B" w:rsidRPr="006D0761" w:rsidRDefault="006D0761" w:rsidP="00507474">
      <w:pPr>
        <w:spacing w:after="0" w:line="240" w:lineRule="auto"/>
        <w:jc w:val="center"/>
        <w:rPr>
          <w:rFonts w:ascii="Times New Roman" w:hAnsi="Times New Roman"/>
          <w:b/>
          <w:bCs/>
          <w:sz w:val="28"/>
          <w:lang w:val="es-419"/>
        </w:rPr>
      </w:pPr>
      <w:r w:rsidRPr="006D0761">
        <w:rPr>
          <w:rFonts w:ascii="Times New Roman" w:hAnsi="Times New Roman"/>
          <w:b/>
          <w:bCs/>
          <w:sz w:val="28"/>
          <w:lang w:val="es-419"/>
        </w:rPr>
        <w:t>NATALIA ÁNGEL CABO</w:t>
      </w:r>
    </w:p>
    <w:p w:rsidR="00CB1E3B" w:rsidRPr="006D0761" w:rsidRDefault="006D0761" w:rsidP="00507474">
      <w:pPr>
        <w:spacing w:after="0" w:line="240" w:lineRule="auto"/>
        <w:jc w:val="center"/>
        <w:rPr>
          <w:rFonts w:ascii="Times New Roman" w:hAnsi="Times New Roman"/>
          <w:b/>
          <w:bCs/>
          <w:sz w:val="28"/>
          <w:lang w:val="es-419"/>
        </w:rPr>
      </w:pPr>
      <w:r w:rsidRPr="006D0761">
        <w:rPr>
          <w:rFonts w:ascii="Times New Roman" w:hAnsi="Times New Roman"/>
          <w:b/>
          <w:bCs/>
          <w:sz w:val="28"/>
          <w:lang w:val="es-419"/>
        </w:rPr>
        <w:t>Magistrada</w:t>
      </w:r>
    </w:p>
    <w:p w:rsidR="004A3178" w:rsidRPr="006D0761" w:rsidRDefault="006D0761" w:rsidP="004D361C">
      <w:pPr>
        <w:jc w:val="center"/>
        <w:rPr>
          <w:rFonts w:ascii="Times New Roman" w:hAnsi="Times New Roman"/>
          <w:b/>
          <w:bCs/>
          <w:sz w:val="28"/>
        </w:rPr>
      </w:pPr>
    </w:p>
    <w:p w:rsidR="004A3178" w:rsidRPr="006D0761" w:rsidRDefault="006D0761" w:rsidP="004D361C">
      <w:pPr>
        <w:jc w:val="center"/>
        <w:rPr>
          <w:rFonts w:ascii="Times New Roman" w:hAnsi="Times New Roman"/>
          <w:b/>
          <w:bCs/>
          <w:sz w:val="28"/>
        </w:rPr>
      </w:pPr>
    </w:p>
    <w:p w:rsidR="00355CA7" w:rsidRPr="006D0761" w:rsidRDefault="006D0761" w:rsidP="004D361C">
      <w:pPr>
        <w:jc w:val="center"/>
        <w:rPr>
          <w:rFonts w:ascii="Times New Roman" w:hAnsi="Times New Roman"/>
          <w:b/>
          <w:bCs/>
          <w:sz w:val="28"/>
        </w:rPr>
      </w:pPr>
      <w:r w:rsidRPr="006D0761">
        <w:rPr>
          <w:rFonts w:ascii="Times New Roman" w:hAnsi="Times New Roman"/>
          <w:b/>
          <w:bCs/>
          <w:sz w:val="28"/>
        </w:rPr>
        <w:t>ACLARACIÓN DE VOTO DEL MAGISTRADO</w:t>
      </w:r>
    </w:p>
    <w:p w:rsidR="00355CA7" w:rsidRPr="006D0761" w:rsidRDefault="006D0761" w:rsidP="004D361C">
      <w:pPr>
        <w:jc w:val="center"/>
        <w:rPr>
          <w:rFonts w:ascii="Times New Roman" w:hAnsi="Times New Roman"/>
          <w:b/>
          <w:bCs/>
          <w:sz w:val="28"/>
        </w:rPr>
      </w:pPr>
      <w:r w:rsidRPr="006D0761">
        <w:rPr>
          <w:rFonts w:ascii="Times New Roman" w:hAnsi="Times New Roman"/>
          <w:b/>
          <w:bCs/>
          <w:sz w:val="28"/>
        </w:rPr>
        <w:t>JORGE ENRIQUE IBÁÑEZ NAJAR</w:t>
      </w:r>
    </w:p>
    <w:p w:rsidR="00355CA7" w:rsidRPr="006D0761" w:rsidRDefault="006D0761" w:rsidP="004D361C">
      <w:pPr>
        <w:jc w:val="center"/>
        <w:rPr>
          <w:rFonts w:ascii="Times New Roman" w:hAnsi="Times New Roman"/>
          <w:b/>
          <w:bCs/>
          <w:sz w:val="28"/>
        </w:rPr>
      </w:pPr>
      <w:r w:rsidRPr="006D0761">
        <w:rPr>
          <w:rFonts w:ascii="Times New Roman" w:hAnsi="Times New Roman"/>
          <w:b/>
          <w:bCs/>
          <w:sz w:val="28"/>
        </w:rPr>
        <w:t>A LASENTENCIA C-</w:t>
      </w:r>
      <w:r w:rsidRPr="006D0761">
        <w:rPr>
          <w:rFonts w:ascii="Times New Roman" w:hAnsi="Times New Roman"/>
          <w:b/>
          <w:bCs/>
          <w:sz w:val="28"/>
        </w:rPr>
        <w:t>493</w:t>
      </w:r>
      <w:r w:rsidRPr="006D0761">
        <w:rPr>
          <w:rFonts w:ascii="Times New Roman" w:hAnsi="Times New Roman"/>
          <w:b/>
          <w:bCs/>
          <w:sz w:val="28"/>
        </w:rPr>
        <w:t>/</w:t>
      </w:r>
      <w:r w:rsidRPr="006D0761">
        <w:rPr>
          <w:rFonts w:ascii="Times New Roman" w:hAnsi="Times New Roman"/>
          <w:b/>
          <w:bCs/>
          <w:sz w:val="28"/>
        </w:rPr>
        <w:t>25</w:t>
      </w:r>
    </w:p>
    <w:p w:rsidR="00355CA7" w:rsidRPr="006D0761" w:rsidRDefault="006D0761" w:rsidP="004D361C">
      <w:pPr>
        <w:jc w:val="center"/>
        <w:rPr>
          <w:rFonts w:ascii="Times New Roman" w:hAnsi="Times New Roman"/>
          <w:b/>
          <w:bCs/>
          <w:sz w:val="28"/>
        </w:rPr>
      </w:pPr>
    </w:p>
    <w:p w:rsidR="00355CA7" w:rsidRPr="006D0761" w:rsidRDefault="006D0761" w:rsidP="00355CA7">
      <w:pPr>
        <w:rPr>
          <w:rFonts w:ascii="Times New Roman" w:hAnsi="Times New Roman"/>
          <w:sz w:val="28"/>
        </w:rPr>
      </w:pPr>
    </w:p>
    <w:p w:rsidR="00355CA7" w:rsidRPr="006D0761" w:rsidRDefault="006D0761" w:rsidP="005D17FE">
      <w:pPr>
        <w:ind w:left="2977"/>
        <w:rPr>
          <w:rFonts w:ascii="Times New Roman" w:hAnsi="Times New Roman"/>
          <w:sz w:val="28"/>
        </w:rPr>
      </w:pPr>
      <w:r w:rsidRPr="006D0761">
        <w:rPr>
          <w:rFonts w:ascii="Times New Roman" w:hAnsi="Times New Roman"/>
          <w:sz w:val="28"/>
        </w:rPr>
        <w:t xml:space="preserve">Expediente: </w:t>
      </w:r>
      <w:r w:rsidRPr="006D0761">
        <w:rPr>
          <w:rFonts w:ascii="Times New Roman" w:hAnsi="Times New Roman"/>
          <w:sz w:val="28"/>
        </w:rPr>
        <w:t>D-16.596</w:t>
      </w:r>
    </w:p>
    <w:p w:rsidR="001357BC" w:rsidRPr="006D0761" w:rsidRDefault="006D0761" w:rsidP="005D17FE">
      <w:pPr>
        <w:ind w:left="2977"/>
        <w:rPr>
          <w:rFonts w:ascii="Times New Roman" w:hAnsi="Times New Roman"/>
          <w:sz w:val="28"/>
        </w:rPr>
      </w:pPr>
    </w:p>
    <w:p w:rsidR="00CB1B50" w:rsidRPr="006D0761" w:rsidRDefault="006D0761" w:rsidP="005D17FE">
      <w:pPr>
        <w:ind w:left="2977"/>
        <w:rPr>
          <w:rFonts w:ascii="Times New Roman" w:hAnsi="Times New Roman"/>
          <w:sz w:val="28"/>
        </w:rPr>
      </w:pPr>
      <w:r w:rsidRPr="006D0761">
        <w:rPr>
          <w:rFonts w:ascii="Times New Roman" w:hAnsi="Times New Roman"/>
          <w:sz w:val="28"/>
        </w:rPr>
        <w:t>Magistrado ponente: Héctor Alfonso Carvajal Londoño</w:t>
      </w:r>
    </w:p>
    <w:p w:rsidR="005D17FE" w:rsidRPr="006D0761" w:rsidRDefault="006D0761" w:rsidP="005D17FE">
      <w:pPr>
        <w:rPr>
          <w:rFonts w:ascii="Times New Roman" w:hAnsi="Times New Roman"/>
          <w:sz w:val="28"/>
        </w:rPr>
      </w:pPr>
    </w:p>
    <w:p w:rsidR="007556D8" w:rsidRPr="006D0761" w:rsidRDefault="006D0761" w:rsidP="007556D8">
      <w:pPr>
        <w:rPr>
          <w:rFonts w:ascii="Times New Roman" w:hAnsi="Times New Roman"/>
          <w:sz w:val="28"/>
        </w:rPr>
      </w:pPr>
    </w:p>
    <w:p w:rsidR="001A3BC4" w:rsidRPr="006D0761" w:rsidRDefault="006D0761" w:rsidP="00E107B6">
      <w:pPr>
        <w:pStyle w:val="Prrafodelista"/>
        <w:ind w:left="0"/>
        <w:rPr>
          <w:rFonts w:ascii="Times New Roman" w:hAnsi="Times New Roman"/>
          <w:sz w:val="28"/>
        </w:rPr>
      </w:pPr>
      <w:r w:rsidRPr="006D0761">
        <w:rPr>
          <w:rFonts w:ascii="Times New Roman" w:hAnsi="Times New Roman"/>
          <w:sz w:val="28"/>
        </w:rPr>
        <w:t xml:space="preserve">Si bien comparto la decisión adoptada por la Sala Plena en la </w:t>
      </w:r>
      <w:r w:rsidRPr="006D0761">
        <w:rPr>
          <w:rFonts w:ascii="Times New Roman" w:hAnsi="Times New Roman"/>
          <w:b/>
          <w:bCs/>
          <w:sz w:val="28"/>
        </w:rPr>
        <w:t>Sentencia C-493 de 2025</w:t>
      </w:r>
      <w:r w:rsidRPr="006D0761">
        <w:rPr>
          <w:rFonts w:ascii="Times New Roman" w:hAnsi="Times New Roman"/>
          <w:sz w:val="28"/>
        </w:rPr>
        <w:t xml:space="preserve">, mediante la cual se resolvió inhibirse </w:t>
      </w:r>
      <w:r w:rsidRPr="006D0761">
        <w:rPr>
          <w:rFonts w:ascii="Times New Roman" w:hAnsi="Times New Roman"/>
          <w:sz w:val="28"/>
        </w:rPr>
        <w:t>para emitir un pronunciamiento de fondo respecto de la demanda formulada contra la Ley 1761 de 2015, discrepo de los fundamentos que sustentan dicha determinación, razón por la cual presento la presente aclaración de voto.</w:t>
      </w:r>
    </w:p>
    <w:p w:rsidR="001A3BC4" w:rsidRPr="006D0761" w:rsidRDefault="006D0761" w:rsidP="001A3BC4">
      <w:pPr>
        <w:pStyle w:val="Prrafodelista"/>
        <w:ind w:left="0"/>
        <w:rPr>
          <w:rFonts w:ascii="Times New Roman" w:hAnsi="Times New Roman"/>
          <w:sz w:val="28"/>
        </w:rPr>
      </w:pPr>
    </w:p>
    <w:p w:rsidR="001A3BC4" w:rsidRPr="006D0761" w:rsidRDefault="006D0761" w:rsidP="00E107B6">
      <w:pPr>
        <w:pStyle w:val="Prrafodelista"/>
        <w:ind w:left="0"/>
        <w:rPr>
          <w:rFonts w:ascii="Times New Roman" w:hAnsi="Times New Roman"/>
          <w:sz w:val="28"/>
        </w:rPr>
      </w:pPr>
      <w:r w:rsidRPr="006D0761">
        <w:rPr>
          <w:rFonts w:ascii="Times New Roman" w:hAnsi="Times New Roman"/>
          <w:b/>
          <w:bCs/>
          <w:sz w:val="28"/>
        </w:rPr>
        <w:t>En primer lugar,</w:t>
      </w:r>
      <w:r w:rsidRPr="006D0761">
        <w:rPr>
          <w:rFonts w:ascii="Times New Roman" w:hAnsi="Times New Roman"/>
          <w:sz w:val="28"/>
        </w:rPr>
        <w:t xml:space="preserve"> coincido con el</w:t>
      </w:r>
      <w:r w:rsidRPr="006D0761">
        <w:rPr>
          <w:rFonts w:ascii="Times New Roman" w:hAnsi="Times New Roman"/>
          <w:sz w:val="28"/>
        </w:rPr>
        <w:t xml:space="preserve"> análisis efectuado por la Sala en torno al fenómeno de la cosa juzgada constitucional. En efecto, si bien la Corte se ha pronunciado previamente sobre la Ley 1761 de 2015, en particular en las </w:t>
      </w:r>
      <w:r w:rsidRPr="006D0761">
        <w:rPr>
          <w:rFonts w:ascii="Times New Roman" w:hAnsi="Times New Roman"/>
          <w:b/>
          <w:bCs/>
          <w:sz w:val="28"/>
        </w:rPr>
        <w:t>S</w:t>
      </w:r>
      <w:r w:rsidRPr="006D0761">
        <w:rPr>
          <w:rFonts w:ascii="Times New Roman" w:hAnsi="Times New Roman"/>
          <w:b/>
          <w:bCs/>
          <w:sz w:val="28"/>
        </w:rPr>
        <w:t>entencias C-297 de 2016</w:t>
      </w:r>
      <w:r w:rsidRPr="006D0761">
        <w:rPr>
          <w:rFonts w:ascii="Times New Roman" w:hAnsi="Times New Roman"/>
          <w:sz w:val="28"/>
        </w:rPr>
        <w:t xml:space="preserve"> y </w:t>
      </w:r>
      <w:r w:rsidRPr="006D0761">
        <w:rPr>
          <w:rFonts w:ascii="Times New Roman" w:hAnsi="Times New Roman"/>
          <w:b/>
          <w:bCs/>
          <w:sz w:val="28"/>
        </w:rPr>
        <w:t>C-539 de 2016</w:t>
      </w:r>
      <w:r w:rsidRPr="006D0761">
        <w:rPr>
          <w:rFonts w:ascii="Times New Roman" w:hAnsi="Times New Roman"/>
          <w:sz w:val="28"/>
        </w:rPr>
        <w:t>, los cargos examinado</w:t>
      </w:r>
      <w:r w:rsidRPr="006D0761">
        <w:rPr>
          <w:rFonts w:ascii="Times New Roman" w:hAnsi="Times New Roman"/>
          <w:sz w:val="28"/>
        </w:rPr>
        <w:t>s en esas oportunidades no coinciden con los planteados en la demanda objeto de estudio en este proceso. Por consiguiente, no se configuraba un supuesto de cosa juzgada constitucional que impidiera un nuevo examen, en atención a la diferencia sustancial en</w:t>
      </w:r>
      <w:r w:rsidRPr="006D0761">
        <w:rPr>
          <w:rFonts w:ascii="Times New Roman" w:hAnsi="Times New Roman"/>
          <w:sz w:val="28"/>
        </w:rPr>
        <w:t>tre los reproches formulados entonces y los propuestos en esta ocasión.</w:t>
      </w:r>
    </w:p>
    <w:p w:rsidR="001A3BC4" w:rsidRPr="006D0761" w:rsidRDefault="006D0761" w:rsidP="001A3BC4">
      <w:pPr>
        <w:pStyle w:val="Prrafodelista"/>
        <w:rPr>
          <w:rFonts w:ascii="Times New Roman" w:hAnsi="Times New Roman"/>
          <w:sz w:val="28"/>
        </w:rPr>
      </w:pPr>
    </w:p>
    <w:p w:rsidR="00BD4948" w:rsidRPr="006D0761" w:rsidRDefault="006D0761" w:rsidP="005F30AD">
      <w:pPr>
        <w:pStyle w:val="Prrafodelista"/>
        <w:ind w:left="0"/>
        <w:rPr>
          <w:rFonts w:ascii="Times New Roman" w:hAnsi="Times New Roman"/>
          <w:sz w:val="28"/>
        </w:rPr>
      </w:pPr>
      <w:r w:rsidRPr="006D0761">
        <w:rPr>
          <w:rFonts w:ascii="Times New Roman" w:hAnsi="Times New Roman"/>
          <w:b/>
          <w:bCs/>
          <w:sz w:val="28"/>
        </w:rPr>
        <w:t>En segundo lugar,</w:t>
      </w:r>
      <w:r w:rsidRPr="006D0761">
        <w:rPr>
          <w:rFonts w:ascii="Times New Roman" w:hAnsi="Times New Roman"/>
          <w:sz w:val="28"/>
        </w:rPr>
        <w:t xml:space="preserve"> considero que, en el presente caso, la falta de aptitud sustancial de la demanda no resulta manifiesta, como lo reconoce la propia sentencia. De hecho, la providenci</w:t>
      </w:r>
      <w:r w:rsidRPr="006D0761">
        <w:rPr>
          <w:rFonts w:ascii="Times New Roman" w:hAnsi="Times New Roman"/>
          <w:sz w:val="28"/>
        </w:rPr>
        <w:t xml:space="preserve">a dedica un análisis extenso y detallado a esta cuestión, lo cual pone de relieve que la acusación no carecía, de manera evidente, de los elementos mínimos para habilitar un pronunciamiento de fondo. A ello se suma que la demanda fue inicialmente admitida </w:t>
      </w:r>
      <w:r w:rsidRPr="006D0761">
        <w:rPr>
          <w:rFonts w:ascii="Times New Roman" w:hAnsi="Times New Roman"/>
          <w:sz w:val="28"/>
        </w:rPr>
        <w:t>y que, durante el trámite, la mayoría de los intervinientes, así como el Procurador General de la Nación, la consideraron apta, circunstancia que los condujo a pronunciarse de manera sustantiva sobre la compatibilidad de las normas demandadas con la Consti</w:t>
      </w:r>
      <w:r w:rsidRPr="006D0761">
        <w:rPr>
          <w:rFonts w:ascii="Times New Roman" w:hAnsi="Times New Roman"/>
          <w:sz w:val="28"/>
        </w:rPr>
        <w:t>tución.</w:t>
      </w:r>
    </w:p>
    <w:p w:rsidR="00BD4948" w:rsidRPr="006D0761" w:rsidRDefault="006D0761" w:rsidP="00BD4948">
      <w:pPr>
        <w:pStyle w:val="Prrafodelista"/>
        <w:rPr>
          <w:rFonts w:ascii="Times New Roman" w:hAnsi="Times New Roman"/>
          <w:sz w:val="28"/>
        </w:rPr>
      </w:pPr>
    </w:p>
    <w:p w:rsidR="0019066F" w:rsidRPr="006D0761" w:rsidRDefault="006D0761" w:rsidP="00536436">
      <w:pPr>
        <w:pStyle w:val="Prrafodelista"/>
        <w:ind w:left="0"/>
        <w:rPr>
          <w:rFonts w:ascii="Times New Roman" w:hAnsi="Times New Roman"/>
          <w:sz w:val="28"/>
        </w:rPr>
      </w:pPr>
      <w:r w:rsidRPr="006D0761">
        <w:rPr>
          <w:rFonts w:ascii="Times New Roman" w:hAnsi="Times New Roman"/>
          <w:sz w:val="28"/>
        </w:rPr>
        <w:t xml:space="preserve">Sin desconocer que las demandas que formulan cargos </w:t>
      </w:r>
      <w:r w:rsidRPr="006D0761">
        <w:rPr>
          <w:rFonts w:ascii="Times New Roman" w:hAnsi="Times New Roman"/>
          <w:sz w:val="28"/>
        </w:rPr>
        <w:t xml:space="preserve">relativos a la </w:t>
      </w:r>
      <w:r w:rsidRPr="006D0761">
        <w:rPr>
          <w:rFonts w:ascii="Times New Roman" w:hAnsi="Times New Roman"/>
          <w:sz w:val="28"/>
        </w:rPr>
        <w:t>vulneración del principio de igualdad están sometidas a una carga argumentativa calificada, estimo que dicha exigencia debe armonizarse con la naturaleza de la acción pública de in</w:t>
      </w:r>
      <w:r w:rsidRPr="006D0761">
        <w:rPr>
          <w:rFonts w:ascii="Times New Roman" w:hAnsi="Times New Roman"/>
          <w:sz w:val="28"/>
        </w:rPr>
        <w:t xml:space="preserve">constitucionalidad, cuyo ejercicio no presupone una calificación profesional específica, como la de abogado. En este caso, aunque el escrito de demanda contiene múltiples afirmaciones subjetivas que resultan impertinentes, el actor sí estructura un </w:t>
      </w:r>
      <w:r w:rsidRPr="006D0761">
        <w:rPr>
          <w:rFonts w:ascii="Times New Roman" w:hAnsi="Times New Roman"/>
          <w:i/>
          <w:iCs/>
          <w:sz w:val="28"/>
        </w:rPr>
        <w:t>tertium</w:t>
      </w:r>
      <w:r w:rsidRPr="006D0761">
        <w:rPr>
          <w:rFonts w:ascii="Times New Roman" w:hAnsi="Times New Roman"/>
          <w:i/>
          <w:iCs/>
          <w:sz w:val="28"/>
        </w:rPr>
        <w:t xml:space="preserve"> comparationis</w:t>
      </w:r>
      <w:r w:rsidRPr="006D0761">
        <w:rPr>
          <w:rFonts w:ascii="Times New Roman" w:hAnsi="Times New Roman"/>
          <w:sz w:val="28"/>
        </w:rPr>
        <w:t>, al señalar que hombres y mujeres son sujetos equiparables y que, en el contexto de las normas demandadas, reciben un trato diferenciado. Asimismo, afirma que esa diferencia carece de justificación constitucional y cuestiona, con apoyo en tr</w:t>
      </w:r>
      <w:r w:rsidRPr="006D0761">
        <w:rPr>
          <w:rFonts w:ascii="Times New Roman" w:hAnsi="Times New Roman"/>
          <w:sz w:val="28"/>
        </w:rPr>
        <w:t>atados internacionales de derechos humanos, en particular la Convención para la Eliminación de Todas las Formas de Discriminación contra la Mujer (CEDAW), la posibilidad de que las acciones afirmativas tengan carácter permanente y no se sometan a una durac</w:t>
      </w:r>
      <w:r w:rsidRPr="006D0761">
        <w:rPr>
          <w:rFonts w:ascii="Times New Roman" w:hAnsi="Times New Roman"/>
          <w:sz w:val="28"/>
        </w:rPr>
        <w:t>ión limitada.</w:t>
      </w:r>
    </w:p>
    <w:p w:rsidR="0019066F" w:rsidRPr="006D0761" w:rsidRDefault="006D0761" w:rsidP="0019066F">
      <w:pPr>
        <w:pStyle w:val="Prrafodelista"/>
        <w:rPr>
          <w:rFonts w:ascii="Times New Roman" w:hAnsi="Times New Roman"/>
          <w:sz w:val="28"/>
        </w:rPr>
      </w:pPr>
    </w:p>
    <w:p w:rsidR="002A4FC3" w:rsidRPr="006D0761" w:rsidRDefault="006D0761" w:rsidP="001341D1">
      <w:pPr>
        <w:pStyle w:val="Prrafodelista"/>
        <w:ind w:left="0"/>
        <w:rPr>
          <w:rFonts w:ascii="Times New Roman" w:hAnsi="Times New Roman"/>
          <w:sz w:val="28"/>
        </w:rPr>
      </w:pPr>
      <w:r w:rsidRPr="006D0761">
        <w:rPr>
          <w:rFonts w:ascii="Times New Roman" w:hAnsi="Times New Roman"/>
          <w:sz w:val="28"/>
        </w:rPr>
        <w:t xml:space="preserve">Adicionalmente, aunque no se expone de manera expresa en la demanda, resulta evidente que </w:t>
      </w:r>
      <w:r w:rsidRPr="006D0761">
        <w:rPr>
          <w:rFonts w:ascii="Times New Roman" w:hAnsi="Times New Roman"/>
          <w:sz w:val="28"/>
        </w:rPr>
        <w:t>d</w:t>
      </w:r>
      <w:r w:rsidRPr="006D0761">
        <w:rPr>
          <w:rFonts w:ascii="Times New Roman" w:hAnsi="Times New Roman"/>
          <w:sz w:val="28"/>
        </w:rPr>
        <w:t>el artículo 13 de la Constitución Política</w:t>
      </w:r>
      <w:r w:rsidRPr="006D0761">
        <w:rPr>
          <w:rFonts w:ascii="Times New Roman" w:hAnsi="Times New Roman"/>
          <w:sz w:val="28"/>
        </w:rPr>
        <w:t xml:space="preserve">, se desprende </w:t>
      </w:r>
      <w:r w:rsidRPr="006D0761">
        <w:rPr>
          <w:rFonts w:ascii="Times New Roman" w:hAnsi="Times New Roman"/>
          <w:sz w:val="28"/>
        </w:rPr>
        <w:t>el sexo como una categoría sospechosa de discriminación. En tal sentido, una diferencia de tr</w:t>
      </w:r>
      <w:r w:rsidRPr="006D0761">
        <w:rPr>
          <w:rFonts w:ascii="Times New Roman" w:hAnsi="Times New Roman"/>
          <w:sz w:val="28"/>
        </w:rPr>
        <w:t xml:space="preserve">ato como la prevista en las disposiciones demandadas, que circunscriben el tipo penal del feminicidio a conductas de las cuales son víctimas mujeres, podía resultar, </w:t>
      </w:r>
      <w:r w:rsidRPr="006D0761">
        <w:rPr>
          <w:rFonts w:ascii="Times New Roman" w:hAnsi="Times New Roman"/>
          <w:i/>
          <w:iCs/>
          <w:sz w:val="28"/>
        </w:rPr>
        <w:t>prima facie</w:t>
      </w:r>
      <w:r w:rsidRPr="006D0761">
        <w:rPr>
          <w:rFonts w:ascii="Times New Roman" w:hAnsi="Times New Roman"/>
          <w:sz w:val="28"/>
        </w:rPr>
        <w:t xml:space="preserve">, sospechosa de discriminación y, por ende, susceptible de un examen </w:t>
      </w:r>
      <w:r w:rsidRPr="006D0761">
        <w:rPr>
          <w:rFonts w:ascii="Times New Roman" w:hAnsi="Times New Roman"/>
          <w:sz w:val="28"/>
        </w:rPr>
        <w:t>constitucional de fondo.</w:t>
      </w:r>
    </w:p>
    <w:p w:rsidR="002A4FC3" w:rsidRPr="006D0761" w:rsidRDefault="006D0761" w:rsidP="002A4FC3">
      <w:pPr>
        <w:pStyle w:val="Prrafodelista"/>
        <w:rPr>
          <w:rFonts w:ascii="Times New Roman" w:hAnsi="Times New Roman"/>
          <w:sz w:val="28"/>
        </w:rPr>
      </w:pPr>
    </w:p>
    <w:p w:rsidR="002A4FC3" w:rsidRPr="006D0761" w:rsidRDefault="006D0761" w:rsidP="005E182C">
      <w:pPr>
        <w:pStyle w:val="Prrafodelista"/>
        <w:ind w:left="0"/>
        <w:rPr>
          <w:rFonts w:ascii="Times New Roman" w:hAnsi="Times New Roman"/>
          <w:sz w:val="28"/>
        </w:rPr>
      </w:pPr>
      <w:r w:rsidRPr="006D0761">
        <w:rPr>
          <w:rFonts w:ascii="Times New Roman" w:hAnsi="Times New Roman"/>
          <w:sz w:val="28"/>
        </w:rPr>
        <w:t>Desde esta perspectiva, si bien la Sala optó por centrar su análisis en la aptitud sustancial de la demanda, bien pudo haberlo realizado sobre el fondo del asunto, pues, a mi juicio, la acusación ofrecía una base suficiente para a</w:t>
      </w:r>
      <w:r w:rsidRPr="006D0761">
        <w:rPr>
          <w:rFonts w:ascii="Times New Roman" w:hAnsi="Times New Roman"/>
          <w:sz w:val="28"/>
        </w:rPr>
        <w:t>doptar una decisión sobre la compatibilidad de dicha diferencia de trato con la Constitución, así como sobre la posibilidad de que las acciones afirmativas tengan o no una duración limitada</w:t>
      </w:r>
      <w:r w:rsidRPr="006D0761">
        <w:rPr>
          <w:rFonts w:ascii="Times New Roman" w:hAnsi="Times New Roman"/>
          <w:sz w:val="28"/>
        </w:rPr>
        <w:t xml:space="preserve">, o en los términos jurisprudenciales, </w:t>
      </w:r>
      <w:r w:rsidRPr="006D0761">
        <w:rPr>
          <w:rFonts w:ascii="Times New Roman" w:hAnsi="Times New Roman"/>
          <w:i/>
          <w:iCs/>
          <w:sz w:val="28"/>
        </w:rPr>
        <w:t>(i)</w:t>
      </w:r>
      <w:r w:rsidRPr="006D0761">
        <w:rPr>
          <w:rFonts w:ascii="Times New Roman" w:hAnsi="Times New Roman"/>
          <w:sz w:val="28"/>
        </w:rPr>
        <w:t xml:space="preserve"> </w:t>
      </w:r>
      <w:r w:rsidRPr="006D0761">
        <w:rPr>
          <w:rFonts w:ascii="Times New Roman" w:hAnsi="Times New Roman"/>
          <w:sz w:val="28"/>
        </w:rPr>
        <w:t xml:space="preserve">se señaló </w:t>
      </w:r>
      <w:r w:rsidRPr="006D0761">
        <w:rPr>
          <w:rFonts w:ascii="Times New Roman" w:hAnsi="Times New Roman"/>
          <w:sz w:val="28"/>
        </w:rPr>
        <w:t>cuáles son los</w:t>
      </w:r>
      <w:r w:rsidRPr="006D0761">
        <w:rPr>
          <w:rFonts w:ascii="Times New Roman" w:hAnsi="Times New Roman"/>
          <w:sz w:val="28"/>
        </w:rPr>
        <w:t xml:space="preserve"> grupos o situaciones involucradas; </w:t>
      </w:r>
      <w:r w:rsidRPr="006D0761">
        <w:rPr>
          <w:rFonts w:ascii="Times New Roman" w:hAnsi="Times New Roman"/>
          <w:i/>
          <w:iCs/>
          <w:sz w:val="28"/>
        </w:rPr>
        <w:t>(ii)</w:t>
      </w:r>
      <w:r w:rsidRPr="006D0761">
        <w:rPr>
          <w:rFonts w:ascii="Times New Roman" w:hAnsi="Times New Roman"/>
          <w:sz w:val="28"/>
        </w:rPr>
        <w:t xml:space="preserve"> </w:t>
      </w:r>
      <w:r w:rsidRPr="006D0761">
        <w:rPr>
          <w:rFonts w:ascii="Times New Roman" w:hAnsi="Times New Roman"/>
          <w:sz w:val="28"/>
        </w:rPr>
        <w:t xml:space="preserve">se indicó </w:t>
      </w:r>
      <w:r w:rsidRPr="006D0761">
        <w:rPr>
          <w:rFonts w:ascii="Times New Roman" w:hAnsi="Times New Roman"/>
          <w:sz w:val="28"/>
        </w:rPr>
        <w:t xml:space="preserve">en qué consiste el trato diferencial creado por la norma demandada; y </w:t>
      </w:r>
      <w:r w:rsidRPr="006D0761">
        <w:rPr>
          <w:rFonts w:ascii="Times New Roman" w:hAnsi="Times New Roman"/>
          <w:i/>
          <w:iCs/>
          <w:sz w:val="28"/>
        </w:rPr>
        <w:t>(iii)</w:t>
      </w:r>
      <w:r w:rsidRPr="006D0761">
        <w:rPr>
          <w:rFonts w:ascii="Times New Roman" w:hAnsi="Times New Roman"/>
          <w:sz w:val="28"/>
        </w:rPr>
        <w:t xml:space="preserve"> </w:t>
      </w:r>
      <w:r w:rsidRPr="006D0761">
        <w:rPr>
          <w:rFonts w:ascii="Times New Roman" w:hAnsi="Times New Roman"/>
          <w:sz w:val="28"/>
        </w:rPr>
        <w:t xml:space="preserve">se explicó </w:t>
      </w:r>
      <w:r w:rsidRPr="006D0761">
        <w:rPr>
          <w:rFonts w:ascii="Times New Roman" w:hAnsi="Times New Roman"/>
          <w:sz w:val="28"/>
        </w:rPr>
        <w:t>por qué dicho trato es constitucionalmente inadmisible</w:t>
      </w:r>
      <w:r w:rsidRPr="006D0761">
        <w:rPr>
          <w:rFonts w:ascii="Times New Roman" w:hAnsi="Times New Roman"/>
          <w:sz w:val="28"/>
        </w:rPr>
        <w:t>.</w:t>
      </w:r>
      <w:r w:rsidRPr="006D0761">
        <w:rPr>
          <w:rStyle w:val="Refdenotaalpie"/>
          <w:rFonts w:ascii="Times New Roman" w:hAnsi="Times New Roman"/>
          <w:sz w:val="28"/>
        </w:rPr>
        <w:footnoteReference w:id="89"/>
      </w:r>
    </w:p>
    <w:p w:rsidR="002A4FC3" w:rsidRPr="006D0761" w:rsidRDefault="006D0761" w:rsidP="002A4FC3">
      <w:pPr>
        <w:pStyle w:val="Prrafodelista"/>
        <w:rPr>
          <w:rFonts w:ascii="Times New Roman" w:hAnsi="Times New Roman"/>
          <w:sz w:val="28"/>
        </w:rPr>
      </w:pPr>
    </w:p>
    <w:p w:rsidR="002A4FC3" w:rsidRPr="006D0761" w:rsidRDefault="006D0761" w:rsidP="004B0D28">
      <w:pPr>
        <w:pStyle w:val="Prrafodelista"/>
        <w:ind w:left="0"/>
        <w:rPr>
          <w:rFonts w:ascii="Times New Roman" w:hAnsi="Times New Roman"/>
          <w:sz w:val="28"/>
        </w:rPr>
      </w:pPr>
      <w:r w:rsidRPr="006D0761">
        <w:rPr>
          <w:rFonts w:ascii="Times New Roman" w:hAnsi="Times New Roman"/>
          <w:sz w:val="28"/>
        </w:rPr>
        <w:t xml:space="preserve">Reitero, </w:t>
      </w:r>
      <w:r w:rsidRPr="006D0761">
        <w:rPr>
          <w:rFonts w:ascii="Times New Roman" w:hAnsi="Times New Roman"/>
          <w:sz w:val="28"/>
        </w:rPr>
        <w:t xml:space="preserve">entonces, </w:t>
      </w:r>
      <w:r w:rsidRPr="006D0761">
        <w:rPr>
          <w:rFonts w:ascii="Times New Roman" w:hAnsi="Times New Roman"/>
          <w:sz w:val="28"/>
        </w:rPr>
        <w:t>como lo he sostenido en otras oportunidad</w:t>
      </w:r>
      <w:r w:rsidRPr="006D0761">
        <w:rPr>
          <w:rFonts w:ascii="Times New Roman" w:hAnsi="Times New Roman"/>
          <w:sz w:val="28"/>
        </w:rPr>
        <w:t>es, la necesidad de distinguir entre la aptitud de la demanda y su prosperidad. El hecho de que una demanda sea apta no implica, de manera necesaria, que esté llamada a prosperar. Las exigencias en uno y otro plano son distintas, y desconocer esta distinci</w:t>
      </w:r>
      <w:r w:rsidRPr="006D0761">
        <w:rPr>
          <w:rFonts w:ascii="Times New Roman" w:hAnsi="Times New Roman"/>
          <w:sz w:val="28"/>
        </w:rPr>
        <w:t>ón conduce a un rigor excesivo, en virtud del cual solo las demandas destinadas a prosperar serían consideradas aptas.</w:t>
      </w:r>
    </w:p>
    <w:p w:rsidR="002A4FC3" w:rsidRPr="006D0761" w:rsidRDefault="006D0761" w:rsidP="002A4FC3">
      <w:pPr>
        <w:pStyle w:val="Prrafodelista"/>
        <w:rPr>
          <w:rFonts w:ascii="Times New Roman" w:hAnsi="Times New Roman"/>
          <w:sz w:val="28"/>
        </w:rPr>
      </w:pPr>
    </w:p>
    <w:p w:rsidR="002A4FC3" w:rsidRPr="006D0761" w:rsidRDefault="006D0761" w:rsidP="00326F8B">
      <w:pPr>
        <w:pStyle w:val="Prrafodelista"/>
        <w:ind w:left="0"/>
        <w:rPr>
          <w:rFonts w:ascii="Times New Roman" w:hAnsi="Times New Roman"/>
          <w:sz w:val="28"/>
        </w:rPr>
      </w:pPr>
      <w:r w:rsidRPr="006D0761">
        <w:rPr>
          <w:rFonts w:ascii="Times New Roman" w:hAnsi="Times New Roman"/>
          <w:b/>
          <w:bCs/>
          <w:sz w:val="28"/>
        </w:rPr>
        <w:t>En tercer lugar,</w:t>
      </w:r>
      <w:r w:rsidRPr="006D0761">
        <w:rPr>
          <w:rFonts w:ascii="Times New Roman" w:hAnsi="Times New Roman"/>
          <w:sz w:val="28"/>
        </w:rPr>
        <w:t xml:space="preserve"> considero que, de haberse realizado un análisis de fondo, la Sala habría llegado a la conclusión de que las normas dema</w:t>
      </w:r>
      <w:r w:rsidRPr="006D0761">
        <w:rPr>
          <w:rFonts w:ascii="Times New Roman" w:hAnsi="Times New Roman"/>
          <w:sz w:val="28"/>
        </w:rPr>
        <w:t>ndadas son compatibles con la Constitución. En la medida en que la decisión inhibitoria deja incólumes dichas disposiciones, con un efecto práctico equivalente al de una declaración de exequibilidad, estimo pertinente aclarar mi voto en esta providencia.</w:t>
      </w:r>
    </w:p>
    <w:p w:rsidR="002A4FC3" w:rsidRPr="006D0761" w:rsidRDefault="006D0761" w:rsidP="002A4FC3">
      <w:pPr>
        <w:pStyle w:val="Prrafodelista"/>
        <w:rPr>
          <w:rFonts w:ascii="Times New Roman" w:hAnsi="Times New Roman"/>
          <w:sz w:val="28"/>
        </w:rPr>
      </w:pPr>
    </w:p>
    <w:p w:rsidR="002A4FC3" w:rsidRPr="006D0761" w:rsidRDefault="006D0761" w:rsidP="00326F8B">
      <w:pPr>
        <w:pStyle w:val="Prrafodelista"/>
        <w:ind w:left="0"/>
        <w:rPr>
          <w:rFonts w:ascii="Times New Roman" w:hAnsi="Times New Roman"/>
          <w:sz w:val="28"/>
        </w:rPr>
      </w:pPr>
      <w:r w:rsidRPr="006D0761">
        <w:rPr>
          <w:rFonts w:ascii="Times New Roman" w:hAnsi="Times New Roman"/>
          <w:sz w:val="28"/>
        </w:rPr>
        <w:t>No obstante, estimo necesario señalar que el presente caso ofrecía a la Corte una oportunidad relevante para pronunciarse de manera detenida y amplia sobre el contexto de violencia</w:t>
      </w:r>
      <w:r w:rsidRPr="006D0761">
        <w:rPr>
          <w:rFonts w:ascii="Times New Roman" w:hAnsi="Times New Roman"/>
          <w:sz w:val="28"/>
        </w:rPr>
        <w:t xml:space="preserve"> en</w:t>
      </w:r>
      <w:r w:rsidRPr="006D0761">
        <w:rPr>
          <w:rFonts w:ascii="Times New Roman" w:hAnsi="Times New Roman"/>
          <w:sz w:val="28"/>
        </w:rPr>
        <w:t xml:space="preserve"> contra </w:t>
      </w:r>
      <w:r w:rsidRPr="006D0761">
        <w:rPr>
          <w:rFonts w:ascii="Times New Roman" w:hAnsi="Times New Roman"/>
          <w:sz w:val="28"/>
        </w:rPr>
        <w:t xml:space="preserve">de </w:t>
      </w:r>
      <w:r w:rsidRPr="006D0761">
        <w:rPr>
          <w:rFonts w:ascii="Times New Roman" w:hAnsi="Times New Roman"/>
          <w:sz w:val="28"/>
        </w:rPr>
        <w:t>la mujer en el cual se inscribe el tipo penal del feminicidio.</w:t>
      </w:r>
      <w:r w:rsidRPr="006D0761">
        <w:rPr>
          <w:rFonts w:ascii="Times New Roman" w:hAnsi="Times New Roman"/>
          <w:sz w:val="28"/>
        </w:rPr>
        <w:t xml:space="preserve"> Si bien la sentencia alude de manera sucinta, a partir de la jurisprudencia constitucional, del bloque de constitucionalidad y del derecho comparado, a la obligación estatal de erradicar la violencia contra la mujer, dicha referencia pudo haber constituid</w:t>
      </w:r>
      <w:r w:rsidRPr="006D0761">
        <w:rPr>
          <w:rFonts w:ascii="Times New Roman" w:hAnsi="Times New Roman"/>
          <w:sz w:val="28"/>
        </w:rPr>
        <w:t>o un elemento central del análisis de fondo y haberse desarrollado con mayor amplitud y profundidad.</w:t>
      </w:r>
    </w:p>
    <w:p w:rsidR="002A4FC3" w:rsidRPr="006D0761" w:rsidRDefault="006D0761" w:rsidP="002A4FC3">
      <w:pPr>
        <w:pStyle w:val="Prrafodelista"/>
        <w:rPr>
          <w:rFonts w:ascii="Times New Roman" w:hAnsi="Times New Roman"/>
          <w:sz w:val="28"/>
        </w:rPr>
      </w:pPr>
    </w:p>
    <w:p w:rsidR="002A4FC3" w:rsidRPr="006D0761" w:rsidRDefault="006D0761" w:rsidP="002F2CEC">
      <w:pPr>
        <w:pStyle w:val="Prrafodelista"/>
        <w:ind w:left="0"/>
        <w:rPr>
          <w:rFonts w:ascii="Times New Roman" w:hAnsi="Times New Roman"/>
          <w:sz w:val="28"/>
        </w:rPr>
      </w:pPr>
      <w:r w:rsidRPr="006D0761">
        <w:rPr>
          <w:rFonts w:ascii="Times New Roman" w:hAnsi="Times New Roman"/>
          <w:sz w:val="28"/>
        </w:rPr>
        <w:t>Este ejercicio exigía una aproximación integral al fenómeno, que permitiera considerar, de una parte, disposiciones constitucionales que consagran un trat</w:t>
      </w:r>
      <w:r w:rsidRPr="006D0761">
        <w:rPr>
          <w:rFonts w:ascii="Times New Roman" w:hAnsi="Times New Roman"/>
          <w:sz w:val="28"/>
        </w:rPr>
        <w:t>o diferenciado a favor de las mujeres, como el último inciso del artículo 40 y los incisos finales del artículo 13 de la Carta, y, de otra, instrumentos que integran el bloque de constitucionalidad, tales como la Convención de Belém do Pará, que reconoce e</w:t>
      </w:r>
      <w:r w:rsidRPr="006D0761">
        <w:rPr>
          <w:rFonts w:ascii="Times New Roman" w:hAnsi="Times New Roman"/>
          <w:sz w:val="28"/>
        </w:rPr>
        <w:t xml:space="preserve">xpresamente el derecho humano de las mujeres a una vida libre de violencia, la CEDAW y otros </w:t>
      </w:r>
      <w:r w:rsidRPr="006D0761">
        <w:rPr>
          <w:rFonts w:ascii="Times New Roman" w:hAnsi="Times New Roman"/>
          <w:sz w:val="28"/>
        </w:rPr>
        <w:t>ele</w:t>
      </w:r>
      <w:r w:rsidRPr="006D0761">
        <w:rPr>
          <w:rFonts w:ascii="Times New Roman" w:hAnsi="Times New Roman"/>
          <w:sz w:val="28"/>
        </w:rPr>
        <w:t>mentos relevantes del derecho internacional, como la Declaración de las Naciones Unidas sobre la Eliminación de la Violencia contra la Mujer.</w:t>
      </w:r>
    </w:p>
    <w:p w:rsidR="002A4FC3" w:rsidRPr="006D0761" w:rsidRDefault="006D0761" w:rsidP="002A4FC3">
      <w:pPr>
        <w:pStyle w:val="Prrafodelista"/>
        <w:rPr>
          <w:rFonts w:ascii="Times New Roman" w:hAnsi="Times New Roman"/>
          <w:sz w:val="28"/>
        </w:rPr>
      </w:pPr>
    </w:p>
    <w:p w:rsidR="0060580D" w:rsidRPr="006D0761" w:rsidRDefault="006D0761" w:rsidP="008C51D2">
      <w:pPr>
        <w:pStyle w:val="Prrafodelista"/>
        <w:ind w:left="0"/>
        <w:rPr>
          <w:rFonts w:ascii="Times New Roman" w:hAnsi="Times New Roman"/>
          <w:sz w:val="28"/>
        </w:rPr>
      </w:pPr>
      <w:r w:rsidRPr="006D0761">
        <w:rPr>
          <w:rFonts w:ascii="Times New Roman" w:hAnsi="Times New Roman"/>
          <w:sz w:val="28"/>
        </w:rPr>
        <w:t>El feminicidio y,</w:t>
      </w:r>
      <w:r w:rsidRPr="006D0761">
        <w:rPr>
          <w:rFonts w:ascii="Times New Roman" w:hAnsi="Times New Roman"/>
          <w:sz w:val="28"/>
        </w:rPr>
        <w:t xml:space="preserve"> en general, la violencia </w:t>
      </w:r>
      <w:r w:rsidRPr="006D0761">
        <w:rPr>
          <w:rFonts w:ascii="Times New Roman" w:hAnsi="Times New Roman"/>
          <w:sz w:val="28"/>
        </w:rPr>
        <w:t xml:space="preserve">en </w:t>
      </w:r>
      <w:r w:rsidRPr="006D0761">
        <w:rPr>
          <w:rFonts w:ascii="Times New Roman" w:hAnsi="Times New Roman"/>
          <w:sz w:val="28"/>
        </w:rPr>
        <w:t xml:space="preserve">contra </w:t>
      </w:r>
      <w:r w:rsidRPr="006D0761">
        <w:rPr>
          <w:rFonts w:ascii="Times New Roman" w:hAnsi="Times New Roman"/>
          <w:sz w:val="28"/>
        </w:rPr>
        <w:t xml:space="preserve">de </w:t>
      </w:r>
      <w:r w:rsidRPr="006D0761">
        <w:rPr>
          <w:rFonts w:ascii="Times New Roman" w:hAnsi="Times New Roman"/>
          <w:sz w:val="28"/>
        </w:rPr>
        <w:t>la mujer</w:t>
      </w:r>
      <w:r w:rsidRPr="006D0761">
        <w:rPr>
          <w:rFonts w:ascii="Times New Roman" w:hAnsi="Times New Roman"/>
          <w:sz w:val="28"/>
        </w:rPr>
        <w:t>,</w:t>
      </w:r>
      <w:r w:rsidRPr="006D0761">
        <w:rPr>
          <w:rFonts w:ascii="Times New Roman" w:hAnsi="Times New Roman"/>
          <w:sz w:val="28"/>
        </w:rPr>
        <w:t xml:space="preserve"> constituyen fenómenos ampliamente constatables en la realidad. El derecho comparado muestra que Estados de la región ha</w:t>
      </w:r>
      <w:r w:rsidRPr="006D0761">
        <w:rPr>
          <w:rFonts w:ascii="Times New Roman" w:hAnsi="Times New Roman"/>
          <w:sz w:val="28"/>
        </w:rPr>
        <w:t>n</w:t>
      </w:r>
      <w:r w:rsidRPr="006D0761">
        <w:rPr>
          <w:rFonts w:ascii="Times New Roman" w:hAnsi="Times New Roman"/>
          <w:sz w:val="28"/>
        </w:rPr>
        <w:t xml:space="preserve"> tipificado el feminicidio como delito autónomo y ha</w:t>
      </w:r>
      <w:r w:rsidRPr="006D0761">
        <w:rPr>
          <w:rFonts w:ascii="Times New Roman" w:hAnsi="Times New Roman"/>
          <w:sz w:val="28"/>
        </w:rPr>
        <w:t>n</w:t>
      </w:r>
      <w:r w:rsidRPr="006D0761">
        <w:rPr>
          <w:rFonts w:ascii="Times New Roman" w:hAnsi="Times New Roman"/>
          <w:sz w:val="28"/>
        </w:rPr>
        <w:t xml:space="preserve"> desarrollado herramientas orienta</w:t>
      </w:r>
      <w:r w:rsidRPr="006D0761">
        <w:rPr>
          <w:rFonts w:ascii="Times New Roman" w:hAnsi="Times New Roman"/>
          <w:sz w:val="28"/>
        </w:rPr>
        <w:t xml:space="preserve">das a la prevención, protección, investigación y reparación de las víctimas. A ello se suman las estadísticas oficiales, como las presentadas </w:t>
      </w:r>
      <w:r w:rsidRPr="006D0761">
        <w:rPr>
          <w:rFonts w:ascii="Times New Roman" w:hAnsi="Times New Roman"/>
          <w:sz w:val="28"/>
        </w:rPr>
        <w:t xml:space="preserve">en el proceso </w:t>
      </w:r>
      <w:r w:rsidRPr="006D0761">
        <w:rPr>
          <w:rFonts w:ascii="Times New Roman" w:hAnsi="Times New Roman"/>
          <w:sz w:val="28"/>
        </w:rPr>
        <w:t xml:space="preserve">por la Secretaría de la Mujer de Bogotá, que dan cuenta de la magnitud y persistencia de esta forma </w:t>
      </w:r>
      <w:r w:rsidRPr="006D0761">
        <w:rPr>
          <w:rFonts w:ascii="Times New Roman" w:hAnsi="Times New Roman"/>
          <w:sz w:val="28"/>
        </w:rPr>
        <w:t xml:space="preserve">de violencia. Esta realidad no ha sido ajena a la Corte Constitucional, que en numerosas decisiones ha insistido en la necesidad de adoptar medidas eficaces para enfrentar la violencia </w:t>
      </w:r>
      <w:r w:rsidRPr="006D0761">
        <w:rPr>
          <w:rFonts w:ascii="Times New Roman" w:hAnsi="Times New Roman"/>
          <w:sz w:val="28"/>
        </w:rPr>
        <w:t xml:space="preserve">en </w:t>
      </w:r>
      <w:r w:rsidRPr="006D0761">
        <w:rPr>
          <w:rFonts w:ascii="Times New Roman" w:hAnsi="Times New Roman"/>
          <w:sz w:val="28"/>
        </w:rPr>
        <w:t xml:space="preserve">contra </w:t>
      </w:r>
      <w:r w:rsidRPr="006D0761">
        <w:rPr>
          <w:rFonts w:ascii="Times New Roman" w:hAnsi="Times New Roman"/>
          <w:sz w:val="28"/>
        </w:rPr>
        <w:t xml:space="preserve">de </w:t>
      </w:r>
      <w:r w:rsidRPr="006D0761">
        <w:rPr>
          <w:rFonts w:ascii="Times New Roman" w:hAnsi="Times New Roman"/>
          <w:sz w:val="28"/>
        </w:rPr>
        <w:t>la mujer.</w:t>
      </w:r>
    </w:p>
    <w:p w:rsidR="0060580D" w:rsidRPr="006D0761" w:rsidRDefault="006D0761" w:rsidP="0060580D">
      <w:pPr>
        <w:pStyle w:val="Prrafodelista"/>
        <w:rPr>
          <w:rFonts w:ascii="Times New Roman" w:hAnsi="Times New Roman"/>
          <w:sz w:val="28"/>
        </w:rPr>
      </w:pPr>
    </w:p>
    <w:p w:rsidR="00BC5A9B" w:rsidRPr="006D0761" w:rsidRDefault="006D0761" w:rsidP="008946B7">
      <w:pPr>
        <w:pStyle w:val="Prrafodelista"/>
        <w:ind w:left="0"/>
        <w:rPr>
          <w:rFonts w:ascii="Times New Roman" w:hAnsi="Times New Roman"/>
          <w:sz w:val="28"/>
        </w:rPr>
      </w:pPr>
      <w:r w:rsidRPr="006D0761">
        <w:rPr>
          <w:rFonts w:ascii="Times New Roman" w:hAnsi="Times New Roman"/>
          <w:sz w:val="28"/>
        </w:rPr>
        <w:t>Dado que</w:t>
      </w:r>
      <w:r w:rsidRPr="006D0761">
        <w:rPr>
          <w:rFonts w:ascii="Times New Roman" w:hAnsi="Times New Roman"/>
          <w:sz w:val="28"/>
        </w:rPr>
        <w:t xml:space="preserve">, a mi consideración, se cumplió </w:t>
      </w:r>
      <w:r w:rsidRPr="006D0761">
        <w:rPr>
          <w:rFonts w:ascii="Times New Roman" w:hAnsi="Times New Roman"/>
          <w:sz w:val="28"/>
        </w:rPr>
        <w:t xml:space="preserve">el </w:t>
      </w:r>
      <w:r w:rsidRPr="006D0761">
        <w:rPr>
          <w:rFonts w:ascii="Times New Roman" w:hAnsi="Times New Roman"/>
          <w:i/>
          <w:iCs/>
          <w:sz w:val="28"/>
        </w:rPr>
        <w:t>ter</w:t>
      </w:r>
      <w:r w:rsidRPr="006D0761">
        <w:rPr>
          <w:rFonts w:ascii="Times New Roman" w:hAnsi="Times New Roman"/>
          <w:i/>
          <w:iCs/>
          <w:sz w:val="28"/>
        </w:rPr>
        <w:t>tium comparationis</w:t>
      </w:r>
      <w:r w:rsidRPr="006D0761">
        <w:rPr>
          <w:rFonts w:ascii="Times New Roman" w:hAnsi="Times New Roman"/>
          <w:sz w:val="28"/>
        </w:rPr>
        <w:t>, en tanto existe una diferencia de trato entre hombres y mujeres fundada en el sexo, el análisis debía concentrarse en establecer si dicha diferencia tiene o no una justificación constitucional. En atención a que se encuentra comprometid</w:t>
      </w:r>
      <w:r w:rsidRPr="006D0761">
        <w:rPr>
          <w:rFonts w:ascii="Times New Roman" w:hAnsi="Times New Roman"/>
          <w:sz w:val="28"/>
        </w:rPr>
        <w:t>a una categoría sospechosa de discriminación, como es el sexo, el examen correspondiente debía realizarse mediante un test de proporcionalidad de intensidad estricta.</w:t>
      </w:r>
    </w:p>
    <w:p w:rsidR="00BC5A9B" w:rsidRPr="006D0761" w:rsidRDefault="006D0761" w:rsidP="00BC5A9B">
      <w:pPr>
        <w:pStyle w:val="Prrafodelista"/>
        <w:rPr>
          <w:rFonts w:ascii="Times New Roman" w:hAnsi="Times New Roman"/>
          <w:sz w:val="28"/>
        </w:rPr>
      </w:pPr>
    </w:p>
    <w:p w:rsidR="0009493B" w:rsidRPr="006D0761" w:rsidRDefault="006D0761" w:rsidP="00510789">
      <w:pPr>
        <w:pStyle w:val="Prrafodelista"/>
        <w:ind w:left="0"/>
        <w:rPr>
          <w:rFonts w:ascii="Times New Roman" w:hAnsi="Times New Roman"/>
          <w:sz w:val="28"/>
        </w:rPr>
      </w:pPr>
      <w:r w:rsidRPr="006D0761">
        <w:rPr>
          <w:rFonts w:ascii="Times New Roman" w:hAnsi="Times New Roman"/>
          <w:sz w:val="28"/>
        </w:rPr>
        <w:t xml:space="preserve">En el contexto específico de la violencia, concurren elementos normativos que justifican un trato diferenciado. De una parte, las mujeres son sujetos de especial protección constitucional frente a este fenómeno, dadas circunstancias estructurales de orden </w:t>
      </w:r>
      <w:r w:rsidRPr="006D0761">
        <w:rPr>
          <w:rFonts w:ascii="Times New Roman" w:hAnsi="Times New Roman"/>
          <w:sz w:val="28"/>
        </w:rPr>
        <w:t xml:space="preserve">económico y físico. Como lo ha reconocido esta Corporación en múltiples pronunciamientos, la dependencia económica de muchas mujeres constituye un factor </w:t>
      </w:r>
      <w:r w:rsidRPr="006D0761">
        <w:rPr>
          <w:rFonts w:ascii="Times New Roman" w:hAnsi="Times New Roman"/>
          <w:sz w:val="28"/>
        </w:rPr>
        <w:t xml:space="preserve">relevante frente a posibles </w:t>
      </w:r>
      <w:r w:rsidRPr="006D0761">
        <w:rPr>
          <w:rFonts w:ascii="Times New Roman" w:hAnsi="Times New Roman"/>
          <w:sz w:val="28"/>
        </w:rPr>
        <w:t>abusos y maltratos que pueden culminar en su homicidio. De igual forma, re</w:t>
      </w:r>
      <w:r w:rsidRPr="006D0761">
        <w:rPr>
          <w:rFonts w:ascii="Times New Roman" w:hAnsi="Times New Roman"/>
          <w:sz w:val="28"/>
        </w:rPr>
        <w:t>sulta innegable que, en términos generales, las mujeres se encuentran en una situación de mayor vulnerabilidad física frente a agresiones de carácter violento</w:t>
      </w:r>
      <w:r w:rsidRPr="006D0761">
        <w:rPr>
          <w:rFonts w:ascii="Times New Roman" w:hAnsi="Times New Roman"/>
          <w:sz w:val="28"/>
        </w:rPr>
        <w:t>.</w:t>
      </w:r>
    </w:p>
    <w:p w:rsidR="0009493B" w:rsidRPr="006D0761" w:rsidRDefault="006D0761" w:rsidP="0009493B">
      <w:pPr>
        <w:pStyle w:val="Prrafodelista"/>
        <w:rPr>
          <w:rFonts w:ascii="Times New Roman" w:hAnsi="Times New Roman"/>
          <w:sz w:val="28"/>
        </w:rPr>
      </w:pPr>
    </w:p>
    <w:p w:rsidR="0009493B" w:rsidRPr="006D0761" w:rsidRDefault="006D0761" w:rsidP="002C47FF">
      <w:pPr>
        <w:pStyle w:val="Prrafodelista"/>
        <w:ind w:left="0"/>
        <w:rPr>
          <w:rFonts w:ascii="Times New Roman" w:hAnsi="Times New Roman"/>
          <w:sz w:val="28"/>
        </w:rPr>
      </w:pPr>
      <w:r w:rsidRPr="006D0761">
        <w:rPr>
          <w:rFonts w:ascii="Times New Roman" w:hAnsi="Times New Roman"/>
          <w:sz w:val="28"/>
        </w:rPr>
        <w:t>Sobre esta base se han adoptado y ratificado diversos tratados internacionales que reconocen ex</w:t>
      </w:r>
      <w:r w:rsidRPr="006D0761">
        <w:rPr>
          <w:rFonts w:ascii="Times New Roman" w:hAnsi="Times New Roman"/>
          <w:sz w:val="28"/>
        </w:rPr>
        <w:t>presamente el derecho de las mujeres a una vida libre de violencia y el deber estatal de adoptar las medidas necesarias para garantizar su efectividad. En este contexto, no se trata de afirmar que la vida de los hombres tenga menor valor, como parece enten</w:t>
      </w:r>
      <w:r w:rsidRPr="006D0761">
        <w:rPr>
          <w:rFonts w:ascii="Times New Roman" w:hAnsi="Times New Roman"/>
          <w:sz w:val="28"/>
        </w:rPr>
        <w:t>derlo el demandante. Los actos de violencia en su contra se encuentran ampliamente tipificados y sancionados en la legislación penal, desde las lesiones personales hasta el homicidio, con las circunstancias de agravación correspondientes. Lo que se reconoc</w:t>
      </w:r>
      <w:r w:rsidRPr="006D0761">
        <w:rPr>
          <w:rFonts w:ascii="Times New Roman" w:hAnsi="Times New Roman"/>
          <w:sz w:val="28"/>
        </w:rPr>
        <w:t>e es que la violencia</w:t>
      </w:r>
      <w:r w:rsidRPr="006D0761">
        <w:rPr>
          <w:rFonts w:ascii="Times New Roman" w:hAnsi="Times New Roman"/>
          <w:sz w:val="28"/>
        </w:rPr>
        <w:t xml:space="preserve"> en</w:t>
      </w:r>
      <w:r w:rsidRPr="006D0761">
        <w:rPr>
          <w:rFonts w:ascii="Times New Roman" w:hAnsi="Times New Roman"/>
          <w:sz w:val="28"/>
        </w:rPr>
        <w:t xml:space="preserve"> contra </w:t>
      </w:r>
      <w:r w:rsidRPr="006D0761">
        <w:rPr>
          <w:rFonts w:ascii="Times New Roman" w:hAnsi="Times New Roman"/>
          <w:sz w:val="28"/>
        </w:rPr>
        <w:t xml:space="preserve">de </w:t>
      </w:r>
      <w:r w:rsidRPr="006D0761">
        <w:rPr>
          <w:rFonts w:ascii="Times New Roman" w:hAnsi="Times New Roman"/>
          <w:sz w:val="28"/>
        </w:rPr>
        <w:t>la mujer, que alcanza una de sus expresiones más extremas en el feminicidio, se inscribe en un contexto distinto, caracterizado por situaciones de debilidad manifiesta.</w:t>
      </w:r>
    </w:p>
    <w:p w:rsidR="0009493B" w:rsidRPr="006D0761" w:rsidRDefault="006D0761" w:rsidP="0009493B">
      <w:pPr>
        <w:pStyle w:val="Prrafodelista"/>
        <w:rPr>
          <w:rFonts w:ascii="Times New Roman" w:hAnsi="Times New Roman"/>
          <w:sz w:val="28"/>
        </w:rPr>
      </w:pPr>
    </w:p>
    <w:p w:rsidR="0009493B" w:rsidRPr="006D0761" w:rsidRDefault="006D0761" w:rsidP="002C47FF">
      <w:pPr>
        <w:pStyle w:val="Prrafodelista"/>
        <w:ind w:left="0"/>
        <w:rPr>
          <w:rFonts w:ascii="Times New Roman" w:hAnsi="Times New Roman"/>
          <w:sz w:val="28"/>
        </w:rPr>
      </w:pPr>
      <w:r w:rsidRPr="006D0761">
        <w:rPr>
          <w:rFonts w:ascii="Times New Roman" w:hAnsi="Times New Roman"/>
          <w:sz w:val="28"/>
        </w:rPr>
        <w:t>Desde esta óptica, las disposiciones demandadas per</w:t>
      </w:r>
      <w:r w:rsidRPr="006D0761">
        <w:rPr>
          <w:rFonts w:ascii="Times New Roman" w:hAnsi="Times New Roman"/>
          <w:sz w:val="28"/>
        </w:rPr>
        <w:t xml:space="preserve">siguen una finalidad imperiosa: proteger a un sujeto de especial protección constitucional y sancionar los abusos y maltratos que sufre. Para ello emplean un medio idóneo y estrictamente necesario, como es la tipificación autónoma del feminicidio, sin que </w:t>
      </w:r>
      <w:r w:rsidRPr="006D0761">
        <w:rPr>
          <w:rFonts w:ascii="Times New Roman" w:hAnsi="Times New Roman"/>
          <w:sz w:val="28"/>
        </w:rPr>
        <w:t>exista una alternativa menos gravosa que permita alcanzar ese mismo objetivo. Además, la medida resulta proporcional en sentido estricto, pues los beneficios derivados de la protección reforzada de las mujeres frente a la violencia superan el costo que imp</w:t>
      </w:r>
      <w:r w:rsidRPr="006D0761">
        <w:rPr>
          <w:rFonts w:ascii="Times New Roman" w:hAnsi="Times New Roman"/>
          <w:sz w:val="28"/>
        </w:rPr>
        <w:t>lica establecer un tratamiento penal diferencial respecto de las conductas cometidas en su contra.</w:t>
      </w:r>
    </w:p>
    <w:p w:rsidR="0009493B" w:rsidRPr="006D0761" w:rsidRDefault="006D0761" w:rsidP="0009493B">
      <w:pPr>
        <w:pStyle w:val="Prrafodelista"/>
        <w:rPr>
          <w:rFonts w:ascii="Times New Roman" w:hAnsi="Times New Roman"/>
          <w:sz w:val="28"/>
        </w:rPr>
      </w:pPr>
    </w:p>
    <w:p w:rsidR="0009493B" w:rsidRPr="006D0761" w:rsidRDefault="006D0761" w:rsidP="002C47FF">
      <w:pPr>
        <w:pStyle w:val="Prrafodelista"/>
        <w:ind w:left="0"/>
        <w:rPr>
          <w:rFonts w:ascii="Times New Roman" w:hAnsi="Times New Roman"/>
          <w:sz w:val="28"/>
        </w:rPr>
      </w:pPr>
      <w:r w:rsidRPr="006D0761">
        <w:rPr>
          <w:rFonts w:ascii="Times New Roman" w:hAnsi="Times New Roman"/>
          <w:sz w:val="28"/>
        </w:rPr>
        <w:t>En relación con la duración limitada de las acciones afirmativas, considero imprescindible</w:t>
      </w:r>
      <w:r w:rsidRPr="006D0761">
        <w:rPr>
          <w:rFonts w:ascii="Times New Roman" w:hAnsi="Times New Roman"/>
          <w:sz w:val="28"/>
        </w:rPr>
        <w:t xml:space="preserve"> haber interpretado</w:t>
      </w:r>
      <w:r w:rsidRPr="006D0761">
        <w:rPr>
          <w:rFonts w:ascii="Times New Roman" w:hAnsi="Times New Roman"/>
          <w:sz w:val="28"/>
        </w:rPr>
        <w:t xml:space="preserve"> el artículo 4 de la CEDAW. Esta disposición au</w:t>
      </w:r>
      <w:r w:rsidRPr="006D0761">
        <w:rPr>
          <w:rFonts w:ascii="Times New Roman" w:hAnsi="Times New Roman"/>
          <w:sz w:val="28"/>
        </w:rPr>
        <w:t>toriza la adopción de medidas especiales de carácter temporal dirigidas a acelerar la igualdad de facto entre hombres y mujeres, y precisa que dichas medidas cesarán una vez alcanzados los objetivos de igualdad de oportunidades y de trato.</w:t>
      </w:r>
    </w:p>
    <w:p w:rsidR="0009493B" w:rsidRPr="006D0761" w:rsidRDefault="006D0761" w:rsidP="0009493B">
      <w:pPr>
        <w:pStyle w:val="Prrafodelista"/>
        <w:rPr>
          <w:rFonts w:ascii="Times New Roman" w:hAnsi="Times New Roman"/>
          <w:sz w:val="28"/>
        </w:rPr>
      </w:pPr>
    </w:p>
    <w:p w:rsidR="0009493B" w:rsidRPr="006D0761" w:rsidRDefault="006D0761" w:rsidP="00CA5A4D">
      <w:pPr>
        <w:pStyle w:val="Prrafodelista"/>
        <w:ind w:left="0"/>
        <w:rPr>
          <w:rFonts w:ascii="Times New Roman" w:hAnsi="Times New Roman"/>
          <w:sz w:val="28"/>
        </w:rPr>
      </w:pPr>
      <w:r w:rsidRPr="006D0761">
        <w:rPr>
          <w:rFonts w:ascii="Times New Roman" w:hAnsi="Times New Roman"/>
          <w:sz w:val="28"/>
        </w:rPr>
        <w:t>A partir de est</w:t>
      </w:r>
      <w:r w:rsidRPr="006D0761">
        <w:rPr>
          <w:rFonts w:ascii="Times New Roman" w:hAnsi="Times New Roman"/>
          <w:sz w:val="28"/>
        </w:rPr>
        <w:t>a norma, cabe formular dos hipótesis en relación con el feminicidio. La primera consiste en entender que no se trata de una acción afirmativa, sino de una medida de trato diferencial. En efecto, antes de su tipificación, hombres y mujeres gozaban de una pr</w:t>
      </w:r>
      <w:r w:rsidRPr="006D0761">
        <w:rPr>
          <w:rFonts w:ascii="Times New Roman" w:hAnsi="Times New Roman"/>
          <w:sz w:val="28"/>
        </w:rPr>
        <w:t>otección penal equivalente frente a las violencias en su contra. El feminicidio introduce una ruptura de ese trato igual, justificada por las razones expuestas, sin que ello suponga una acción afirmativa en los términos del artículo 4 de la CEDAW. Desde es</w:t>
      </w:r>
      <w:r w:rsidRPr="006D0761">
        <w:rPr>
          <w:rFonts w:ascii="Times New Roman" w:hAnsi="Times New Roman"/>
          <w:sz w:val="28"/>
        </w:rPr>
        <w:t>ta perspectiva, la medida no resulta incompatible con dicha disposición.</w:t>
      </w:r>
    </w:p>
    <w:p w:rsidR="0009493B" w:rsidRPr="006D0761" w:rsidRDefault="006D0761" w:rsidP="0009493B">
      <w:pPr>
        <w:pStyle w:val="Prrafodelista"/>
        <w:rPr>
          <w:rFonts w:ascii="Times New Roman" w:hAnsi="Times New Roman"/>
          <w:sz w:val="28"/>
        </w:rPr>
      </w:pPr>
    </w:p>
    <w:p w:rsidR="0009493B" w:rsidRPr="006D0761" w:rsidRDefault="006D0761" w:rsidP="008F0AE2">
      <w:pPr>
        <w:pStyle w:val="Prrafodelista"/>
        <w:ind w:left="0"/>
        <w:rPr>
          <w:rFonts w:ascii="Times New Roman" w:hAnsi="Times New Roman"/>
          <w:sz w:val="28"/>
        </w:rPr>
      </w:pPr>
      <w:r w:rsidRPr="006D0761">
        <w:rPr>
          <w:rFonts w:ascii="Times New Roman" w:hAnsi="Times New Roman"/>
          <w:sz w:val="28"/>
        </w:rPr>
        <w:t>La segunda hipótesis, que es la asumida por el demandante, consiste en considerar el feminicidio como una acción afirmativa destinada a acelerar la igualdad de facto entre hombres y mujeres. Sin embargo, esta interpretación no se ajusta a la realidad norma</w:t>
      </w:r>
      <w:r w:rsidRPr="006D0761">
        <w:rPr>
          <w:rFonts w:ascii="Times New Roman" w:hAnsi="Times New Roman"/>
          <w:sz w:val="28"/>
        </w:rPr>
        <w:t>tiva. En materia de violencia, no se trata de acelerar una equiparación entre hombres y mujeres, quienes ya contaban con una protección penal equivalente, sino de reconocer una diferencia relevante y establecer, con fundamento en ella, un trato distinto. E</w:t>
      </w:r>
      <w:r w:rsidRPr="006D0761">
        <w:rPr>
          <w:rFonts w:ascii="Times New Roman" w:hAnsi="Times New Roman"/>
          <w:sz w:val="28"/>
        </w:rPr>
        <w:t xml:space="preserve">l feminicidio no se justifica en la búsqueda de igualdad entre hombres y mujeres, sino en la necesidad de enfrentar un fenómeno específico y persistente de violencia </w:t>
      </w:r>
      <w:r w:rsidRPr="006D0761">
        <w:rPr>
          <w:rFonts w:ascii="Times New Roman" w:hAnsi="Times New Roman"/>
          <w:sz w:val="28"/>
        </w:rPr>
        <w:t xml:space="preserve">en </w:t>
      </w:r>
      <w:r w:rsidRPr="006D0761">
        <w:rPr>
          <w:rFonts w:ascii="Times New Roman" w:hAnsi="Times New Roman"/>
          <w:sz w:val="28"/>
        </w:rPr>
        <w:t xml:space="preserve">contra </w:t>
      </w:r>
      <w:r w:rsidRPr="006D0761">
        <w:rPr>
          <w:rFonts w:ascii="Times New Roman" w:hAnsi="Times New Roman"/>
          <w:sz w:val="28"/>
        </w:rPr>
        <w:t xml:space="preserve">de </w:t>
      </w:r>
      <w:r w:rsidRPr="006D0761">
        <w:rPr>
          <w:rFonts w:ascii="Times New Roman" w:hAnsi="Times New Roman"/>
          <w:sz w:val="28"/>
        </w:rPr>
        <w:t xml:space="preserve">la mujer, asociado a condiciones estructurales de vulnerabilidad económica y </w:t>
      </w:r>
      <w:r w:rsidRPr="006D0761">
        <w:rPr>
          <w:rFonts w:ascii="Times New Roman" w:hAnsi="Times New Roman"/>
          <w:sz w:val="28"/>
        </w:rPr>
        <w:t>física que se mantienen en el tiempo.</w:t>
      </w:r>
    </w:p>
    <w:p w:rsidR="0009493B" w:rsidRPr="006D0761" w:rsidRDefault="006D0761" w:rsidP="0009493B">
      <w:pPr>
        <w:pStyle w:val="Prrafodelista"/>
        <w:rPr>
          <w:rFonts w:ascii="Times New Roman" w:hAnsi="Times New Roman"/>
          <w:sz w:val="28"/>
        </w:rPr>
      </w:pPr>
    </w:p>
    <w:p w:rsidR="0009493B" w:rsidRPr="006D0761" w:rsidRDefault="006D0761" w:rsidP="00C76D13">
      <w:pPr>
        <w:rPr>
          <w:rFonts w:ascii="Times New Roman" w:hAnsi="Times New Roman"/>
          <w:sz w:val="28"/>
        </w:rPr>
      </w:pPr>
      <w:r w:rsidRPr="006D0761">
        <w:rPr>
          <w:rFonts w:ascii="Times New Roman" w:hAnsi="Times New Roman"/>
          <w:sz w:val="28"/>
        </w:rPr>
        <w:t>Por las razones expuestas, aclaro mi voto en la presente sentencia.</w:t>
      </w:r>
      <w:r w:rsidRPr="006D0761">
        <w:rPr>
          <w:rFonts w:ascii="Times New Roman" w:hAnsi="Times New Roman"/>
          <w:sz w:val="28"/>
        </w:rPr>
        <w:t xml:space="preserve"> De los honorables magistrados, con toda mi consideración,</w:t>
      </w:r>
    </w:p>
    <w:p w:rsidR="0009493B" w:rsidRPr="006D0761" w:rsidRDefault="006D0761" w:rsidP="0009493B">
      <w:pPr>
        <w:pStyle w:val="Prrafodelista"/>
        <w:ind w:left="0"/>
        <w:rPr>
          <w:rFonts w:ascii="Times New Roman" w:hAnsi="Times New Roman"/>
          <w:sz w:val="28"/>
        </w:rPr>
      </w:pPr>
    </w:p>
    <w:p w:rsidR="0009493B" w:rsidRPr="006D0761" w:rsidRDefault="006D0761" w:rsidP="0009493B">
      <w:pPr>
        <w:pStyle w:val="Prrafodelista"/>
        <w:ind w:left="0"/>
        <w:rPr>
          <w:rFonts w:ascii="Times New Roman" w:hAnsi="Times New Roman"/>
          <w:sz w:val="28"/>
        </w:rPr>
      </w:pPr>
    </w:p>
    <w:p w:rsidR="001357BC" w:rsidRPr="006D0761" w:rsidRDefault="006D0761" w:rsidP="0009493B">
      <w:pPr>
        <w:pStyle w:val="Prrafodelista"/>
        <w:ind w:left="0"/>
        <w:rPr>
          <w:rFonts w:ascii="Times New Roman" w:hAnsi="Times New Roman"/>
          <w:sz w:val="28"/>
        </w:rPr>
      </w:pPr>
    </w:p>
    <w:p w:rsidR="00145D03" w:rsidRPr="006D0761" w:rsidRDefault="006D0761" w:rsidP="00145D03">
      <w:pPr>
        <w:pStyle w:val="Prrafodelista"/>
        <w:ind w:left="0"/>
        <w:jc w:val="center"/>
        <w:rPr>
          <w:rFonts w:ascii="Times New Roman" w:hAnsi="Times New Roman"/>
          <w:b/>
          <w:sz w:val="28"/>
        </w:rPr>
      </w:pPr>
      <w:r w:rsidRPr="006D0761">
        <w:rPr>
          <w:rFonts w:ascii="Times New Roman" w:hAnsi="Times New Roman"/>
          <w:b/>
          <w:sz w:val="28"/>
        </w:rPr>
        <w:t xml:space="preserve">JORGE ENRIQUE IBÁÑEZ NAJAR </w:t>
      </w:r>
    </w:p>
    <w:p w:rsidR="00145D03" w:rsidRPr="006D0761" w:rsidRDefault="006D0761" w:rsidP="00145D03">
      <w:pPr>
        <w:pStyle w:val="Prrafodelista"/>
        <w:ind w:left="0"/>
        <w:jc w:val="center"/>
        <w:rPr>
          <w:rFonts w:ascii="Times New Roman" w:hAnsi="Times New Roman"/>
          <w:b/>
          <w:sz w:val="28"/>
        </w:rPr>
      </w:pPr>
      <w:r w:rsidRPr="006D0761">
        <w:rPr>
          <w:rFonts w:ascii="Times New Roman" w:hAnsi="Times New Roman"/>
          <w:b/>
          <w:sz w:val="28"/>
        </w:rPr>
        <w:t>Magistrado</w:t>
      </w:r>
    </w:p>
    <w:sectPr w:rsidR="00145D03" w:rsidRPr="006D0761">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6D0761">
      <w:pPr>
        <w:spacing w:after="0" w:line="240" w:lineRule="auto"/>
      </w:pPr>
      <w:r>
        <w:separator/>
      </w:r>
    </w:p>
  </w:endnote>
  <w:endnote w:type="continuationSeparator" w:id="0">
    <w:p w:rsidR="00000000" w:rsidRDefault="006D0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6D0761">
      <w:pPr>
        <w:spacing w:after="0" w:line="240" w:lineRule="auto"/>
      </w:pPr>
      <w:r>
        <w:separator/>
      </w:r>
    </w:p>
  </w:footnote>
  <w:footnote w:type="continuationSeparator" w:id="0">
    <w:p w:rsidR="00000000" w:rsidRDefault="006D0761">
      <w:pPr>
        <w:spacing w:after="0" w:line="240" w:lineRule="auto"/>
      </w:pPr>
      <w:r>
        <w:continuationSeparator/>
      </w:r>
    </w:p>
  </w:footnote>
  <w:footnote w:id="1">
    <w:p w:rsidR="00684CB6" w:rsidRPr="00335884" w:rsidRDefault="006D0761" w:rsidP="00684CB6">
      <w:pPr>
        <w:pStyle w:val="Textonotapie"/>
        <w:jc w:val="both"/>
      </w:pPr>
      <w:r w:rsidRPr="00335884">
        <w:rPr>
          <w:rStyle w:val="Refdenotaalpie"/>
        </w:rPr>
        <w:footnoteRef/>
      </w:r>
      <w:r w:rsidRPr="00335884">
        <w:t xml:space="preserve"> Publicada en el Diario Oficial No. 49.565 de 6 </w:t>
      </w:r>
      <w:r w:rsidRPr="00335884">
        <w:t>de julio de 2015.</w:t>
      </w:r>
    </w:p>
  </w:footnote>
  <w:footnote w:id="2">
    <w:p w:rsidR="00684CB6" w:rsidRPr="00335884" w:rsidRDefault="006D0761" w:rsidP="00684CB6">
      <w:pPr>
        <w:pStyle w:val="Textonotapie"/>
        <w:jc w:val="both"/>
      </w:pPr>
      <w:r w:rsidRPr="00335884">
        <w:rPr>
          <w:rStyle w:val="Refdenotaalpie"/>
        </w:rPr>
        <w:footnoteRef/>
      </w:r>
      <w:r w:rsidRPr="00335884">
        <w:t xml:space="preserve"> ONU, Asamblea General, Convención Sobre la Eliminación de Todas las Formas de Discriminación Contra la Mujer, (CEDAW), 18 de diciembre de 1979. </w:t>
      </w:r>
    </w:p>
  </w:footnote>
  <w:footnote w:id="3">
    <w:p w:rsidR="003053EE" w:rsidRPr="00335884" w:rsidRDefault="006D0761" w:rsidP="00EB501B">
      <w:pPr>
        <w:pStyle w:val="Textonotapie"/>
        <w:jc w:val="both"/>
      </w:pPr>
      <w:r w:rsidRPr="00335884">
        <w:rPr>
          <w:rStyle w:val="Refdenotaalpie"/>
        </w:rPr>
        <w:footnoteRef/>
      </w:r>
      <w:r w:rsidRPr="00335884">
        <w:t xml:space="preserve"> Publicada en el Diario Oficial No. 49.565 de 6 de julio de 2015.</w:t>
      </w:r>
    </w:p>
  </w:footnote>
  <w:footnote w:id="4">
    <w:p w:rsidR="003053EE" w:rsidRPr="00335884" w:rsidRDefault="006D0761" w:rsidP="00EB501B">
      <w:pPr>
        <w:pStyle w:val="Textonotapie"/>
        <w:jc w:val="both"/>
      </w:pPr>
      <w:r w:rsidRPr="00335884">
        <w:rPr>
          <w:rStyle w:val="Refdenotaalpie"/>
        </w:rPr>
        <w:footnoteRef/>
      </w:r>
      <w:r w:rsidRPr="00335884">
        <w:t xml:space="preserve"> Ibidem.</w:t>
      </w:r>
    </w:p>
  </w:footnote>
  <w:footnote w:id="5">
    <w:p w:rsidR="00DE3DBC" w:rsidRPr="00335884" w:rsidRDefault="006D0761" w:rsidP="00EC589D">
      <w:pPr>
        <w:pStyle w:val="Textonotapie"/>
        <w:contextualSpacing/>
        <w:jc w:val="both"/>
        <w:rPr>
          <w:lang w:val="es-ES_tradnl"/>
        </w:rPr>
      </w:pPr>
      <w:r w:rsidRPr="00335884">
        <w:rPr>
          <w:rStyle w:val="Refdenotaalpie"/>
        </w:rPr>
        <w:footnoteRef/>
      </w:r>
      <w:r w:rsidRPr="00335884">
        <w:t xml:space="preserve"> </w:t>
      </w:r>
      <w:r w:rsidRPr="00335884">
        <w:rPr>
          <w:lang w:val="es-ES_tradnl"/>
        </w:rPr>
        <w:t xml:space="preserve">Expediente </w:t>
      </w:r>
      <w:r w:rsidRPr="00335884">
        <w:rPr>
          <w:lang w:val="es-ES_tradnl"/>
        </w:rPr>
        <w:t>d</w:t>
      </w:r>
      <w:r w:rsidRPr="00335884">
        <w:rPr>
          <w:lang w:val="es-ES_tradnl"/>
        </w:rPr>
        <w:t xml:space="preserve">igital: D-16596. </w:t>
      </w:r>
      <w:r w:rsidRPr="00335884">
        <w:rPr>
          <w:lang w:val="es-ES_tradnl"/>
        </w:rPr>
        <w:t>Intervención de la ciudadana Natalia Alexandra Insuasty Daza, obrando como directora y representante legal de la Fundación Jurídica Proyecto Inocencia.</w:t>
      </w:r>
    </w:p>
    <w:p w:rsidR="00DE3DBC" w:rsidRPr="00335884" w:rsidRDefault="006D0761" w:rsidP="00EB501B">
      <w:pPr>
        <w:pStyle w:val="Textonotapie"/>
        <w:jc w:val="both"/>
        <w:rPr>
          <w:lang w:val="es-ES_tradnl"/>
        </w:rPr>
      </w:pPr>
    </w:p>
  </w:footnote>
  <w:footnote w:id="6">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rPr>
          <w:lang w:val="es-ES_tradnl"/>
        </w:rPr>
        <w:t xml:space="preserve">Expediente </w:t>
      </w:r>
      <w:r w:rsidRPr="00335884">
        <w:rPr>
          <w:lang w:val="es-ES_tradnl"/>
        </w:rPr>
        <w:t xml:space="preserve">digital. </w:t>
      </w:r>
      <w:r w:rsidRPr="00335884">
        <w:t>D-16596 Concepto de la Universidad de los Andes.</w:t>
      </w:r>
    </w:p>
  </w:footnote>
  <w:footnote w:id="7">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t xml:space="preserve">Expediente </w:t>
      </w:r>
      <w:r w:rsidRPr="00335884">
        <w:t>digital. D-16596 Concepto de la Universidad Sergio Arboleda.</w:t>
      </w:r>
    </w:p>
  </w:footnote>
  <w:footnote w:id="8">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t xml:space="preserve">Expediente </w:t>
      </w:r>
      <w:r w:rsidRPr="00335884">
        <w:t>digital D-16596. Concepto remitido por el Dr.- JUAN RAFEL BRAVO ARTEAGA</w:t>
      </w:r>
      <w:r w:rsidRPr="00335884">
        <w:t>,</w:t>
      </w:r>
      <w:r w:rsidRPr="00335884">
        <w:t xml:space="preserve"> Presidente de la Academia Colombiana de Jurisprudencia.</w:t>
      </w:r>
    </w:p>
  </w:footnote>
  <w:footnote w:id="9">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rPr>
          <w:lang w:val="es-ES_tradnl"/>
        </w:rPr>
        <w:t xml:space="preserve">Expediente </w:t>
      </w:r>
      <w:r w:rsidRPr="00335884">
        <w:rPr>
          <w:lang w:val="es-ES_tradnl"/>
        </w:rPr>
        <w:t>digital. D-16596 Intervención de la Alca</w:t>
      </w:r>
      <w:r w:rsidRPr="00335884">
        <w:rPr>
          <w:lang w:val="es-ES_tradnl"/>
        </w:rPr>
        <w:t>ldía de Bogotá, Secretaría de la Mujer.</w:t>
      </w:r>
    </w:p>
  </w:footnote>
  <w:footnote w:id="10">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rPr>
          <w:lang w:val="es-ES_tradnl"/>
        </w:rPr>
        <w:t>Expediente digital.</w:t>
      </w:r>
      <w:r w:rsidRPr="00335884">
        <w:rPr>
          <w:lang w:val="es-ES_tradnl"/>
        </w:rPr>
        <w:t xml:space="preserve"> D-16596 Intervención del Ministerio de Justicia y del Derecho.</w:t>
      </w:r>
    </w:p>
  </w:footnote>
  <w:footnote w:id="11">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rPr>
          <w:lang w:val="es-ES_tradnl"/>
        </w:rPr>
        <w:t>Expediente digital.</w:t>
      </w:r>
      <w:r w:rsidRPr="00335884">
        <w:rPr>
          <w:lang w:val="es-ES_tradnl"/>
        </w:rPr>
        <w:t xml:space="preserve"> D-16596 Concepto del Instituto Colombiano de Bienestar Familiar.</w:t>
      </w:r>
    </w:p>
  </w:footnote>
  <w:footnote w:id="12">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rPr>
          <w:lang w:val="es-ES_tradnl"/>
        </w:rPr>
        <w:t>Expediente digital.</w:t>
      </w:r>
      <w:r w:rsidRPr="00335884">
        <w:rPr>
          <w:lang w:val="es-ES_tradnl"/>
        </w:rPr>
        <w:t xml:space="preserve"> D-16596 Intervención d</w:t>
      </w:r>
      <w:r w:rsidRPr="00335884">
        <w:rPr>
          <w:lang w:val="es-ES_tradnl"/>
        </w:rPr>
        <w:t>e la Universidad de Caldas.</w:t>
      </w:r>
    </w:p>
  </w:footnote>
  <w:footnote w:id="13">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rPr>
          <w:lang w:val="es-ES_tradnl"/>
        </w:rPr>
        <w:t>Expediente digital.</w:t>
      </w:r>
      <w:r w:rsidRPr="00335884">
        <w:rPr>
          <w:lang w:val="es-ES_tradnl"/>
        </w:rPr>
        <w:t xml:space="preserve"> D-16596 Intervención de la Defensoría del Pueblo.</w:t>
      </w:r>
    </w:p>
  </w:footnote>
  <w:footnote w:id="14">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t>Expediente digital.</w:t>
      </w:r>
      <w:r w:rsidRPr="00335884">
        <w:t xml:space="preserve"> D-16596 Intervención del Departamento Administrativo Nacional de Estadística, DANE.</w:t>
      </w:r>
      <w:r w:rsidRPr="00335884">
        <w:rPr>
          <w:color w:val="000000"/>
          <w:shd w:val="clear" w:color="auto" w:fill="FFFFFF"/>
        </w:rPr>
        <w:t xml:space="preserve"> </w:t>
      </w:r>
    </w:p>
  </w:footnote>
  <w:footnote w:id="15">
    <w:p w:rsidR="00D76F68" w:rsidRPr="00335884" w:rsidRDefault="006D0761" w:rsidP="00EB501B">
      <w:pPr>
        <w:pStyle w:val="Textonotapie"/>
        <w:jc w:val="both"/>
        <w:rPr>
          <w:lang w:val="es-ES_tradnl"/>
        </w:rPr>
      </w:pPr>
      <w:r w:rsidRPr="00335884">
        <w:rPr>
          <w:rStyle w:val="Refdenotaalpie"/>
        </w:rPr>
        <w:footnoteRef/>
      </w:r>
      <w:r w:rsidRPr="00335884">
        <w:t xml:space="preserve"> </w:t>
      </w:r>
      <w:r w:rsidRPr="00335884">
        <w:rPr>
          <w:lang w:val="es-ES_tradnl"/>
        </w:rPr>
        <w:t>Expediente digital.</w:t>
      </w:r>
      <w:r w:rsidRPr="00335884">
        <w:rPr>
          <w:lang w:val="es-ES_tradnl"/>
        </w:rPr>
        <w:t xml:space="preserve"> D-16596. Respuesta a oficio SGC-812 - refiriendo que: por su naturaleza y estatus jurídico de Entidad de las Naciones Unidas, no corresponde a ONU Mujeres pronunciarse en la materia. (...) ONU Mujeres Colombia - Ministerio de Relaciones Exteriores.</w:t>
      </w:r>
    </w:p>
  </w:footnote>
  <w:footnote w:id="16">
    <w:p w:rsidR="00BE2D4F"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w:t>
      </w:r>
      <w:r w:rsidRPr="006D0761">
        <w:rPr>
          <w:color w:val="000000"/>
          <w:u w:val="single"/>
          <w:lang w:val="es-ES"/>
        </w:rPr>
        <w:t>Diagnóstico sobre potencialidades y obstáculos para la implementación de la Ley 1761 de 2015.</w:t>
      </w:r>
      <w:r w:rsidRPr="006D0761">
        <w:rPr>
          <w:color w:val="000000"/>
          <w:lang w:val="es-ES"/>
        </w:rPr>
        <w:t xml:space="preserve"> Analiza la implementación de la Ley 1761 de 2015, que tipifica el feminicidio como delito autónomo en Colombia. El documento identifica avances y obstáculos en su</w:t>
      </w:r>
      <w:r w:rsidRPr="006D0761">
        <w:rPr>
          <w:color w:val="000000"/>
          <w:lang w:val="es-ES"/>
        </w:rPr>
        <w:t xml:space="preserve"> aplicación, incluyendo la percepción de las autoridades, el cumplimiento institucional y el análisis comparado de sentencias antes y después de la ley. También ofrece una aproximación teórica al feminicidio, sus modalidades y el marco jurídico nacional e </w:t>
      </w:r>
      <w:r w:rsidRPr="006D0761">
        <w:rPr>
          <w:color w:val="000000"/>
          <w:lang w:val="es-ES"/>
        </w:rPr>
        <w:t>internacional que lo sustenta. A pesar de los esfuerzos legislativos, el informe destaca que la violencia feminicida persiste como una problemática grave en el país. Se subraya la necesidad de fortalecer la respuesta institucional, mejorar el acceso a la j</w:t>
      </w:r>
      <w:r w:rsidRPr="006D0761">
        <w:rPr>
          <w:color w:val="000000"/>
          <w:lang w:val="es-ES"/>
        </w:rPr>
        <w:t>usticia y avanzar en la construcción de indicadores que permitan dimensionar con precisión el fenómeno. El documento concluye con recomendaciones orientadas a garantizar los derechos de las mujeres y niñas, y a erradicar todas las formas de violencia de gé</w:t>
      </w:r>
      <w:r w:rsidRPr="006D0761">
        <w:rPr>
          <w:color w:val="000000"/>
          <w:lang w:val="es-ES"/>
        </w:rPr>
        <w:t xml:space="preserve">nero mediante acciones coordinadas entre el Estado, la sociedad civil y organismos internacionales. </w:t>
      </w:r>
    </w:p>
  </w:footnote>
  <w:footnote w:id="17">
    <w:p w:rsidR="00BE2D4F" w:rsidRPr="006D0761" w:rsidRDefault="006D0761" w:rsidP="00EC589D">
      <w:pPr>
        <w:pStyle w:val="Textonotapie"/>
        <w:ind w:right="-46"/>
        <w:jc w:val="both"/>
        <w:rPr>
          <w:color w:val="000000"/>
          <w:lang w:val="es-ES_tradnl"/>
        </w:rPr>
      </w:pPr>
      <w:r w:rsidRPr="006D0761">
        <w:rPr>
          <w:rStyle w:val="Refdenotaalpie"/>
          <w:color w:val="000000"/>
        </w:rPr>
        <w:footnoteRef/>
      </w:r>
      <w:r w:rsidRPr="006D0761">
        <w:rPr>
          <w:color w:val="000000"/>
          <w:lang w:val="es-ES"/>
        </w:rPr>
        <w:t xml:space="preserve"> </w:t>
      </w:r>
      <w:r w:rsidRPr="006D0761">
        <w:rPr>
          <w:color w:val="000000"/>
          <w:u w:val="single"/>
          <w:lang w:val="es-ES"/>
        </w:rPr>
        <w:t>Evaluación de la aplicación del Protocolo de valoración del riesgo feminicida (2014-2017)</w:t>
      </w:r>
      <w:r w:rsidRPr="006D0761">
        <w:rPr>
          <w:color w:val="000000"/>
          <w:lang w:val="es-ES"/>
        </w:rPr>
        <w:t>. Identificó que el Protocolo busca identificar el riesgo de fem</w:t>
      </w:r>
      <w:r w:rsidRPr="006D0761">
        <w:rPr>
          <w:color w:val="000000"/>
          <w:lang w:val="es-ES"/>
        </w:rPr>
        <w:t>inicidio en mujeres víctimas de violencia por parte de sus parejas o exparejas. El estudio revela que el 35,4% de las mujeres asesinadas en ese periodo habían sido valoradas previamente por el Instituto, lo que indica que muchas buscaron protección antes d</w:t>
      </w:r>
      <w:r w:rsidRPr="006D0761">
        <w:rPr>
          <w:color w:val="000000"/>
          <w:lang w:val="es-ES"/>
        </w:rPr>
        <w:t>e ser víctimas fatales. El documento destaca la necesidad de fortalecer la implementación del marco legal e internacional, mejorar la coordinación interinstitucional y garantizar el principio de debida diligencia en la atención a víctimas. Además, ofrece r</w:t>
      </w:r>
      <w:r w:rsidRPr="006D0761">
        <w:rPr>
          <w:color w:val="000000"/>
          <w:lang w:val="es-ES"/>
        </w:rPr>
        <w:t>ecomendaciones generales y específicas para mejorar la prevención, protección y acceso a la justicia, con el objetivo de asegurar una vida libre de violencia y discriminación para todas las mujeres y niñas</w:t>
      </w:r>
    </w:p>
  </w:footnote>
  <w:footnote w:id="18">
    <w:p w:rsidR="00BE2D4F"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w:t>
      </w:r>
      <w:r w:rsidRPr="006D0761">
        <w:rPr>
          <w:color w:val="000000"/>
          <w:u w:val="single"/>
          <w:lang w:val="es-ES"/>
        </w:rPr>
        <w:t>Guía práctica para la investigación del feminici</w:t>
      </w:r>
      <w:r w:rsidRPr="006D0761">
        <w:rPr>
          <w:color w:val="000000"/>
          <w:u w:val="single"/>
          <w:lang w:val="es-ES"/>
        </w:rPr>
        <w:t>dio</w:t>
      </w:r>
      <w:r w:rsidRPr="006D0761">
        <w:rPr>
          <w:color w:val="000000"/>
          <w:lang w:val="es-ES"/>
        </w:rPr>
        <w:t xml:space="preserve">. La </w:t>
      </w:r>
      <w:r w:rsidRPr="006D0761">
        <w:rPr>
          <w:color w:val="000000"/>
          <w:lang w:val="es-ES"/>
        </w:rPr>
        <w:t xml:space="preserve">FGN </w:t>
      </w:r>
      <w:r w:rsidRPr="006D0761">
        <w:rPr>
          <w:color w:val="000000"/>
          <w:lang w:val="es-ES"/>
        </w:rPr>
        <w:t>de Colombia, con apoyo de ONU Mujeres, adaptó el modelo de Protocolo Latinoamericano al contexto jurídico colombiano. Su objetivo principal es fortalecer la investigación penal de muertes violentas de mujeres por razones de género, incorporando</w:t>
      </w:r>
      <w:r w:rsidRPr="006D0761">
        <w:rPr>
          <w:color w:val="000000"/>
          <w:lang w:val="es-ES"/>
        </w:rPr>
        <w:t xml:space="preserve"> la perspectiva de género en todas las etapas del proceso penal. La guía se divide en tres tomos: el primero aborda los conceptos clave y el marco normativo; el segundo ofrece herramientas prácticas para la investigación; y el tercero se enfoca en la const</w:t>
      </w:r>
      <w:r w:rsidRPr="006D0761">
        <w:rPr>
          <w:color w:val="000000"/>
          <w:lang w:val="es-ES"/>
        </w:rPr>
        <w:t>rucción de la teoría del caso. Este conjunto de documentos busca garantizar el cumplimiento del estándar de debida diligencia en la investigación penal, promoviendo una respuesta institucional más efectiva frente al feminicidio. Además, establece directric</w:t>
      </w:r>
      <w:r w:rsidRPr="006D0761">
        <w:rPr>
          <w:color w:val="000000"/>
          <w:lang w:val="es-ES"/>
        </w:rPr>
        <w:t xml:space="preserve">es claras para la judicialización del delito, contribuyendo a mejorar el acceso a la justicia para las víctimas y sus familias. </w:t>
      </w:r>
    </w:p>
  </w:footnote>
  <w:footnote w:id="19">
    <w:p w:rsidR="00BE2D4F"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w:t>
      </w:r>
      <w:r w:rsidRPr="006D0761">
        <w:rPr>
          <w:color w:val="000000"/>
          <w:u w:val="single"/>
          <w:lang w:val="es-ES"/>
        </w:rPr>
        <w:t>Violencia feminicida: recomendaciones para el abordaje estatal y la investigación académica</w:t>
      </w:r>
      <w:r w:rsidRPr="006D0761">
        <w:rPr>
          <w:color w:val="000000"/>
          <w:lang w:val="es-ES"/>
        </w:rPr>
        <w:t>. Propone una comprensión amplia d</w:t>
      </w:r>
      <w:r w:rsidRPr="006D0761">
        <w:rPr>
          <w:color w:val="000000"/>
          <w:lang w:val="es-ES"/>
        </w:rPr>
        <w:t>el concepto de violencia feminicida como un fenómeno estructural que abarca múltiples formas de violencia de género, interpersonal, intrafamiliar, sexual, institucional, entre otras.) que pueden culminar en la muerte violenta de mujeres y niñas. Esta categ</w:t>
      </w:r>
      <w:r w:rsidRPr="006D0761">
        <w:rPr>
          <w:color w:val="000000"/>
          <w:lang w:val="es-ES"/>
        </w:rPr>
        <w:t xml:space="preserve">oría, basada en el enfoque de Marcela Lagarde, permite identificar los factores de riesgo que preceden al feminicidio, como el suicidio, la desaparición forzada y la negligencia estatal, y resalta la necesidad de abordarlos desde una perspectiva de género </w:t>
      </w:r>
      <w:r w:rsidRPr="006D0761">
        <w:rPr>
          <w:color w:val="000000"/>
          <w:lang w:val="es-ES"/>
        </w:rPr>
        <w:t>e interseccional. El documento se basa en un compendio estadístico interno de ONU Mujeres (2010–2019) y en diálogos multifactor con la sociedad civil, la academia y entidades estatales. A partir de este análisis, se formulan recomendaciones dirigidas al Es</w:t>
      </w:r>
      <w:r w:rsidRPr="006D0761">
        <w:rPr>
          <w:color w:val="000000"/>
          <w:lang w:val="es-ES"/>
        </w:rPr>
        <w:t>tado colombiano para mejorar la prevención, atención y judicialización de la violencia feminicida, así como líneas de investigación para la academia. Estas recomendaciones buscan fortalecer la respuesta institucional, visibilizar las violencias estructural</w:t>
      </w:r>
      <w:r w:rsidRPr="006D0761">
        <w:rPr>
          <w:color w:val="000000"/>
          <w:lang w:val="es-ES"/>
        </w:rPr>
        <w:t xml:space="preserve">es y promover políticas públicas basadas en evidencia. </w:t>
      </w:r>
    </w:p>
  </w:footnote>
  <w:footnote w:id="20">
    <w:p w:rsidR="00BE2D4F" w:rsidRPr="006D0761" w:rsidRDefault="006D0761" w:rsidP="00EC589D">
      <w:pPr>
        <w:pStyle w:val="Textonotapie"/>
        <w:ind w:right="-46"/>
        <w:jc w:val="both"/>
        <w:rPr>
          <w:color w:val="000000"/>
          <w:lang w:val="es-ES_tradnl"/>
        </w:rPr>
      </w:pPr>
      <w:r w:rsidRPr="006D0761">
        <w:rPr>
          <w:rStyle w:val="Refdenotaalpie"/>
          <w:color w:val="000000"/>
        </w:rPr>
        <w:footnoteRef/>
      </w:r>
      <w:r w:rsidRPr="006D0761">
        <w:rPr>
          <w:color w:val="000000"/>
          <w:lang w:val="es-ES"/>
        </w:rPr>
        <w:t xml:space="preserve"> </w:t>
      </w:r>
      <w:r w:rsidRPr="006D0761">
        <w:rPr>
          <w:color w:val="000000"/>
          <w:u w:val="single"/>
          <w:lang w:val="es-ES"/>
        </w:rPr>
        <w:t>Módulo 3. Prevención terciaria - protección: Instrumento de seguimiento a mujeres con riesgo de feminicidio en el marco de la emergencia por COVID-19</w:t>
      </w:r>
      <w:r w:rsidRPr="006D0761">
        <w:rPr>
          <w:color w:val="000000"/>
          <w:lang w:val="es-ES"/>
        </w:rPr>
        <w:t>. Fue desarrollado tanto por ONU Mujeres, como po</w:t>
      </w:r>
      <w:r w:rsidRPr="006D0761">
        <w:rPr>
          <w:color w:val="000000"/>
          <w:lang w:val="es-ES"/>
        </w:rPr>
        <w:t>r la Secretaría Distrital de la Mujer en Bogotá. Se trata de una herramienta que surge como respuesta a la agudización de la violencia de género durante la emergencia por COVID-19. Busca fortalecer la protección de mujeres en riesgo de feminicidio mediante</w:t>
      </w:r>
      <w:r w:rsidRPr="006D0761">
        <w:rPr>
          <w:color w:val="000000"/>
          <w:lang w:val="es-ES"/>
        </w:rPr>
        <w:t xml:space="preserve"> una estrategia de seguimiento estructurada, basada en el principio de debida diligencia. Está dirigido a entidades que hacen parte de la ruta de atención y propone fases específicas para el abordaje del riesgo, desde el contacto inicial con la víctima has</w:t>
      </w:r>
      <w:r w:rsidRPr="006D0761">
        <w:rPr>
          <w:color w:val="000000"/>
          <w:lang w:val="es-ES"/>
        </w:rPr>
        <w:t>ta la ejecución y seguimiento de un plan de seguridad. En este informe se establecen principios transversales como la autodeterminación de la víctima, la confidencialidad y la articulación interinstitucional. Además, contempla dimensiones emocionales, jurí</w:t>
      </w:r>
      <w:r w:rsidRPr="006D0761">
        <w:rPr>
          <w:color w:val="000000"/>
          <w:lang w:val="es-ES"/>
        </w:rPr>
        <w:t>dicas y de salud, y propone acciones concretas para cada etapa del seguimiento, incluyendo visitas domiciliarias, protocolos de autoprotección y activación de redes de apoyo. Esta herramienta busca ser una guía práctica para garantizar el derecho de las mu</w:t>
      </w:r>
      <w:r w:rsidRPr="006D0761">
        <w:rPr>
          <w:color w:val="000000"/>
          <w:lang w:val="es-ES"/>
        </w:rPr>
        <w:t xml:space="preserve">jeres a vivir una vida libre de violencias, especialmente en contextos de emergencia. </w:t>
      </w:r>
    </w:p>
  </w:footnote>
  <w:footnote w:id="21">
    <w:p w:rsidR="00856961" w:rsidRPr="00335884" w:rsidRDefault="006D0761" w:rsidP="00EB501B">
      <w:pPr>
        <w:pStyle w:val="Textonotapie"/>
        <w:jc w:val="both"/>
        <w:rPr>
          <w:lang w:val="es-ES_tradnl"/>
        </w:rPr>
      </w:pPr>
      <w:r w:rsidRPr="00335884">
        <w:rPr>
          <w:rStyle w:val="Refdenotaalpie"/>
        </w:rPr>
        <w:footnoteRef/>
      </w:r>
      <w:r w:rsidRPr="00335884">
        <w:t xml:space="preserve"> </w:t>
      </w:r>
      <w:r w:rsidRPr="00335884">
        <w:rPr>
          <w:lang w:val="es-ES_tradnl"/>
        </w:rPr>
        <w:t>Expediente digital.</w:t>
      </w:r>
      <w:r w:rsidRPr="00335884">
        <w:rPr>
          <w:lang w:val="es-ES_tradnl"/>
        </w:rPr>
        <w:t xml:space="preserve"> D-16596. 19 de agosto de 2025. Concepto del señor Procurador General de la Nación - Dr.- Gregorio Eljach Pacheco.</w:t>
      </w:r>
    </w:p>
  </w:footnote>
  <w:footnote w:id="22">
    <w:p w:rsidR="00BE2D4F" w:rsidRPr="006D0761" w:rsidRDefault="006D0761" w:rsidP="00EC589D">
      <w:pPr>
        <w:pStyle w:val="Textonotapie"/>
        <w:ind w:right="-46"/>
        <w:jc w:val="both"/>
        <w:rPr>
          <w:color w:val="000000"/>
          <w:lang w:val="es-ES_tradnl"/>
        </w:rPr>
      </w:pPr>
      <w:r w:rsidRPr="006D0761">
        <w:rPr>
          <w:rStyle w:val="Refdenotaalpie"/>
          <w:color w:val="000000"/>
        </w:rPr>
        <w:footnoteRef/>
      </w:r>
      <w:r w:rsidRPr="006D0761">
        <w:rPr>
          <w:color w:val="000000"/>
          <w:lang w:val="es-ES"/>
        </w:rPr>
        <w:t xml:space="preserve"> </w:t>
      </w:r>
      <w:r w:rsidRPr="006D0761">
        <w:rPr>
          <w:color w:val="000000"/>
          <w:lang w:val="es-ES_tradnl"/>
        </w:rPr>
        <w:t xml:space="preserve">Corte Constitucional, </w:t>
      </w:r>
      <w:r w:rsidRPr="006D0761">
        <w:rPr>
          <w:color w:val="000000"/>
          <w:lang w:val="es-ES_tradnl"/>
        </w:rPr>
        <w:t>S</w:t>
      </w:r>
      <w:r w:rsidRPr="006D0761">
        <w:rPr>
          <w:color w:val="000000"/>
          <w:lang w:val="es-ES_tradnl"/>
        </w:rPr>
        <w:t>entencia</w:t>
      </w:r>
      <w:r w:rsidRPr="006D0761">
        <w:rPr>
          <w:color w:val="000000"/>
          <w:lang w:val="es-ES_tradnl"/>
        </w:rPr>
        <w:t>s</w:t>
      </w:r>
      <w:r w:rsidRPr="006D0761">
        <w:rPr>
          <w:color w:val="000000"/>
          <w:lang w:val="es-ES_tradnl"/>
        </w:rPr>
        <w:t xml:space="preserve"> C-964 de 2003 y C-313 de 2024. </w:t>
      </w:r>
    </w:p>
  </w:footnote>
  <w:footnote w:id="23">
    <w:p w:rsidR="00EE05F8" w:rsidRPr="00335884" w:rsidRDefault="006D0761" w:rsidP="00EC589D">
      <w:pPr>
        <w:pStyle w:val="Textonotapie"/>
        <w:ind w:right="-46"/>
        <w:jc w:val="both"/>
        <w:rPr>
          <w:lang w:val="es-ES"/>
        </w:rPr>
      </w:pPr>
      <w:r w:rsidRPr="00335884">
        <w:rPr>
          <w:rStyle w:val="Refdenotaalpie"/>
        </w:rPr>
        <w:footnoteRef/>
      </w:r>
      <w:r w:rsidRPr="00335884">
        <w:t xml:space="preserve"> Decreto Ley 2067 de 1991, art. 6.</w:t>
      </w:r>
    </w:p>
  </w:footnote>
  <w:footnote w:id="24">
    <w:p w:rsidR="00EE05F8" w:rsidRPr="00335884" w:rsidRDefault="006D0761" w:rsidP="00EC589D">
      <w:pPr>
        <w:pStyle w:val="Textonotapie"/>
        <w:ind w:right="-46"/>
        <w:jc w:val="both"/>
        <w:rPr>
          <w:lang w:val="es-ES"/>
        </w:rPr>
      </w:pPr>
      <w:r w:rsidRPr="00335884">
        <w:rPr>
          <w:rStyle w:val="Refdenotaalpie"/>
        </w:rPr>
        <w:footnoteRef/>
      </w:r>
      <w:r w:rsidRPr="00335884">
        <w:t xml:space="preserve"> Corte Constitucional, Sentencias </w:t>
      </w:r>
      <w:bookmarkStart w:id="11" w:name="_Hlk213663871"/>
      <w:r w:rsidRPr="00335884">
        <w:t>C-623 de 2008, C-894 de 2009, C-055 de 2013, C-281 de 2013, C-220 de 2019, C-330 de 2019, C-059 de 2023, C-387 de 2023 y C-469 de 2024</w:t>
      </w:r>
      <w:bookmarkEnd w:id="11"/>
    </w:p>
  </w:footnote>
  <w:footnote w:id="25">
    <w:p w:rsidR="000A5BB8" w:rsidRPr="00335884" w:rsidRDefault="006D0761" w:rsidP="00EB501B">
      <w:pPr>
        <w:pStyle w:val="Textonotapie"/>
        <w:jc w:val="both"/>
        <w:rPr>
          <w:lang w:val="es-ES_tradnl"/>
        </w:rPr>
      </w:pPr>
      <w:r w:rsidRPr="00335884">
        <w:rPr>
          <w:rStyle w:val="Refdenotaalpie"/>
        </w:rPr>
        <w:footnoteRef/>
      </w:r>
      <w:r w:rsidRPr="00335884">
        <w:t xml:space="preserve"> Al respecto, dos intervinientes, el Instituto Colombiano de Bienestar Familiar - ICBF y la Universidad de Caldas, solicitaron a la Corte inhibirse respecto de la demanda por considerar que la misma resulta inepta al no cumplir con los requisitos estableci</w:t>
      </w:r>
      <w:r w:rsidRPr="00335884">
        <w:t>dos por la jurisprudencia de la Corte Constitucional para dar lugar al examen de fondo de un asunto. Ambas intervenciones se refieren a la falta de pertinencia porque los argumentos de la demanda no se limitan a percepciones personales sin capacidad para c</w:t>
      </w:r>
      <w:r w:rsidRPr="00335884">
        <w:t>uestionar la validez de la norma los   y de pertinencia porque no tienen en cuenta las obligaciones internacionales y la jurisprudencia de esta Corporación respecto de la violencia de género.</w:t>
      </w:r>
    </w:p>
  </w:footnote>
  <w:footnote w:id="26">
    <w:p w:rsidR="00BE2D4F" w:rsidRPr="006D0761" w:rsidRDefault="006D0761" w:rsidP="00EC589D">
      <w:pPr>
        <w:pStyle w:val="Textonotapie"/>
        <w:ind w:right="-46"/>
        <w:jc w:val="both"/>
        <w:rPr>
          <w:color w:val="000000"/>
        </w:rPr>
      </w:pPr>
      <w:r w:rsidRPr="006D0761">
        <w:rPr>
          <w:rStyle w:val="Refdenotaalpie"/>
          <w:color w:val="000000"/>
        </w:rPr>
        <w:footnoteRef/>
      </w:r>
      <w:r w:rsidRPr="006D0761">
        <w:rPr>
          <w:color w:val="000000"/>
        </w:rPr>
        <w:t xml:space="preserve"> En su intervención la Universidad de Caldas h</w:t>
      </w:r>
      <w:r w:rsidRPr="006D0761">
        <w:rPr>
          <w:color w:val="000000"/>
        </w:rPr>
        <w:t>izo</w:t>
      </w:r>
      <w:r w:rsidRPr="006D0761">
        <w:rPr>
          <w:color w:val="000000"/>
        </w:rPr>
        <w:t xml:space="preserve"> referencia </w:t>
      </w:r>
      <w:r w:rsidRPr="006D0761">
        <w:rPr>
          <w:color w:val="000000"/>
        </w:rPr>
        <w:t>ex</w:t>
      </w:r>
      <w:r w:rsidRPr="006D0761">
        <w:rPr>
          <w:color w:val="000000"/>
        </w:rPr>
        <w:t>plícita</w:t>
      </w:r>
      <w:r w:rsidRPr="006D0761">
        <w:rPr>
          <w:color w:val="000000"/>
        </w:rPr>
        <w:t xml:space="preserve"> a la Sentencia C-297 de 2016:  “En el cual la Corte ya confirmó expresamente la exequibilidad del literal e) del artículo 2º de la Ley 1761 al determinar que el tipo penal de feminicidio responde a la obligación del Estado de diligencia debida en v</w:t>
      </w:r>
      <w:r w:rsidRPr="006D0761">
        <w:rPr>
          <w:color w:val="000000"/>
        </w:rPr>
        <w:t xml:space="preserve">iolencia de género, implica perspectiva de género y cumple con los principios de legalidad y causalidad motivada. Sin ese análisis, la </w:t>
      </w:r>
    </w:p>
  </w:footnote>
  <w:footnote w:id="27">
    <w:p w:rsidR="00305855" w:rsidRPr="00335884" w:rsidRDefault="006D0761" w:rsidP="00EB501B">
      <w:pPr>
        <w:pStyle w:val="Textonotapie"/>
        <w:jc w:val="both"/>
      </w:pPr>
      <w:r w:rsidRPr="00335884">
        <w:rPr>
          <w:rStyle w:val="Refdenotaalpie"/>
        </w:rPr>
        <w:footnoteRef/>
      </w:r>
      <w:r w:rsidRPr="00335884">
        <w:t xml:space="preserve"> La demanda no presenta argumentos suficientes ni pertinentes para justificar una contradicción con la Constitución, pu</w:t>
      </w:r>
      <w:r w:rsidRPr="00335884">
        <w:t>es ignora la fundamentada interpretación constitucional que ya validó el diseño del tipo penal”. Folio 5.</w:t>
      </w:r>
    </w:p>
  </w:footnote>
  <w:footnote w:id="28">
    <w:p w:rsidR="00BE2D4F" w:rsidRPr="006D0761" w:rsidRDefault="006D0761" w:rsidP="00EC589D">
      <w:pPr>
        <w:pStyle w:val="Textonotapie"/>
        <w:ind w:right="-46"/>
        <w:jc w:val="both"/>
        <w:rPr>
          <w:rStyle w:val="Referenciasutil"/>
          <w:color w:val="000000"/>
        </w:rPr>
      </w:pPr>
      <w:r w:rsidRPr="006D0761">
        <w:rPr>
          <w:rStyle w:val="Referenciasutil"/>
          <w:color w:val="000000"/>
          <w:vertAlign w:val="superscript"/>
        </w:rPr>
        <w:footnoteRef/>
      </w:r>
      <w:r w:rsidRPr="006D0761">
        <w:rPr>
          <w:rStyle w:val="Referenciasutil"/>
          <w:color w:val="000000"/>
          <w:vertAlign w:val="superscript"/>
        </w:rPr>
        <w:t xml:space="preserve"> </w:t>
      </w:r>
      <w:r w:rsidRPr="006D0761">
        <w:rPr>
          <w:rStyle w:val="Referenciasutil"/>
          <w:color w:val="000000"/>
        </w:rPr>
        <w:t xml:space="preserve">Corte Constitucional, Sentencia C-1052 de 200. </w:t>
      </w:r>
      <w:r w:rsidRPr="006D0761">
        <w:rPr>
          <w:rStyle w:val="Referenciasutil"/>
          <w:color w:val="000000"/>
        </w:rPr>
        <w:t xml:space="preserve"> </w:t>
      </w:r>
    </w:p>
  </w:footnote>
  <w:footnote w:id="29">
    <w:p w:rsidR="00BE2D4F" w:rsidRPr="006D0761" w:rsidRDefault="006D0761" w:rsidP="00EC589D">
      <w:pPr>
        <w:pStyle w:val="Textonotapie"/>
        <w:ind w:right="-46"/>
        <w:jc w:val="both"/>
        <w:rPr>
          <w:rStyle w:val="Referenciasutil"/>
          <w:color w:val="000000"/>
        </w:rPr>
      </w:pPr>
      <w:r w:rsidRPr="006D0761">
        <w:rPr>
          <w:rStyle w:val="Referenciasutil"/>
          <w:color w:val="000000"/>
          <w:vertAlign w:val="superscript"/>
        </w:rPr>
        <w:footnoteRef/>
      </w:r>
      <w:r w:rsidRPr="006D0761">
        <w:rPr>
          <w:rStyle w:val="Referenciasutil"/>
          <w:color w:val="000000"/>
        </w:rPr>
        <w:t xml:space="preserve"> Corte Constitucional, sentencia C-568 de 1995.</w:t>
      </w:r>
    </w:p>
  </w:footnote>
  <w:footnote w:id="30">
    <w:p w:rsidR="00BE2D4F" w:rsidRPr="006D0761" w:rsidRDefault="006D0761" w:rsidP="00EC589D">
      <w:pPr>
        <w:pStyle w:val="Textonotapie"/>
        <w:ind w:right="-46"/>
        <w:jc w:val="both"/>
        <w:rPr>
          <w:rStyle w:val="Referenciasutil"/>
          <w:color w:val="000000"/>
        </w:rPr>
      </w:pPr>
      <w:r w:rsidRPr="006D0761">
        <w:rPr>
          <w:rStyle w:val="Referenciasutil"/>
          <w:color w:val="000000"/>
          <w:vertAlign w:val="superscript"/>
        </w:rPr>
        <w:footnoteRef/>
      </w:r>
      <w:r w:rsidRPr="006D0761">
        <w:rPr>
          <w:rStyle w:val="Referenciasutil"/>
          <w:color w:val="000000"/>
        </w:rPr>
        <w:t xml:space="preserve"> Corte Constitucional, sentencia C-1052 de 2001</w:t>
      </w:r>
      <w:r w:rsidRPr="006D0761">
        <w:rPr>
          <w:rStyle w:val="Referenciasutil"/>
          <w:color w:val="000000"/>
        </w:rPr>
        <w:t xml:space="preserve">. </w:t>
      </w:r>
      <w:r w:rsidRPr="006D0761">
        <w:rPr>
          <w:rStyle w:val="Referenciasutil"/>
          <w:color w:val="000000"/>
        </w:rPr>
        <w:t xml:space="preserve">  </w:t>
      </w:r>
    </w:p>
  </w:footnote>
  <w:footnote w:id="31">
    <w:p w:rsidR="00BE2D4F" w:rsidRPr="006D0761" w:rsidRDefault="006D0761" w:rsidP="00EC589D">
      <w:pPr>
        <w:pStyle w:val="Textonotapie"/>
        <w:ind w:right="-46"/>
        <w:jc w:val="both"/>
        <w:rPr>
          <w:rStyle w:val="Referenciasutil"/>
          <w:color w:val="000000"/>
        </w:rPr>
      </w:pPr>
      <w:r w:rsidRPr="006D0761">
        <w:rPr>
          <w:rStyle w:val="Referenciasutil"/>
          <w:color w:val="000000"/>
          <w:vertAlign w:val="superscript"/>
        </w:rPr>
        <w:footnoteRef/>
      </w:r>
      <w:r w:rsidRPr="006D0761">
        <w:rPr>
          <w:rStyle w:val="Referenciasutil"/>
          <w:color w:val="000000"/>
        </w:rPr>
        <w:t xml:space="preserve"> Corte Constitucional Sentencia C-504 de 1993. La Corte declaró exequible en esta oportunidad que el Decreto 100 de 1980 (Código Penal). Se dijo, entonces: “Constituye un error conceptual dirigir el cargo de inconstitucionalidad contra un metalenguaje </w:t>
      </w:r>
      <w:r w:rsidRPr="006D0761">
        <w:rPr>
          <w:rStyle w:val="Referenciasutil"/>
          <w:color w:val="000000"/>
        </w:rPr>
        <w:t>sin valor normativo y, por tanto, carente de obligatoriedad por no ser parte del ordenamiento jurídico. La doctrina penal es autónoma en la creación de los diferentes modelos penales. No existe precepto constitucional alguno que justifique la limitación de</w:t>
      </w:r>
      <w:r w:rsidRPr="006D0761">
        <w:rPr>
          <w:rStyle w:val="Referenciasutil"/>
          <w:color w:val="000000"/>
        </w:rPr>
        <w:t xml:space="preserve"> la creatividad del pensamiento doctrinal - ámbito ideológico y valorativo por excelencia -, debiendo el demandante concretar la posible antinomia jurídica en el texto de una disposición que permita estructurar un juicio de constitucionalidad sobre extremo</w:t>
      </w:r>
      <w:r w:rsidRPr="006D0761">
        <w:rPr>
          <w:rStyle w:val="Referenciasutil"/>
          <w:color w:val="000000"/>
        </w:rPr>
        <w:t>s comparables”.  Así, la Corte desestimaba algunos de los argumentos presentados por el actor que se apoyaban en teorías del derecho penal que reñían con la visión contenida en las normas demandadas y con la idea que, en opinión del actor, animaba el texto</w:t>
      </w:r>
      <w:r w:rsidRPr="006D0761">
        <w:rPr>
          <w:rStyle w:val="Referenciasutil"/>
          <w:color w:val="000000"/>
        </w:rPr>
        <w:t xml:space="preserve"> de la Constitución.</w:t>
      </w:r>
    </w:p>
  </w:footnote>
  <w:footnote w:id="32">
    <w:p w:rsidR="00BE2D4F" w:rsidRPr="006D0761" w:rsidRDefault="006D0761" w:rsidP="00EC589D">
      <w:pPr>
        <w:pStyle w:val="Textonotapie"/>
        <w:ind w:right="-46"/>
        <w:jc w:val="both"/>
        <w:rPr>
          <w:rStyle w:val="Referenciasutil"/>
          <w:color w:val="000000"/>
        </w:rPr>
      </w:pPr>
      <w:r w:rsidRPr="006D0761">
        <w:rPr>
          <w:rStyle w:val="Referenciasutil"/>
          <w:color w:val="000000"/>
          <w:vertAlign w:val="superscript"/>
        </w:rPr>
        <w:footnoteRef/>
      </w:r>
      <w:r w:rsidRPr="006D0761">
        <w:rPr>
          <w:rStyle w:val="Referenciasutil"/>
          <w:color w:val="000000"/>
        </w:rPr>
        <w:t xml:space="preserve"> Corte Constitucional, sentencia C-1052 de 200</w:t>
      </w:r>
      <w:r w:rsidRPr="006D0761">
        <w:rPr>
          <w:rStyle w:val="Referenciasutil"/>
          <w:color w:val="000000"/>
        </w:rPr>
        <w:t>1.</w:t>
      </w:r>
    </w:p>
  </w:footnote>
  <w:footnote w:id="33">
    <w:p w:rsidR="006A7A09" w:rsidRPr="00335884" w:rsidRDefault="006D0761" w:rsidP="00EB501B">
      <w:pPr>
        <w:pStyle w:val="Textonotapie"/>
        <w:jc w:val="both"/>
      </w:pPr>
      <w:r w:rsidRPr="00335884">
        <w:rPr>
          <w:rStyle w:val="Refdenotaalpie"/>
        </w:rPr>
        <w:footnoteRef/>
      </w:r>
      <w:r w:rsidRPr="00335884">
        <w:t xml:space="preserve"> Constitución Política, artículo 13.</w:t>
      </w:r>
      <w:r w:rsidRPr="006D0761">
        <w:rPr>
          <w:lang w:eastAsia="ja-JP"/>
        </w:rPr>
        <w:t xml:space="preserve"> </w:t>
      </w:r>
      <w:r w:rsidRPr="00335884">
        <w:t>Énfasis añadido.</w:t>
      </w:r>
    </w:p>
  </w:footnote>
  <w:footnote w:id="34">
    <w:p w:rsidR="00311A33" w:rsidRPr="00335884" w:rsidRDefault="006D0761" w:rsidP="00EC589D">
      <w:pPr>
        <w:pStyle w:val="Textonotapie"/>
        <w:ind w:right="-46"/>
        <w:jc w:val="both"/>
      </w:pPr>
      <w:r w:rsidRPr="00335884">
        <w:rPr>
          <w:rStyle w:val="Refdenotaalpie"/>
        </w:rPr>
        <w:footnoteRef/>
      </w:r>
      <w:r w:rsidRPr="00335884">
        <w:t xml:space="preserve"> </w:t>
      </w:r>
      <w:r w:rsidRPr="00335884">
        <w:t xml:space="preserve">Corte Constitucional, Sentencia C-586 de 2016, reitera </w:t>
      </w:r>
      <w:r w:rsidRPr="00335884">
        <w:t xml:space="preserve">la sentencia C-022 de 1996 </w:t>
      </w:r>
      <w:r w:rsidRPr="00335884">
        <w:t xml:space="preserve">que </w:t>
      </w:r>
      <w:r w:rsidRPr="00335884">
        <w:t>se ocupó de la estructura del mandato de i</w:t>
      </w:r>
      <w:r w:rsidRPr="00335884">
        <w:t>gualdad indicando lo siguiente: “(…) el principio de igualdad puede ser descompuesto en dos principios parciales, que no son más que la clarificación analítica de la fórmula clásica enunciada y facilitan su aplicación: (…)  a. “Si no hay ninguna razón sufi</w:t>
      </w:r>
      <w:r w:rsidRPr="00335884">
        <w:t>ciente para la permisión de un tratamiento desigual, entonces está ordenado un tratamiento igual.”</w:t>
      </w:r>
      <w:r w:rsidRPr="00335884">
        <w:t xml:space="preserve"> </w:t>
      </w:r>
      <w:r w:rsidRPr="00335884">
        <w:t>b. “Si hay una razón suficiente para ordenar un tratamiento desigual, entonces está ordenado un tratamiento desigual.”</w:t>
      </w:r>
      <w:r w:rsidRPr="00335884">
        <w:t xml:space="preserve"> </w:t>
      </w:r>
      <w:r w:rsidRPr="00335884">
        <w:t xml:space="preserve"> Dos consecuencias se desprenden con c</w:t>
      </w:r>
      <w:r w:rsidRPr="00335884">
        <w:t>laridad de esta enunciación del principio de igualdad: en primer lugar, la carga argumentativa está inclinada en favor de la igualdad, pues en todo caso la carga de la prueba pesa sobre quien pretende el establecimiento de un trato diferenciado. En otras p</w:t>
      </w:r>
      <w:r w:rsidRPr="00335884">
        <w:t>alabras, quien establece o pretende establecer un trato discriminatorio, debe justificarlo.</w:t>
      </w:r>
      <w:r w:rsidRPr="00335884">
        <w:t xml:space="preserve"> </w:t>
      </w:r>
      <w:r w:rsidRPr="00335884">
        <w:t>En segundo lugar, el núcleo del principio de igualdad queda establecido en términos de la razón suficiente que justifique el trato desigual. El problema queda conce</w:t>
      </w:r>
      <w:r w:rsidRPr="00335884">
        <w:t>ntrado, entonces, en la justificación del trato desigual. El análisis de esta justificación ha sido decantado por esta Corte mediante la aplicación de un “test de razonabilidad” (…), que será enseguida detallado y aplicado al caso concreto” (Las subrayas n</w:t>
      </w:r>
      <w:r w:rsidRPr="00335884">
        <w:t xml:space="preserve">o hacen parte del texto original).  </w:t>
      </w:r>
    </w:p>
  </w:footnote>
  <w:footnote w:id="35">
    <w:p w:rsidR="009873D6"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t xml:space="preserve">Corte Constitucional, </w:t>
      </w:r>
      <w:r w:rsidRPr="00335884">
        <w:rPr>
          <w:lang w:val="es-ES"/>
        </w:rPr>
        <w:t>Sentencia SU-225 de 1998</w:t>
      </w:r>
      <w:r w:rsidRPr="00335884">
        <w:rPr>
          <w:lang w:val="es-ES"/>
        </w:rPr>
        <w:t>.</w:t>
      </w:r>
      <w:r w:rsidRPr="00335884">
        <w:rPr>
          <w:lang w:val="es-ES"/>
        </w:rPr>
        <w:t xml:space="preserve"> </w:t>
      </w:r>
    </w:p>
  </w:footnote>
  <w:footnote w:id="36">
    <w:p w:rsidR="009873D6"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t xml:space="preserve">Corte Constitucional, </w:t>
      </w:r>
      <w:r w:rsidRPr="00335884">
        <w:t xml:space="preserve">Sentencias </w:t>
      </w:r>
      <w:r w:rsidRPr="00335884">
        <w:rPr>
          <w:color w:val="000000"/>
          <w:shd w:val="clear" w:color="auto" w:fill="FFFFFF"/>
        </w:rPr>
        <w:t>C-114 de 2005, C-896 de 2006, C-1004 de 2007, C-1125 de 2008, C-432 de 2010, C-250 de 2012, C-657 de 2015 y C-536 de 2016.</w:t>
      </w:r>
    </w:p>
  </w:footnote>
  <w:footnote w:id="37">
    <w:p w:rsidR="009873D6"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t>C</w:t>
      </w:r>
      <w:r w:rsidRPr="00335884">
        <w:t xml:space="preserve">orte Constitucional, </w:t>
      </w:r>
      <w:r w:rsidRPr="00335884">
        <w:rPr>
          <w:lang w:val="es-ES"/>
        </w:rPr>
        <w:t>Sentencia C-536 de 2016, reiterando la Sentencia C-022 de 1996.</w:t>
      </w:r>
    </w:p>
  </w:footnote>
  <w:footnote w:id="38">
    <w:p w:rsidR="008D7DD8"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t>Al respecto, Corte Constitucional</w:t>
      </w:r>
      <w:r w:rsidRPr="00335884">
        <w:t xml:space="preserve"> </w:t>
      </w:r>
      <w:r w:rsidRPr="00335884">
        <w:t xml:space="preserve">Sentencia C-050 de 2021, que reitera las sentencias C-202 de 2019 y C-596 de 2019 </w:t>
      </w:r>
      <w:r w:rsidRPr="00335884">
        <w:t>. </w:t>
      </w:r>
    </w:p>
  </w:footnote>
  <w:footnote w:id="39">
    <w:p w:rsidR="0054603F" w:rsidRPr="00335884" w:rsidRDefault="006D0761" w:rsidP="00EC589D">
      <w:pPr>
        <w:pStyle w:val="Textonotapie"/>
        <w:ind w:right="-46"/>
        <w:jc w:val="both"/>
      </w:pPr>
      <w:r w:rsidRPr="00335884">
        <w:rPr>
          <w:rStyle w:val="Refdenotaalpie"/>
        </w:rPr>
        <w:footnoteRef/>
      </w:r>
      <w:r w:rsidRPr="00335884">
        <w:t xml:space="preserve"> Al respecto se reitera lo sostenido por la Corte</w:t>
      </w:r>
      <w:r w:rsidRPr="00335884">
        <w:t xml:space="preserve"> en la Sentencia C-297 de 2016: “32. En el derecho internacional de los derechos humanos, la obligación de garantizar el derecho de las mujeres a estar libres de violencia tiene dos fuentes. De un lado, surge de la lectura sistemática de las disposiciones </w:t>
      </w:r>
      <w:r w:rsidRPr="00335884">
        <w:t>neutras que proscriben la violencia y reconocen los deberes de protección a la vida, la seguridad personal, la integridad, la honra, la salud y la dignidad de las personas, entre otros, con aquellas normas que establecen: (i) el derecho a la igualdad en el</w:t>
      </w:r>
      <w:r w:rsidRPr="00335884">
        <w:t xml:space="preserve"> reconocimiento y protección de esos derechos; y (ii) la prohibición de discriminación por razón del sexo, pues imponen un deber de protección especial por razón al género. De otro lado, surge de las disposiciones que explícitamente consagran protecciones </w:t>
      </w:r>
      <w:r w:rsidRPr="00335884">
        <w:t xml:space="preserve">y deberes alrededor de la erradicación de la discriminación contra de la mujer y de la prevención, investigación y sanción de la violencia contra ésta. </w:t>
      </w:r>
    </w:p>
    <w:p w:rsidR="0054603F" w:rsidRPr="00335884" w:rsidRDefault="006D0761" w:rsidP="00EC589D">
      <w:pPr>
        <w:pStyle w:val="Textonotapie"/>
        <w:ind w:right="-46"/>
        <w:jc w:val="both"/>
      </w:pPr>
      <w:r w:rsidRPr="00335884">
        <w:t xml:space="preserve"> 33. De conformidad con la Convención Interamericana para Prevenir la Violencia contra la Mujer (Conven</w:t>
      </w:r>
      <w:r w:rsidRPr="00335884">
        <w:t>ción de Belém do Pará) la violencia contra la mujer comprende “cualquier acción o conducta, basada en su género, que cause muerte, daño o sufrimiento físico, sexual o psicológico a la mujer, tanto en el ámbito público como en el privado”. A su vez, la Conv</w:t>
      </w:r>
      <w:r w:rsidRPr="00335884">
        <w:t>ención reconoce el derecho de las mujeres a estar libres de violencia y sostiene que la violencia de género además de ser una violación a derechos como la dignidad, la integridad psíquica y física también impide y anula el goce y ejercicio de otros derecho</w:t>
      </w:r>
      <w:r w:rsidRPr="00335884">
        <w:t>s fundamentales. Así, en su artículo 7 establece el deber para los Estados de “incluir en su legislación interna normas penales, civiles y administrativas, así como las de otra naturaleza que sean necesarias para prevenir, sancionar y erradicar la violenci</w:t>
      </w:r>
      <w:r w:rsidRPr="00335884">
        <w:t xml:space="preserve">a contra la mujer y adoptar las medidas administrativas apropiadas que sean del caso”. Igualmente, en su artículo 8 dispone el deber de adoptar medidas sociales, culturales y educativas, entre otras, para la prevención de la violencia contra la mujer y el </w:t>
      </w:r>
      <w:r w:rsidRPr="00335884">
        <w:t xml:space="preserve">cambio de los patrones socioculturales que la subyacen. Adicionalmente, el artículo 9 obliga a adoptar un enfoque diferencial para las mujeres que hacen parte de grupos vulnerables. </w:t>
      </w:r>
    </w:p>
    <w:p w:rsidR="0054603F" w:rsidRPr="00335884" w:rsidRDefault="006D0761" w:rsidP="00EC589D">
      <w:pPr>
        <w:pStyle w:val="Textonotapie"/>
        <w:ind w:right="-46"/>
        <w:jc w:val="both"/>
      </w:pPr>
      <w:r w:rsidRPr="00335884">
        <w:t xml:space="preserve"> 34. De otra parte, la Convención para la Eliminación de Todas las Formas de Discriminación contra la Mujer (CEDAW), en su Preámbulo, establece que la discriminación contra la mujer viola los principios de igualdad y dignidad y en su articulado establece d</w:t>
      </w:r>
      <w:r w:rsidRPr="00335884">
        <w:t>eberes positivos para los Estados para eliminar y prevenir la discriminación contra la mujer. En relación con la discriminación y la violencia, es particularmente relevante la Recomendación General No. 19 del Comité de la CEDAW, que establece que la “viole</w:t>
      </w:r>
      <w:r w:rsidRPr="00335884">
        <w:t>ncia contra la mujer es una forma de discriminación” y delimita el deber de debida diligencia ya que “los Estados también pueden ser responsables de actos privados si no adoptan medidas con la diligencia debida para impedir la violación de los derechos o p</w:t>
      </w:r>
      <w:r w:rsidRPr="00335884">
        <w:t>ara investigar y castigar los actos de violencia e indemnizar a las víctimas”. Igualmente, aborda cada uno de los artículos de la Convención desde el punto de vista de las obligaciones del Estado alrededor de la violencia. Por ejemplo, el deber del artícul</w:t>
      </w:r>
      <w:r w:rsidRPr="00335884">
        <w:t xml:space="preserve">o 12 de que los Estados adopten medidas que garanticen la igualdad en materia de servicios de salud, ya que “la violencia contra la mujer pone en peligro su salud y su vida”. </w:t>
      </w:r>
    </w:p>
    <w:p w:rsidR="0054603F" w:rsidRPr="00335884" w:rsidRDefault="006D0761" w:rsidP="00EC589D">
      <w:pPr>
        <w:pStyle w:val="Textonotapie"/>
        <w:ind w:right="-46"/>
        <w:jc w:val="both"/>
      </w:pPr>
      <w:r w:rsidRPr="00335884">
        <w:t xml:space="preserve"> Cabe resaltar sus recomendaciones b) y t), en relación con la protección de las</w:t>
      </w:r>
      <w:r w:rsidRPr="00335884">
        <w:t xml:space="preserve"> mujeres de la violencia, que instan a los Estados a que velen porque las normas y medidas que se adopten para prevenir todo tipo de violencia las protejan de forma adecuada y eficaz, se preste apoyo a las víctimas, se capacite a los operadores jurídicos y</w:t>
      </w:r>
      <w:r w:rsidRPr="00335884">
        <w:t xml:space="preserve">, de otra parte: </w:t>
      </w:r>
    </w:p>
    <w:p w:rsidR="0054603F" w:rsidRPr="00335884" w:rsidRDefault="006D0761" w:rsidP="00EC589D">
      <w:pPr>
        <w:pStyle w:val="Textonotapie"/>
        <w:ind w:right="-46"/>
        <w:jc w:val="both"/>
      </w:pPr>
      <w:r w:rsidRPr="00335884">
        <w:t xml:space="preserve"> “t) adopten todas las medidas jurídicas y de otra índole que sean necesarias para proteger eficazmente a las mujeres contra la violencia, entre ellas:</w:t>
      </w:r>
    </w:p>
    <w:p w:rsidR="0054603F" w:rsidRPr="00335884" w:rsidRDefault="006D0761" w:rsidP="00EC589D">
      <w:pPr>
        <w:pStyle w:val="Textonotapie"/>
        <w:ind w:right="-46"/>
        <w:jc w:val="both"/>
      </w:pPr>
      <w:r w:rsidRPr="00335884">
        <w:t>i) medidas jurídicas eficaces, como sanciones penales, recursos civiles e indemnizació</w:t>
      </w:r>
      <w:r w:rsidRPr="00335884">
        <w:t>n para protegerlas contra todo tipo de violencia, hasta la violencia y los malos tratos en la familia, la violencia sexual y el hostigamiento en el lugar de trabajo;</w:t>
      </w:r>
    </w:p>
    <w:p w:rsidR="0054603F" w:rsidRPr="00335884" w:rsidRDefault="006D0761" w:rsidP="00EC589D">
      <w:pPr>
        <w:pStyle w:val="Textonotapie"/>
        <w:ind w:right="-46"/>
        <w:jc w:val="both"/>
      </w:pPr>
      <w:r w:rsidRPr="00335884">
        <w:t>ii) medidas preventivas, entre ellas programas de información y educación para modificar l</w:t>
      </w:r>
      <w:r w:rsidRPr="00335884">
        <w:t>as actitudes relativas al papel y la condición del hombre y de la mujer;</w:t>
      </w:r>
    </w:p>
    <w:p w:rsidR="0054603F" w:rsidRPr="00335884" w:rsidRDefault="006D0761" w:rsidP="00EC589D">
      <w:pPr>
        <w:pStyle w:val="Textonotapie"/>
        <w:ind w:right="-46"/>
        <w:jc w:val="both"/>
      </w:pPr>
      <w:r w:rsidRPr="00335884">
        <w:t>iii) medidas de protección, entre ellas refugios, asesoramiento, rehabilitación y servicios de apoyo para las mujeres que son víctimas de violencia o que se encuentren en peligro de s</w:t>
      </w:r>
      <w:r w:rsidRPr="00335884">
        <w:t>erlo”.</w:t>
      </w:r>
    </w:p>
    <w:p w:rsidR="0054603F" w:rsidRPr="00335884" w:rsidRDefault="006D0761" w:rsidP="00EC589D">
      <w:pPr>
        <w:pStyle w:val="Textonotapie"/>
        <w:ind w:right="-46"/>
        <w:jc w:val="both"/>
      </w:pPr>
      <w:r w:rsidRPr="00335884">
        <w:t xml:space="preserve"> 35. De otra parte, la Declaración sobre la eliminación de la violencia contra la mujer de Naciones Unidas de 1993 reitera el deber de debida diligencia para la erradicación, prevención, investigación y sanción de la violencia contra las mujeres com</w:t>
      </w:r>
      <w:r w:rsidRPr="00335884">
        <w:t>o un compromiso internacional que impone deberes positivos en la adopción de todo tipo de medidas en contra de la violencia contra la mujer.</w:t>
      </w:r>
    </w:p>
    <w:p w:rsidR="0054603F" w:rsidRPr="00335884" w:rsidRDefault="006D0761" w:rsidP="00EC589D">
      <w:pPr>
        <w:pStyle w:val="Textonotapie"/>
        <w:ind w:right="-46"/>
        <w:jc w:val="both"/>
      </w:pPr>
      <w:r w:rsidRPr="00335884">
        <w:t>36. Así mismo, el artículo 19 de la Convención Sobre los Derechos del Niño, proscribe todo tipo de violencia contra</w:t>
      </w:r>
      <w:r w:rsidRPr="00335884">
        <w:t xml:space="preserve"> niños y niñas e impone la obligación de adoptar todas las medidas legislativas, administrativas, educativas y sociales para protegerlos de cualquier tipo de violencia o abuso. Las anteriores disposiciones, es decir, los contenidos normativos de la Convenc</w:t>
      </w:r>
      <w:r w:rsidRPr="00335884">
        <w:t>ión Americana de Derechos Humanos, el Pacto Internacional de Derechos Civiles y Políticos de Naciones Unidas, la Convención de Belém do Pará, la CEDAW y la Convención sobre los Derechos del Niños, al consagrar derechos que no son susceptibles de suspensión</w:t>
      </w:r>
      <w:r w:rsidRPr="00335884">
        <w:t xml:space="preserve"> en estados de excepción, hacen parte del bloque de constitucionalidad en sentido estricto. </w:t>
      </w:r>
    </w:p>
  </w:footnote>
  <w:footnote w:id="40">
    <w:p w:rsidR="002E7DE7" w:rsidRPr="00335884" w:rsidRDefault="006D0761" w:rsidP="00EB501B">
      <w:pPr>
        <w:pStyle w:val="Textonotapie"/>
        <w:jc w:val="both"/>
        <w:rPr>
          <w:lang w:val="es-ES"/>
        </w:rPr>
      </w:pPr>
      <w:r w:rsidRPr="00335884">
        <w:rPr>
          <w:rStyle w:val="Refdenotaalpie"/>
        </w:rPr>
        <w:footnoteRef/>
      </w:r>
      <w:r w:rsidRPr="00335884">
        <w:t xml:space="preserve"> Entre otras, las </w:t>
      </w:r>
      <w:r w:rsidRPr="00335884">
        <w:rPr>
          <w:lang w:val="es-ES"/>
        </w:rPr>
        <w:t>sentencias C-355 de 2013, C-297 de 2016, C-539 de 2016, C-038 de 2021 y C-317 de 2024.</w:t>
      </w:r>
    </w:p>
  </w:footnote>
  <w:footnote w:id="41">
    <w:p w:rsidR="0039215C" w:rsidRPr="00335884" w:rsidRDefault="006D0761" w:rsidP="00EC589D">
      <w:pPr>
        <w:pStyle w:val="Textonotapie"/>
        <w:ind w:right="-46"/>
        <w:jc w:val="both"/>
        <w:rPr>
          <w:lang w:val="es-ES_tradnl"/>
        </w:rPr>
      </w:pPr>
      <w:r w:rsidRPr="00335884">
        <w:rPr>
          <w:rStyle w:val="Refdenotaalpie"/>
        </w:rPr>
        <w:footnoteRef/>
      </w:r>
      <w:r w:rsidRPr="00335884">
        <w:t xml:space="preserve"> Según los hechos narrados en dicha sentencia, tres muje</w:t>
      </w:r>
      <w:r w:rsidRPr="00335884">
        <w:t>res jóvenes, una estudiante, una trabajadora de maquila y una empleada doméstica fueron encontradas asesinadas tras la perpetración de violencia sexual, tortura y mutilaciones tres meses después de su desaparición en ciudad Juárez, en un contexto de delinc</w:t>
      </w:r>
      <w:r w:rsidRPr="00335884">
        <w:t>uencia organizada y donde desde 1993 existía un aumento de homicidios de mujeres influenciado por una cultura de discriminación contra la mujer. Los crímenes permanecieron en la impunidad.</w:t>
      </w:r>
    </w:p>
  </w:footnote>
  <w:footnote w:id="42">
    <w:p w:rsidR="00CD0E93" w:rsidRPr="00335884" w:rsidRDefault="006D0761" w:rsidP="00EC589D">
      <w:pPr>
        <w:pStyle w:val="Textonotapie"/>
        <w:ind w:right="-46"/>
        <w:jc w:val="both"/>
      </w:pPr>
      <w:r w:rsidRPr="00335884">
        <w:rPr>
          <w:rStyle w:val="Refdenotaalpie"/>
        </w:rPr>
        <w:footnoteRef/>
      </w:r>
      <w:r w:rsidRPr="00335884">
        <w:t xml:space="preserve"> Informe de la Relatora Especial sobre la violencia contra la mujer, sus causas y consecuencias, Rashida Manjoo. 14 de mayo de 2012, A /HRC/20/16/Add.3</w:t>
      </w:r>
    </w:p>
  </w:footnote>
  <w:footnote w:id="43">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color w:val="000000"/>
          <w:lang w:val="es-ES"/>
        </w:rPr>
        <w:t xml:space="preserve"> ONU Mujeres. </w:t>
      </w:r>
      <w:r w:rsidRPr="006D0761">
        <w:rPr>
          <w:i/>
          <w:iCs/>
          <w:color w:val="000000"/>
          <w:lang w:val="es-ES"/>
        </w:rPr>
        <w:t>Análisis de Legislación sobre Femicidio/Feminicidio en América Latina y el Caribe e Insum</w:t>
      </w:r>
      <w:r w:rsidRPr="006D0761">
        <w:rPr>
          <w:i/>
          <w:iCs/>
          <w:color w:val="000000"/>
          <w:lang w:val="es-ES"/>
        </w:rPr>
        <w:t xml:space="preserve">os para una ley modelo. </w:t>
      </w:r>
      <w:r w:rsidRPr="006D0761">
        <w:rPr>
          <w:color w:val="000000"/>
          <w:lang w:val="es-ES"/>
        </w:rPr>
        <w:t xml:space="preserve">Panamá, 2019. </w:t>
      </w:r>
      <w:hyperlink r:id="rId1">
        <w:r w:rsidRPr="006D0761">
          <w:rPr>
            <w:rStyle w:val="Hipervnculo"/>
            <w:color w:val="000000"/>
            <w:lang w:val="es-ES"/>
          </w:rPr>
          <w:t>https://lac.unwomen.org/sites/default/files/Field%20Office%20Americas/Documentos/Publicaciones/2019/05/Final%20ESP%20Analysis%20de%20leyes%20de%20femicidio%20en%20Amrica%20Latina%20y%20el%20Caribe-compressed.pdf</w:t>
        </w:r>
      </w:hyperlink>
      <w:r w:rsidRPr="006D0761">
        <w:rPr>
          <w:color w:val="000000"/>
          <w:lang w:val="es-ES"/>
        </w:rPr>
        <w:t xml:space="preserve"> </w:t>
      </w:r>
    </w:p>
  </w:footnote>
  <w:footnote w:id="44">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color w:val="000000"/>
          <w:lang w:val="es-ES"/>
        </w:rPr>
        <w:t xml:space="preserve"> Senado y Cámara de Diputados</w:t>
      </w:r>
      <w:r w:rsidRPr="006D0761">
        <w:rPr>
          <w:color w:val="000000"/>
          <w:lang w:val="es-ES"/>
        </w:rPr>
        <w:t xml:space="preserve"> de Argentina. </w:t>
      </w:r>
      <w:r w:rsidRPr="006D0761">
        <w:rPr>
          <w:i/>
          <w:iCs/>
          <w:color w:val="000000"/>
          <w:lang w:val="es-ES"/>
        </w:rPr>
        <w:t>Ley de Protección Integral para Prevenir, Sancionar y Erradicar la Violencia contra las Mujeres en los ámbitos que desarrollen sus relaciones interpersonales.</w:t>
      </w:r>
      <w:r w:rsidRPr="006D0761">
        <w:rPr>
          <w:color w:val="000000"/>
          <w:lang w:val="es-ES"/>
        </w:rPr>
        <w:t xml:space="preserve"> Disponible en: </w:t>
      </w:r>
      <w:hyperlink r:id="rId2">
        <w:r w:rsidRPr="006D0761">
          <w:rPr>
            <w:rStyle w:val="Hipervnculo"/>
            <w:color w:val="000000"/>
            <w:lang w:val="es-ES"/>
          </w:rPr>
          <w:t>https://siteal.iiep.unesco.org/sites/default/files/sit_accion_files/ley_ndeg_26.485_organized.pdf</w:t>
        </w:r>
      </w:hyperlink>
    </w:p>
  </w:footnote>
  <w:footnote w:id="45">
    <w:p w:rsidR="0039215C" w:rsidRPr="006D0761" w:rsidRDefault="006D0761" w:rsidP="00EC589D">
      <w:pPr>
        <w:pStyle w:val="Textonotapie"/>
        <w:ind w:right="-46"/>
        <w:jc w:val="both"/>
        <w:rPr>
          <w:i/>
          <w:iCs/>
          <w:color w:val="000000"/>
          <w:lang w:val="es-ES"/>
        </w:rPr>
      </w:pPr>
      <w:r w:rsidRPr="006D0761">
        <w:rPr>
          <w:rStyle w:val="Refdenotaalpie"/>
          <w:color w:val="000000"/>
        </w:rPr>
        <w:footnoteRef/>
      </w:r>
      <w:r w:rsidRPr="006D0761">
        <w:rPr>
          <w:i/>
          <w:iCs/>
          <w:color w:val="000000"/>
          <w:lang w:val="es-ES"/>
        </w:rPr>
        <w:t xml:space="preserve"> </w:t>
      </w:r>
      <w:r w:rsidRPr="006D0761">
        <w:rPr>
          <w:color w:val="000000"/>
          <w:lang w:val="es-ES"/>
        </w:rPr>
        <w:t>Asamblea Legislativa Plurinacional de Bolivia.</w:t>
      </w:r>
      <w:r w:rsidRPr="006D0761">
        <w:rPr>
          <w:i/>
          <w:iCs/>
          <w:color w:val="000000"/>
          <w:lang w:val="es-ES"/>
        </w:rPr>
        <w:t xml:space="preserve"> Ley Integral para garantizar a las mujeres</w:t>
      </w:r>
    </w:p>
    <w:p w:rsidR="0039215C" w:rsidRPr="006D0761" w:rsidRDefault="006D0761" w:rsidP="00EC589D">
      <w:pPr>
        <w:pStyle w:val="Textonotapie"/>
        <w:ind w:right="-46"/>
        <w:jc w:val="both"/>
        <w:rPr>
          <w:color w:val="000000"/>
          <w:lang w:val="es-ES"/>
        </w:rPr>
      </w:pPr>
      <w:r w:rsidRPr="006D0761">
        <w:rPr>
          <w:i/>
          <w:iCs/>
          <w:color w:val="000000"/>
          <w:lang w:val="es-ES"/>
        </w:rPr>
        <w:t xml:space="preserve">una vida libre </w:t>
      </w:r>
      <w:r w:rsidRPr="006D0761">
        <w:rPr>
          <w:i/>
          <w:iCs/>
          <w:color w:val="000000"/>
          <w:lang w:val="es-ES"/>
        </w:rPr>
        <w:t xml:space="preserve">de violencia. </w:t>
      </w:r>
      <w:r w:rsidRPr="006D0761">
        <w:rPr>
          <w:color w:val="000000"/>
          <w:lang w:val="es-ES"/>
        </w:rPr>
        <w:t>Disponible en:</w:t>
      </w:r>
      <w:r w:rsidRPr="006D0761">
        <w:rPr>
          <w:i/>
          <w:iCs/>
          <w:color w:val="000000"/>
          <w:lang w:val="es-ES"/>
        </w:rPr>
        <w:t xml:space="preserve"> </w:t>
      </w:r>
      <w:hyperlink r:id="rId3">
        <w:r w:rsidRPr="006D0761">
          <w:rPr>
            <w:rStyle w:val="Hipervnculo"/>
            <w:color w:val="000000"/>
            <w:lang w:val="es-ES"/>
          </w:rPr>
          <w:t>https://bolivia.unfpa.org/sites/default/files/pub-pdf/1-ley-348-2016.pdf</w:t>
        </w:r>
      </w:hyperlink>
    </w:p>
  </w:footnote>
  <w:footnote w:id="46">
    <w:p w:rsidR="0039215C"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Ministerio de Justicia, Derechos Humanos y Cultos de Ecuador</w:t>
      </w:r>
      <w:r w:rsidRPr="006D0761">
        <w:rPr>
          <w:color w:val="000000"/>
          <w:lang w:val="es-ES"/>
        </w:rPr>
        <w:t xml:space="preserve">. Subsecretaría de Desarrollo Normativo.  </w:t>
      </w:r>
      <w:r w:rsidRPr="006D0761">
        <w:rPr>
          <w:i/>
          <w:iCs/>
          <w:color w:val="000000"/>
          <w:lang w:val="es-ES"/>
        </w:rPr>
        <w:t>Código Orgánico Integral Penal</w:t>
      </w:r>
      <w:r w:rsidRPr="006D0761">
        <w:rPr>
          <w:color w:val="000000"/>
          <w:lang w:val="es-ES"/>
        </w:rPr>
        <w:t xml:space="preserve">. Disponible en: </w:t>
      </w:r>
      <w:hyperlink r:id="rId4">
        <w:r w:rsidRPr="006D0761">
          <w:rPr>
            <w:rStyle w:val="Hipervnculo"/>
            <w:color w:val="000000"/>
            <w:lang w:val="es-ES"/>
          </w:rPr>
          <w:t>https://www.oas.org/juridico/PDFs/mesicic5_ecu_ane_con_judi_c%C</w:t>
        </w:r>
        <w:r w:rsidRPr="006D0761">
          <w:rPr>
            <w:rStyle w:val="Hipervnculo"/>
            <w:color w:val="000000"/>
            <w:lang w:val="es-ES"/>
          </w:rPr>
          <w:t>3%B3d_org_int_pen.pdf</w:t>
        </w:r>
      </w:hyperlink>
      <w:r w:rsidRPr="006D0761">
        <w:rPr>
          <w:color w:val="000000"/>
          <w:lang w:val="es-ES"/>
        </w:rPr>
        <w:t xml:space="preserve"> </w:t>
      </w:r>
      <w:hyperlink r:id="rId5">
        <w:r w:rsidRPr="006D0761">
          <w:rPr>
            <w:rStyle w:val="Hipervnculo"/>
            <w:color w:val="000000"/>
            <w:lang w:val="es-ES"/>
          </w:rPr>
          <w:t>https://www.igualdad.gob.ec/wp-content/uploads/downloads/2018/05/ley_prevenir_y_erradicar_violencia_mujeres.pdf</w:t>
        </w:r>
      </w:hyperlink>
    </w:p>
  </w:footnote>
  <w:footnote w:id="47">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color w:val="000000"/>
          <w:lang w:val="es-ES"/>
        </w:rPr>
        <w:t xml:space="preserve"> Asamblea Legislativa de El Salvador. Decreto 520 de 2011. </w:t>
      </w:r>
      <w:r w:rsidRPr="006D0761">
        <w:rPr>
          <w:i/>
          <w:iCs/>
          <w:color w:val="000000"/>
          <w:lang w:val="es-ES"/>
        </w:rPr>
        <w:t xml:space="preserve">Ley Especial Integral para una vida libre de violencia para las mujeres. </w:t>
      </w:r>
      <w:r w:rsidRPr="006D0761">
        <w:rPr>
          <w:color w:val="000000"/>
          <w:lang w:val="es-ES"/>
        </w:rPr>
        <w:t xml:space="preserve">Disponible </w:t>
      </w:r>
      <w:r w:rsidRPr="006D0761">
        <w:rPr>
          <w:color w:val="000000"/>
          <w:lang w:val="es-ES"/>
        </w:rPr>
        <w:t xml:space="preserve">en: </w:t>
      </w:r>
      <w:hyperlink r:id="rId6">
        <w:r w:rsidRPr="006D0761">
          <w:rPr>
            <w:rStyle w:val="Hipervnculo"/>
            <w:color w:val="000000"/>
            <w:lang w:val="es-ES"/>
          </w:rPr>
          <w:t>https://siteal.iiep.unesco.org/sites/default/files/sit_accion_files/ley_especial_integral</w:t>
        </w:r>
        <w:r w:rsidRPr="006D0761">
          <w:rPr>
            <w:rStyle w:val="Hipervnculo"/>
            <w:color w:val="000000"/>
            <w:lang w:val="es-ES"/>
          </w:rPr>
          <w:t>_para_una_vida_libre_de_violencia_para_las_mujeres.pdf</w:t>
        </w:r>
      </w:hyperlink>
    </w:p>
  </w:footnote>
  <w:footnote w:id="48">
    <w:p w:rsidR="0039215C" w:rsidRPr="006D0761" w:rsidRDefault="006D0761" w:rsidP="00EC589D">
      <w:pPr>
        <w:pStyle w:val="Textonotapie"/>
        <w:ind w:right="-46"/>
        <w:jc w:val="both"/>
        <w:rPr>
          <w:color w:val="000000"/>
        </w:rPr>
      </w:pPr>
      <w:r w:rsidRPr="006D0761">
        <w:rPr>
          <w:rStyle w:val="Refdenotaalpie"/>
          <w:color w:val="000000"/>
        </w:rPr>
        <w:footnoteRef/>
      </w:r>
      <w:r w:rsidRPr="006D0761">
        <w:rPr>
          <w:color w:val="000000"/>
          <w:lang w:val="es-ES"/>
        </w:rPr>
        <w:t xml:space="preserve"> Congreso de la República de Guatemala. Decreto 22 de 2008.</w:t>
      </w:r>
      <w:r w:rsidRPr="006D0761">
        <w:rPr>
          <w:i/>
          <w:iCs/>
          <w:color w:val="000000"/>
          <w:lang w:val="es-ES"/>
        </w:rPr>
        <w:t xml:space="preserve"> Ley contra el Femicidio y otras Formas de Violencia Contra la Mujer</w:t>
      </w:r>
      <w:r w:rsidRPr="006D0761">
        <w:rPr>
          <w:color w:val="000000"/>
          <w:lang w:val="es-ES"/>
        </w:rPr>
        <w:t xml:space="preserve">. </w:t>
      </w:r>
      <w:r w:rsidRPr="006D0761">
        <w:rPr>
          <w:i/>
          <w:iCs/>
          <w:color w:val="000000"/>
          <w:lang w:val="es-ES"/>
        </w:rPr>
        <w:t xml:space="preserve"> </w:t>
      </w:r>
      <w:hyperlink r:id="rId7">
        <w:r w:rsidRPr="006D0761">
          <w:rPr>
            <w:rStyle w:val="Hipervnculo"/>
            <w:color w:val="000000"/>
          </w:rPr>
          <w:t>https://siteal.iiep.unesco.org/sites/default/files/sit_accion_files/decreto_22-2008.pdf</w:t>
        </w:r>
      </w:hyperlink>
    </w:p>
  </w:footnote>
  <w:footnote w:id="49">
    <w:p w:rsidR="0039215C"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Congreso de la Nación Paraguaya. Ley No. 5777 de 2016.</w:t>
      </w:r>
      <w:r w:rsidRPr="006D0761">
        <w:rPr>
          <w:i/>
          <w:iCs/>
          <w:color w:val="000000"/>
          <w:lang w:val="es-ES"/>
        </w:rPr>
        <w:t xml:space="preserve"> De protección integral a las mujeres contra toda forma de violencia. </w:t>
      </w:r>
      <w:r w:rsidRPr="006D0761">
        <w:rPr>
          <w:color w:val="000000"/>
          <w:lang w:val="es-ES"/>
        </w:rPr>
        <w:t>Dispo</w:t>
      </w:r>
      <w:r w:rsidRPr="006D0761">
        <w:rPr>
          <w:color w:val="000000"/>
          <w:lang w:val="es-ES"/>
        </w:rPr>
        <w:t xml:space="preserve">nible en:  y </w:t>
      </w:r>
      <w:hyperlink r:id="rId8">
        <w:r w:rsidRPr="006D0761">
          <w:rPr>
            <w:rStyle w:val="Hipervnculo"/>
            <w:color w:val="000000"/>
            <w:lang w:val="es-ES"/>
          </w:rPr>
          <w:t>https://www.pj.gov.py/ebook/libros_files/coleccion-derecho-penal.pdf</w:t>
        </w:r>
      </w:hyperlink>
      <w:r w:rsidRPr="006D0761">
        <w:rPr>
          <w:rStyle w:val="Hipervnculo"/>
          <w:color w:val="000000"/>
          <w:lang w:val="es-ES"/>
        </w:rPr>
        <w:t>https://siteal.iiep.unesco.org/sites/default/files/sit_accion_files/ley5777-web.pdf</w:t>
      </w:r>
    </w:p>
  </w:footnote>
  <w:footnote w:id="50">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color w:val="000000"/>
          <w:lang w:val="es-ES"/>
        </w:rPr>
        <w:t xml:space="preserve"> C</w:t>
      </w:r>
      <w:r w:rsidRPr="006D0761">
        <w:rPr>
          <w:color w:val="000000"/>
          <w:lang w:val="es-ES"/>
        </w:rPr>
        <w:t>ongreso General de los Estados Unidos Mexicanos.</w:t>
      </w:r>
      <w:r w:rsidRPr="006D0761">
        <w:rPr>
          <w:i/>
          <w:iCs/>
          <w:color w:val="000000"/>
          <w:lang w:val="es-ES"/>
        </w:rPr>
        <w:t xml:space="preserve"> Ley General de Acceso de las Mujeres a una Vida Libre de Violencia. </w:t>
      </w:r>
      <w:r w:rsidRPr="006D0761">
        <w:rPr>
          <w:color w:val="000000"/>
          <w:lang w:val="es-ES"/>
        </w:rPr>
        <w:t xml:space="preserve">Disponible en: </w:t>
      </w:r>
      <w:hyperlink r:id="rId9">
        <w:r w:rsidRPr="006D0761">
          <w:rPr>
            <w:rStyle w:val="Hipervnculo"/>
            <w:color w:val="000000"/>
            <w:lang w:val="es-ES"/>
          </w:rPr>
          <w:t>https://siteal.iiep.unesco.</w:t>
        </w:r>
        <w:r w:rsidRPr="006D0761">
          <w:rPr>
            <w:rStyle w:val="Hipervnculo"/>
            <w:color w:val="000000"/>
            <w:lang w:val="es-ES"/>
          </w:rPr>
          <w:t>org/sites/default/files/sit_accion_files/10294.pdf</w:t>
        </w:r>
      </w:hyperlink>
    </w:p>
  </w:footnote>
  <w:footnote w:id="51">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color w:val="000000"/>
          <w:lang w:val="es-ES"/>
        </w:rPr>
        <w:t xml:space="preserve"> Presidente de la República de Nicaragua. Ley 779 de 2012. </w:t>
      </w:r>
      <w:r w:rsidRPr="006D0761">
        <w:rPr>
          <w:i/>
          <w:iCs/>
          <w:color w:val="000000"/>
          <w:lang w:val="es-ES"/>
        </w:rPr>
        <w:t xml:space="preserve">Ley integral contra la violencia hacia las mujeres y reformas a la Ley No. 641, Código Penal. </w:t>
      </w:r>
      <w:r w:rsidRPr="006D0761">
        <w:rPr>
          <w:color w:val="000000"/>
          <w:lang w:val="es-ES"/>
        </w:rPr>
        <w:t xml:space="preserve">Disponible en: </w:t>
      </w:r>
      <w:r w:rsidRPr="006D0761">
        <w:rPr>
          <w:rStyle w:val="Hipervnculo"/>
          <w:color w:val="000000"/>
          <w:lang w:val="es-ES"/>
        </w:rPr>
        <w:t>http://legislacion.asamblea.gob.ni/n</w:t>
      </w:r>
      <w:r w:rsidRPr="006D0761">
        <w:rPr>
          <w:rStyle w:val="Hipervnculo"/>
          <w:color w:val="000000"/>
          <w:lang w:val="es-ES"/>
        </w:rPr>
        <w:t>ormaweb.nsf/9e314815a08d4a6206257265005d21f9/3c5b23a57e65a35c06257c7d0071bed7?OpenDocument</w:t>
      </w:r>
    </w:p>
  </w:footnote>
  <w:footnote w:id="52">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color w:val="000000"/>
          <w:lang w:val="es-ES"/>
        </w:rPr>
        <w:t xml:space="preserve"> Asamblea Nacional de Panamá. Ley No. 82 de 2013. </w:t>
      </w:r>
      <w:r w:rsidRPr="006D0761">
        <w:rPr>
          <w:i/>
          <w:iCs/>
          <w:color w:val="000000"/>
          <w:lang w:val="es-ES"/>
        </w:rPr>
        <w:t>Que adopta medidas de prevención contra la violencia en las mujeres y reforma el código penal para tipificar el fe</w:t>
      </w:r>
      <w:r w:rsidRPr="006D0761">
        <w:rPr>
          <w:i/>
          <w:iCs/>
          <w:color w:val="000000"/>
          <w:lang w:val="es-ES"/>
        </w:rPr>
        <w:t xml:space="preserve">micidio y sancionar los hechos de violencia contra las mujeres. </w:t>
      </w:r>
      <w:r w:rsidRPr="006D0761">
        <w:rPr>
          <w:color w:val="000000"/>
          <w:lang w:val="es-ES"/>
        </w:rPr>
        <w:t xml:space="preserve">Disponible en: </w:t>
      </w:r>
      <w:hyperlink r:id="rId10" w:anchor=":~:text=CONTRA%20LA%20MUJER.%20%2D-,Ley%20N%C2%BA%2082%20de%2024%20de%20octubre%20de%202013%2C%20QUE,DE%20VIOLENCIA%20CONTRA%20LA%20MUJER">
        <w:r w:rsidRPr="006D0761">
          <w:rPr>
            <w:rStyle w:val="Hipervnculo"/>
            <w:color w:val="000000"/>
            <w:lang w:val="es-ES"/>
          </w:rPr>
          <w:t>https://vlex.com.pa/vid/ley-n-82-24-864656264#:~:text=CONTRA%20LA%20MUJER.%20%2D-,Ley%20N%C2%BA%2082%20de%2024%20de%20octubre%20de%202013%2C%20QUE,DE%20VIOLENCIA%20CONTRA%20LA%20MUJER</w:t>
        </w:r>
      </w:hyperlink>
      <w:r w:rsidRPr="006D0761">
        <w:rPr>
          <w:color w:val="000000"/>
          <w:lang w:val="es-ES"/>
        </w:rPr>
        <w:t xml:space="preserve">. Y </w:t>
      </w:r>
      <w:hyperlink r:id="rId11">
        <w:r w:rsidRPr="006D0761">
          <w:rPr>
            <w:rStyle w:val="Hipervnculo"/>
            <w:color w:val="000000"/>
            <w:lang w:val="es-ES"/>
          </w:rPr>
          <w:t>https://vlex.com.pa/vid/codigo-penal-40514303</w:t>
        </w:r>
        <w:r w:rsidRPr="006D0761">
          <w:rPr>
            <w:color w:val="000000"/>
            <w:lang w:val="es-ES"/>
          </w:rPr>
          <w:t xml:space="preserve"> y </w:t>
        </w:r>
      </w:hyperlink>
      <w:hyperlink r:id="rId12">
        <w:r w:rsidRPr="006D0761">
          <w:rPr>
            <w:rStyle w:val="Hipervnculo"/>
            <w:color w:val="000000"/>
            <w:lang w:val="es-ES"/>
          </w:rPr>
          <w:t>https://www.organojudicial.gob.pa/uploads</w:t>
        </w:r>
        <w:r w:rsidRPr="006D0761">
          <w:rPr>
            <w:rStyle w:val="Hipervnculo"/>
            <w:color w:val="000000"/>
            <w:lang w:val="es-ES"/>
          </w:rPr>
          <w:t>/wp_repo/uploads/2016/11/Ley-82-de-2013.pdf</w:t>
        </w:r>
      </w:hyperlink>
      <w:r w:rsidRPr="006D0761">
        <w:rPr>
          <w:color w:val="000000"/>
          <w:lang w:val="es-ES"/>
        </w:rPr>
        <w:t xml:space="preserve">. </w:t>
      </w:r>
    </w:p>
  </w:footnote>
  <w:footnote w:id="53">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i/>
          <w:iCs/>
          <w:color w:val="000000"/>
          <w:lang w:val="es-ES"/>
        </w:rPr>
        <w:t xml:space="preserve"> </w:t>
      </w:r>
      <w:r w:rsidRPr="006D0761">
        <w:rPr>
          <w:color w:val="000000"/>
          <w:lang w:val="es-ES"/>
        </w:rPr>
        <w:t xml:space="preserve">República Bolivariana de Venezuela. </w:t>
      </w:r>
      <w:r w:rsidRPr="006D0761">
        <w:rPr>
          <w:i/>
          <w:iCs/>
          <w:color w:val="000000"/>
          <w:lang w:val="es-ES"/>
        </w:rPr>
        <w:t xml:space="preserve">Ley Orgánica sobre el Derecho de las Mujeres a una Vida Libre de </w:t>
      </w:r>
      <w:r w:rsidRPr="006D0761">
        <w:rPr>
          <w:color w:val="000000"/>
          <w:lang w:val="es-ES"/>
        </w:rPr>
        <w:t>Violencia. Disponible</w:t>
      </w:r>
      <w:r w:rsidRPr="006D0761">
        <w:rPr>
          <w:i/>
          <w:iCs/>
          <w:color w:val="000000"/>
          <w:lang w:val="es-ES"/>
        </w:rPr>
        <w:t xml:space="preserve"> </w:t>
      </w:r>
      <w:r w:rsidRPr="006D0761">
        <w:rPr>
          <w:color w:val="000000"/>
          <w:lang w:val="es-ES"/>
        </w:rPr>
        <w:t xml:space="preserve">en: </w:t>
      </w:r>
      <w:r w:rsidRPr="006D0761">
        <w:rPr>
          <w:rStyle w:val="Hipervnculo"/>
          <w:color w:val="000000"/>
          <w:lang w:val="es-ES"/>
        </w:rPr>
        <w:t>https://www.asambleanacional.gob.ve/storage/documentos/leyes/ley-de-reforma-de-la</w:t>
      </w:r>
      <w:r w:rsidRPr="006D0761">
        <w:rPr>
          <w:rStyle w:val="Hipervnculo"/>
          <w:color w:val="000000"/>
          <w:lang w:val="es-ES"/>
        </w:rPr>
        <w:t>-ley-organica-sobre-el-derecho-de-las-mujeres-a-una-vida-libre-de-violencia-20211026160001.pdf</w:t>
      </w:r>
    </w:p>
  </w:footnote>
  <w:footnote w:id="54">
    <w:p w:rsidR="0039215C"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Presidente Constitucional de los Estados Unidos Mexicanos. Código Penal Federal. Disponible en: </w:t>
      </w:r>
      <w:hyperlink r:id="rId13">
        <w:r w:rsidRPr="006D0761">
          <w:rPr>
            <w:rStyle w:val="Hipervnculo"/>
            <w:color w:val="000000"/>
            <w:lang w:val="es-ES"/>
          </w:rPr>
          <w:t>https://www.ordenjuridico.gob.mx/Documentos/Federal/pdf/wo83048.pdf</w:t>
        </w:r>
      </w:hyperlink>
      <w:r w:rsidRPr="006D0761">
        <w:rPr>
          <w:color w:val="000000"/>
          <w:lang w:val="es-ES"/>
        </w:rPr>
        <w:t xml:space="preserve"> </w:t>
      </w:r>
    </w:p>
  </w:footnote>
  <w:footnote w:id="55">
    <w:p w:rsidR="0039215C" w:rsidRPr="006D0761" w:rsidRDefault="006D0761" w:rsidP="00EC589D">
      <w:pPr>
        <w:pStyle w:val="Textonotapie"/>
        <w:ind w:right="-46"/>
        <w:jc w:val="both"/>
        <w:rPr>
          <w:color w:val="000000"/>
          <w:lang w:val="es-ES"/>
        </w:rPr>
      </w:pPr>
      <w:r w:rsidRPr="006D0761">
        <w:rPr>
          <w:rStyle w:val="Refdenotaalpie"/>
          <w:color w:val="000000"/>
          <w:lang w:val="fr-FR"/>
        </w:rPr>
        <w:footnoteRef/>
      </w:r>
      <w:r w:rsidRPr="006D0761">
        <w:rPr>
          <w:color w:val="000000"/>
          <w:lang w:val="fr-FR"/>
        </w:rPr>
        <w:t xml:space="preserve"> </w:t>
      </w:r>
      <w:r w:rsidRPr="006D0761">
        <w:rPr>
          <w:color w:val="000000"/>
          <w:lang w:val="es-ES"/>
        </w:rPr>
        <w:t>Senado y Cámara de Diputados de Argentina. Código Penal, Ley No. 26.791 de 2012.</w:t>
      </w:r>
      <w:r w:rsidRPr="006D0761">
        <w:rPr>
          <w:color w:val="000000"/>
          <w:lang w:val="fr-FR"/>
        </w:rPr>
        <w:t xml:space="preserve"> Artículo 80. Disponible </w:t>
      </w:r>
      <w:r w:rsidRPr="006D0761">
        <w:rPr>
          <w:color w:val="000000"/>
          <w:lang w:val="fr-FR"/>
        </w:rPr>
        <w:t>en :</w:t>
      </w:r>
      <w:r w:rsidRPr="006D0761">
        <w:rPr>
          <w:color w:val="000000"/>
          <w:lang w:val="fr-FR"/>
        </w:rPr>
        <w:t xml:space="preserve"> </w:t>
      </w:r>
      <w:hyperlink r:id="rId14">
        <w:r w:rsidRPr="006D0761">
          <w:rPr>
            <w:rStyle w:val="Hipervnculo"/>
            <w:color w:val="000000"/>
            <w:lang w:val="fr-FR"/>
          </w:rPr>
          <w:t>https://www.argentina.gob.ar/normativa/nacional/ley-26791-206018/texto</w:t>
        </w:r>
      </w:hyperlink>
      <w:r w:rsidRPr="006D0761">
        <w:rPr>
          <w:color w:val="000000"/>
          <w:lang w:val="fr-FR"/>
        </w:rPr>
        <w:t xml:space="preserve"> y </w:t>
      </w:r>
      <w:hyperlink r:id="rId15">
        <w:r w:rsidRPr="006D0761">
          <w:rPr>
            <w:rStyle w:val="Hipervnculo"/>
            <w:color w:val="000000"/>
            <w:lang w:val="es-ES"/>
          </w:rPr>
          <w:t>https://servicios.infoleg.gob.ar/infolegInternet/anexos/15000-19999/16546/texact.htm</w:t>
        </w:r>
      </w:hyperlink>
    </w:p>
  </w:footnote>
  <w:footnote w:id="56">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color w:val="000000"/>
          <w:lang w:val="es-ES"/>
        </w:rPr>
        <w:t xml:space="preserve"> Congreso de la Nación Paraguaya. Código Penal, Ley No. 1160 de 1997. Disponible en: </w:t>
      </w:r>
      <w:hyperlink r:id="rId16">
        <w:r w:rsidRPr="006D0761">
          <w:rPr>
            <w:rStyle w:val="Hipervnculo"/>
            <w:color w:val="000000"/>
            <w:lang w:val="es-ES"/>
          </w:rPr>
          <w:t>https://www.pj.gov.py/ebook/libros_files/coleccion-derecho-penal.pdf</w:t>
        </w:r>
      </w:hyperlink>
      <w:r w:rsidRPr="006D0761">
        <w:rPr>
          <w:color w:val="000000"/>
          <w:lang w:val="es-ES"/>
        </w:rPr>
        <w:t xml:space="preserve"> y </w:t>
      </w:r>
      <w:hyperlink r:id="rId17">
        <w:r w:rsidRPr="006D0761">
          <w:rPr>
            <w:rStyle w:val="Hipervnculo"/>
            <w:color w:val="000000"/>
            <w:lang w:val="es-ES"/>
          </w:rPr>
          <w:t>https://www.bacn.gov.py/archivos/3497/20150629143758.pdf</w:t>
        </w:r>
      </w:hyperlink>
      <w:r w:rsidRPr="006D0761">
        <w:rPr>
          <w:color w:val="000000"/>
          <w:lang w:val="es-ES"/>
        </w:rPr>
        <w:t xml:space="preserve"> </w:t>
      </w:r>
    </w:p>
  </w:footnote>
  <w:footnote w:id="57">
    <w:p w:rsidR="0039215C" w:rsidRPr="006D0761" w:rsidRDefault="006D0761" w:rsidP="00EC589D">
      <w:pPr>
        <w:pStyle w:val="Textonotapie"/>
        <w:ind w:right="-46"/>
        <w:jc w:val="both"/>
        <w:rPr>
          <w:color w:val="000000"/>
          <w:lang w:val="pt-BR"/>
        </w:rPr>
      </w:pPr>
      <w:r w:rsidRPr="006D0761">
        <w:rPr>
          <w:rStyle w:val="Refdenotaalpie"/>
          <w:color w:val="000000"/>
          <w:lang w:val="es-ES"/>
        </w:rPr>
        <w:footnoteRef/>
      </w:r>
      <w:r w:rsidRPr="006D0761">
        <w:rPr>
          <w:color w:val="000000"/>
          <w:lang w:val="es-ES"/>
        </w:rPr>
        <w:t xml:space="preserve"> Presidente de la República. Código Penal, Decr</w:t>
      </w:r>
      <w:r w:rsidRPr="006D0761">
        <w:rPr>
          <w:color w:val="000000"/>
          <w:lang w:val="es-ES"/>
        </w:rPr>
        <w:t>eto-Ley No. 2848 de 1940. Disponible en:</w:t>
      </w:r>
      <w:r w:rsidRPr="006D0761">
        <w:rPr>
          <w:color w:val="000000"/>
          <w:lang w:val="pt-BR"/>
        </w:rPr>
        <w:t xml:space="preserve">  </w:t>
      </w:r>
      <w:hyperlink r:id="rId18">
        <w:r w:rsidRPr="006D0761">
          <w:rPr>
            <w:rStyle w:val="Hipervnculo"/>
            <w:color w:val="000000"/>
            <w:lang w:val="pt-BR"/>
          </w:rPr>
          <w:t>http://www.planalto.gov.br/ccivil_03/decreto-lei/Del2848.htm.</w:t>
        </w:r>
      </w:hyperlink>
      <w:r w:rsidRPr="006D0761">
        <w:rPr>
          <w:color w:val="000000"/>
          <w:lang w:val="pt-BR"/>
        </w:rPr>
        <w:t xml:space="preserve"> Congresso Nacional de Brasil. Le</w:t>
      </w:r>
      <w:r w:rsidRPr="006D0761">
        <w:rPr>
          <w:color w:val="000000"/>
          <w:lang w:val="pt-BR"/>
        </w:rPr>
        <w:t>y</w:t>
      </w:r>
      <w:r w:rsidRPr="006D0761">
        <w:rPr>
          <w:color w:val="000000"/>
          <w:lang w:val="pt-BR"/>
        </w:rPr>
        <w:t xml:space="preserve"> 14994 de 2024. </w:t>
      </w:r>
      <w:r w:rsidRPr="006D0761">
        <w:rPr>
          <w:i/>
          <w:iCs/>
          <w:color w:val="000000"/>
          <w:lang w:val="pt-BR"/>
        </w:rPr>
        <w:t>Altera o Decreto-Lei n</w:t>
      </w:r>
      <w:r w:rsidRPr="006D0761">
        <w:rPr>
          <w:i/>
          <w:iCs/>
          <w:color w:val="000000"/>
          <w:lang w:val="pt-BR"/>
        </w:rPr>
        <w:t xml:space="preserve">º 2.848, de 7 de dezembro de 1940 (Código Penal), o Decreto-Lei nº 3.688, de 3 de outubro de 1941 (Lei das Contravenções Penais), a Lei nº 7.210, de 11 de julho de 1984 (Lei de </w:t>
      </w:r>
      <w:r w:rsidRPr="006D0761">
        <w:rPr>
          <w:i/>
          <w:iCs/>
          <w:color w:val="000000"/>
          <w:lang w:val="pt-BR"/>
        </w:rPr>
        <w:t>Execução</w:t>
      </w:r>
      <w:r w:rsidRPr="006D0761">
        <w:rPr>
          <w:i/>
          <w:iCs/>
          <w:color w:val="000000"/>
          <w:lang w:val="pt-BR"/>
        </w:rPr>
        <w:t xml:space="preserve"> Penal), a Lei nº 8.072, de 25 de julho de 1990 (Lei dos Crimes Hediondos), a Lei nº 11.340, de 7 de agosto de 2006 (Lei Maria da Penha) e o Decreto-Lei nº 3.689, de 3 de outubro de 1941 (Código de Processo Penal), para tornar o feminicídio crime autônomo,</w:t>
      </w:r>
      <w:r w:rsidRPr="006D0761">
        <w:rPr>
          <w:i/>
          <w:iCs/>
          <w:color w:val="000000"/>
          <w:lang w:val="pt-BR"/>
        </w:rPr>
        <w:t xml:space="preserve"> agravar a sua pena e a de outros crimes praticados contra a mulher por razões da condição do sexo feminino, bem como para estabelecer outras medidas destinadas a prevenir e coibir a violência praticada contra a mulher</w:t>
      </w:r>
      <w:r w:rsidRPr="006D0761">
        <w:rPr>
          <w:color w:val="000000"/>
          <w:lang w:val="pt-BR"/>
        </w:rPr>
        <w:t xml:space="preserve">. Disponible en:  </w:t>
      </w:r>
      <w:hyperlink r:id="rId19" w:anchor="art9">
        <w:r w:rsidRPr="006D0761">
          <w:rPr>
            <w:rStyle w:val="Hipervnculo"/>
            <w:color w:val="000000"/>
            <w:lang w:val="pt-BR"/>
          </w:rPr>
          <w:t>http://www.planalto.gov.br/ccivil_03/_Ato2023-2026/2024/Lei/L14994.htm#art9</w:t>
        </w:r>
      </w:hyperlink>
    </w:p>
  </w:footnote>
  <w:footnote w:id="58">
    <w:p w:rsidR="0039215C" w:rsidRPr="006D0761" w:rsidRDefault="006D0761" w:rsidP="00EC589D">
      <w:pPr>
        <w:pStyle w:val="Textonotapie"/>
        <w:ind w:right="-46"/>
        <w:jc w:val="both"/>
        <w:rPr>
          <w:color w:val="000000"/>
          <w:lang w:val="es-ES"/>
        </w:rPr>
      </w:pPr>
      <w:r w:rsidRPr="006D0761">
        <w:rPr>
          <w:rStyle w:val="Refdenotaalpie"/>
          <w:color w:val="000000"/>
          <w:lang w:val="es-ES"/>
        </w:rPr>
        <w:footnoteRef/>
      </w:r>
      <w:r w:rsidRPr="006D0761">
        <w:rPr>
          <w:color w:val="000000"/>
          <w:lang w:val="es-ES"/>
        </w:rPr>
        <w:t xml:space="preserve">Congreso Nacional de Chile. Código Penal. Disponible en: </w:t>
      </w:r>
      <w:hyperlink r:id="rId20">
        <w:r w:rsidRPr="006D0761">
          <w:rPr>
            <w:rStyle w:val="Hipervnculo"/>
            <w:color w:val="000000"/>
            <w:lang w:val="es-ES"/>
          </w:rPr>
          <w:t>https://www.bcn.cl/leychile/navegar?idNorma=1021343.</w:t>
        </w:r>
      </w:hyperlink>
      <w:r w:rsidRPr="006D0761">
        <w:rPr>
          <w:color w:val="000000"/>
          <w:lang w:val="es-ES"/>
        </w:rPr>
        <w:t xml:space="preserve"> Congreso Nacional de Chile. Ley No. 20480 de 2010. </w:t>
      </w:r>
      <w:r w:rsidRPr="006D0761">
        <w:rPr>
          <w:i/>
          <w:iCs/>
          <w:color w:val="000000"/>
          <w:lang w:val="es-ES"/>
        </w:rPr>
        <w:t>Modifica el Código Penal y la Ley No. 20066 sobre violencia intrafamiliar, estable</w:t>
      </w:r>
      <w:r w:rsidRPr="006D0761">
        <w:rPr>
          <w:i/>
          <w:iCs/>
          <w:color w:val="000000"/>
          <w:lang w:val="es-ES"/>
        </w:rPr>
        <w:t xml:space="preserve">ciendo </w:t>
      </w:r>
      <w:r w:rsidRPr="006D0761">
        <w:rPr>
          <w:i/>
          <w:iCs/>
          <w:color w:val="000000"/>
          <w:lang w:val="es-ES"/>
        </w:rPr>
        <w:t>el “Feminicidio</w:t>
      </w:r>
      <w:r w:rsidRPr="006D0761">
        <w:rPr>
          <w:i/>
          <w:iCs/>
          <w:color w:val="000000"/>
          <w:lang w:val="es-ES"/>
        </w:rPr>
        <w:t xml:space="preserve">”, aumentando las penas aplicables a este delito y reforma las normas sobre parricidio. </w:t>
      </w:r>
      <w:r w:rsidRPr="006D0761">
        <w:rPr>
          <w:color w:val="000000"/>
          <w:lang w:val="es-ES"/>
        </w:rPr>
        <w:t xml:space="preserve">Disponible en: </w:t>
      </w:r>
      <w:hyperlink r:id="rId21">
        <w:r w:rsidRPr="006D0761">
          <w:rPr>
            <w:rStyle w:val="Hipervnculo"/>
            <w:color w:val="000000"/>
            <w:lang w:val="es-ES"/>
          </w:rPr>
          <w:t>https://www.bcn.cl/leychile/navegar?idNorma=1984&amp;idParte=0&amp;idVersion=&amp;_gl=1*17vql5z*_ga*MTI0Mzk0MjU4LjE3NTgyNjg2MTg.*_ga_QLTSW3NZ4C*czE3NTgyNjg2MTgkbzEkZzAkdDE3NTgyNjg2MTgkajYwJGwwJGg</w:t>
        </w:r>
        <w:r w:rsidRPr="006D0761">
          <w:rPr>
            <w:rStyle w:val="Hipervnculo"/>
            <w:color w:val="000000"/>
            <w:lang w:val="es-ES"/>
          </w:rPr>
          <w:t>w</w:t>
        </w:r>
      </w:hyperlink>
    </w:p>
  </w:footnote>
  <w:footnote w:id="59">
    <w:p w:rsidR="0039215C"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República de Costa Rica. Ley No. 9975 de 2021.</w:t>
      </w:r>
      <w:r w:rsidRPr="006D0761">
        <w:rPr>
          <w:i/>
          <w:iCs/>
          <w:color w:val="000000"/>
          <w:lang w:val="es-ES"/>
        </w:rPr>
        <w:t xml:space="preserve"> Reforma Ley de Penalización de la Violencia Contra las Mujeres y Código Penal</w:t>
      </w:r>
      <w:r w:rsidRPr="006D0761">
        <w:rPr>
          <w:color w:val="000000"/>
          <w:lang w:val="es-ES"/>
        </w:rPr>
        <w:t xml:space="preserve">. Disponible en:  </w:t>
      </w:r>
      <w:r w:rsidRPr="006D0761">
        <w:rPr>
          <w:rStyle w:val="Hipervnculo"/>
          <w:color w:val="000000"/>
          <w:lang w:val="es-ES"/>
        </w:rPr>
        <w:t>https://pgrweb.go.cr/scij/Busqueda/Normativa/Normas/nrm_texto_completo.aspx?param1=NRTC&amp;nValor1=1&amp;nValor2=9444</w:t>
      </w:r>
      <w:r w:rsidRPr="006D0761">
        <w:rPr>
          <w:rStyle w:val="Hipervnculo"/>
          <w:color w:val="000000"/>
          <w:lang w:val="es-ES"/>
        </w:rPr>
        <w:t>9&amp;nValor3=125729&amp;param2=1&amp;strTipM=TC&amp;lResultado=1&amp;strSim=simp</w:t>
      </w:r>
    </w:p>
  </w:footnote>
  <w:footnote w:id="60">
    <w:p w:rsidR="0039215C"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República de Honduras. Poder Legislativo. Decreto No. 23 de 2013. Disponible en: </w:t>
      </w:r>
      <w:hyperlink r:id="rId22">
        <w:r w:rsidRPr="006D0761">
          <w:rPr>
            <w:rStyle w:val="Hipervnculo"/>
            <w:color w:val="000000"/>
            <w:lang w:val="es-ES"/>
          </w:rPr>
          <w:t>https://relapt.usta.edu.co/images/2013-Reforma-al-Codigo-Penal-Decreto-23.pdf</w:t>
        </w:r>
      </w:hyperlink>
      <w:r w:rsidRPr="006D0761">
        <w:rPr>
          <w:color w:val="000000"/>
          <w:lang w:val="es-ES"/>
        </w:rPr>
        <w:t xml:space="preserve"> </w:t>
      </w:r>
    </w:p>
  </w:footnote>
  <w:footnote w:id="61">
    <w:p w:rsidR="0039215C" w:rsidRPr="006D0761" w:rsidRDefault="006D0761" w:rsidP="00EC589D">
      <w:pPr>
        <w:pStyle w:val="Textonotapie"/>
        <w:ind w:right="-46"/>
        <w:jc w:val="both"/>
        <w:rPr>
          <w:i/>
          <w:iCs/>
          <w:color w:val="000000"/>
          <w:lang w:val="es-ES"/>
        </w:rPr>
      </w:pPr>
      <w:r w:rsidRPr="006D0761">
        <w:rPr>
          <w:rStyle w:val="Refdenotaalpie"/>
          <w:color w:val="000000"/>
          <w:lang w:val="es-ES"/>
        </w:rPr>
        <w:footnoteRef/>
      </w:r>
      <w:r w:rsidRPr="006D0761">
        <w:rPr>
          <w:color w:val="000000"/>
          <w:lang w:val="es-ES"/>
        </w:rPr>
        <w:t xml:space="preserve"> Congreso de la República. Poder Legislativo. Ley No. 30068 de 2013. </w:t>
      </w:r>
      <w:r w:rsidRPr="006D0761">
        <w:rPr>
          <w:i/>
          <w:iCs/>
          <w:color w:val="000000"/>
          <w:lang w:val="es-ES"/>
        </w:rPr>
        <w:t>Ley que incorpora el artículo 108-A al Código Penal y modifica los artículos 107, 46-B y 46-C del Código Pe</w:t>
      </w:r>
      <w:r w:rsidRPr="006D0761">
        <w:rPr>
          <w:i/>
          <w:iCs/>
          <w:color w:val="000000"/>
          <w:lang w:val="es-ES"/>
        </w:rPr>
        <w:t xml:space="preserve">nal y el artículo 46 del Código de Ejecución Penal, con la finalidad de prevenir, sancionar y erradicar el feminicidio. </w:t>
      </w:r>
      <w:r w:rsidRPr="006D0761">
        <w:rPr>
          <w:color w:val="000000"/>
          <w:lang w:val="es-ES"/>
        </w:rPr>
        <w:t xml:space="preserve">Disponible en: </w:t>
      </w:r>
      <w:hyperlink r:id="rId23">
        <w:r w:rsidRPr="006D0761">
          <w:rPr>
            <w:rStyle w:val="Hipervnculo"/>
            <w:color w:val="000000"/>
            <w:lang w:val="es-ES"/>
          </w:rPr>
          <w:t>https://cdn.www.gob.pe/uploads/document/file/269096/240198_Ley30068.pdf20190110-18386-1ssm4vl.pdf?v=1547156226</w:t>
        </w:r>
      </w:hyperlink>
      <w:r w:rsidRPr="006D0761">
        <w:rPr>
          <w:color w:val="000000"/>
          <w:lang w:val="es-ES"/>
        </w:rPr>
        <w:t xml:space="preserve"> </w:t>
      </w:r>
    </w:p>
  </w:footnote>
  <w:footnote w:id="62">
    <w:p w:rsidR="0039215C"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lang w:val="es-ES"/>
        </w:rPr>
        <w:t xml:space="preserve"> Congreso Nacional. Código Penal, Ley 550 de 2014. Disponible en: </w:t>
      </w:r>
      <w:hyperlink r:id="rId24">
        <w:r w:rsidRPr="006D0761">
          <w:rPr>
            <w:rStyle w:val="Hipervnculo"/>
            <w:color w:val="000000"/>
            <w:lang w:val="es-ES"/>
          </w:rPr>
          <w:t>https://www.oas.org/juridico/PDFs/Mesicic5_RepDo_RespuestaC_Ane4.pdf</w:t>
        </w:r>
      </w:hyperlink>
    </w:p>
  </w:footnote>
  <w:footnote w:id="63">
    <w:p w:rsidR="0039215C" w:rsidRPr="006D0761" w:rsidRDefault="006D0761" w:rsidP="00EC589D">
      <w:pPr>
        <w:pStyle w:val="Textonotapie"/>
        <w:ind w:right="-46"/>
        <w:jc w:val="both"/>
        <w:rPr>
          <w:rFonts w:eastAsia="Aptos"/>
          <w:color w:val="000000"/>
          <w:lang w:val="es-ES"/>
        </w:rPr>
      </w:pPr>
      <w:r w:rsidRPr="006D0761">
        <w:rPr>
          <w:rStyle w:val="Refdenotaalpie"/>
          <w:color w:val="000000"/>
          <w:lang w:val="es-ES"/>
        </w:rPr>
        <w:footnoteRef/>
      </w:r>
      <w:r w:rsidRPr="006D0761">
        <w:rPr>
          <w:color w:val="000000"/>
          <w:lang w:val="es-ES"/>
        </w:rPr>
        <w:t xml:space="preserve"> </w:t>
      </w:r>
      <w:r w:rsidRPr="006D0761">
        <w:rPr>
          <w:rFonts w:eastAsia="Aptos"/>
          <w:color w:val="000000"/>
          <w:lang w:val="es-ES"/>
        </w:rPr>
        <w:t xml:space="preserve">República Oriental del Uruguay. Código Penal, Ley No. 9155 de 1933. Disponible en: </w:t>
      </w:r>
      <w:hyperlink r:id="rId25">
        <w:r w:rsidRPr="006D0761">
          <w:rPr>
            <w:rStyle w:val="Hipervnculo"/>
            <w:rFonts w:eastAsia="Aptos"/>
            <w:color w:val="000000"/>
            <w:lang w:val="es-ES"/>
          </w:rPr>
          <w:t>https://w</w:t>
        </w:r>
        <w:r w:rsidRPr="006D0761">
          <w:rPr>
            <w:rStyle w:val="Hipervnculo"/>
            <w:rFonts w:eastAsia="Aptos"/>
            <w:color w:val="000000"/>
            <w:lang w:val="es-ES"/>
          </w:rPr>
          <w:t>ww.impo.com.uy/bases/codigo-penal/9155-1933.</w:t>
        </w:r>
      </w:hyperlink>
      <w:r w:rsidRPr="006D0761">
        <w:rPr>
          <w:rFonts w:eastAsia="Aptos"/>
          <w:color w:val="000000"/>
          <w:lang w:val="es-ES"/>
        </w:rPr>
        <w:t xml:space="preserve"> Senado y la Cámara de Representantes de la República Oriental del Uruguay. Ley No. 19538 de 2017. </w:t>
      </w:r>
      <w:r w:rsidRPr="006D0761">
        <w:rPr>
          <w:rFonts w:eastAsia="Aptos"/>
          <w:i/>
          <w:iCs/>
          <w:color w:val="000000"/>
          <w:lang w:val="es-ES"/>
        </w:rPr>
        <w:t xml:space="preserve">Actos de discriminación y femicidio. </w:t>
      </w:r>
      <w:r w:rsidRPr="006D0761">
        <w:rPr>
          <w:rFonts w:eastAsia="Aptos"/>
          <w:color w:val="000000"/>
          <w:lang w:val="es-ES"/>
        </w:rPr>
        <w:t xml:space="preserve">Disponible en: </w:t>
      </w:r>
      <w:hyperlink r:id="rId26">
        <w:r w:rsidRPr="006D0761">
          <w:rPr>
            <w:rStyle w:val="Hipervnculo"/>
            <w:rFonts w:eastAsia="Aptos"/>
            <w:color w:val="000000"/>
            <w:lang w:val="es-ES"/>
          </w:rPr>
          <w:t>https://parlamento.gub.uy/documentosyleyes/leyes/ley/19538</w:t>
        </w:r>
      </w:hyperlink>
    </w:p>
  </w:footnote>
  <w:footnote w:id="64">
    <w:p w:rsidR="0039215C" w:rsidRPr="00335884" w:rsidRDefault="006D0761" w:rsidP="00EC589D">
      <w:pPr>
        <w:pStyle w:val="Textonotapie"/>
        <w:ind w:right="-46"/>
        <w:jc w:val="both"/>
        <w:rPr>
          <w:lang w:val="es-ES_tradnl"/>
        </w:rPr>
      </w:pPr>
      <w:r w:rsidRPr="00335884">
        <w:rPr>
          <w:rStyle w:val="Refdenotaalpie"/>
        </w:rPr>
        <w:footnoteRef/>
      </w:r>
      <w:r w:rsidRPr="00335884">
        <w:t xml:space="preserve"> Por ejemplo, Costa Rica, Chile y República Dominicana circunscriben la conducta a las relaciones de pareja o íntimas. P</w:t>
      </w:r>
      <w:r w:rsidRPr="00335884">
        <w:t>or su parte, Argentina, Honduras y Nicaragua limitan el sujeto activo a los hombres. Con ello, los supuestos de hecho que eventualmente podrían condenarse en estos países reducen las posibilidades que tienen las mujeres víctimas y sus familias para acceder</w:t>
      </w:r>
      <w:r w:rsidRPr="00335884">
        <w:t xml:space="preserve"> a la administración de justicia con un enfoque de género, además de desconocer el carácter estructural que explica este tipo de violencia.</w:t>
      </w:r>
    </w:p>
  </w:footnote>
  <w:footnote w:id="65">
    <w:p w:rsidR="005D6D72" w:rsidRPr="00335884" w:rsidRDefault="006D0761" w:rsidP="00EB501B">
      <w:pPr>
        <w:pStyle w:val="Textonotapie"/>
        <w:jc w:val="both"/>
      </w:pPr>
      <w:r w:rsidRPr="00335884">
        <w:rPr>
          <w:rStyle w:val="Refdenotaalpie"/>
        </w:rPr>
        <w:footnoteRef/>
      </w:r>
      <w:r w:rsidRPr="00335884">
        <w:t xml:space="preserve"> Corte Constitucional, Sentencia </w:t>
      </w:r>
      <w:r w:rsidRPr="00335884">
        <w:rPr>
          <w:lang w:val="es-ES"/>
        </w:rPr>
        <w:t>C-297 de 2016</w:t>
      </w:r>
      <w:r w:rsidRPr="00335884">
        <w:t>.</w:t>
      </w:r>
    </w:p>
  </w:footnote>
  <w:footnote w:id="66">
    <w:p w:rsidR="0039215C"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t xml:space="preserve">Expediente digital D-16596. Escrito de demanda. </w:t>
      </w:r>
      <w:r w:rsidRPr="00335884">
        <w:rPr>
          <w:lang w:val="es-ES"/>
        </w:rPr>
        <w:t>Cuestionamiento 1</w:t>
      </w:r>
      <w:r w:rsidRPr="00335884">
        <w:rPr>
          <w:lang w:val="es-ES"/>
        </w:rPr>
        <w:t xml:space="preserve"> de la demanda, </w:t>
      </w:r>
      <w:r w:rsidRPr="00335884">
        <w:rPr>
          <w:lang w:val="es-ES"/>
        </w:rPr>
        <w:t>pág.</w:t>
      </w:r>
      <w:r w:rsidRPr="00335884">
        <w:rPr>
          <w:lang w:val="es-ES"/>
        </w:rPr>
        <w:t xml:space="preserve"> 50.</w:t>
      </w:r>
    </w:p>
  </w:footnote>
  <w:footnote w:id="67">
    <w:p w:rsidR="007E7063" w:rsidRPr="00335884" w:rsidRDefault="006D0761" w:rsidP="007E7063">
      <w:pPr>
        <w:pStyle w:val="Textonotapie"/>
        <w:ind w:right="-46"/>
        <w:jc w:val="both"/>
        <w:rPr>
          <w:lang w:val="es-ES"/>
        </w:rPr>
      </w:pPr>
      <w:r w:rsidRPr="00335884">
        <w:rPr>
          <w:rStyle w:val="Refdenotaalpie"/>
        </w:rPr>
        <w:footnoteRef/>
      </w:r>
      <w:r w:rsidRPr="00335884">
        <w:t xml:space="preserve"> Ídem. </w:t>
      </w:r>
      <w:r w:rsidRPr="00335884">
        <w:rPr>
          <w:lang w:val="es-ES"/>
        </w:rPr>
        <w:t>Sostiene que: las mayorías son las mujeres que representan en 2025 el 51.2% de la población. Las minorías son los hombres que representan el 48.8% de la población. Pese a que la satisfacción material de los derechos fundame</w:t>
      </w:r>
      <w:r w:rsidRPr="00335884">
        <w:rPr>
          <w:lang w:val="es-ES"/>
        </w:rPr>
        <w:t>ntales es peor para esa minoría masculina, todas las preocupaciones y recursos en temas de género se centran en los intereses de la mayoría y hoy aumenta la discriminación real y material a esa minoría de varones.” Para sustentar sus posturas, señala una s</w:t>
      </w:r>
      <w:r w:rsidRPr="00335884">
        <w:rPr>
          <w:lang w:val="es-ES"/>
        </w:rPr>
        <w:t>erie de cifras con las que procura demostrar que los hombres están en condiciones menos favorables que las mujeres en la sociedad.</w:t>
      </w:r>
    </w:p>
    <w:p w:rsidR="007E7063" w:rsidRPr="00335884" w:rsidRDefault="006D0761" w:rsidP="007E7063">
      <w:pPr>
        <w:pStyle w:val="Textonotapie"/>
        <w:ind w:right="-46"/>
        <w:jc w:val="both"/>
        <w:rPr>
          <w:lang w:val="es-ES"/>
        </w:rPr>
      </w:pPr>
      <w:r w:rsidRPr="00335884">
        <w:rPr>
          <w:lang w:val="es-ES"/>
        </w:rPr>
        <w:t>Sostiene que los movimientos feministas han desplazado la protección de los hombres frente a la violencia de género y que “Pe</w:t>
      </w:r>
      <w:r w:rsidRPr="00335884">
        <w:rPr>
          <w:lang w:val="es-ES"/>
        </w:rPr>
        <w:t>se a los esfuerzos por invisibilizar que los varones también sufren violencias basadas en género, por fin se ha reconocido.”</w:t>
      </w:r>
    </w:p>
  </w:footnote>
  <w:footnote w:id="68">
    <w:p w:rsidR="0039215C" w:rsidRPr="00335884" w:rsidRDefault="006D0761" w:rsidP="00EC589D">
      <w:pPr>
        <w:pStyle w:val="Textonotapie"/>
        <w:ind w:right="-46"/>
        <w:jc w:val="both"/>
      </w:pPr>
      <w:r w:rsidRPr="00335884">
        <w:rPr>
          <w:rStyle w:val="Refdenotaalpie"/>
        </w:rPr>
        <w:footnoteRef/>
      </w:r>
      <w:r w:rsidRPr="00335884">
        <w:t xml:space="preserve"> La </w:t>
      </w:r>
      <w:r w:rsidRPr="00335884">
        <w:t>animadversión</w:t>
      </w:r>
      <w:r w:rsidRPr="00335884">
        <w:t xml:space="preserve"> que genera a todo ser humano hechos tan escabros como el feminicidio de Rosa Elvira Célis, no debe llevarnos a considera que el </w:t>
      </w:r>
      <w:r w:rsidRPr="00335884">
        <w:t>varón</w:t>
      </w:r>
      <w:r w:rsidRPr="00335884">
        <w:t xml:space="preserve"> siempre es el agresor y la dama la </w:t>
      </w:r>
      <w:r w:rsidRPr="00335884">
        <w:t>víctima</w:t>
      </w:r>
      <w:r w:rsidRPr="00335884">
        <w:t xml:space="preserve">. En la </w:t>
      </w:r>
      <w:r w:rsidRPr="00335884">
        <w:t>formulación</w:t>
      </w:r>
      <w:r w:rsidRPr="00335884">
        <w:t xml:space="preserve"> de la Ley se infló el repudio al agresor y la </w:t>
      </w:r>
      <w:r w:rsidRPr="00335884">
        <w:t>empatía</w:t>
      </w:r>
      <w:r w:rsidRPr="00335884">
        <w:t xml:space="preserve"> con</w:t>
      </w:r>
      <w:r w:rsidRPr="00335884">
        <w:t xml:space="preserve"> la </w:t>
      </w:r>
      <w:r w:rsidRPr="00335884">
        <w:t>víctima</w:t>
      </w:r>
      <w:r w:rsidRPr="00335884">
        <w:t xml:space="preserve"> como cortina de humo para no hacer el trabajo que </w:t>
      </w:r>
      <w:r w:rsidRPr="00335884">
        <w:t>había</w:t>
      </w:r>
      <w:r w:rsidRPr="00335884">
        <w:t xml:space="preserve"> que hacer. </w:t>
      </w:r>
    </w:p>
    <w:p w:rsidR="0039215C" w:rsidRPr="00335884" w:rsidRDefault="006D0761" w:rsidP="00EC589D">
      <w:pPr>
        <w:pStyle w:val="Textonotapie"/>
        <w:ind w:right="-46"/>
        <w:jc w:val="both"/>
      </w:pPr>
      <w:r w:rsidRPr="00335884">
        <w:t xml:space="preserve">El trabajo que no se hizo fue comprar el trato y oportunidad que recibe el </w:t>
      </w:r>
      <w:r w:rsidRPr="00335884">
        <w:t>varón</w:t>
      </w:r>
      <w:r w:rsidRPr="00335884">
        <w:t xml:space="preserve"> agresor con el que recibe la mujer agresora. El trato y oportunidad que recibe la </w:t>
      </w:r>
      <w:r w:rsidRPr="00335884">
        <w:t>víctima</w:t>
      </w:r>
      <w:r w:rsidRPr="00335884">
        <w:t xml:space="preserve"> femen</w:t>
      </w:r>
      <w:r w:rsidRPr="00335884">
        <w:t xml:space="preserve">ina con el que recibe el </w:t>
      </w:r>
      <w:r w:rsidRPr="00335884">
        <w:t>varón</w:t>
      </w:r>
      <w:r w:rsidRPr="00335884">
        <w:t xml:space="preserve"> </w:t>
      </w:r>
      <w:r w:rsidRPr="00335884">
        <w:t>víctima</w:t>
      </w:r>
      <w:r w:rsidRPr="00335884">
        <w:t xml:space="preserve"> ni se </w:t>
      </w:r>
      <w:r w:rsidRPr="00335884">
        <w:t xml:space="preserve">analizó </w:t>
      </w:r>
      <w:r w:rsidRPr="00335884">
        <w:t xml:space="preserve">la </w:t>
      </w:r>
      <w:r w:rsidRPr="00335884">
        <w:t>protección</w:t>
      </w:r>
      <w:r w:rsidRPr="00335884">
        <w:t xml:space="preserve"> que deben recibir los familiares sobrevivientes en ambos casos en especial los NNA. </w:t>
      </w:r>
    </w:p>
    <w:p w:rsidR="0039215C" w:rsidRPr="00335884" w:rsidRDefault="006D0761" w:rsidP="00EC589D">
      <w:pPr>
        <w:pStyle w:val="Textonotapie"/>
        <w:ind w:right="-46"/>
        <w:jc w:val="both"/>
      </w:pPr>
      <w:r w:rsidRPr="00335884">
        <w:t xml:space="preserve">Esto es imposible hoy en </w:t>
      </w:r>
      <w:r w:rsidRPr="00335884">
        <w:t>día</w:t>
      </w:r>
      <w:r w:rsidRPr="00335884">
        <w:t xml:space="preserve">, pues como consecuencia de la Ley cuestionada en su </w:t>
      </w:r>
      <w:r w:rsidRPr="00335884">
        <w:t>artículo</w:t>
      </w:r>
      <w:r w:rsidRPr="00335884">
        <w:t xml:space="preserve"> 12 solo analiz</w:t>
      </w:r>
      <w:r w:rsidRPr="00335884">
        <w:t xml:space="preserve">a el trato y oportunidad de la mujer </w:t>
      </w:r>
      <w:r w:rsidRPr="00335884">
        <w:t>víctima</w:t>
      </w:r>
      <w:r w:rsidRPr="00335884">
        <w:t xml:space="preserve"> de asesinato por </w:t>
      </w:r>
      <w:r w:rsidRPr="00335884">
        <w:t>género</w:t>
      </w:r>
      <w:r w:rsidRPr="00335884">
        <w:t xml:space="preserve"> mientras que no se miden las circunstancias que recibe el </w:t>
      </w:r>
      <w:r w:rsidRPr="00335884">
        <w:t>varón</w:t>
      </w:r>
      <w:r w:rsidRPr="00335884">
        <w:t xml:space="preserve"> en igual padecimiento. </w:t>
      </w:r>
    </w:p>
    <w:p w:rsidR="0039215C" w:rsidRPr="00335884" w:rsidRDefault="006D0761" w:rsidP="00EC589D">
      <w:pPr>
        <w:pStyle w:val="Textonotapie"/>
        <w:ind w:right="-46"/>
        <w:jc w:val="both"/>
      </w:pPr>
      <w:r w:rsidRPr="00335884">
        <w:t>Esta tarea no se hizo como soporte de la Ley cuestionada. Si esta primera tarea no se hizo, de hech</w:t>
      </w:r>
      <w:r w:rsidRPr="00335884">
        <w:t xml:space="preserve">o, </w:t>
      </w:r>
      <w:r w:rsidRPr="00335884">
        <w:rPr>
          <w:b/>
          <w:bCs/>
        </w:rPr>
        <w:t xml:space="preserve">tampoco se hizo un </w:t>
      </w:r>
      <w:r w:rsidRPr="00335884">
        <w:rPr>
          <w:b/>
          <w:bCs/>
        </w:rPr>
        <w:t>análisis</w:t>
      </w:r>
      <w:r w:rsidRPr="00335884">
        <w:rPr>
          <w:b/>
          <w:bCs/>
        </w:rPr>
        <w:t xml:space="preserve"> sobre si se da un trato igual entre iguales y diferente ante las diferencias</w:t>
      </w:r>
      <w:r w:rsidRPr="00335884">
        <w:t xml:space="preserve">. Simplemente al </w:t>
      </w:r>
      <w:r w:rsidRPr="00335884">
        <w:t>varón</w:t>
      </w:r>
      <w:r w:rsidRPr="00335884">
        <w:t xml:space="preserve"> </w:t>
      </w:r>
      <w:r w:rsidRPr="00335884">
        <w:t>víctima</w:t>
      </w:r>
      <w:r w:rsidRPr="00335884">
        <w:t xml:space="preserve"> no se le dio </w:t>
      </w:r>
      <w:r w:rsidRPr="00335884">
        <w:t>ningún</w:t>
      </w:r>
      <w:r w:rsidRPr="00335884">
        <w:t xml:space="preserve"> trato. Se deshumanizó por completo. </w:t>
      </w:r>
    </w:p>
    <w:p w:rsidR="0039215C" w:rsidRPr="00335884" w:rsidRDefault="006D0761" w:rsidP="00EC589D">
      <w:pPr>
        <w:pStyle w:val="Textonotapie"/>
        <w:ind w:right="-46"/>
        <w:jc w:val="both"/>
      </w:pPr>
      <w:r w:rsidRPr="00335884">
        <w:t>Esto lleva la imposibilidad de comparar con datos si a los v</w:t>
      </w:r>
      <w:r w:rsidRPr="00335884">
        <w:t xml:space="preserve">arones excluidos se les afecta </w:t>
      </w:r>
      <w:r w:rsidRPr="00335884">
        <w:t>algún</w:t>
      </w:r>
      <w:r w:rsidRPr="00335884">
        <w:t xml:space="preserve"> derecho constitucional, lo cual es en </w:t>
      </w:r>
      <w:r w:rsidRPr="00335884">
        <w:t>sí</w:t>
      </w:r>
      <w:r w:rsidRPr="00335884">
        <w:t xml:space="preserve"> mismo, una ofensa al </w:t>
      </w:r>
      <w:r w:rsidRPr="00335884">
        <w:t>artículo</w:t>
      </w:r>
      <w:r w:rsidRPr="00335884">
        <w:t xml:space="preserve"> 13. </w:t>
      </w:r>
    </w:p>
  </w:footnote>
  <w:footnote w:id="69">
    <w:p w:rsidR="0039215C"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rPr>
          <w:lang w:val="es-ES"/>
        </w:rPr>
        <w:t>Ídem</w:t>
      </w:r>
      <w:r w:rsidRPr="00335884">
        <w:rPr>
          <w:lang w:val="es-ES"/>
        </w:rPr>
        <w:t xml:space="preserve">. </w:t>
      </w:r>
      <w:r w:rsidRPr="00335884">
        <w:rPr>
          <w:lang w:val="es-ES"/>
        </w:rPr>
        <w:t>Pág.</w:t>
      </w:r>
      <w:r w:rsidRPr="00335884">
        <w:rPr>
          <w:lang w:val="es-ES"/>
        </w:rPr>
        <w:t xml:space="preserve"> 23</w:t>
      </w:r>
      <w:r w:rsidRPr="00335884">
        <w:rPr>
          <w:lang w:val="es-ES"/>
        </w:rPr>
        <w:t>.</w:t>
      </w:r>
    </w:p>
  </w:footnote>
  <w:footnote w:id="70">
    <w:p w:rsidR="0039215C"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rPr>
          <w:lang w:val="es-ES"/>
        </w:rPr>
        <w:t>Ídem</w:t>
      </w:r>
      <w:r w:rsidRPr="00335884">
        <w:rPr>
          <w:lang w:val="es-ES"/>
        </w:rPr>
        <w:t xml:space="preserve">. </w:t>
      </w:r>
      <w:r w:rsidRPr="00335884">
        <w:rPr>
          <w:lang w:val="es-ES"/>
        </w:rPr>
        <w:t>Pág.</w:t>
      </w:r>
      <w:r w:rsidRPr="00335884">
        <w:rPr>
          <w:lang w:val="es-ES"/>
        </w:rPr>
        <w:t xml:space="preserve"> 28</w:t>
      </w:r>
      <w:r w:rsidRPr="00335884">
        <w:rPr>
          <w:lang w:val="es-ES"/>
        </w:rPr>
        <w:t>.</w:t>
      </w:r>
    </w:p>
  </w:footnote>
  <w:footnote w:id="71">
    <w:p w:rsidR="00BE2D4F" w:rsidRPr="006D0761" w:rsidRDefault="006D0761" w:rsidP="00EC589D">
      <w:pPr>
        <w:pStyle w:val="Textonotapie"/>
        <w:ind w:right="-46"/>
        <w:jc w:val="both"/>
        <w:rPr>
          <w:color w:val="000000"/>
        </w:rPr>
      </w:pPr>
      <w:r w:rsidRPr="006D0761">
        <w:rPr>
          <w:rStyle w:val="Refdenotaalpie"/>
          <w:color w:val="000000"/>
        </w:rPr>
        <w:footnoteRef/>
      </w:r>
      <w:r w:rsidRPr="006D0761">
        <w:rPr>
          <w:color w:val="000000"/>
        </w:rPr>
        <w:t xml:space="preserve"> </w:t>
      </w:r>
      <w:r w:rsidRPr="006D0761">
        <w:rPr>
          <w:color w:val="000000"/>
        </w:rPr>
        <w:t xml:space="preserve">Ley 1761 de 2015. </w:t>
      </w:r>
      <w:r w:rsidRPr="006D0761">
        <w:rPr>
          <w:color w:val="000000"/>
        </w:rPr>
        <w:t>A</w:t>
      </w:r>
      <w:r w:rsidRPr="006D0761">
        <w:rPr>
          <w:color w:val="000000"/>
        </w:rPr>
        <w:t>rtículo</w:t>
      </w:r>
      <w:r w:rsidRPr="006D0761">
        <w:rPr>
          <w:color w:val="000000"/>
        </w:rPr>
        <w:t xml:space="preserve"> 8°. </w:t>
      </w:r>
      <w:r w:rsidRPr="006D0761">
        <w:rPr>
          <w:i/>
          <w:iCs/>
          <w:color w:val="000000"/>
        </w:rPr>
        <w:t>Obligatoriedad y características de la investigación del feminicidio. </w:t>
      </w:r>
      <w:r w:rsidRPr="006D0761">
        <w:rPr>
          <w:color w:val="000000"/>
        </w:rPr>
        <w:t>En los</w:t>
      </w:r>
      <w:r w:rsidRPr="006D0761">
        <w:rPr>
          <w:color w:val="000000"/>
        </w:rPr>
        <w:t xml:space="preserve"> casos de evidencia clara o de sospecha fundada de perpetración de un feminicidio o de una tentativa de feminicidio, las in</w:t>
      </w:r>
      <w:r w:rsidRPr="006D0761">
        <w:rPr>
          <w:color w:val="000000"/>
        </w:rPr>
        <w:softHyphen/>
        <w:t>vestigaciones deberán iniciarse de oficio y llevarse a cabo inmediatamente y de modo exhaustivo por personal especializado, dotado d</w:t>
      </w:r>
      <w:r w:rsidRPr="006D0761">
        <w:rPr>
          <w:color w:val="000000"/>
        </w:rPr>
        <w:t>e los medios logísticos y metodológicos suficientes e indispensables para conducir la identificación del o de los responsables, su judicialización y sanción.</w:t>
      </w:r>
    </w:p>
    <w:p w:rsidR="00BE2D4F" w:rsidRPr="006D0761" w:rsidRDefault="006D0761" w:rsidP="00EC589D">
      <w:pPr>
        <w:pStyle w:val="Textonotapie"/>
        <w:ind w:right="-46"/>
        <w:jc w:val="both"/>
        <w:rPr>
          <w:color w:val="000000"/>
        </w:rPr>
      </w:pPr>
      <w:r w:rsidRPr="006D0761">
        <w:rPr>
          <w:color w:val="000000"/>
        </w:rPr>
        <w:t>El retiro de una denuncia por una presunta víctima no se constituirá en elemento determinante para</w:t>
      </w:r>
      <w:r w:rsidRPr="006D0761">
        <w:rPr>
          <w:color w:val="000000"/>
        </w:rPr>
        <w:t xml:space="preserve"> el archivo del proceso.</w:t>
      </w:r>
    </w:p>
    <w:p w:rsidR="00BE2D4F" w:rsidRPr="006D0761" w:rsidRDefault="006D0761" w:rsidP="00EC589D">
      <w:pPr>
        <w:pStyle w:val="Textonotapie"/>
        <w:ind w:right="-46"/>
        <w:jc w:val="both"/>
        <w:rPr>
          <w:color w:val="000000"/>
          <w:lang w:val="es-ES"/>
        </w:rPr>
      </w:pPr>
    </w:p>
  </w:footnote>
  <w:footnote w:id="72">
    <w:p w:rsidR="00BE2D4F" w:rsidRPr="006D0761" w:rsidRDefault="006D0761" w:rsidP="00EC589D">
      <w:pPr>
        <w:pStyle w:val="Textonotapie"/>
        <w:ind w:right="-46"/>
        <w:jc w:val="both"/>
        <w:rPr>
          <w:color w:val="000000"/>
        </w:rPr>
      </w:pPr>
      <w:r w:rsidRPr="006D0761">
        <w:rPr>
          <w:rStyle w:val="Refdenotaalpie"/>
          <w:color w:val="000000"/>
        </w:rPr>
        <w:footnoteRef/>
      </w:r>
      <w:r w:rsidRPr="006D0761">
        <w:rPr>
          <w:color w:val="000000"/>
        </w:rPr>
        <w:t xml:space="preserve"> Ley 1761 de 2015. Artículo</w:t>
      </w:r>
      <w:r w:rsidRPr="006D0761">
        <w:rPr>
          <w:color w:val="000000"/>
        </w:rPr>
        <w:t xml:space="preserve"> 9°. </w:t>
      </w:r>
      <w:r w:rsidRPr="006D0761">
        <w:rPr>
          <w:i/>
          <w:iCs/>
          <w:color w:val="000000"/>
        </w:rPr>
        <w:t>Asistencia Técnico Legal. </w:t>
      </w:r>
      <w:r w:rsidRPr="006D0761">
        <w:rPr>
          <w:color w:val="000000"/>
        </w:rPr>
        <w:t>El Estado, a través de la Defensoría del Pueblo garantizará la orientación, asesoría y representación jurídica a mujeres víctimas de las violencias de género y en especial</w:t>
      </w:r>
      <w:r w:rsidRPr="006D0761">
        <w:rPr>
          <w:color w:val="000000"/>
        </w:rPr>
        <w:t xml:space="preserve"> de la violencia feminicida de manera gratuita, inmediata, especializada y prioritaria desde la perspectiva de género y de los Derechos Humanos de las mujeres, a fin de garantizar su acceso a la administración de justicia, a un recurso judicial efectivo y </w:t>
      </w:r>
      <w:r w:rsidRPr="006D0761">
        <w:rPr>
          <w:color w:val="000000"/>
        </w:rPr>
        <w:t>al otorgamiento de las medidas de protección y atención consagradas en la Ley 1257 de 2008 y en otras instancias administrativas y jurisdiccionales.</w:t>
      </w:r>
    </w:p>
    <w:p w:rsidR="00BE2D4F" w:rsidRPr="006D0761" w:rsidRDefault="006D0761" w:rsidP="00EC589D">
      <w:pPr>
        <w:pStyle w:val="Textonotapie"/>
        <w:ind w:right="-46"/>
        <w:jc w:val="both"/>
        <w:rPr>
          <w:color w:val="000000"/>
        </w:rPr>
      </w:pPr>
      <w:r w:rsidRPr="006D0761">
        <w:rPr>
          <w:color w:val="000000"/>
        </w:rPr>
        <w:t>Esta asistencia técnico legal y la representación jurídica de las mujeres víctimas de las violencias de gén</w:t>
      </w:r>
      <w:r w:rsidRPr="006D0761">
        <w:rPr>
          <w:color w:val="000000"/>
        </w:rPr>
        <w:t>ero la podrán realizar las entidades rectoras de políticas públicas para las mujeres y de equidad de género existentes en el ámbito nacional, departamental, distrital y municipal, de conformidad con sus competencias constitucionales, legales y reglamentari</w:t>
      </w:r>
      <w:r w:rsidRPr="006D0761">
        <w:rPr>
          <w:color w:val="000000"/>
        </w:rPr>
        <w:t>as.</w:t>
      </w:r>
    </w:p>
    <w:p w:rsidR="00BE2D4F" w:rsidRPr="006D0761" w:rsidRDefault="006D0761" w:rsidP="00EC589D">
      <w:pPr>
        <w:pStyle w:val="Textonotapie"/>
        <w:ind w:right="-46"/>
        <w:jc w:val="both"/>
        <w:rPr>
          <w:color w:val="000000"/>
        </w:rPr>
      </w:pPr>
      <w:r w:rsidRPr="006D0761">
        <w:rPr>
          <w:color w:val="000000"/>
        </w:rPr>
        <w:t>En las entidades territoriales donde no existan o no estén contempladas las instancias y los mecanismos de atención, protección y asistencia técnico legal para las mujeres víctimas de las violencias de género, de conformidad con sus competencias consti</w:t>
      </w:r>
      <w:r w:rsidRPr="006D0761">
        <w:rPr>
          <w:color w:val="000000"/>
        </w:rPr>
        <w:t>tucionales, legales y reglamentarias, deberán crear las instancias y los mecanismos pertinentes al cumplimiento de lo previsto en el presente artículo, en concordancia con las disposiciones establecidas en el artículo 9° de la Ley 1257 de 2008.</w:t>
      </w:r>
    </w:p>
    <w:p w:rsidR="00BE2D4F" w:rsidRPr="006D0761" w:rsidRDefault="006D0761" w:rsidP="00EC589D">
      <w:pPr>
        <w:pStyle w:val="Textonotapie"/>
        <w:ind w:right="-46"/>
        <w:jc w:val="both"/>
        <w:rPr>
          <w:color w:val="000000"/>
          <w:lang w:val="es-ES"/>
        </w:rPr>
      </w:pPr>
      <w:r w:rsidRPr="006D0761">
        <w:rPr>
          <w:color w:val="000000"/>
        </w:rPr>
        <w:t>PARÁGRAFO. </w:t>
      </w:r>
      <w:r w:rsidRPr="006D0761">
        <w:rPr>
          <w:color w:val="000000"/>
        </w:rPr>
        <w:t xml:space="preserve">El plazo para la creación de dichas instancias y los mecanismos de atención, protección y asistencia técnico legal para las mujeres víctimas de la violencia de género en las entidades territoriales no podrá superar el plazo de un (1) año, contado a partir </w:t>
      </w:r>
      <w:r w:rsidRPr="006D0761">
        <w:rPr>
          <w:color w:val="000000"/>
        </w:rPr>
        <w:t>de la promulgación de la presente ley.</w:t>
      </w:r>
    </w:p>
  </w:footnote>
  <w:footnote w:id="73">
    <w:p w:rsidR="00BE2D4F" w:rsidRPr="00335884" w:rsidRDefault="006D0761" w:rsidP="00EC589D">
      <w:pPr>
        <w:pStyle w:val="Textonotapie"/>
        <w:ind w:right="-46"/>
        <w:jc w:val="both"/>
        <w:rPr>
          <w:lang w:val="es-ES"/>
        </w:rPr>
      </w:pPr>
      <w:r w:rsidRPr="00335884">
        <w:rPr>
          <w:rStyle w:val="Refdenotaalpie"/>
        </w:rPr>
        <w:footnoteRef/>
      </w:r>
      <w:r w:rsidRPr="00335884">
        <w:t xml:space="preserve"> Ley 24 de 1992, artículo 21 “La Defensoría Pública se prestará en favor de las personas respecto de quienes se acredite que se encuentran en imposibilidad económica o social de proveer por sí mismas a la defensa de </w:t>
      </w:r>
      <w:r w:rsidRPr="00335884">
        <w:t xml:space="preserve">sus derechos, para asumir su representación judicial o extrajudicial y con el fin de garantizar el pleno e igual acceso a la justicia o a las decisiones de cualquier autoridad </w:t>
      </w:r>
      <w:r w:rsidRPr="00335884">
        <w:t>pública. (</w:t>
      </w:r>
      <w:r w:rsidRPr="00335884">
        <w:t>…)”</w:t>
      </w:r>
      <w:r w:rsidRPr="00335884">
        <w:t>.</w:t>
      </w:r>
    </w:p>
  </w:footnote>
  <w:footnote w:id="74">
    <w:p w:rsidR="00B05B4F" w:rsidRPr="00335884" w:rsidRDefault="006D0761" w:rsidP="00EB501B">
      <w:pPr>
        <w:pStyle w:val="Textonotapie"/>
        <w:jc w:val="both"/>
      </w:pPr>
      <w:r w:rsidRPr="00335884">
        <w:rPr>
          <w:rStyle w:val="Refdenotaalpie"/>
        </w:rPr>
        <w:footnoteRef/>
      </w:r>
      <w:r w:rsidRPr="00335884">
        <w:t xml:space="preserve"> Ley 1257 de 2008 “Por la cual se dictan normas de sensibilización, prevención y sanción de formas de violencia y discriminación contra las mujeres, se reforman los Códigos Penal, de Procedimiento Penal, la Ley </w:t>
      </w:r>
      <w:hyperlink r:id="rId27" w:anchor="1" w:history="1">
        <w:r w:rsidRPr="00335884">
          <w:rPr>
            <w:rStyle w:val="Hipervnculo"/>
          </w:rPr>
          <w:t>294</w:t>
        </w:r>
      </w:hyperlink>
      <w:r w:rsidRPr="00335884">
        <w:t> de 1996 y se dictan otras disposiciones”.</w:t>
      </w:r>
    </w:p>
  </w:footnote>
  <w:footnote w:id="75">
    <w:p w:rsidR="00306461" w:rsidRPr="00335884" w:rsidRDefault="006D0761" w:rsidP="00EC589D">
      <w:pPr>
        <w:pStyle w:val="Textonotapie"/>
        <w:ind w:right="-46"/>
        <w:jc w:val="both"/>
      </w:pPr>
      <w:r w:rsidRPr="00335884">
        <w:rPr>
          <w:rStyle w:val="Refdenotaalpie"/>
        </w:rPr>
        <w:footnoteRef/>
      </w:r>
      <w:r w:rsidRPr="00335884">
        <w:t xml:space="preserve"> Ley 1761 de 2015</w:t>
      </w:r>
      <w:r w:rsidRPr="00335884">
        <w:t>, artículo</w:t>
      </w:r>
      <w:r w:rsidRPr="00335884">
        <w:t xml:space="preserve"> 10°. Sobre la perspectiva de género en la educación preescolar, básica y media. A partir de la promulgación de la presente ley, el Min</w:t>
      </w:r>
      <w:r w:rsidRPr="00335884">
        <w:t xml:space="preserve">isterio de Educación Nacional dispondrá lo necesario para que las instituciones educativas de preescolar, básica y media incorporen a la malla curricular, la perspectiva de género y las reflexiones alrededor de la misma, centrándose en la protección de la </w:t>
      </w:r>
      <w:r w:rsidRPr="00335884">
        <w:t xml:space="preserve">mujer como base fundamental de la sociedad, en el marco del desarrollo de competencias básicas y ciudadanas, según el ciclo vital y educativo de los estudiantes. Dicha incorporación será realizada a través de proyectos pedagógicos transversales basados en </w:t>
      </w:r>
      <w:r w:rsidRPr="00335884">
        <w:t xml:space="preserve">principios de interdisciplinariedad, intersectorialidad, e </w:t>
      </w:r>
      <w:r w:rsidRPr="00335884">
        <w:t>Inter institucionalidad</w:t>
      </w:r>
      <w:r w:rsidRPr="00335884">
        <w:t xml:space="preserve"> sin vulnerar al ideario religioso y ético de las instituciones educativas, así como el derecho de los padres a elegir la educación moral y religiosa para sus hijos. PARÁGRAFO 1°. El Ministerio de Educación Nacional, establecerá e implementará los mecanism</w:t>
      </w:r>
      <w:r w:rsidRPr="00335884">
        <w:t>os de monitoreo y evaluación permanente del proceso de incorporación del enfoque de género en los proyectos pedagógicos y sus resultados, sobre lo cual deberá entregar un informe anual a la Comisión Legal para la Equidad de la Mujer del Congreso de la Repú</w:t>
      </w:r>
      <w:r w:rsidRPr="00335884">
        <w:t>blica de Colombia y a las autoridades que lo requieran. PARÁGRAFO 2°. El Ministerio de Educación Nacional tendrá un plazo de seis (6) meses contados a partir de la promulgación de la presente ley para iniciar el proceso de reglamentación que garantice la e</w:t>
      </w:r>
      <w:r w:rsidRPr="00335884">
        <w:t>fectiva integración del enfoque de género a los procesos y proyectos pedagógicos en todas las instituciones educativas de preescolar, básica y media. Ver Resolución Sec. Educación 800 de 2015.</w:t>
      </w:r>
    </w:p>
  </w:footnote>
  <w:footnote w:id="76">
    <w:p w:rsidR="00B05B4F" w:rsidRPr="00335884" w:rsidRDefault="006D0761" w:rsidP="00EB501B">
      <w:pPr>
        <w:pStyle w:val="Textonotapie"/>
        <w:jc w:val="both"/>
      </w:pPr>
      <w:r w:rsidRPr="00335884">
        <w:rPr>
          <w:rStyle w:val="Refdenotaalpie"/>
        </w:rPr>
        <w:footnoteRef/>
      </w:r>
      <w:r w:rsidRPr="00335884">
        <w:t xml:space="preserve"> Ley 599 de 2000 “Por el cual se crea el Código Penal”, artícu</w:t>
      </w:r>
      <w:r w:rsidRPr="00335884">
        <w:t xml:space="preserve">lo 134B, sobre el tipo penal de Hostigamiento. </w:t>
      </w:r>
    </w:p>
  </w:footnote>
  <w:footnote w:id="77">
    <w:p w:rsidR="00306461" w:rsidRPr="006D0761" w:rsidRDefault="006D0761" w:rsidP="00EC589D">
      <w:pPr>
        <w:pStyle w:val="Textonotapie"/>
        <w:ind w:right="-46"/>
        <w:jc w:val="both"/>
        <w:rPr>
          <w:color w:val="000000"/>
          <w:lang w:val="es-ES"/>
        </w:rPr>
      </w:pPr>
      <w:r w:rsidRPr="006D0761">
        <w:rPr>
          <w:rStyle w:val="Refdenotaalpie"/>
          <w:color w:val="000000"/>
        </w:rPr>
        <w:footnoteRef/>
      </w:r>
      <w:r w:rsidRPr="006D0761">
        <w:rPr>
          <w:color w:val="000000"/>
        </w:rPr>
        <w:t xml:space="preserve"> </w:t>
      </w:r>
      <w:r w:rsidRPr="006D0761">
        <w:rPr>
          <w:color w:val="000000"/>
        </w:rPr>
        <w:t xml:space="preserve">Ley 1761 de 2015, artículo </w:t>
      </w:r>
      <w:r w:rsidRPr="006D0761">
        <w:rPr>
          <w:color w:val="000000"/>
        </w:rPr>
        <w:t>11. Formación de género, Derechos Humanos o Derecho Internacional Humanitario de los servidores públicos. A partir de la promulgación de la presente ley, los servidores públicos d</w:t>
      </w:r>
      <w:r w:rsidRPr="006D0761">
        <w:rPr>
          <w:color w:val="000000"/>
        </w:rPr>
        <w:t>e la Rama Ejecutiva o Judicial en cualquiera de los órdenes que tengan funciones o competencias en la prevención, investigación, judicialización, sanción y reparación de todas las formas de violencia contra las mujeres, deberán recibir formación en género,</w:t>
      </w:r>
      <w:r w:rsidRPr="006D0761">
        <w:rPr>
          <w:color w:val="000000"/>
        </w:rPr>
        <w:t xml:space="preserve"> Derechos Humanos y Derecho Internacional Humanitario, en los procesos de inducción y reinducción en los que deban participar, de acuerdo con las normas que regulen sus respectivos empleos.</w:t>
      </w:r>
    </w:p>
  </w:footnote>
  <w:footnote w:id="78">
    <w:p w:rsidR="005F06A8" w:rsidRPr="00335884" w:rsidRDefault="006D0761" w:rsidP="00EB501B">
      <w:pPr>
        <w:pStyle w:val="Textonotapie"/>
        <w:jc w:val="both"/>
      </w:pPr>
      <w:r w:rsidRPr="00335884">
        <w:rPr>
          <w:rStyle w:val="Refdenotaalpie"/>
        </w:rPr>
        <w:footnoteRef/>
      </w:r>
      <w:r w:rsidRPr="00335884">
        <w:t xml:space="preserve"> Ministerio de Justicia y del Derecho, Dirección de Justicia Form</w:t>
      </w:r>
      <w:r w:rsidRPr="00335884">
        <w:t xml:space="preserve">al. Cartilla Género. Cartilla disponible en: https://www.minjusticia.gov.co/programas-co/tejiendo-justicia/Documents/publicaciones/genero/Cartilla%20G%C3%A9nero%20final%20(2).pdf.  </w:t>
      </w:r>
    </w:p>
  </w:footnote>
  <w:footnote w:id="79">
    <w:p w:rsidR="00306461" w:rsidRPr="006D0761" w:rsidRDefault="006D0761" w:rsidP="00EC589D">
      <w:pPr>
        <w:pStyle w:val="Textonotapie"/>
        <w:ind w:right="-46"/>
        <w:jc w:val="both"/>
        <w:rPr>
          <w:color w:val="000000"/>
        </w:rPr>
      </w:pPr>
      <w:r w:rsidRPr="006D0761">
        <w:rPr>
          <w:rStyle w:val="Refdenotaalpie"/>
          <w:color w:val="000000"/>
        </w:rPr>
        <w:footnoteRef/>
      </w:r>
      <w:r w:rsidRPr="006D0761">
        <w:rPr>
          <w:color w:val="000000"/>
        </w:rPr>
        <w:t xml:space="preserve"> </w:t>
      </w:r>
      <w:r w:rsidRPr="006D0761">
        <w:rPr>
          <w:color w:val="000000"/>
        </w:rPr>
        <w:t xml:space="preserve">Ley 1761 de 2015, artículo </w:t>
      </w:r>
      <w:r w:rsidRPr="006D0761">
        <w:rPr>
          <w:color w:val="000000"/>
        </w:rPr>
        <w:t>12. </w:t>
      </w:r>
      <w:r w:rsidRPr="006D0761">
        <w:rPr>
          <w:i/>
          <w:iCs/>
          <w:color w:val="000000"/>
        </w:rPr>
        <w:t>Adopción de un Sistema Nacional de Estadí</w:t>
      </w:r>
      <w:r w:rsidRPr="006D0761">
        <w:rPr>
          <w:i/>
          <w:iCs/>
          <w:color w:val="000000"/>
        </w:rPr>
        <w:t>sticas sobre Violencia Basada en Género. </w:t>
      </w:r>
      <w:r w:rsidRPr="006D0761">
        <w:rPr>
          <w:color w:val="000000"/>
        </w:rPr>
        <w:t>Dentro del año siguiente a la promulgación de la presente ley, el Departamento Nacional de Estadísticas (DANE), en coordinación con el Ministerio de Justicia y del Derecho y el Instituto de Medicina Legal y Ciencias</w:t>
      </w:r>
      <w:r w:rsidRPr="006D0761">
        <w:rPr>
          <w:color w:val="000000"/>
        </w:rPr>
        <w:t xml:space="preserve"> Forenses (INMLCF), adoptarán un Sistema Nacional de Recopilación de Datos sobre los hechos relacionados con la violencia de género en el país, en orden a establecer los tipos, ámbitos, modalidades, frecuencia, medios utilizados para ejecutar la violencia,</w:t>
      </w:r>
      <w:r w:rsidRPr="006D0761">
        <w:rPr>
          <w:color w:val="000000"/>
        </w:rPr>
        <w:t xml:space="preserve"> niveles de impacto personal y social, medidas otorgadas, servicios prestados y estado del proceso judicial, para la definición de políticas públicas de prevención, protección, atención y reparación de las víctimas de la violencia de género.</w:t>
      </w:r>
    </w:p>
    <w:p w:rsidR="00306461" w:rsidRPr="006D0761" w:rsidRDefault="006D0761" w:rsidP="00EC589D">
      <w:pPr>
        <w:pStyle w:val="Textonotapie"/>
        <w:ind w:right="-46"/>
        <w:jc w:val="both"/>
        <w:rPr>
          <w:color w:val="000000"/>
          <w:lang w:val="es-ES"/>
        </w:rPr>
      </w:pPr>
    </w:p>
  </w:footnote>
  <w:footnote w:id="80">
    <w:p w:rsidR="00BE2D4F" w:rsidRPr="00335884" w:rsidRDefault="006D0761" w:rsidP="00EC589D">
      <w:pPr>
        <w:pStyle w:val="Textonotapie"/>
        <w:ind w:right="-46"/>
        <w:jc w:val="both"/>
        <w:rPr>
          <w:lang w:val="es-ES"/>
        </w:rPr>
      </w:pPr>
      <w:r w:rsidRPr="00335884">
        <w:rPr>
          <w:rStyle w:val="Refdenotaalpie"/>
        </w:rPr>
        <w:footnoteRef/>
      </w:r>
      <w:r w:rsidRPr="00335884">
        <w:t xml:space="preserve"> </w:t>
      </w:r>
      <w:r w:rsidRPr="006D0761">
        <w:rPr>
          <w:color w:val="000000"/>
        </w:rPr>
        <w:t>Ley 1761 de</w:t>
      </w:r>
      <w:r w:rsidRPr="006D0761">
        <w:rPr>
          <w:color w:val="000000"/>
        </w:rPr>
        <w:t xml:space="preserve"> 2015, artículo </w:t>
      </w:r>
      <w:r w:rsidRPr="00335884">
        <w:t xml:space="preserve"> </w:t>
      </w:r>
      <w:r w:rsidRPr="00335884">
        <w:t xml:space="preserve">13. </w:t>
      </w:r>
      <w:r w:rsidRPr="00335884">
        <w:rPr>
          <w:i/>
          <w:iCs/>
        </w:rPr>
        <w:t>Vigencia.</w:t>
      </w:r>
      <w:r w:rsidRPr="00335884">
        <w:rPr>
          <w:b/>
          <w:i/>
          <w:iCs/>
        </w:rPr>
        <w:t xml:space="preserve"> </w:t>
      </w:r>
      <w:r w:rsidRPr="00335884">
        <w:t>La presente ley rige a partir de su promulgación y deroga el numeral undécimo del artículo 104 del Código Penal - Ley 599 de 2000, así como las demás disposiciones que le sean contrarias.</w:t>
      </w:r>
    </w:p>
  </w:footnote>
  <w:footnote w:id="81">
    <w:p w:rsidR="00BE2D4F" w:rsidRPr="00335884" w:rsidRDefault="006D0761" w:rsidP="00EC589D">
      <w:pPr>
        <w:pStyle w:val="Textonotapie"/>
        <w:ind w:right="-46"/>
        <w:jc w:val="both"/>
      </w:pPr>
      <w:r w:rsidRPr="00335884">
        <w:rPr>
          <w:rStyle w:val="Refdenotaalpie"/>
        </w:rPr>
        <w:footnoteRef/>
      </w:r>
      <w:r w:rsidRPr="00335884">
        <w:t xml:space="preserve"> Convención para la eliminación de l</w:t>
      </w:r>
      <w:r w:rsidRPr="00335884">
        <w:t>a discriminación contra la mujer – CEDAW. Artículo 4. 1. La adopción por los Estados Partes de medidas especiales de carácter temporal encaminadas a acelerar la igualdad de facto entre el hombre y la mujer no se considerará discriminación en la forma defin</w:t>
      </w:r>
      <w:r w:rsidRPr="00335884">
        <w:t>ida en la presente Convención, pero de ningún modo entrañará, como consecuencia, el mantenimiento de normas desiguales o separadas; estas medidas cesarán cuando se hayan alcanzado los objetivos de igualdad de oportunidad y trato. 2. La adopción por los Est</w:t>
      </w:r>
      <w:r w:rsidRPr="00335884">
        <w:t>ados Partes de medidas especiales, incluso las contenidas en la presente Convención, encaminadas a proteger la maternidad no se considerará discriminatoria.</w:t>
      </w:r>
    </w:p>
  </w:footnote>
  <w:footnote w:id="82">
    <w:p w:rsidR="004A4B62" w:rsidRPr="00335884" w:rsidRDefault="006D0761" w:rsidP="00EB501B">
      <w:pPr>
        <w:pStyle w:val="NormalWeb"/>
        <w:spacing w:before="0" w:beforeAutospacing="0" w:after="0" w:afterAutospacing="0"/>
        <w:ind w:right="-46"/>
        <w:jc w:val="both"/>
        <w:rPr>
          <w:sz w:val="20"/>
          <w:szCs w:val="20"/>
          <w:lang w:val="es-ES_tradnl"/>
        </w:rPr>
      </w:pPr>
      <w:r w:rsidRPr="00335884">
        <w:rPr>
          <w:rStyle w:val="Refdenotaalpie"/>
          <w:sz w:val="20"/>
          <w:szCs w:val="20"/>
        </w:rPr>
        <w:footnoteRef/>
      </w:r>
      <w:r w:rsidRPr="00335884">
        <w:rPr>
          <w:sz w:val="20"/>
          <w:szCs w:val="20"/>
        </w:rPr>
        <w:t xml:space="preserve"> </w:t>
      </w:r>
      <w:r w:rsidRPr="006D0761">
        <w:rPr>
          <w:color w:val="000000"/>
          <w:sz w:val="20"/>
          <w:szCs w:val="20"/>
          <w:lang w:val="es-ES"/>
        </w:rPr>
        <w:t xml:space="preserve">El Comité de la CEDAW </w:t>
      </w:r>
      <w:r w:rsidRPr="006D0761">
        <w:rPr>
          <w:color w:val="000000"/>
          <w:sz w:val="20"/>
          <w:szCs w:val="20"/>
          <w:lang w:val="es-ES"/>
        </w:rPr>
        <w:t xml:space="preserve">en </w:t>
      </w:r>
      <w:r w:rsidRPr="006D0761">
        <w:rPr>
          <w:color w:val="000000"/>
          <w:sz w:val="20"/>
          <w:szCs w:val="20"/>
          <w:lang w:val="es-ES"/>
        </w:rPr>
        <w:t>su</w:t>
      </w:r>
      <w:r w:rsidRPr="006D0761">
        <w:rPr>
          <w:color w:val="000000"/>
          <w:sz w:val="20"/>
          <w:szCs w:val="20"/>
          <w:lang w:val="es-ES"/>
        </w:rPr>
        <w:t xml:space="preserve"> Recomendación </w:t>
      </w:r>
      <w:r w:rsidRPr="006D0761">
        <w:rPr>
          <w:color w:val="000000"/>
          <w:sz w:val="20"/>
          <w:szCs w:val="20"/>
          <w:lang w:val="es-ES"/>
        </w:rPr>
        <w:t xml:space="preserve">General </w:t>
      </w:r>
      <w:r w:rsidRPr="006D0761">
        <w:rPr>
          <w:color w:val="000000"/>
          <w:sz w:val="20"/>
          <w:szCs w:val="20"/>
          <w:lang w:val="es-ES"/>
        </w:rPr>
        <w:t xml:space="preserve">N° 25, </w:t>
      </w:r>
      <w:r w:rsidRPr="006D0761">
        <w:rPr>
          <w:color w:val="000000"/>
          <w:sz w:val="20"/>
          <w:szCs w:val="20"/>
          <w:lang w:val="es-ES"/>
        </w:rPr>
        <w:t xml:space="preserve">(2004) sobre el párrafo 1 del artículo 4 de la Convención </w:t>
      </w:r>
      <w:r w:rsidRPr="006D0761">
        <w:rPr>
          <w:color w:val="000000"/>
          <w:sz w:val="20"/>
          <w:szCs w:val="20"/>
          <w:lang w:val="es-ES"/>
        </w:rPr>
        <w:t>explicó que</w:t>
      </w:r>
      <w:r w:rsidRPr="006D0761">
        <w:rPr>
          <w:color w:val="000000"/>
          <w:sz w:val="20"/>
          <w:szCs w:val="20"/>
          <w:lang w:val="es-ES"/>
        </w:rPr>
        <w:t>:</w:t>
      </w:r>
      <w:r w:rsidRPr="006D0761">
        <w:rPr>
          <w:color w:val="000000"/>
          <w:sz w:val="20"/>
          <w:szCs w:val="20"/>
          <w:lang w:val="es-ES"/>
        </w:rPr>
        <w:t xml:space="preserve"> “[n]o todas las medidas que puedan ser o que serán favorables a las mujeres son medidas especiales de carácter especial. El establecimiento de condiciones generales que garanticen los d</w:t>
      </w:r>
      <w:r w:rsidRPr="006D0761">
        <w:rPr>
          <w:color w:val="000000"/>
          <w:sz w:val="20"/>
          <w:szCs w:val="20"/>
          <w:lang w:val="es-ES"/>
        </w:rPr>
        <w:t xml:space="preserve">erechos civiles, políticos, económicos, sociales y culturales de la mujer y la niña y que tengan por objeto asegurar para ellas una vida digna y sin discriminación no pueden ser llamadas medidas especiales de carácter temporal”. Por tanto, recomendó a los </w:t>
      </w:r>
      <w:r w:rsidRPr="006D0761">
        <w:rPr>
          <w:color w:val="000000"/>
          <w:sz w:val="20"/>
          <w:szCs w:val="20"/>
          <w:lang w:val="es-ES"/>
        </w:rPr>
        <w:t xml:space="preserve">Estados “distinguir claramente entre las medidas especiales de carácter temporal destinadas a acelerar el logro de un objetivo concreto de igualdad sustantiva o de facto de la mujer </w:t>
      </w:r>
      <w:r w:rsidRPr="006D0761">
        <w:rPr>
          <w:color w:val="000000"/>
          <w:sz w:val="20"/>
          <w:szCs w:val="20"/>
          <w:lang w:val="es-ES"/>
        </w:rPr>
        <w:t>y otras</w:t>
      </w:r>
      <w:r w:rsidRPr="006D0761">
        <w:rPr>
          <w:color w:val="000000"/>
          <w:sz w:val="20"/>
          <w:szCs w:val="20"/>
          <w:lang w:val="es-ES"/>
        </w:rPr>
        <w:t xml:space="preserve"> políticas sociales generales adoptadas y aplicadas para mejorar la</w:t>
      </w:r>
      <w:r w:rsidRPr="006D0761">
        <w:rPr>
          <w:color w:val="000000"/>
          <w:sz w:val="20"/>
          <w:szCs w:val="20"/>
          <w:lang w:val="es-ES"/>
        </w:rPr>
        <w:t xml:space="preserve"> situación de las mujeres y las niñas”.</w:t>
      </w:r>
    </w:p>
  </w:footnote>
  <w:footnote w:id="83">
    <w:p w:rsidR="00BE2D4F"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t xml:space="preserve">Corte Constitucional. </w:t>
      </w:r>
      <w:r w:rsidRPr="00335884">
        <w:rPr>
          <w:lang w:val="es-ES"/>
        </w:rPr>
        <w:t xml:space="preserve">Sentencia C-371 de 2000, </w:t>
      </w:r>
      <w:r w:rsidRPr="00335884">
        <w:rPr>
          <w:lang w:val="es-ES"/>
        </w:rPr>
        <w:t>reiterada</w:t>
      </w:r>
      <w:r w:rsidRPr="00335884">
        <w:rPr>
          <w:lang w:val="es-ES"/>
        </w:rPr>
        <w:t xml:space="preserve"> en la </w:t>
      </w:r>
      <w:r w:rsidRPr="00335884">
        <w:rPr>
          <w:lang w:val="es-ES"/>
        </w:rPr>
        <w:t>S</w:t>
      </w:r>
      <w:r w:rsidRPr="00335884">
        <w:rPr>
          <w:lang w:val="es-ES"/>
        </w:rPr>
        <w:t>entencia SU-109 de 2022.</w:t>
      </w:r>
    </w:p>
  </w:footnote>
  <w:footnote w:id="84">
    <w:p w:rsidR="00BE2D4F" w:rsidRPr="00335884" w:rsidRDefault="006D0761" w:rsidP="00EC589D">
      <w:pPr>
        <w:autoSpaceDE w:val="0"/>
        <w:autoSpaceDN w:val="0"/>
        <w:ind w:right="-46"/>
        <w:jc w:val="both"/>
        <w:rPr>
          <w:sz w:val="20"/>
          <w:szCs w:val="20"/>
        </w:rPr>
      </w:pPr>
      <w:r w:rsidRPr="00335884">
        <w:rPr>
          <w:rStyle w:val="Refdenotaalpie"/>
          <w:sz w:val="20"/>
          <w:szCs w:val="20"/>
        </w:rPr>
        <w:footnoteRef/>
      </w:r>
      <w:r w:rsidRPr="00335884">
        <w:rPr>
          <w:sz w:val="20"/>
          <w:szCs w:val="20"/>
        </w:rPr>
        <w:t xml:space="preserve"> En la Sentencia C-115 de 2017, al estudiar </w:t>
      </w:r>
      <w:r w:rsidRPr="00335884">
        <w:rPr>
          <w:sz w:val="20"/>
          <w:szCs w:val="20"/>
        </w:rPr>
        <w:t>Ley de Formalización y Generación de Empleo-</w:t>
      </w:r>
      <w:r w:rsidRPr="00335884">
        <w:rPr>
          <w:sz w:val="20"/>
          <w:szCs w:val="20"/>
          <w:lang w:val="es-ES"/>
        </w:rPr>
        <w:t>Focalización de los programas de des</w:t>
      </w:r>
      <w:r w:rsidRPr="00335884">
        <w:rPr>
          <w:sz w:val="20"/>
          <w:szCs w:val="20"/>
          <w:lang w:val="es-ES"/>
        </w:rPr>
        <w:t>arrollo empresarial para jóvenes menores de 28 años</w:t>
      </w:r>
      <w:r w:rsidRPr="00335884">
        <w:rPr>
          <w:sz w:val="20"/>
          <w:szCs w:val="20"/>
          <w:lang w:val="es-ES"/>
        </w:rPr>
        <w:t>, l</w:t>
      </w:r>
      <w:r w:rsidRPr="00335884">
        <w:rPr>
          <w:sz w:val="20"/>
          <w:szCs w:val="20"/>
          <w:lang w:val="es-ES"/>
        </w:rPr>
        <w:t xml:space="preserve">a </w:t>
      </w:r>
      <w:r w:rsidRPr="00335884">
        <w:rPr>
          <w:sz w:val="20"/>
          <w:szCs w:val="20"/>
          <w:lang w:val="es-ES"/>
        </w:rPr>
        <w:t>C</w:t>
      </w:r>
      <w:r w:rsidRPr="00335884">
        <w:rPr>
          <w:sz w:val="20"/>
          <w:szCs w:val="20"/>
          <w:lang w:val="es-ES"/>
        </w:rPr>
        <w:t>orte consideró</w:t>
      </w:r>
      <w:r w:rsidRPr="00335884">
        <w:rPr>
          <w:sz w:val="20"/>
          <w:szCs w:val="20"/>
          <w:lang w:val="es-ES"/>
        </w:rPr>
        <w:t>: “</w:t>
      </w:r>
      <w:r w:rsidRPr="00335884">
        <w:rPr>
          <w:sz w:val="20"/>
          <w:szCs w:val="20"/>
          <w:lang w:val="es-ES"/>
        </w:rPr>
        <w:t xml:space="preserve">En estos términos, la norma demandada será declarada exequible, al tratarse de una medida inspirada en el principio de igualdad, en particular, en la búsqueda de crear condiciones de igualdad material, </w:t>
      </w:r>
      <w:r w:rsidRPr="00335884">
        <w:rPr>
          <w:sz w:val="20"/>
          <w:szCs w:val="20"/>
          <w:lang w:val="es-ES"/>
        </w:rPr>
        <w:t>e</w:t>
      </w:r>
      <w:r w:rsidRPr="00335884">
        <w:rPr>
          <w:sz w:val="20"/>
          <w:szCs w:val="20"/>
          <w:lang w:val="es-ES"/>
        </w:rPr>
        <w:t>s una medida razonable, proporcionada y progresiva en</w:t>
      </w:r>
      <w:r w:rsidRPr="00335884">
        <w:rPr>
          <w:sz w:val="20"/>
          <w:szCs w:val="20"/>
          <w:lang w:val="es-ES"/>
        </w:rPr>
        <w:t xml:space="preserve"> cuanto al contenido prestacional del derecho constitucional al trabajo, que propende por la consecución de fines constitucionales como la prosperidad general, la vigencia de un orden justo y, en particular, la prosperidad de los jóvenes, identificada como</w:t>
      </w:r>
      <w:r w:rsidRPr="00335884">
        <w:rPr>
          <w:sz w:val="20"/>
          <w:szCs w:val="20"/>
          <w:lang w:val="es-ES"/>
        </w:rPr>
        <w:t xml:space="preserve"> un fin especial constitucional en el inciso 2 del artículo 45 de la Constitución Política. Si bien es cierto que no es una medida con vocación a ser aplicada respecto de toda la población, sino a un segmento específico de la misma, la Corte Constitucional</w:t>
      </w:r>
      <w:r w:rsidRPr="00335884">
        <w:rPr>
          <w:sz w:val="20"/>
          <w:szCs w:val="20"/>
          <w:lang w:val="es-ES"/>
        </w:rPr>
        <w:t xml:space="preserve"> encontró que su focalización se basa en criterios razonables y no en una decisión caprichosa o arbitraria del legislador. Por esta razón, como resultado del juicio realizado, es posible concluir que la norma que limita estas medidas de fomento a la poblac</w:t>
      </w:r>
      <w:r w:rsidRPr="00335884">
        <w:rPr>
          <w:sz w:val="20"/>
          <w:szCs w:val="20"/>
          <w:lang w:val="es-ES"/>
        </w:rPr>
        <w:t xml:space="preserve">ión menor de 28 </w:t>
      </w:r>
      <w:r w:rsidRPr="00335884">
        <w:rPr>
          <w:sz w:val="20"/>
          <w:szCs w:val="20"/>
          <w:lang w:val="es-ES"/>
        </w:rPr>
        <w:t>años</w:t>
      </w:r>
      <w:r w:rsidRPr="00335884">
        <w:rPr>
          <w:sz w:val="20"/>
          <w:szCs w:val="20"/>
          <w:lang w:val="es-ES"/>
        </w:rPr>
        <w:t xml:space="preserve"> no discrimina a la población que supere dicha edad por no ser suficientemente joven, sino que toma en cuenta la situación particularmente difícil en la que se encuentran los jóvenes menores de 28 años y que requiere una atención especi</w:t>
      </w:r>
      <w:r w:rsidRPr="00335884">
        <w:rPr>
          <w:sz w:val="20"/>
          <w:szCs w:val="20"/>
          <w:lang w:val="es-ES"/>
        </w:rPr>
        <w:t xml:space="preserve">al por parte del Estado, en pro de materializar el Estado Social de Derecho. </w:t>
      </w:r>
    </w:p>
  </w:footnote>
  <w:footnote w:id="85">
    <w:p w:rsidR="00BE2D4F"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t xml:space="preserve">Corte Constitucional. </w:t>
      </w:r>
      <w:r w:rsidRPr="00335884">
        <w:rPr>
          <w:lang w:val="es-ES"/>
        </w:rPr>
        <w:t>Sentencia C-371 de 2000:</w:t>
      </w:r>
      <w:r w:rsidRPr="00335884">
        <w:t xml:space="preserve"> “Una de las formas especiales de acción afirmativa es la discriminación positiva, es decir, aquel trato diferente que propende po</w:t>
      </w:r>
      <w:r w:rsidRPr="00335884">
        <w:t>r materializar la igualdad real, a través de acciones afirmativas de igualdad que recurren a criterios tradicionalmente utilizados para profundizar o al menos perpetuar la desigualdad, tales como el origen racial, el sexo o las preferencias sexuales (discr</w:t>
      </w:r>
      <w:r w:rsidRPr="00335884">
        <w:t>iminación negativa), pero son utilizados, por el contrario, para romper esa situación de desigualdad o, al menos, para estrechar la brecha de la desigualdad no formalmente jurídica, aunque presente en la sociedad. Por lo tanto, se trata de medidas transito</w:t>
      </w:r>
      <w:r w:rsidRPr="00335884">
        <w:t>rias cuyo desmonte resulta del análisis de su eficacia en la superación de la desigualdad que combate. Estas medidas se conocen también como formas de discriminación inversa y se refieren, por ejemplo, a las cuotas de empleo público reservadas a mujeres. E</w:t>
      </w:r>
      <w:r w:rsidRPr="00335884">
        <w:t>l fundamento de las políticas de acción afirmativa de igualdad, es el mismo artículo 13 de la Constitución Política el que dispone que “El Estado promoverá las condiciones para que la igualdad sea real y efectiva y adoptará medidas en favor de grupos discr</w:t>
      </w:r>
      <w:r w:rsidRPr="00335884">
        <w:t>iminados o marginados. El Estado protegerá especialmente a aquellas personas que por su condición económica, física o mental, se encuentren en circunstancia de debilidad manifiesta y sancionará los abusos o maltratos que contra ellas se cometan”.</w:t>
      </w:r>
    </w:p>
  </w:footnote>
  <w:footnote w:id="86">
    <w:p w:rsidR="00BE2D4F" w:rsidRPr="00335884" w:rsidRDefault="006D0761" w:rsidP="00EC589D">
      <w:pPr>
        <w:pStyle w:val="Textonotapie"/>
        <w:ind w:right="-46"/>
        <w:jc w:val="both"/>
        <w:rPr>
          <w:lang w:val="es-ES"/>
        </w:rPr>
      </w:pPr>
      <w:r w:rsidRPr="00335884">
        <w:rPr>
          <w:rStyle w:val="Refdenotaalpie"/>
        </w:rPr>
        <w:footnoteRef/>
      </w:r>
      <w:r w:rsidRPr="00335884">
        <w:rPr>
          <w:lang w:val="es-ES"/>
        </w:rPr>
        <w:t xml:space="preserve"> Ibidem</w:t>
      </w:r>
      <w:r w:rsidRPr="00335884">
        <w:rPr>
          <w:lang w:val="es-ES"/>
        </w:rPr>
        <w:t>.</w:t>
      </w:r>
    </w:p>
  </w:footnote>
  <w:footnote w:id="87">
    <w:p w:rsidR="00BE2D4F" w:rsidRPr="00335884" w:rsidRDefault="006D0761" w:rsidP="00EC589D">
      <w:pPr>
        <w:pStyle w:val="Textonotapie"/>
        <w:ind w:right="-46"/>
        <w:jc w:val="both"/>
        <w:rPr>
          <w:lang w:val="es-ES"/>
        </w:rPr>
      </w:pPr>
      <w:r w:rsidRPr="00335884">
        <w:rPr>
          <w:rStyle w:val="Refdenotaalpie"/>
        </w:rPr>
        <w:footnoteRef/>
      </w:r>
      <w:r w:rsidRPr="00335884">
        <w:t xml:space="preserve"> </w:t>
      </w:r>
      <w:r w:rsidRPr="00335884">
        <w:t xml:space="preserve">Corte Constitucional. </w:t>
      </w:r>
      <w:r w:rsidRPr="00335884">
        <w:t>S</w:t>
      </w:r>
      <w:r w:rsidRPr="00335884">
        <w:rPr>
          <w:color w:val="000000"/>
        </w:rPr>
        <w:t>entencia</w:t>
      </w:r>
      <w:r w:rsidRPr="00335884">
        <w:rPr>
          <w:color w:val="000000"/>
        </w:rPr>
        <w:t xml:space="preserve"> </w:t>
      </w:r>
      <w:r w:rsidRPr="00335884">
        <w:rPr>
          <w:color w:val="000000"/>
        </w:rPr>
        <w:t>C-964 de 2003.</w:t>
      </w:r>
    </w:p>
  </w:footnote>
  <w:footnote w:id="88">
    <w:p w:rsidR="007F402A" w:rsidRPr="008628EB" w:rsidRDefault="006D0761" w:rsidP="00127D6E">
      <w:pPr>
        <w:pStyle w:val="Textonotapie"/>
        <w:jc w:val="both"/>
      </w:pPr>
      <w:r w:rsidRPr="00335884">
        <w:rPr>
          <w:rStyle w:val="Refdenotaalpie"/>
        </w:rPr>
        <w:footnoteRef/>
      </w:r>
      <w:r w:rsidRPr="00335884">
        <w:t xml:space="preserve"> la Corte ha explicado que en aplicación del principio pro actione, la exigencia de los presupuestos para la presentación de una demanda, (i) no debe tener tal rigorismo que haga nugatorio ese derecho ciud</w:t>
      </w:r>
      <w:r w:rsidRPr="00335884">
        <w:t>adano, (ii) debiendo propender el tribunal constitucional hacia un fallo de fondo y no uno inhibitorio; por ende, (iii) la duda debe resolverse a favor del actor. Al respecto, en el fallo C-978 de 2010, la Corte señaló “No obstante, también ha resaltado, c</w:t>
      </w:r>
      <w:r w:rsidRPr="00335884">
        <w:t>on base en el principio de pro actione que el examen de los requisitos adjetivos de la demanda de constitucionalidad no debe ser sometido a un escrutinio excesivamente riguroso y que debe preferirse una decisión de fondo antes que una inhibitoria, de maner</w:t>
      </w:r>
      <w:r w:rsidRPr="00335884">
        <w:t xml:space="preserve">a que se privilegie la efectividad de los derechos de participación ciudadana y de acceso al recurso judicial efectivo ante la Corte. Este principio tiene en cuenta que la acción de inconstitucionalidad es de carácter público, es decir abierta a todos los </w:t>
      </w:r>
      <w:r w:rsidRPr="00335884">
        <w:t>ciudadanos, por lo que no exige acreditar la condición de abogado; en tal medida, ‘el rigor en el juicio que aplica la Corte al examinar la demanda no puede convertirse en un método de apreciación tan estricto que haga nugatorio el derecho reconocido al ac</w:t>
      </w:r>
      <w:r w:rsidRPr="00335884">
        <w:t>tor y que la duda habrá de interpretarse a favor del demandante, es decir, admitiendo la demanda y fallando de fondo.”</w:t>
      </w:r>
    </w:p>
  </w:footnote>
  <w:footnote w:id="89">
    <w:p w:rsidR="0019066F" w:rsidRPr="0019066F" w:rsidRDefault="006D0761">
      <w:pPr>
        <w:pStyle w:val="Textonotapie"/>
      </w:pPr>
      <w:r>
        <w:rPr>
          <w:rStyle w:val="Refdenotaalpie"/>
        </w:rPr>
        <w:footnoteRef/>
      </w:r>
      <w:r>
        <w:t xml:space="preserve"> </w:t>
      </w:r>
      <w:r>
        <w:rPr>
          <w:i/>
          <w:iCs/>
        </w:rPr>
        <w:t>Cfr.</w:t>
      </w:r>
      <w:r>
        <w:t xml:space="preserve">, entre otras, sentencias </w:t>
      </w:r>
      <w:r w:rsidRPr="002A4FC3">
        <w:t>C-147 de 2017</w:t>
      </w:r>
      <w:r>
        <w:t xml:space="preserve"> y C-146 de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722BC"/>
    <w:multiLevelType w:val="multilevel"/>
    <w:tmpl w:val="F1284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AD63C0"/>
    <w:multiLevelType w:val="hybridMultilevel"/>
    <w:tmpl w:val="3304838A"/>
    <w:lvl w:ilvl="0" w:tplc="CA5CC564">
      <w:start w:val="2"/>
      <w:numFmt w:val="decimal"/>
      <w:lvlText w:val="%1."/>
      <w:lvlJc w:val="left"/>
      <w:pPr>
        <w:ind w:left="720" w:hanging="360"/>
      </w:pPr>
      <w:rPr>
        <w:rFonts w:hint="default"/>
        <w:sz w:val="28"/>
        <w:szCs w:val="28"/>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BCB471F"/>
    <w:multiLevelType w:val="hybridMultilevel"/>
    <w:tmpl w:val="8F041750"/>
    <w:lvl w:ilvl="0" w:tplc="7318F376">
      <w:start w:val="1"/>
      <w:numFmt w:val="decimal"/>
      <w:lvlText w:val="%1."/>
      <w:lvlJc w:val="left"/>
      <w:pPr>
        <w:ind w:left="360" w:hanging="360"/>
      </w:pPr>
      <w:rPr>
        <w:rFonts w:hint="default"/>
      </w:rPr>
    </w:lvl>
    <w:lvl w:ilvl="1" w:tplc="FFFFFFFF">
      <w:start w:val="1"/>
      <w:numFmt w:val="bullet"/>
      <w:lvlText w:val="o"/>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D07D97"/>
    <w:multiLevelType w:val="hybridMultilevel"/>
    <w:tmpl w:val="810E77E6"/>
    <w:lvl w:ilvl="0" w:tplc="EF74F610">
      <w:start w:val="1"/>
      <w:numFmt w:val="upperRoman"/>
      <w:lvlText w:val="%1."/>
      <w:lvlJc w:val="left"/>
      <w:pPr>
        <w:ind w:left="800" w:hanging="720"/>
      </w:pPr>
      <w:rPr>
        <w:rFonts w:hint="default"/>
      </w:rPr>
    </w:lvl>
    <w:lvl w:ilvl="1" w:tplc="080A0019" w:tentative="1">
      <w:start w:val="1"/>
      <w:numFmt w:val="lowerLetter"/>
      <w:lvlText w:val="%2."/>
      <w:lvlJc w:val="left"/>
      <w:pPr>
        <w:ind w:left="1160" w:hanging="360"/>
      </w:pPr>
    </w:lvl>
    <w:lvl w:ilvl="2" w:tplc="080A001B" w:tentative="1">
      <w:start w:val="1"/>
      <w:numFmt w:val="lowerRoman"/>
      <w:lvlText w:val="%3."/>
      <w:lvlJc w:val="right"/>
      <w:pPr>
        <w:ind w:left="1880" w:hanging="180"/>
      </w:pPr>
    </w:lvl>
    <w:lvl w:ilvl="3" w:tplc="080A000F" w:tentative="1">
      <w:start w:val="1"/>
      <w:numFmt w:val="decimal"/>
      <w:lvlText w:val="%4."/>
      <w:lvlJc w:val="left"/>
      <w:pPr>
        <w:ind w:left="2600" w:hanging="360"/>
      </w:pPr>
    </w:lvl>
    <w:lvl w:ilvl="4" w:tplc="080A0019" w:tentative="1">
      <w:start w:val="1"/>
      <w:numFmt w:val="lowerLetter"/>
      <w:lvlText w:val="%5."/>
      <w:lvlJc w:val="left"/>
      <w:pPr>
        <w:ind w:left="3320" w:hanging="360"/>
      </w:pPr>
    </w:lvl>
    <w:lvl w:ilvl="5" w:tplc="080A001B" w:tentative="1">
      <w:start w:val="1"/>
      <w:numFmt w:val="lowerRoman"/>
      <w:lvlText w:val="%6."/>
      <w:lvlJc w:val="right"/>
      <w:pPr>
        <w:ind w:left="4040" w:hanging="180"/>
      </w:pPr>
    </w:lvl>
    <w:lvl w:ilvl="6" w:tplc="080A000F" w:tentative="1">
      <w:start w:val="1"/>
      <w:numFmt w:val="decimal"/>
      <w:lvlText w:val="%7."/>
      <w:lvlJc w:val="left"/>
      <w:pPr>
        <w:ind w:left="4760" w:hanging="360"/>
      </w:pPr>
    </w:lvl>
    <w:lvl w:ilvl="7" w:tplc="080A0019" w:tentative="1">
      <w:start w:val="1"/>
      <w:numFmt w:val="lowerLetter"/>
      <w:lvlText w:val="%8."/>
      <w:lvlJc w:val="left"/>
      <w:pPr>
        <w:ind w:left="5480" w:hanging="360"/>
      </w:pPr>
    </w:lvl>
    <w:lvl w:ilvl="8" w:tplc="080A001B" w:tentative="1">
      <w:start w:val="1"/>
      <w:numFmt w:val="lowerRoman"/>
      <w:lvlText w:val="%9."/>
      <w:lvlJc w:val="right"/>
      <w:pPr>
        <w:ind w:left="620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2594"/>
    <w:rsid w:val="00252594"/>
    <w:rsid w:val="006D0761"/>
    <w:rsid w:val="00F70D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1D3F920-2D80-4181-BDFE-CBE2DA38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Ttulo1">
    <w:name w:val="heading 1"/>
    <w:basedOn w:val="Normal"/>
    <w:next w:val="Normal"/>
    <w:link w:val="Ttulo1Car"/>
    <w:uiPriority w:val="9"/>
    <w:qFormat/>
    <w:rsid w:val="00F573C1"/>
    <w:pPr>
      <w:keepNext/>
      <w:keepLines/>
      <w:spacing w:before="360" w:after="80"/>
      <w:jc w:val="both"/>
      <w:outlineLvl w:val="0"/>
    </w:pPr>
    <w:rPr>
      <w:b/>
      <w:sz w:val="28"/>
      <w:szCs w:val="40"/>
    </w:rPr>
  </w:style>
  <w:style w:type="paragraph" w:styleId="Ttulo2">
    <w:name w:val="heading 2"/>
    <w:basedOn w:val="Normal"/>
    <w:next w:val="Normal"/>
    <w:link w:val="Ttulo2Car"/>
    <w:uiPriority w:val="9"/>
    <w:unhideWhenUsed/>
    <w:qFormat/>
    <w:rsid w:val="00F573C1"/>
    <w:pPr>
      <w:keepNext/>
      <w:keepLines/>
      <w:spacing w:before="40"/>
      <w:jc w:val="both"/>
      <w:outlineLvl w:val="1"/>
    </w:pPr>
    <w:rPr>
      <w:b/>
      <w:sz w:val="28"/>
      <w:szCs w:val="26"/>
    </w:rPr>
  </w:style>
  <w:style w:type="paragraph" w:styleId="Ttulo3">
    <w:name w:val="heading 3"/>
    <w:basedOn w:val="Normal"/>
    <w:next w:val="Normal"/>
    <w:link w:val="Ttulo3Car"/>
    <w:uiPriority w:val="9"/>
    <w:unhideWhenUsed/>
    <w:qFormat/>
    <w:rsid w:val="00812E14"/>
    <w:pPr>
      <w:keepNext/>
      <w:keepLines/>
      <w:spacing w:before="40"/>
      <w:jc w:val="both"/>
      <w:outlineLvl w:val="2"/>
    </w:pPr>
    <w:rPr>
      <w:b/>
    </w:rPr>
  </w:style>
  <w:style w:type="paragraph" w:styleId="Ttulo4">
    <w:name w:val="heading 4"/>
    <w:basedOn w:val="Normal"/>
    <w:next w:val="Normal"/>
    <w:link w:val="Ttulo4Car"/>
    <w:uiPriority w:val="9"/>
    <w:semiHidden/>
    <w:unhideWhenUsed/>
    <w:qFormat/>
    <w:rsid w:val="00887DCE"/>
    <w:pPr>
      <w:keepNext/>
      <w:keepLines/>
      <w:spacing w:before="40"/>
      <w:outlineLvl w:val="3"/>
    </w:pPr>
    <w:rPr>
      <w:rFonts w:ascii="Calibri Light" w:hAnsi="Calibri Light"/>
      <w:i/>
      <w:iCs/>
      <w:color w:val="2F5496"/>
    </w:rPr>
  </w:style>
  <w:style w:type="paragraph" w:styleId="Ttulo5">
    <w:name w:val="heading 5"/>
    <w:basedOn w:val="Normal"/>
    <w:next w:val="Normal"/>
    <w:link w:val="Ttulo5Car"/>
    <w:uiPriority w:val="9"/>
    <w:semiHidden/>
    <w:unhideWhenUsed/>
    <w:qFormat/>
    <w:rsid w:val="0070153E"/>
    <w:pPr>
      <w:keepNext/>
      <w:keepLines/>
      <w:spacing w:before="40"/>
      <w:outlineLvl w:val="4"/>
    </w:pPr>
    <w:rPr>
      <w:rFonts w:ascii="Calibri Light" w:hAnsi="Calibri Light"/>
      <w:color w:val="2F5496"/>
    </w:rPr>
  </w:style>
  <w:style w:type="paragraph" w:styleId="Ttulo6">
    <w:name w:val="heading 6"/>
    <w:basedOn w:val="Normal"/>
    <w:next w:val="Normal"/>
    <w:link w:val="Ttulo6Car"/>
    <w:uiPriority w:val="9"/>
    <w:semiHidden/>
    <w:unhideWhenUsed/>
    <w:qFormat/>
    <w:rsid w:val="0000399E"/>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0399E"/>
    <w:pPr>
      <w:keepNext/>
      <w:keepLines/>
      <w:spacing w:before="40" w:after="0"/>
      <w:outlineLvl w:val="6"/>
    </w:pPr>
    <w:rPr>
      <w:color w:val="595959"/>
    </w:rPr>
  </w:style>
  <w:style w:type="paragraph" w:styleId="Ttulo8">
    <w:name w:val="heading 8"/>
    <w:basedOn w:val="Normal"/>
    <w:next w:val="Normal"/>
    <w:link w:val="Ttulo8Car"/>
    <w:uiPriority w:val="9"/>
    <w:semiHidden/>
    <w:unhideWhenUsed/>
    <w:qFormat/>
    <w:rsid w:val="0000399E"/>
    <w:pPr>
      <w:keepNext/>
      <w:keepLines/>
      <w:spacing w:after="0"/>
      <w:outlineLvl w:val="7"/>
    </w:pPr>
    <w:rPr>
      <w:i/>
      <w:iCs/>
      <w:color w:val="272727"/>
    </w:rPr>
  </w:style>
  <w:style w:type="paragraph" w:styleId="Ttulo9">
    <w:name w:val="heading 9"/>
    <w:basedOn w:val="Normal"/>
    <w:next w:val="Normal"/>
    <w:link w:val="Ttulo9Car"/>
    <w:uiPriority w:val="9"/>
    <w:semiHidden/>
    <w:unhideWhenUsed/>
    <w:qFormat/>
    <w:rsid w:val="0000399E"/>
    <w:pPr>
      <w:keepNext/>
      <w:keepLines/>
      <w:spacing w:after="0"/>
      <w:outlineLvl w:val="8"/>
    </w:pPr>
    <w:rPr>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79BEA28A"/>
    <w:pPr>
      <w:ind w:left="720"/>
      <w:contextualSpacing/>
    </w:pPr>
  </w:style>
  <w:style w:type="paragraph" w:customStyle="1" w:styleId="paragraph">
    <w:name w:val="paragraph"/>
    <w:basedOn w:val="Normal"/>
    <w:rsid w:val="00D528A1"/>
    <w:pPr>
      <w:spacing w:before="100" w:beforeAutospacing="1" w:after="100" w:afterAutospacing="1"/>
    </w:pPr>
    <w:rPr>
      <w:lang w:val="en-US" w:eastAsia="en-US"/>
    </w:rPr>
  </w:style>
  <w:style w:type="character" w:customStyle="1" w:styleId="normaltextrun">
    <w:name w:val="normaltextrun"/>
    <w:basedOn w:val="Fuentedeprrafopredeter"/>
    <w:rsid w:val="00D528A1"/>
  </w:style>
  <w:style w:type="character" w:customStyle="1" w:styleId="eop">
    <w:name w:val="eop"/>
    <w:basedOn w:val="Fuentedeprrafopredeter"/>
    <w:rsid w:val="00D528A1"/>
  </w:style>
  <w:style w:type="table" w:styleId="Tablaconcuadrcula">
    <w:name w:val="Table Grid"/>
    <w:basedOn w:val="Tablanormal"/>
    <w:uiPriority w:val="59"/>
    <w:rsid w:val="00BD459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aliases w:val="Footnote Text Char Char Char Char Char,Footnote Text Char Char Char Char,Footnote reference,FA Fu,Footnote Text Char Char Char,texto de nota al pie,Footnote Text Char Char Char Char Char Char Char Char,Footnote Text Char,Pie de Págin,ft,C"/>
    <w:basedOn w:val="Normal"/>
    <w:link w:val="TextonotapieCar"/>
    <w:uiPriority w:val="99"/>
    <w:unhideWhenUsed/>
    <w:qFormat/>
    <w:rsid w:val="00354CDE"/>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texto de nota al pie Car,Footnote Text Char Char Char Char Char Char Char Char Car"/>
    <w:link w:val="Textonotapie"/>
    <w:uiPriority w:val="99"/>
    <w:qFormat/>
    <w:rsid w:val="00354CDE"/>
    <w:rPr>
      <w:sz w:val="20"/>
      <w:szCs w:val="20"/>
    </w:rPr>
  </w:style>
  <w:style w:type="character" w:styleId="Refdenotaalpie">
    <w:name w:val="footnote reference"/>
    <w:uiPriority w:val="99"/>
    <w:semiHidden/>
    <w:unhideWhenUsed/>
    <w:rsid w:val="00354CDE"/>
    <w:rPr>
      <w:vertAlign w:val="superscript"/>
    </w:rPr>
  </w:style>
  <w:style w:type="paragraph" w:styleId="Encabezado">
    <w:name w:val="header"/>
    <w:basedOn w:val="Normal"/>
    <w:link w:val="EncabezadoCar"/>
    <w:uiPriority w:val="99"/>
    <w:unhideWhenUsed/>
    <w:rsid w:val="00E307F9"/>
    <w:pPr>
      <w:tabs>
        <w:tab w:val="center" w:pos="4680"/>
        <w:tab w:val="right" w:pos="9360"/>
      </w:tabs>
    </w:pPr>
  </w:style>
  <w:style w:type="character" w:customStyle="1" w:styleId="EncabezadoCar">
    <w:name w:val="Encabezado Car"/>
    <w:basedOn w:val="Fuentedeprrafopredeter"/>
    <w:link w:val="Encabezado"/>
    <w:uiPriority w:val="99"/>
    <w:rsid w:val="00E307F9"/>
  </w:style>
  <w:style w:type="paragraph" w:styleId="Piedepgina">
    <w:name w:val="footer"/>
    <w:basedOn w:val="Normal"/>
    <w:link w:val="PiedepginaCar"/>
    <w:uiPriority w:val="99"/>
    <w:unhideWhenUsed/>
    <w:rsid w:val="00E307F9"/>
    <w:pPr>
      <w:tabs>
        <w:tab w:val="center" w:pos="4680"/>
        <w:tab w:val="right" w:pos="9360"/>
      </w:tabs>
    </w:pPr>
  </w:style>
  <w:style w:type="character" w:customStyle="1" w:styleId="PiedepginaCar">
    <w:name w:val="Pie de página Car"/>
    <w:basedOn w:val="Fuentedeprrafopredeter"/>
    <w:link w:val="Piedepgina"/>
    <w:uiPriority w:val="99"/>
    <w:rsid w:val="00E307F9"/>
  </w:style>
  <w:style w:type="character" w:styleId="Hipervnculo">
    <w:name w:val="Hyperlink"/>
    <w:uiPriority w:val="99"/>
    <w:unhideWhenUsed/>
    <w:rsid w:val="00FE7863"/>
    <w:rPr>
      <w:color w:val="0563C1"/>
      <w:u w:val="single"/>
    </w:rPr>
  </w:style>
  <w:style w:type="character" w:styleId="Hipervnculovisitado">
    <w:name w:val="FollowedHyperlink"/>
    <w:uiPriority w:val="99"/>
    <w:semiHidden/>
    <w:unhideWhenUsed/>
    <w:rsid w:val="00FE7863"/>
    <w:rPr>
      <w:color w:val="954F72"/>
      <w:u w:val="single"/>
    </w:rPr>
  </w:style>
  <w:style w:type="character" w:customStyle="1" w:styleId="Ttulo3Car">
    <w:name w:val="Título 3 Car"/>
    <w:link w:val="Ttulo3"/>
    <w:uiPriority w:val="9"/>
    <w:rsid w:val="00812E14"/>
    <w:rPr>
      <w:rFonts w:ascii="Times New Roman" w:eastAsia="Times New Roman" w:hAnsi="Times New Roman" w:cs="Times New Roman"/>
      <w:b/>
      <w:lang w:val="es-CO" w:eastAsia="es-ES_tradnl"/>
    </w:rPr>
  </w:style>
  <w:style w:type="paragraph" w:styleId="NormalWeb">
    <w:name w:val="Normal (Web)"/>
    <w:basedOn w:val="Normal"/>
    <w:uiPriority w:val="99"/>
    <w:unhideWhenUsed/>
    <w:rsid w:val="003F2601"/>
    <w:pPr>
      <w:spacing w:before="100" w:beforeAutospacing="1" w:after="100" w:afterAutospacing="1"/>
    </w:pPr>
  </w:style>
  <w:style w:type="character" w:customStyle="1" w:styleId="Ttulo2Car">
    <w:name w:val="Título 2 Car"/>
    <w:link w:val="Ttulo2"/>
    <w:uiPriority w:val="9"/>
    <w:rsid w:val="00F573C1"/>
    <w:rPr>
      <w:rFonts w:ascii="Times New Roman" w:eastAsia="Times New Roman" w:hAnsi="Times New Roman" w:cs="Times New Roman"/>
      <w:b/>
      <w:sz w:val="28"/>
      <w:szCs w:val="26"/>
      <w:lang w:val="es-CO" w:eastAsia="es-ES_tradnl"/>
    </w:rPr>
  </w:style>
  <w:style w:type="character" w:customStyle="1" w:styleId="Mencinsinresolver1">
    <w:name w:val="Mención sin resolver1"/>
    <w:uiPriority w:val="99"/>
    <w:semiHidden/>
    <w:unhideWhenUsed/>
    <w:rsid w:val="00180617"/>
    <w:rPr>
      <w:color w:val="605E5C"/>
      <w:shd w:val="clear" w:color="auto" w:fill="E1DFDD"/>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6A6BC5"/>
  </w:style>
  <w:style w:type="character" w:styleId="Referenciasutil">
    <w:name w:val="Subtle Reference"/>
    <w:uiPriority w:val="31"/>
    <w:qFormat/>
    <w:rsid w:val="00F233E0"/>
    <w:rPr>
      <w:lang w:val="es-CO"/>
    </w:rPr>
  </w:style>
  <w:style w:type="character" w:customStyle="1" w:styleId="apple-converted-space">
    <w:name w:val="apple-converted-space"/>
    <w:basedOn w:val="Fuentedeprrafopredeter"/>
    <w:rsid w:val="005A388C"/>
  </w:style>
  <w:style w:type="character" w:customStyle="1" w:styleId="Ttulo5Car">
    <w:name w:val="Título 5 Car"/>
    <w:link w:val="Ttulo5"/>
    <w:uiPriority w:val="9"/>
    <w:semiHidden/>
    <w:rsid w:val="0070153E"/>
    <w:rPr>
      <w:rFonts w:ascii="Calibri Light" w:eastAsia="Times New Roman" w:hAnsi="Calibri Light" w:cs="Times New Roman"/>
      <w:color w:val="2F5496"/>
    </w:rPr>
  </w:style>
  <w:style w:type="paragraph" w:customStyle="1" w:styleId="sinespaciado1">
    <w:name w:val="sinespaciado1"/>
    <w:basedOn w:val="Normal"/>
    <w:rsid w:val="0070153E"/>
    <w:pPr>
      <w:spacing w:before="100" w:beforeAutospacing="1" w:after="100" w:afterAutospacing="1"/>
    </w:pPr>
  </w:style>
  <w:style w:type="character" w:customStyle="1" w:styleId="Ttulo4Car">
    <w:name w:val="Título 4 Car"/>
    <w:link w:val="Ttulo4"/>
    <w:uiPriority w:val="9"/>
    <w:semiHidden/>
    <w:rsid w:val="00887DCE"/>
    <w:rPr>
      <w:rFonts w:ascii="Calibri Light" w:eastAsia="Times New Roman" w:hAnsi="Calibri Light" w:cs="Times New Roman"/>
      <w:i/>
      <w:iCs/>
      <w:color w:val="2F5496"/>
      <w:lang w:val="es-CO" w:eastAsia="es-ES_tradnl"/>
    </w:rPr>
  </w:style>
  <w:style w:type="character" w:styleId="Refdecomentario">
    <w:name w:val="annotation reference"/>
    <w:uiPriority w:val="99"/>
    <w:semiHidden/>
    <w:unhideWhenUsed/>
    <w:rsid w:val="005075D7"/>
    <w:rPr>
      <w:sz w:val="16"/>
      <w:szCs w:val="16"/>
    </w:rPr>
  </w:style>
  <w:style w:type="paragraph" w:styleId="Textocomentario">
    <w:name w:val="annotation text"/>
    <w:basedOn w:val="Normal"/>
    <w:link w:val="TextocomentarioCar"/>
    <w:uiPriority w:val="99"/>
    <w:semiHidden/>
    <w:unhideWhenUsed/>
    <w:rsid w:val="005075D7"/>
    <w:rPr>
      <w:sz w:val="20"/>
      <w:szCs w:val="20"/>
    </w:rPr>
  </w:style>
  <w:style w:type="character" w:customStyle="1" w:styleId="TextocomentarioCar">
    <w:name w:val="Texto comentario Car"/>
    <w:link w:val="Textocomentario"/>
    <w:uiPriority w:val="99"/>
    <w:semiHidden/>
    <w:rsid w:val="005075D7"/>
    <w:rPr>
      <w:rFonts w:ascii="Times New Roman" w:eastAsia="Times New Roman" w:hAnsi="Times New Roman" w:cs="Times New Roman"/>
      <w:sz w:val="20"/>
      <w:szCs w:val="20"/>
      <w:lang w:val="es-CO" w:eastAsia="es-ES_tradnl"/>
    </w:rPr>
  </w:style>
  <w:style w:type="paragraph" w:styleId="Asuntodelcomentario">
    <w:name w:val="annotation subject"/>
    <w:basedOn w:val="Textocomentario"/>
    <w:next w:val="Textocomentario"/>
    <w:link w:val="AsuntodelcomentarioCar"/>
    <w:uiPriority w:val="99"/>
    <w:semiHidden/>
    <w:unhideWhenUsed/>
    <w:rsid w:val="005075D7"/>
    <w:rPr>
      <w:b/>
      <w:bCs/>
    </w:rPr>
  </w:style>
  <w:style w:type="character" w:customStyle="1" w:styleId="AsuntodelcomentarioCar">
    <w:name w:val="Asunto del comentario Car"/>
    <w:link w:val="Asuntodelcomentario"/>
    <w:uiPriority w:val="99"/>
    <w:semiHidden/>
    <w:rsid w:val="005075D7"/>
    <w:rPr>
      <w:rFonts w:ascii="Times New Roman" w:eastAsia="Times New Roman" w:hAnsi="Times New Roman" w:cs="Times New Roman"/>
      <w:b/>
      <w:bCs/>
      <w:sz w:val="20"/>
      <w:szCs w:val="20"/>
      <w:lang w:val="es-CO" w:eastAsia="es-ES_tradnl"/>
    </w:rPr>
  </w:style>
  <w:style w:type="paragraph" w:styleId="Textodeglobo">
    <w:name w:val="Balloon Text"/>
    <w:basedOn w:val="Normal"/>
    <w:link w:val="TextodegloboCar"/>
    <w:uiPriority w:val="99"/>
    <w:semiHidden/>
    <w:unhideWhenUsed/>
    <w:rsid w:val="005075D7"/>
    <w:rPr>
      <w:rFonts w:ascii="Segoe UI" w:hAnsi="Segoe UI" w:cs="Segoe UI"/>
      <w:sz w:val="18"/>
      <w:szCs w:val="18"/>
    </w:rPr>
  </w:style>
  <w:style w:type="character" w:customStyle="1" w:styleId="TextodegloboCar">
    <w:name w:val="Texto de globo Car"/>
    <w:link w:val="Textodeglobo"/>
    <w:uiPriority w:val="99"/>
    <w:semiHidden/>
    <w:rsid w:val="005075D7"/>
    <w:rPr>
      <w:rFonts w:ascii="Segoe UI" w:eastAsia="Times New Roman" w:hAnsi="Segoe UI" w:cs="Segoe UI"/>
      <w:sz w:val="18"/>
      <w:szCs w:val="18"/>
      <w:lang w:val="es-CO" w:eastAsia="es-ES_tradnl"/>
    </w:rPr>
  </w:style>
  <w:style w:type="paragraph" w:styleId="Revisin">
    <w:name w:val="Revision"/>
    <w:hidden/>
    <w:uiPriority w:val="99"/>
    <w:semiHidden/>
    <w:rsid w:val="00FC2E8C"/>
    <w:rPr>
      <w:rFonts w:ascii="Times New Roman" w:hAnsi="Times New Roman"/>
      <w:sz w:val="22"/>
      <w:szCs w:val="22"/>
      <w:lang w:eastAsia="es-ES_tradnl"/>
    </w:rPr>
  </w:style>
  <w:style w:type="paragraph" w:customStyle="1" w:styleId="centrado">
    <w:name w:val="centrado"/>
    <w:basedOn w:val="Normal"/>
    <w:rsid w:val="000B36A3"/>
    <w:pPr>
      <w:spacing w:before="100" w:beforeAutospacing="1" w:after="100" w:afterAutospacing="1"/>
    </w:pPr>
  </w:style>
  <w:style w:type="character" w:customStyle="1" w:styleId="baj">
    <w:name w:val="b_aj"/>
    <w:basedOn w:val="Fuentedeprrafopredeter"/>
    <w:rsid w:val="000B36A3"/>
  </w:style>
  <w:style w:type="character" w:customStyle="1" w:styleId="iaj">
    <w:name w:val="i_aj"/>
    <w:basedOn w:val="Fuentedeprrafopredeter"/>
    <w:rsid w:val="000B36A3"/>
  </w:style>
  <w:style w:type="character" w:styleId="Mencinsinresolver">
    <w:name w:val="Unresolved Mention"/>
    <w:uiPriority w:val="99"/>
    <w:semiHidden/>
    <w:unhideWhenUsed/>
    <w:rsid w:val="00B05B4F"/>
    <w:rPr>
      <w:color w:val="605E5C"/>
      <w:shd w:val="clear" w:color="auto" w:fill="E1DFDD"/>
    </w:rPr>
  </w:style>
  <w:style w:type="paragraph" w:styleId="TtuloTDC">
    <w:name w:val="TOC Heading"/>
    <w:basedOn w:val="Ttulo1"/>
    <w:next w:val="Normal"/>
    <w:uiPriority w:val="39"/>
    <w:unhideWhenUsed/>
    <w:qFormat/>
    <w:rsid w:val="00F573C1"/>
    <w:pPr>
      <w:spacing w:before="480" w:after="0" w:line="276" w:lineRule="auto"/>
      <w:jc w:val="left"/>
      <w:outlineLvl w:val="9"/>
    </w:pPr>
    <w:rPr>
      <w:rFonts w:ascii="Calibri Light" w:hAnsi="Calibri Light"/>
      <w:bCs/>
      <w:color w:val="2F5496"/>
      <w:szCs w:val="28"/>
      <w:lang w:eastAsia="es-MX"/>
    </w:rPr>
  </w:style>
  <w:style w:type="paragraph" w:styleId="TDC1">
    <w:name w:val="toc 1"/>
    <w:basedOn w:val="Normal"/>
    <w:next w:val="Normal"/>
    <w:autoRedefine/>
    <w:uiPriority w:val="39"/>
    <w:unhideWhenUsed/>
    <w:rsid w:val="00330CB9"/>
    <w:pPr>
      <w:tabs>
        <w:tab w:val="left" w:pos="480"/>
        <w:tab w:val="right" w:leader="dot" w:pos="9016"/>
      </w:tabs>
      <w:spacing w:before="120"/>
    </w:pPr>
    <w:rPr>
      <w:b/>
      <w:bCs/>
      <w:i/>
      <w:iCs/>
    </w:rPr>
  </w:style>
  <w:style w:type="paragraph" w:styleId="TDC2">
    <w:name w:val="toc 2"/>
    <w:basedOn w:val="Normal"/>
    <w:next w:val="Normal"/>
    <w:autoRedefine/>
    <w:uiPriority w:val="39"/>
    <w:unhideWhenUsed/>
    <w:rsid w:val="00F573C1"/>
    <w:pPr>
      <w:spacing w:before="120"/>
      <w:ind w:left="240"/>
    </w:pPr>
    <w:rPr>
      <w:b/>
      <w:bCs/>
    </w:rPr>
  </w:style>
  <w:style w:type="paragraph" w:styleId="TDC3">
    <w:name w:val="toc 3"/>
    <w:basedOn w:val="Normal"/>
    <w:next w:val="Normal"/>
    <w:autoRedefine/>
    <w:uiPriority w:val="39"/>
    <w:unhideWhenUsed/>
    <w:rsid w:val="00F573C1"/>
    <w:pPr>
      <w:ind w:left="480"/>
    </w:pPr>
    <w:rPr>
      <w:sz w:val="20"/>
      <w:szCs w:val="20"/>
    </w:rPr>
  </w:style>
  <w:style w:type="paragraph" w:styleId="TDC4">
    <w:name w:val="toc 4"/>
    <w:basedOn w:val="Normal"/>
    <w:next w:val="Normal"/>
    <w:autoRedefine/>
    <w:uiPriority w:val="39"/>
    <w:semiHidden/>
    <w:unhideWhenUsed/>
    <w:rsid w:val="00F573C1"/>
    <w:pPr>
      <w:ind w:left="720"/>
    </w:pPr>
    <w:rPr>
      <w:sz w:val="20"/>
      <w:szCs w:val="20"/>
    </w:rPr>
  </w:style>
  <w:style w:type="paragraph" w:styleId="TDC5">
    <w:name w:val="toc 5"/>
    <w:basedOn w:val="Normal"/>
    <w:next w:val="Normal"/>
    <w:autoRedefine/>
    <w:uiPriority w:val="39"/>
    <w:semiHidden/>
    <w:unhideWhenUsed/>
    <w:rsid w:val="00F573C1"/>
    <w:pPr>
      <w:ind w:left="960"/>
    </w:pPr>
    <w:rPr>
      <w:sz w:val="20"/>
      <w:szCs w:val="20"/>
    </w:rPr>
  </w:style>
  <w:style w:type="paragraph" w:styleId="TDC6">
    <w:name w:val="toc 6"/>
    <w:basedOn w:val="Normal"/>
    <w:next w:val="Normal"/>
    <w:autoRedefine/>
    <w:uiPriority w:val="39"/>
    <w:semiHidden/>
    <w:unhideWhenUsed/>
    <w:rsid w:val="00F573C1"/>
    <w:pPr>
      <w:ind w:left="1200"/>
    </w:pPr>
    <w:rPr>
      <w:sz w:val="20"/>
      <w:szCs w:val="20"/>
    </w:rPr>
  </w:style>
  <w:style w:type="paragraph" w:styleId="TDC7">
    <w:name w:val="toc 7"/>
    <w:basedOn w:val="Normal"/>
    <w:next w:val="Normal"/>
    <w:autoRedefine/>
    <w:uiPriority w:val="39"/>
    <w:semiHidden/>
    <w:unhideWhenUsed/>
    <w:rsid w:val="00F573C1"/>
    <w:pPr>
      <w:ind w:left="1440"/>
    </w:pPr>
    <w:rPr>
      <w:sz w:val="20"/>
      <w:szCs w:val="20"/>
    </w:rPr>
  </w:style>
  <w:style w:type="paragraph" w:styleId="TDC8">
    <w:name w:val="toc 8"/>
    <w:basedOn w:val="Normal"/>
    <w:next w:val="Normal"/>
    <w:autoRedefine/>
    <w:uiPriority w:val="39"/>
    <w:semiHidden/>
    <w:unhideWhenUsed/>
    <w:rsid w:val="00F573C1"/>
    <w:pPr>
      <w:ind w:left="1680"/>
    </w:pPr>
    <w:rPr>
      <w:sz w:val="20"/>
      <w:szCs w:val="20"/>
    </w:rPr>
  </w:style>
  <w:style w:type="paragraph" w:styleId="TDC9">
    <w:name w:val="toc 9"/>
    <w:basedOn w:val="Normal"/>
    <w:next w:val="Normal"/>
    <w:autoRedefine/>
    <w:uiPriority w:val="39"/>
    <w:semiHidden/>
    <w:unhideWhenUsed/>
    <w:rsid w:val="00F573C1"/>
    <w:pPr>
      <w:ind w:left="1920"/>
    </w:pPr>
    <w:rPr>
      <w:sz w:val="20"/>
      <w:szCs w:val="20"/>
    </w:rPr>
  </w:style>
  <w:style w:type="character" w:customStyle="1" w:styleId="Ttulo1Car">
    <w:name w:val="Título 1 Car"/>
    <w:link w:val="Ttulo1"/>
    <w:uiPriority w:val="9"/>
    <w:rsid w:val="0000399E"/>
    <w:rPr>
      <w:rFonts w:ascii="Calibri Light" w:eastAsia="Times New Roman" w:hAnsi="Calibri Light" w:cs="Times New Roman"/>
      <w:color w:val="2F5496"/>
      <w:sz w:val="40"/>
      <w:szCs w:val="40"/>
    </w:rPr>
  </w:style>
  <w:style w:type="character" w:customStyle="1" w:styleId="Ttulo6Car">
    <w:name w:val="Título 6 Car"/>
    <w:link w:val="Ttulo6"/>
    <w:uiPriority w:val="9"/>
    <w:semiHidden/>
    <w:rsid w:val="0000399E"/>
    <w:rPr>
      <w:rFonts w:eastAsia="Times New Roman" w:cs="Times New Roman"/>
      <w:i/>
      <w:iCs/>
      <w:color w:val="595959"/>
    </w:rPr>
  </w:style>
  <w:style w:type="character" w:customStyle="1" w:styleId="Ttulo7Car">
    <w:name w:val="Título 7 Car"/>
    <w:link w:val="Ttulo7"/>
    <w:uiPriority w:val="9"/>
    <w:semiHidden/>
    <w:rsid w:val="0000399E"/>
    <w:rPr>
      <w:rFonts w:eastAsia="Times New Roman" w:cs="Times New Roman"/>
      <w:color w:val="595959"/>
    </w:rPr>
  </w:style>
  <w:style w:type="character" w:customStyle="1" w:styleId="Ttulo8Car">
    <w:name w:val="Título 8 Car"/>
    <w:link w:val="Ttulo8"/>
    <w:uiPriority w:val="9"/>
    <w:semiHidden/>
    <w:rsid w:val="0000399E"/>
    <w:rPr>
      <w:rFonts w:eastAsia="Times New Roman" w:cs="Times New Roman"/>
      <w:i/>
      <w:iCs/>
      <w:color w:val="272727"/>
    </w:rPr>
  </w:style>
  <w:style w:type="character" w:customStyle="1" w:styleId="Ttulo9Car">
    <w:name w:val="Título 9 Car"/>
    <w:link w:val="Ttulo9"/>
    <w:uiPriority w:val="9"/>
    <w:semiHidden/>
    <w:rsid w:val="0000399E"/>
    <w:rPr>
      <w:rFonts w:eastAsia="Times New Roman" w:cs="Times New Roman"/>
      <w:color w:val="272727"/>
    </w:rPr>
  </w:style>
  <w:style w:type="paragraph" w:styleId="Ttulo">
    <w:name w:val="Title"/>
    <w:basedOn w:val="Normal"/>
    <w:next w:val="Normal"/>
    <w:link w:val="TtuloCar"/>
    <w:uiPriority w:val="10"/>
    <w:qFormat/>
    <w:rsid w:val="0000399E"/>
    <w:pPr>
      <w:spacing w:after="80" w:line="240" w:lineRule="auto"/>
      <w:contextualSpacing/>
    </w:pPr>
    <w:rPr>
      <w:rFonts w:ascii="Calibri Light" w:hAnsi="Calibri Light"/>
      <w:spacing w:val="-10"/>
      <w:kern w:val="28"/>
      <w:sz w:val="56"/>
      <w:szCs w:val="56"/>
    </w:rPr>
  </w:style>
  <w:style w:type="character" w:customStyle="1" w:styleId="TtuloCar">
    <w:name w:val="Título Car"/>
    <w:link w:val="Ttulo"/>
    <w:uiPriority w:val="10"/>
    <w:rsid w:val="0000399E"/>
    <w:rPr>
      <w:rFonts w:ascii="Calibri Light" w:eastAsia="Times New Roman" w:hAnsi="Calibri Light" w:cs="Times New Roman"/>
      <w:spacing w:val="-10"/>
      <w:kern w:val="28"/>
      <w:sz w:val="56"/>
      <w:szCs w:val="56"/>
    </w:rPr>
  </w:style>
  <w:style w:type="paragraph" w:styleId="Subttulo">
    <w:name w:val="Subtitle"/>
    <w:basedOn w:val="Normal"/>
    <w:next w:val="Normal"/>
    <w:link w:val="SubttuloCar"/>
    <w:uiPriority w:val="11"/>
    <w:qFormat/>
    <w:rsid w:val="0000399E"/>
    <w:pPr>
      <w:numPr>
        <w:ilvl w:val="1"/>
      </w:numPr>
    </w:pPr>
    <w:rPr>
      <w:color w:val="595959"/>
      <w:spacing w:val="15"/>
      <w:sz w:val="28"/>
      <w:szCs w:val="28"/>
    </w:rPr>
  </w:style>
  <w:style w:type="character" w:customStyle="1" w:styleId="SubttuloCar">
    <w:name w:val="Subtítulo Car"/>
    <w:link w:val="Subttulo"/>
    <w:uiPriority w:val="11"/>
    <w:rsid w:val="0000399E"/>
    <w:rPr>
      <w:rFonts w:eastAsia="Times New Roman" w:cs="Times New Roman"/>
      <w:color w:val="595959"/>
      <w:spacing w:val="15"/>
      <w:sz w:val="28"/>
      <w:szCs w:val="28"/>
    </w:rPr>
  </w:style>
  <w:style w:type="paragraph" w:styleId="Cita">
    <w:name w:val="Quote"/>
    <w:basedOn w:val="Normal"/>
    <w:next w:val="Normal"/>
    <w:link w:val="CitaCar"/>
    <w:uiPriority w:val="29"/>
    <w:qFormat/>
    <w:rsid w:val="0000399E"/>
    <w:pPr>
      <w:spacing w:before="160"/>
      <w:jc w:val="center"/>
    </w:pPr>
    <w:rPr>
      <w:i/>
      <w:iCs/>
      <w:color w:val="404040"/>
    </w:rPr>
  </w:style>
  <w:style w:type="character" w:customStyle="1" w:styleId="CitaCar">
    <w:name w:val="Cita Car"/>
    <w:link w:val="Cita"/>
    <w:uiPriority w:val="29"/>
    <w:rsid w:val="0000399E"/>
    <w:rPr>
      <w:i/>
      <w:iCs/>
      <w:color w:val="404040"/>
    </w:rPr>
  </w:style>
  <w:style w:type="character" w:styleId="nfasisintenso">
    <w:name w:val="Intense Emphasis"/>
    <w:uiPriority w:val="21"/>
    <w:qFormat/>
    <w:rsid w:val="0000399E"/>
    <w:rPr>
      <w:i/>
      <w:iCs/>
      <w:color w:val="2F5496"/>
    </w:rPr>
  </w:style>
  <w:style w:type="paragraph" w:styleId="Citadestacada">
    <w:name w:val="Intense Quote"/>
    <w:basedOn w:val="Normal"/>
    <w:next w:val="Normal"/>
    <w:link w:val="CitadestacadaCar"/>
    <w:uiPriority w:val="30"/>
    <w:qFormat/>
    <w:rsid w:val="0000399E"/>
    <w:pPr>
      <w:pBdr>
        <w:top w:val="single" w:sz="4" w:space="10" w:color="2F5496"/>
        <w:bottom w:val="single" w:sz="4" w:space="10" w:color="2F5496"/>
      </w:pBdr>
      <w:spacing w:before="360" w:after="360"/>
      <w:ind w:left="864" w:right="864"/>
      <w:jc w:val="center"/>
    </w:pPr>
    <w:rPr>
      <w:i/>
      <w:iCs/>
      <w:color w:val="2F5496"/>
    </w:rPr>
  </w:style>
  <w:style w:type="character" w:customStyle="1" w:styleId="CitadestacadaCar">
    <w:name w:val="Cita destacada Car"/>
    <w:link w:val="Citadestacada"/>
    <w:uiPriority w:val="30"/>
    <w:rsid w:val="0000399E"/>
    <w:rPr>
      <w:i/>
      <w:iCs/>
      <w:color w:val="2F5496"/>
    </w:rPr>
  </w:style>
  <w:style w:type="character" w:styleId="Referenciaintensa">
    <w:name w:val="Intense Reference"/>
    <w:uiPriority w:val="32"/>
    <w:qFormat/>
    <w:rsid w:val="0000399E"/>
    <w:rPr>
      <w:b/>
      <w:bCs/>
      <w:smallCaps/>
      <w:color w:val="2F5496"/>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pj.gov.py/ebook/libros_files/coleccion-derecho-penal.pdf" TargetMode="External"/><Relationship Id="rId13" Type="http://schemas.openxmlformats.org/officeDocument/2006/relationships/hyperlink" Target="https://www.ordenjuridico.gob.mx/Documentos/Federal/pdf/wo83048.pdf" TargetMode="External"/><Relationship Id="rId18" Type="http://schemas.openxmlformats.org/officeDocument/2006/relationships/hyperlink" Target="http://www.planalto.gov.br/ccivil_03/decreto-lei/Del2848.htm." TargetMode="External"/><Relationship Id="rId26" Type="http://schemas.openxmlformats.org/officeDocument/2006/relationships/hyperlink" Target="https://parlamento.gub.uy/documentosyleyes/leyes/ley/19538" TargetMode="External"/><Relationship Id="rId3" Type="http://schemas.openxmlformats.org/officeDocument/2006/relationships/hyperlink" Target="https://bolivia.unfpa.org/sites/default/files/pub-pdf/1-ley-348-2016.pdf" TargetMode="External"/><Relationship Id="rId21" Type="http://schemas.openxmlformats.org/officeDocument/2006/relationships/hyperlink" Target="https://www.bcn.cl/leychile/navegar?idNorma=1984&amp;idParte=0&amp;idVersion=&amp;_gl=1*17vql5z*_ga*MTI0Mzk0MjU4LjE3NTgyNjg2MTg.*_ga_QLTSW3NZ4C*czE3NTgyNjg2MTgkbzEkZzAkdDE3NTgyNjg2MTgkajYwJGwwJGgw" TargetMode="External"/><Relationship Id="rId7" Type="http://schemas.openxmlformats.org/officeDocument/2006/relationships/hyperlink" Target="https://siteal.iiep.unesco.org/sites/default/files/sit_accion_files/decreto_22-2008.pdf" TargetMode="External"/><Relationship Id="rId12" Type="http://schemas.openxmlformats.org/officeDocument/2006/relationships/hyperlink" Target="https://www.organojudicial.gob.pa/uploads/wp_repo/uploads/2016/11/Ley-82-de-2013.pdf" TargetMode="External"/><Relationship Id="rId17" Type="http://schemas.openxmlformats.org/officeDocument/2006/relationships/hyperlink" Target="https://www.bacn.gov.py/archivos/3497/20150629143758.pdf" TargetMode="External"/><Relationship Id="rId25" Type="http://schemas.openxmlformats.org/officeDocument/2006/relationships/hyperlink" Target="https://www.impo.com.uy/bases/codigo-penal/9155-1933." TargetMode="External"/><Relationship Id="rId2" Type="http://schemas.openxmlformats.org/officeDocument/2006/relationships/hyperlink" Target="https://siteal.iiep.unesco.org/sites/default/files/sit_accion_files/ley_ndeg_26.485_organized.pdf." TargetMode="External"/><Relationship Id="rId16" Type="http://schemas.openxmlformats.org/officeDocument/2006/relationships/hyperlink" Target="https://www.pj.gov.py/ebook/libros_files/coleccion-derecho-penal.pdf" TargetMode="External"/><Relationship Id="rId20" Type="http://schemas.openxmlformats.org/officeDocument/2006/relationships/hyperlink" Target="https://www.bcn.cl/leychile/navegar?idNorma=1021343." TargetMode="External"/><Relationship Id="rId1" Type="http://schemas.openxmlformats.org/officeDocument/2006/relationships/hyperlink" Target="https://lac.unwomen.org/sites/default/files/Field%20Office%20Americas/Documentos/Publicaciones/2019/05/Final%20ESP%20Analysis%20de%20leyes%20de%20femicidio%20en%20Amrica%20Latina%20y%20el%20Caribe-compressed.pdf" TargetMode="External"/><Relationship Id="rId6" Type="http://schemas.openxmlformats.org/officeDocument/2006/relationships/hyperlink" Target="https://siteal.iiep.unesco.org/sites/default/files/sit_accion_files/ley_especial_integral_para_una_vida_libre_de_violencia_para_las_mujeres.pdf" TargetMode="External"/><Relationship Id="rId11" Type="http://schemas.openxmlformats.org/officeDocument/2006/relationships/hyperlink" Target="https://vlex.com.pa/vid/codigo-penal-40514303" TargetMode="External"/><Relationship Id="rId24" Type="http://schemas.openxmlformats.org/officeDocument/2006/relationships/hyperlink" Target="https://www.oas.org/juridico/PDFs/Mesicic5_RepDo_RespuestaC_Ane4.pdf" TargetMode="External"/><Relationship Id="rId5" Type="http://schemas.openxmlformats.org/officeDocument/2006/relationships/hyperlink" Target="https://www.igualdad.gob.ec/wp-content/uploads/downloads/2018/05/ley_prevenir_y_erradicar_violencia_mujeres.pdf" TargetMode="External"/><Relationship Id="rId15" Type="http://schemas.openxmlformats.org/officeDocument/2006/relationships/hyperlink" Target="https://servicios.infoleg.gob.ar/infolegInternet/anexos/15000-19999/16546/texact.htm" TargetMode="External"/><Relationship Id="rId23" Type="http://schemas.openxmlformats.org/officeDocument/2006/relationships/hyperlink" Target="https://cdn.www.gob.pe/uploads/document/file/269096/240198_Ley30068.pdf20190110-18386-1ssm4vl.pdf?v=1547156226" TargetMode="External"/><Relationship Id="rId10" Type="http://schemas.openxmlformats.org/officeDocument/2006/relationships/hyperlink" Target="https://vlex.com.pa/vid/ley-n-82-24-864656264" TargetMode="External"/><Relationship Id="rId19" Type="http://schemas.openxmlformats.org/officeDocument/2006/relationships/hyperlink" Target="http://www.planalto.gov.br/ccivil_03/_Ato2023-2026/2024/Lei/L14994.htm" TargetMode="External"/><Relationship Id="rId4" Type="http://schemas.openxmlformats.org/officeDocument/2006/relationships/hyperlink" Target="https://www.oas.org/juridico/PDFs/mesicic5_ecu_ane_con_judi_c%C3%B3d_org_int_pen.pdf" TargetMode="External"/><Relationship Id="rId9" Type="http://schemas.openxmlformats.org/officeDocument/2006/relationships/hyperlink" Target="https://siteal.iiep.unesco.org/sites/default/files/sit_accion_files/10294.pdf" TargetMode="External"/><Relationship Id="rId14" Type="http://schemas.openxmlformats.org/officeDocument/2006/relationships/hyperlink" Target="https://www.argentina.gob.ar/normativa/nacional/ley-26791-206018/texto" TargetMode="External"/><Relationship Id="rId22" Type="http://schemas.openxmlformats.org/officeDocument/2006/relationships/hyperlink" Target="https://relapt.usta.edu.co/images/2013-Reforma-al-Codigo-Penal-Decreto-23.pdf" TargetMode="External"/><Relationship Id="rId27" Type="http://schemas.openxmlformats.org/officeDocument/2006/relationships/hyperlink" Target="http://www.secretariasenado.gov.co/senado/basedoc/ley_0264_1996.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22927</Words>
  <Characters>126104</Characters>
  <Application>Microsoft Office Word</Application>
  <DocSecurity>0</DocSecurity>
  <Lines>1050</Lines>
  <Paragraphs>297</Paragraphs>
  <ScaleCrop>false</ScaleCrop>
  <Company/>
  <LinksUpToDate>false</LinksUpToDate>
  <CharactersWithSpaces>148734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2026-05-19T20:17:00Z</dcterms:created>
  <dcterms:modified xsi:type="dcterms:W3CDTF">2026-05-19T20:17:00Z</dcterms:modified>
</cp:coreProperties>
</file>